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F84571" w:rsidRPr="00DB5512" w14:paraId="73A27EC8" w14:textId="77777777" w:rsidTr="003748EF">
        <w:trPr>
          <w:trHeight w:hRule="exact" w:val="851"/>
        </w:trPr>
        <w:tc>
          <w:tcPr>
            <w:tcW w:w="1280" w:type="dxa"/>
            <w:tcBorders>
              <w:bottom w:val="single" w:sz="4" w:space="0" w:color="auto"/>
            </w:tcBorders>
            <w:shd w:val="clear" w:color="auto" w:fill="auto"/>
          </w:tcPr>
          <w:p w14:paraId="08F3265A" w14:textId="77777777" w:rsidR="00F84571" w:rsidRPr="00835242" w:rsidRDefault="00F84571" w:rsidP="003748EF">
            <w:pPr>
              <w:kinsoku w:val="0"/>
              <w:overflowPunct w:val="0"/>
              <w:autoSpaceDE w:val="0"/>
              <w:autoSpaceDN w:val="0"/>
              <w:adjustRightInd w:val="0"/>
              <w:snapToGrid w:val="0"/>
            </w:pPr>
          </w:p>
        </w:tc>
        <w:tc>
          <w:tcPr>
            <w:tcW w:w="2273" w:type="dxa"/>
            <w:tcBorders>
              <w:bottom w:val="single" w:sz="4" w:space="0" w:color="auto"/>
            </w:tcBorders>
            <w:shd w:val="clear" w:color="auto" w:fill="auto"/>
            <w:vAlign w:val="bottom"/>
          </w:tcPr>
          <w:p w14:paraId="7312EE35" w14:textId="77777777" w:rsidR="00F84571" w:rsidRPr="00DB5512" w:rsidRDefault="00F84571" w:rsidP="003748EF">
            <w:pPr>
              <w:spacing w:after="80" w:line="300" w:lineRule="exact"/>
              <w:rPr>
                <w:sz w:val="28"/>
              </w:rPr>
            </w:pPr>
            <w:r w:rsidRPr="00DB5512">
              <w:rPr>
                <w:sz w:val="28"/>
              </w:rPr>
              <w:t>United Nations</w:t>
            </w:r>
          </w:p>
        </w:tc>
        <w:tc>
          <w:tcPr>
            <w:tcW w:w="6086" w:type="dxa"/>
            <w:gridSpan w:val="2"/>
            <w:tcBorders>
              <w:bottom w:val="single" w:sz="4" w:space="0" w:color="auto"/>
            </w:tcBorders>
            <w:shd w:val="clear" w:color="auto" w:fill="auto"/>
            <w:vAlign w:val="bottom"/>
          </w:tcPr>
          <w:p w14:paraId="38496B34" w14:textId="77777777" w:rsidR="00F84571" w:rsidRPr="00DB5512" w:rsidRDefault="00F84571" w:rsidP="003748EF">
            <w:pPr>
              <w:jc w:val="right"/>
            </w:pPr>
            <w:r w:rsidRPr="00DB5512">
              <w:rPr>
                <w:sz w:val="40"/>
              </w:rPr>
              <w:t>A</w:t>
            </w:r>
            <w:r w:rsidRPr="00DB5512">
              <w:t>/HRC/37/52</w:t>
            </w:r>
          </w:p>
        </w:tc>
      </w:tr>
      <w:tr w:rsidR="00F84571" w:rsidRPr="00DB5512" w14:paraId="73611BD1" w14:textId="77777777" w:rsidTr="003748EF">
        <w:trPr>
          <w:trHeight w:hRule="exact" w:val="2858"/>
        </w:trPr>
        <w:tc>
          <w:tcPr>
            <w:tcW w:w="1280" w:type="dxa"/>
            <w:tcBorders>
              <w:top w:val="single" w:sz="4" w:space="0" w:color="auto"/>
              <w:bottom w:val="single" w:sz="12" w:space="0" w:color="auto"/>
            </w:tcBorders>
            <w:shd w:val="clear" w:color="auto" w:fill="auto"/>
          </w:tcPr>
          <w:p w14:paraId="3BE6B724" w14:textId="1611C31E" w:rsidR="00F84571" w:rsidRPr="00DB5512" w:rsidRDefault="00F84571" w:rsidP="003748EF">
            <w:pPr>
              <w:spacing w:before="120"/>
              <w:jc w:val="center"/>
            </w:pPr>
          </w:p>
        </w:tc>
        <w:tc>
          <w:tcPr>
            <w:tcW w:w="5540" w:type="dxa"/>
            <w:gridSpan w:val="2"/>
            <w:tcBorders>
              <w:top w:val="single" w:sz="4" w:space="0" w:color="auto"/>
              <w:bottom w:val="single" w:sz="12" w:space="0" w:color="auto"/>
            </w:tcBorders>
            <w:shd w:val="clear" w:color="auto" w:fill="auto"/>
          </w:tcPr>
          <w:p w14:paraId="1D0CBCEB" w14:textId="47FF5B3A" w:rsidR="00F84571" w:rsidRPr="00DB5512" w:rsidRDefault="00062800" w:rsidP="003748EF">
            <w:pPr>
              <w:spacing w:before="120" w:line="360" w:lineRule="exact"/>
              <w:rPr>
                <w:b/>
                <w:sz w:val="34"/>
                <w:szCs w:val="34"/>
              </w:rPr>
            </w:pPr>
            <w:r>
              <w:rPr>
                <w:b/>
                <w:sz w:val="40"/>
                <w:szCs w:val="40"/>
              </w:rPr>
              <w:t>Advance Unedited Versio</w:t>
            </w:r>
            <w:bookmarkStart w:id="0" w:name="_GoBack"/>
            <w:bookmarkEnd w:id="0"/>
            <w:r>
              <w:rPr>
                <w:b/>
                <w:sz w:val="40"/>
                <w:szCs w:val="40"/>
              </w:rPr>
              <w:t>n</w:t>
            </w:r>
          </w:p>
        </w:tc>
        <w:tc>
          <w:tcPr>
            <w:tcW w:w="2819" w:type="dxa"/>
            <w:tcBorders>
              <w:top w:val="single" w:sz="4" w:space="0" w:color="auto"/>
              <w:bottom w:val="single" w:sz="12" w:space="0" w:color="auto"/>
            </w:tcBorders>
            <w:shd w:val="clear" w:color="auto" w:fill="auto"/>
          </w:tcPr>
          <w:p w14:paraId="0CB838E0" w14:textId="77777777" w:rsidR="00F84571" w:rsidRPr="00DB5512" w:rsidRDefault="00F84571" w:rsidP="003748EF">
            <w:pPr>
              <w:spacing w:before="240"/>
            </w:pPr>
            <w:r w:rsidRPr="00DB5512">
              <w:t>Distr. General</w:t>
            </w:r>
          </w:p>
          <w:p w14:paraId="126A9104" w14:textId="5B00759B" w:rsidR="00F84571" w:rsidRPr="00DB5512" w:rsidRDefault="00E16A6B" w:rsidP="004D7CA3">
            <w:pPr>
              <w:spacing w:line="240" w:lineRule="exact"/>
            </w:pPr>
            <w:r>
              <w:t>2</w:t>
            </w:r>
            <w:r w:rsidR="004D7CA3">
              <w:t>7</w:t>
            </w:r>
            <w:r>
              <w:t xml:space="preserve"> </w:t>
            </w:r>
            <w:r w:rsidR="00AC4260">
              <w:t>February</w:t>
            </w:r>
            <w:r w:rsidR="00F84571" w:rsidRPr="00DB5512">
              <w:t xml:space="preserve"> </w:t>
            </w:r>
            <w:r w:rsidR="00290D64" w:rsidRPr="00DB5512">
              <w:t>201</w:t>
            </w:r>
            <w:r w:rsidR="00290D64">
              <w:t>8</w:t>
            </w:r>
          </w:p>
          <w:p w14:paraId="1D49FD4E" w14:textId="77777777" w:rsidR="00F84571" w:rsidRPr="00DB5512" w:rsidRDefault="00F84571" w:rsidP="003748EF">
            <w:pPr>
              <w:spacing w:line="240" w:lineRule="exact"/>
            </w:pPr>
          </w:p>
          <w:p w14:paraId="3A874B50" w14:textId="77777777" w:rsidR="00F84571" w:rsidRPr="00DB5512" w:rsidRDefault="00F84571" w:rsidP="003748EF">
            <w:pPr>
              <w:spacing w:line="240" w:lineRule="exact"/>
            </w:pPr>
            <w:r w:rsidRPr="00DB5512">
              <w:t>Original: English</w:t>
            </w:r>
          </w:p>
        </w:tc>
      </w:tr>
    </w:tbl>
    <w:p w14:paraId="6F75265F" w14:textId="77777777" w:rsidR="00F84571" w:rsidRPr="00DB5512" w:rsidRDefault="00F84571" w:rsidP="00935CAA">
      <w:pPr>
        <w:pStyle w:val="Body1"/>
        <w:rPr>
          <w:b/>
          <w:sz w:val="24"/>
        </w:rPr>
      </w:pPr>
      <w:r w:rsidRPr="00DB5512">
        <w:rPr>
          <w:rFonts w:hAnsi="Arial Unicode MS"/>
          <w:b/>
          <w:sz w:val="24"/>
        </w:rPr>
        <w:t>Human Rights Council</w:t>
      </w:r>
    </w:p>
    <w:p w14:paraId="25BE0674" w14:textId="7FA3F9A7" w:rsidR="00A16076" w:rsidRDefault="00F84571" w:rsidP="004D7CA3">
      <w:pPr>
        <w:pStyle w:val="Body1"/>
        <w:rPr>
          <w:rFonts w:hAnsi="Arial Unicode MS"/>
        </w:rPr>
      </w:pPr>
      <w:r w:rsidRPr="00DB5512">
        <w:rPr>
          <w:rFonts w:hAnsi="Arial Unicode MS"/>
          <w:b/>
        </w:rPr>
        <w:t>Thirty-seventh session</w:t>
      </w:r>
      <w:r w:rsidR="00A16076">
        <w:rPr>
          <w:rFonts w:hAnsi="Arial Unicode MS"/>
        </w:rPr>
        <w:br/>
        <w:t>26 February</w:t>
      </w:r>
      <w:r w:rsidR="00A16076">
        <w:rPr>
          <w:rFonts w:hAnsi="Arial Unicode MS"/>
        </w:rPr>
        <w:t>–</w:t>
      </w:r>
      <w:r w:rsidR="00A16076">
        <w:rPr>
          <w:rFonts w:hAnsi="Arial Unicode MS"/>
        </w:rPr>
        <w:t>23 March 2018</w:t>
      </w:r>
    </w:p>
    <w:p w14:paraId="5623C113" w14:textId="0DD30403" w:rsidR="00F84571" w:rsidRPr="00DB5512" w:rsidRDefault="00F84571">
      <w:pPr>
        <w:pStyle w:val="Body1"/>
      </w:pPr>
      <w:r w:rsidRPr="00DB5512">
        <w:rPr>
          <w:rFonts w:hAnsi="Arial Unicode MS"/>
        </w:rPr>
        <w:t>Agenda item 3</w:t>
      </w:r>
    </w:p>
    <w:p w14:paraId="34B2E147" w14:textId="77777777" w:rsidR="00F84571" w:rsidRPr="00DB5512" w:rsidRDefault="00F84571" w:rsidP="004D7CA3">
      <w:pPr>
        <w:pStyle w:val="Body1"/>
        <w:rPr>
          <w:b/>
        </w:rPr>
      </w:pPr>
      <w:r w:rsidRPr="00DB5512">
        <w:rPr>
          <w:rFonts w:hAnsi="Arial Unicode MS"/>
          <w:b/>
        </w:rPr>
        <w:t>Promotion and protection of all human rights, civil,</w:t>
      </w:r>
    </w:p>
    <w:p w14:paraId="4D791F6F" w14:textId="77777777" w:rsidR="00F84571" w:rsidRPr="00DB5512" w:rsidRDefault="00F84571">
      <w:pPr>
        <w:pStyle w:val="Body1"/>
        <w:rPr>
          <w:b/>
        </w:rPr>
      </w:pPr>
      <w:r w:rsidRPr="00DB5512">
        <w:rPr>
          <w:rFonts w:hAnsi="Arial Unicode MS"/>
          <w:b/>
        </w:rPr>
        <w:t>political, economic, social and cultural rights,</w:t>
      </w:r>
    </w:p>
    <w:p w14:paraId="3AB7B978" w14:textId="77777777" w:rsidR="00F84571" w:rsidRPr="00DB5512" w:rsidRDefault="00F84571" w:rsidP="00F84571">
      <w:pPr>
        <w:pStyle w:val="Body1"/>
        <w:rPr>
          <w:rFonts w:hAnsi="Arial Unicode MS"/>
          <w:b/>
        </w:rPr>
      </w:pPr>
      <w:r w:rsidRPr="00DB5512">
        <w:rPr>
          <w:rFonts w:hAnsi="Arial Unicode MS"/>
          <w:b/>
        </w:rPr>
        <w:t>including the right to development</w:t>
      </w:r>
    </w:p>
    <w:p w14:paraId="355309C2" w14:textId="77777777" w:rsidR="00F84571" w:rsidRPr="00DB5512" w:rsidRDefault="00F84571" w:rsidP="00F84571"/>
    <w:p w14:paraId="4DAA3729" w14:textId="68C9F59E" w:rsidR="00F84571" w:rsidRPr="00DB5512" w:rsidRDefault="00F84571" w:rsidP="00A31265">
      <w:pPr>
        <w:pStyle w:val="HChG"/>
      </w:pPr>
      <w:r w:rsidRPr="00DB5512">
        <w:tab/>
      </w:r>
      <w:r w:rsidRPr="00DB5512">
        <w:tab/>
      </w:r>
      <w:r w:rsidR="00F37E67">
        <w:t>Report of the Special Rapporteur on the p</w:t>
      </w:r>
      <w:r w:rsidRPr="00DB5512">
        <w:t>romotion and protection of human rights and fundamental free</w:t>
      </w:r>
      <w:r w:rsidR="00B77646">
        <w:t>doms while countering terrorism</w:t>
      </w:r>
      <w:r w:rsidR="000762C2">
        <w:t xml:space="preserve"> </w:t>
      </w:r>
      <w:r w:rsidR="000762C2" w:rsidRPr="00A31265">
        <w:t>on the human rights challenge of states of emergenc</w:t>
      </w:r>
      <w:r w:rsidR="00672460" w:rsidRPr="00935CAA">
        <w:t>y</w:t>
      </w:r>
      <w:r w:rsidR="000762C2" w:rsidRPr="00A31265">
        <w:t xml:space="preserve"> in the context of countering terrorism</w:t>
      </w:r>
      <w:r w:rsidR="00233B30" w:rsidRPr="00233B30">
        <w:rPr>
          <w:rStyle w:val="FootnoteReference"/>
          <w:b w:val="0"/>
          <w:sz w:val="20"/>
          <w:vertAlign w:val="baseline"/>
        </w:rPr>
        <w:footnoteReference w:customMarkFollows="1" w:id="1"/>
        <w:t>*</w:t>
      </w:r>
    </w:p>
    <w:p w14:paraId="1612F803" w14:textId="26E09DD2" w:rsidR="00F84571" w:rsidRPr="00DB5512" w:rsidRDefault="00F84571" w:rsidP="00A31265">
      <w:pPr>
        <w:pStyle w:val="H1G"/>
      </w:pPr>
      <w:r w:rsidRPr="00DB5512">
        <w:tab/>
      </w:r>
      <w:r w:rsidRPr="00DB5512">
        <w:tab/>
        <w:t>Note by the Secretar</w:t>
      </w:r>
      <w:r w:rsidR="00672460">
        <w:t>iat</w:t>
      </w:r>
    </w:p>
    <w:p w14:paraId="45034833" w14:textId="606E31AA" w:rsidR="00AF6FCD" w:rsidRPr="00DB5512" w:rsidRDefault="00F84571" w:rsidP="0072253F">
      <w:pPr>
        <w:pStyle w:val="SingleTxtG"/>
        <w:ind w:firstLine="567"/>
      </w:pPr>
      <w:r w:rsidRPr="00DB5512">
        <w:t>The Secretar</w:t>
      </w:r>
      <w:r w:rsidR="00672460">
        <w:t>iat</w:t>
      </w:r>
      <w:r w:rsidRPr="00DB5512">
        <w:t xml:space="preserve"> has the honour to transmit to the Human Rights Council the report of the Special Rapporteur on the promotion and protection of human rights and fundamental freedoms while countering terrorism, Fionnuala N</w:t>
      </w:r>
      <w:r w:rsidR="00A16076">
        <w:t>í</w:t>
      </w:r>
      <w:r w:rsidRPr="00DB5512">
        <w:t xml:space="preserve"> Aoláin, submitted </w:t>
      </w:r>
      <w:r w:rsidR="00F37E67">
        <w:t xml:space="preserve">pursuant to </w:t>
      </w:r>
      <w:r w:rsidR="00A16076">
        <w:t xml:space="preserve">General </w:t>
      </w:r>
      <w:r w:rsidRPr="00DB5512">
        <w:t xml:space="preserve">Assembly resolution </w:t>
      </w:r>
      <w:r w:rsidRPr="00062800">
        <w:t xml:space="preserve">72/180 </w:t>
      </w:r>
      <w:r w:rsidRPr="00DB5512">
        <w:t>and Human Rights Council resolution</w:t>
      </w:r>
      <w:r w:rsidR="00F37E67">
        <w:t>s</w:t>
      </w:r>
      <w:r w:rsidRPr="00DB5512">
        <w:t xml:space="preserve"> 31/3 and 3</w:t>
      </w:r>
      <w:r w:rsidR="00074C3D">
        <w:t>5</w:t>
      </w:r>
      <w:r w:rsidRPr="00DB5512">
        <w:t>/</w:t>
      </w:r>
      <w:r w:rsidR="00074C3D">
        <w:t>34</w:t>
      </w:r>
      <w:r w:rsidRPr="00DB5512">
        <w:t>.</w:t>
      </w:r>
      <w:r w:rsidR="004B187E">
        <w:t xml:space="preserve"> </w:t>
      </w:r>
      <w:r w:rsidR="00451790">
        <w:t xml:space="preserve">In the report, the Special Rapporteur </w:t>
      </w:r>
      <w:r w:rsidR="004B187E" w:rsidRPr="00B77646">
        <w:t xml:space="preserve">addresses the human rights challenge of states of emergency in the context of countering terrorism. In particular, </w:t>
      </w:r>
      <w:r w:rsidR="00451790">
        <w:t>she</w:t>
      </w:r>
      <w:r w:rsidR="004B187E" w:rsidRPr="00B77646">
        <w:t xml:space="preserve"> identifies new post</w:t>
      </w:r>
      <w:r w:rsidR="00451790">
        <w:t>-</w:t>
      </w:r>
      <w:r w:rsidR="004B187E" w:rsidRPr="00B77646">
        <w:t xml:space="preserve">9/11 emergency practices and their adverse effects. </w:t>
      </w:r>
      <w:r w:rsidR="004B187E" w:rsidRPr="00062800">
        <w:t xml:space="preserve">Emergencies are not a new phenomenon for </w:t>
      </w:r>
      <w:r w:rsidR="0072253F">
        <w:t>S</w:t>
      </w:r>
      <w:r w:rsidR="004B187E" w:rsidRPr="00062800">
        <w:t xml:space="preserve">tates. Human rights law enables </w:t>
      </w:r>
      <w:r w:rsidR="0072253F">
        <w:t>S</w:t>
      </w:r>
      <w:r w:rsidR="004B187E" w:rsidRPr="00062800">
        <w:t xml:space="preserve">tates to limit the full exercise of derogable human rights when governments are faced with exceptional challenges </w:t>
      </w:r>
      <w:r w:rsidR="00E16A6B">
        <w:t>requiring</w:t>
      </w:r>
      <w:r w:rsidR="004B187E" w:rsidRPr="00062800">
        <w:t xml:space="preserve"> proportionate and necessary restrictions to human rights. However, emergency powers are a limited device. State</w:t>
      </w:r>
      <w:r w:rsidR="00E16A6B">
        <w:t>s’</w:t>
      </w:r>
      <w:r w:rsidR="004B187E" w:rsidRPr="00062800">
        <w:t xml:space="preserve"> use of emergency and exceptional national security measures should provide a positive basis </w:t>
      </w:r>
      <w:r w:rsidR="00E16A6B">
        <w:t xml:space="preserve">by which </w:t>
      </w:r>
      <w:r w:rsidR="004B187E" w:rsidRPr="00062800">
        <w:t>to return to the full protection of human rights within a reasonable time</w:t>
      </w:r>
      <w:r w:rsidR="00E16A6B">
        <w:t xml:space="preserve"> </w:t>
      </w:r>
      <w:r w:rsidR="004B187E" w:rsidRPr="00062800">
        <w:t>frame. States of emergency have long been co</w:t>
      </w:r>
      <w:r w:rsidR="00102747">
        <w:t>r</w:t>
      </w:r>
      <w:r w:rsidR="004B187E" w:rsidRPr="00062800">
        <w:t>related with extensive and wide-ranging human rights violations.</w:t>
      </w:r>
      <w:r w:rsidR="004B187E" w:rsidRPr="00B77646">
        <w:t xml:space="preserve"> The </w:t>
      </w:r>
      <w:r w:rsidR="00451790">
        <w:t>Special Rapporteur</w:t>
      </w:r>
      <w:r w:rsidR="004B187E" w:rsidRPr="00B77646">
        <w:t xml:space="preserve"> details the relationship between entrenched emergency powers and sustained human rights violations and affirms that </w:t>
      </w:r>
      <w:r w:rsidR="00451790">
        <w:t>S</w:t>
      </w:r>
      <w:r w:rsidR="004B187E" w:rsidRPr="00B77646">
        <w:t>tates are not well</w:t>
      </w:r>
      <w:r w:rsidR="00451790">
        <w:t xml:space="preserve"> </w:t>
      </w:r>
      <w:r w:rsidR="004B187E" w:rsidRPr="00B77646">
        <w:t xml:space="preserve">served by the institutionalization of states of emergency. </w:t>
      </w:r>
      <w:r w:rsidR="00451790">
        <w:t>She</w:t>
      </w:r>
      <w:r w:rsidR="004B187E" w:rsidRPr="00B77646">
        <w:t xml:space="preserve"> sets out guidelines and good practice</w:t>
      </w:r>
      <w:r w:rsidR="00451790">
        <w:t xml:space="preserve"> </w:t>
      </w:r>
      <w:r w:rsidR="0072253F">
        <w:t xml:space="preserve">that </w:t>
      </w:r>
      <w:r w:rsidR="00451790">
        <w:t>she</w:t>
      </w:r>
      <w:r w:rsidR="004B187E" w:rsidRPr="00B77646">
        <w:t xml:space="preserve"> encourages governments to adopt while countering terrorism</w:t>
      </w:r>
      <w:r w:rsidR="00451790">
        <w:t xml:space="preserve"> so as to </w:t>
      </w:r>
      <w:r w:rsidR="004B187E" w:rsidRPr="00B77646">
        <w:t xml:space="preserve">systematically address the pernicious problem of permanent emergencies. The </w:t>
      </w:r>
      <w:r w:rsidR="00451790">
        <w:t>Special Rapporteur</w:t>
      </w:r>
      <w:r w:rsidR="004B187E" w:rsidRPr="00B77646">
        <w:t xml:space="preserve"> also offers </w:t>
      </w:r>
      <w:r w:rsidR="00451790">
        <w:t xml:space="preserve">her </w:t>
      </w:r>
      <w:r w:rsidR="004B187E" w:rsidRPr="00B77646">
        <w:t>views on international human rights supervision mechanisms</w:t>
      </w:r>
      <w:r w:rsidR="00451790">
        <w:t xml:space="preserve"> and</w:t>
      </w:r>
      <w:r w:rsidR="004B187E" w:rsidRPr="00B77646">
        <w:t xml:space="preserve"> encourag</w:t>
      </w:r>
      <w:r w:rsidR="00451790">
        <w:t>es</w:t>
      </w:r>
      <w:r w:rsidR="004B187E" w:rsidRPr="00B77646">
        <w:t xml:space="preserve"> a firmer and more robust approach in judicial and regulatory oversight. </w:t>
      </w:r>
      <w:r w:rsidR="00451790">
        <w:t>S</w:t>
      </w:r>
      <w:r w:rsidR="004B187E" w:rsidRPr="00B77646">
        <w:t>he affirms that the wider global challenge of addressing the conditions conducive to terrorism and violent extremism will be advanced if the practices of permanent and de facto emergencies are dealt with unflinchingly.</w:t>
      </w:r>
      <w:r w:rsidR="004B187E">
        <w:t xml:space="preserve"> </w:t>
      </w:r>
      <w:r w:rsidR="004B187E" w:rsidRPr="00E451C3">
        <w:t xml:space="preserve">States have much to gain by dismantling their permanent and de facto emergency structures, </w:t>
      </w:r>
      <w:r w:rsidR="004B187E" w:rsidRPr="004D7CA3">
        <w:t>as does the rule of law</w:t>
      </w:r>
      <w:r w:rsidR="0072253F">
        <w:t>,</w:t>
      </w:r>
      <w:r w:rsidR="004B187E" w:rsidRPr="004D7CA3">
        <w:t xml:space="preserve"> broadly defined</w:t>
      </w:r>
      <w:r w:rsidR="00E451C3">
        <w:t>.</w:t>
      </w:r>
    </w:p>
    <w:p w14:paraId="46F868CB" w14:textId="4648591E" w:rsidR="00F84571" w:rsidRPr="00DB5512" w:rsidRDefault="00F84571" w:rsidP="00A31265">
      <w:pPr>
        <w:pStyle w:val="HChG"/>
      </w:pPr>
      <w:r w:rsidRPr="00DB5512">
        <w:br w:type="page"/>
      </w:r>
      <w:r w:rsidRPr="00DB5512">
        <w:lastRenderedPageBreak/>
        <w:tab/>
      </w:r>
      <w:r w:rsidRPr="00DB5512">
        <w:tab/>
      </w:r>
      <w:r w:rsidR="00022C76">
        <w:tab/>
      </w:r>
      <w:r w:rsidR="00451790">
        <w:t>Report of the Special Rapporteur on the p</w:t>
      </w:r>
      <w:r w:rsidR="00451790" w:rsidRPr="00DB5512">
        <w:t>romotion and protection of human rights and fundamental free</w:t>
      </w:r>
      <w:r w:rsidR="00451790">
        <w:t>doms while countering terrorism</w:t>
      </w:r>
      <w:r w:rsidR="00451790" w:rsidRPr="00DB5512" w:rsidDel="00451790">
        <w:t xml:space="preserve"> </w:t>
      </w:r>
      <w:r w:rsidR="000F002E" w:rsidRPr="00A31265">
        <w:t>on the human rights challenge of states of emergenc</w:t>
      </w:r>
      <w:r w:rsidR="007F4364" w:rsidRPr="00935CAA">
        <w:t>y</w:t>
      </w:r>
      <w:r w:rsidR="000F002E" w:rsidRPr="00A31265">
        <w:t xml:space="preserve"> in the context of countering terrorism</w:t>
      </w:r>
    </w:p>
    <w:p w14:paraId="42D907AA" w14:textId="77777777" w:rsidR="00F84571" w:rsidRPr="00DB5512" w:rsidRDefault="00F84571" w:rsidP="00F84571">
      <w:pPr>
        <w:spacing w:after="120"/>
        <w:rPr>
          <w:sz w:val="28"/>
        </w:rPr>
      </w:pPr>
      <w:r w:rsidRPr="00DB5512">
        <w:rPr>
          <w:sz w:val="28"/>
        </w:rPr>
        <w:t>Contents</w:t>
      </w:r>
    </w:p>
    <w:p w14:paraId="1B07EF62" w14:textId="77777777" w:rsidR="00F84571" w:rsidRPr="00DB5512" w:rsidRDefault="00F84571" w:rsidP="00F84571">
      <w:pPr>
        <w:tabs>
          <w:tab w:val="right" w:pos="9638"/>
        </w:tabs>
        <w:spacing w:after="120"/>
        <w:ind w:left="283"/>
        <w:rPr>
          <w:sz w:val="18"/>
        </w:rPr>
      </w:pPr>
      <w:r w:rsidRPr="00DB5512">
        <w:rPr>
          <w:i/>
          <w:sz w:val="18"/>
        </w:rPr>
        <w:tab/>
        <w:t>Page</w:t>
      </w:r>
    </w:p>
    <w:p w14:paraId="1A77484A" w14:textId="7E7440F6" w:rsidR="00F84571" w:rsidRPr="00DB5512" w:rsidRDefault="00F84571" w:rsidP="00011B1E">
      <w:pPr>
        <w:tabs>
          <w:tab w:val="right" w:pos="850"/>
          <w:tab w:val="left" w:pos="1134"/>
          <w:tab w:val="left" w:pos="1559"/>
          <w:tab w:val="left" w:pos="1984"/>
          <w:tab w:val="left" w:leader="dot" w:pos="8787"/>
          <w:tab w:val="right" w:pos="9638"/>
        </w:tabs>
        <w:spacing w:after="120"/>
      </w:pPr>
      <w:r w:rsidRPr="00DB5512">
        <w:tab/>
        <w:t>I.</w:t>
      </w:r>
      <w:r w:rsidRPr="00DB5512">
        <w:tab/>
        <w:t>Concept and legal basis for emergency powers while countering terrorism</w:t>
      </w:r>
      <w:r w:rsidRPr="00DB5512">
        <w:tab/>
      </w:r>
      <w:r w:rsidRPr="00DB5512">
        <w:tab/>
      </w:r>
      <w:r w:rsidR="00011B1E">
        <w:t>3</w:t>
      </w:r>
    </w:p>
    <w:p w14:paraId="6D1CEF82" w14:textId="4CED2762" w:rsidR="00F84571" w:rsidRPr="00DB5512" w:rsidRDefault="00F84571" w:rsidP="00011B1E">
      <w:pPr>
        <w:tabs>
          <w:tab w:val="right" w:pos="850"/>
          <w:tab w:val="left" w:pos="1134"/>
          <w:tab w:val="left" w:pos="1559"/>
          <w:tab w:val="left" w:pos="1984"/>
          <w:tab w:val="left" w:leader="dot" w:pos="8787"/>
          <w:tab w:val="right" w:pos="9638"/>
        </w:tabs>
        <w:spacing w:after="120"/>
      </w:pPr>
      <w:r w:rsidRPr="00DB5512">
        <w:tab/>
      </w:r>
      <w:r w:rsidRPr="00DB5512">
        <w:tab/>
        <w:t>A.</w:t>
      </w:r>
      <w:r w:rsidRPr="00DB5512">
        <w:tab/>
        <w:t xml:space="preserve">International </w:t>
      </w:r>
      <w:r w:rsidR="00451790">
        <w:t>l</w:t>
      </w:r>
      <w:r w:rsidRPr="00DB5512">
        <w:t>aw</w:t>
      </w:r>
      <w:r w:rsidRPr="00DB5512">
        <w:tab/>
      </w:r>
      <w:r w:rsidRPr="00DB5512">
        <w:tab/>
      </w:r>
      <w:r w:rsidR="00011B1E">
        <w:t>4</w:t>
      </w:r>
    </w:p>
    <w:p w14:paraId="0A1D4A03" w14:textId="410CCAEB" w:rsidR="00F84571" w:rsidRPr="00DB5512" w:rsidRDefault="00F84571" w:rsidP="00011B1E">
      <w:pPr>
        <w:tabs>
          <w:tab w:val="right" w:pos="850"/>
          <w:tab w:val="left" w:pos="1134"/>
          <w:tab w:val="left" w:pos="1559"/>
          <w:tab w:val="left" w:pos="1984"/>
          <w:tab w:val="left" w:leader="dot" w:pos="8787"/>
          <w:tab w:val="right" w:pos="9638"/>
        </w:tabs>
        <w:spacing w:after="120"/>
      </w:pPr>
      <w:r w:rsidRPr="00DB5512">
        <w:tab/>
      </w:r>
      <w:r w:rsidRPr="00DB5512">
        <w:tab/>
        <w:t>B.</w:t>
      </w:r>
      <w:r w:rsidRPr="00DB5512">
        <w:tab/>
        <w:t xml:space="preserve">Domestic </w:t>
      </w:r>
      <w:r w:rsidR="00451790">
        <w:t>l</w:t>
      </w:r>
      <w:r w:rsidRPr="00DB5512">
        <w:t>aw</w:t>
      </w:r>
      <w:r w:rsidRPr="00DB5512">
        <w:tab/>
      </w:r>
      <w:r w:rsidRPr="00DB5512">
        <w:tab/>
      </w:r>
      <w:r w:rsidR="00011B1E">
        <w:t>6</w:t>
      </w:r>
    </w:p>
    <w:p w14:paraId="20AD0B44" w14:textId="22D17DED" w:rsidR="00F84571" w:rsidRPr="00DB5512" w:rsidRDefault="00F84571" w:rsidP="00011B1E">
      <w:pPr>
        <w:tabs>
          <w:tab w:val="right" w:pos="850"/>
          <w:tab w:val="left" w:pos="1134"/>
          <w:tab w:val="left" w:pos="1559"/>
          <w:tab w:val="left" w:pos="1984"/>
          <w:tab w:val="left" w:leader="dot" w:pos="8787"/>
          <w:tab w:val="right" w:pos="9638"/>
        </w:tabs>
        <w:spacing w:after="120"/>
      </w:pPr>
      <w:r w:rsidRPr="00DB5512">
        <w:tab/>
        <w:t>II.</w:t>
      </w:r>
      <w:r w:rsidRPr="00DB5512">
        <w:tab/>
        <w:t xml:space="preserve">Declaration of emergency and the problem of </w:t>
      </w:r>
      <w:r w:rsidRPr="005456E5">
        <w:rPr>
          <w:iCs/>
        </w:rPr>
        <w:t>de facto</w:t>
      </w:r>
      <w:r w:rsidRPr="00DB5512">
        <w:t xml:space="preserve"> emergencies</w:t>
      </w:r>
      <w:r w:rsidRPr="00DB5512">
        <w:tab/>
      </w:r>
      <w:r w:rsidRPr="00DB5512">
        <w:tab/>
      </w:r>
      <w:r w:rsidR="00011B1E">
        <w:t>7</w:t>
      </w:r>
    </w:p>
    <w:p w14:paraId="2995EFB2" w14:textId="59D8BDCB" w:rsidR="00F84571" w:rsidRPr="00DB5512" w:rsidRDefault="00F84571" w:rsidP="00011B1E">
      <w:pPr>
        <w:tabs>
          <w:tab w:val="right" w:pos="850"/>
          <w:tab w:val="left" w:pos="1134"/>
          <w:tab w:val="left" w:pos="1559"/>
          <w:tab w:val="left" w:pos="1984"/>
          <w:tab w:val="left" w:leader="dot" w:pos="8787"/>
          <w:tab w:val="right" w:pos="9638"/>
        </w:tabs>
        <w:spacing w:after="120"/>
      </w:pPr>
      <w:r w:rsidRPr="00DB5512">
        <w:tab/>
      </w:r>
      <w:r w:rsidRPr="00DB5512">
        <w:tab/>
        <w:t>A.</w:t>
      </w:r>
      <w:r w:rsidRPr="00DB5512">
        <w:tab/>
        <w:t>International law obligations and declaration</w:t>
      </w:r>
      <w:r w:rsidRPr="00DB5512">
        <w:tab/>
      </w:r>
      <w:r w:rsidRPr="00DB5512">
        <w:tab/>
      </w:r>
      <w:r w:rsidR="00011B1E">
        <w:t>7</w:t>
      </w:r>
    </w:p>
    <w:p w14:paraId="781937C8" w14:textId="6AF606A3" w:rsidR="00F84571" w:rsidRPr="00DB5512" w:rsidRDefault="00F84571" w:rsidP="00011B1E">
      <w:pPr>
        <w:tabs>
          <w:tab w:val="right" w:pos="850"/>
          <w:tab w:val="left" w:pos="1134"/>
          <w:tab w:val="left" w:pos="1559"/>
          <w:tab w:val="left" w:pos="1984"/>
          <w:tab w:val="left" w:leader="dot" w:pos="8787"/>
          <w:tab w:val="right" w:pos="9638"/>
        </w:tabs>
        <w:spacing w:after="120"/>
      </w:pPr>
      <w:r w:rsidRPr="00DB5512">
        <w:tab/>
      </w:r>
      <w:r w:rsidRPr="00DB5512">
        <w:tab/>
        <w:t>B.</w:t>
      </w:r>
      <w:r w:rsidRPr="00DB5512">
        <w:tab/>
        <w:t>International oversight of declaration</w:t>
      </w:r>
      <w:r w:rsidR="00B40CBA">
        <w:t>s</w:t>
      </w:r>
      <w:r w:rsidRPr="00DB5512">
        <w:t xml:space="preserve"> of emergency</w:t>
      </w:r>
      <w:r w:rsidRPr="00DB5512">
        <w:tab/>
      </w:r>
      <w:r w:rsidRPr="00DB5512">
        <w:tab/>
      </w:r>
      <w:r w:rsidR="00011B1E">
        <w:t>8</w:t>
      </w:r>
    </w:p>
    <w:p w14:paraId="7A7DF5BB" w14:textId="7B6978A6" w:rsidR="00F84571" w:rsidRPr="00DB5512" w:rsidRDefault="00F84571" w:rsidP="00011B1E">
      <w:pPr>
        <w:tabs>
          <w:tab w:val="right" w:pos="850"/>
          <w:tab w:val="left" w:pos="1134"/>
          <w:tab w:val="left" w:pos="1559"/>
          <w:tab w:val="left" w:pos="1984"/>
          <w:tab w:val="left" w:leader="dot" w:pos="8787"/>
          <w:tab w:val="right" w:pos="9638"/>
        </w:tabs>
        <w:spacing w:after="120"/>
      </w:pPr>
      <w:r w:rsidRPr="00DB5512">
        <w:tab/>
      </w:r>
      <w:r w:rsidRPr="00DB5512">
        <w:tab/>
        <w:t>C.</w:t>
      </w:r>
      <w:r w:rsidRPr="00DB5512">
        <w:tab/>
        <w:t>State obligations when declaring emergencies</w:t>
      </w:r>
      <w:r w:rsidRPr="00DB5512">
        <w:tab/>
      </w:r>
      <w:r w:rsidRPr="00DB5512">
        <w:tab/>
      </w:r>
      <w:r w:rsidR="00011B1E">
        <w:t>9</w:t>
      </w:r>
    </w:p>
    <w:p w14:paraId="4D48ED5C" w14:textId="184665A1" w:rsidR="00F84571" w:rsidRPr="00DB5512" w:rsidRDefault="00F84571" w:rsidP="00011B1E">
      <w:pPr>
        <w:tabs>
          <w:tab w:val="right" w:pos="850"/>
          <w:tab w:val="left" w:pos="1134"/>
          <w:tab w:val="left" w:pos="1559"/>
          <w:tab w:val="left" w:pos="1984"/>
          <w:tab w:val="left" w:leader="dot" w:pos="8787"/>
          <w:tab w:val="right" w:pos="9638"/>
        </w:tabs>
        <w:spacing w:after="120"/>
      </w:pPr>
      <w:r w:rsidRPr="00DB5512">
        <w:tab/>
      </w:r>
      <w:r w:rsidRPr="00DB5512">
        <w:tab/>
        <w:t>D.</w:t>
      </w:r>
      <w:r w:rsidRPr="00DB5512">
        <w:tab/>
        <w:t xml:space="preserve">Hidden, </w:t>
      </w:r>
      <w:r w:rsidRPr="005456E5">
        <w:rPr>
          <w:iCs/>
        </w:rPr>
        <w:t>de facto</w:t>
      </w:r>
      <w:r w:rsidRPr="00DB5512">
        <w:rPr>
          <w:i/>
        </w:rPr>
        <w:t xml:space="preserve"> </w:t>
      </w:r>
      <w:r w:rsidRPr="00DB5512">
        <w:t>and complex emergencies</w:t>
      </w:r>
      <w:r w:rsidRPr="00DB5512">
        <w:tab/>
      </w:r>
      <w:r w:rsidRPr="00DB5512">
        <w:tab/>
      </w:r>
      <w:r w:rsidR="00011B1E">
        <w:t>9</w:t>
      </w:r>
    </w:p>
    <w:p w14:paraId="01C6C7F4" w14:textId="5FB58590" w:rsidR="00F84571" w:rsidRPr="00DB5512" w:rsidRDefault="00F84571" w:rsidP="00011B1E">
      <w:pPr>
        <w:tabs>
          <w:tab w:val="right" w:pos="850"/>
          <w:tab w:val="left" w:pos="1134"/>
          <w:tab w:val="left" w:pos="1559"/>
          <w:tab w:val="left" w:pos="1984"/>
          <w:tab w:val="left" w:leader="dot" w:pos="8787"/>
          <w:tab w:val="right" w:pos="9638"/>
        </w:tabs>
        <w:spacing w:after="120"/>
      </w:pPr>
      <w:r w:rsidRPr="00DB5512">
        <w:tab/>
        <w:t>III.</w:t>
      </w:r>
      <w:r w:rsidRPr="00DB5512">
        <w:tab/>
        <w:t>Human rights protection measures that must be taken in states of emergency</w:t>
      </w:r>
      <w:r w:rsidRPr="00DB5512">
        <w:tab/>
      </w:r>
      <w:r w:rsidRPr="00DB5512">
        <w:tab/>
      </w:r>
      <w:r w:rsidR="00074C3D">
        <w:t>1</w:t>
      </w:r>
      <w:r w:rsidR="00011B1E">
        <w:t>1</w:t>
      </w:r>
    </w:p>
    <w:p w14:paraId="41F193D6" w14:textId="51D1C85E" w:rsidR="00F84571" w:rsidRPr="00DB5512" w:rsidRDefault="00F84571" w:rsidP="00011B1E">
      <w:pPr>
        <w:tabs>
          <w:tab w:val="right" w:pos="850"/>
          <w:tab w:val="left" w:pos="1134"/>
          <w:tab w:val="left" w:pos="1559"/>
          <w:tab w:val="left" w:pos="1984"/>
          <w:tab w:val="left" w:leader="dot" w:pos="8787"/>
          <w:tab w:val="right" w:pos="9638"/>
        </w:tabs>
        <w:spacing w:after="120"/>
      </w:pPr>
      <w:r w:rsidRPr="00DB5512">
        <w:tab/>
      </w:r>
      <w:r w:rsidRPr="00DB5512">
        <w:tab/>
        <w:t>A.</w:t>
      </w:r>
      <w:r w:rsidRPr="00DB5512">
        <w:tab/>
        <w:t>Which rights cannot be limited or suspended?</w:t>
      </w:r>
      <w:r w:rsidRPr="00DB5512">
        <w:tab/>
      </w:r>
      <w:r w:rsidRPr="00DB5512">
        <w:tab/>
      </w:r>
      <w:r w:rsidR="00074C3D">
        <w:t>1</w:t>
      </w:r>
      <w:r w:rsidR="00011B1E">
        <w:t>1</w:t>
      </w:r>
    </w:p>
    <w:p w14:paraId="6BC15B6C" w14:textId="78009CEE" w:rsidR="00F84571" w:rsidRPr="00DB5512" w:rsidRDefault="00F84571" w:rsidP="00011B1E">
      <w:pPr>
        <w:tabs>
          <w:tab w:val="right" w:pos="850"/>
          <w:tab w:val="left" w:pos="1134"/>
          <w:tab w:val="left" w:pos="1559"/>
          <w:tab w:val="left" w:pos="1984"/>
          <w:tab w:val="left" w:leader="dot" w:pos="8787"/>
          <w:tab w:val="right" w:pos="9638"/>
        </w:tabs>
        <w:spacing w:after="120"/>
      </w:pPr>
      <w:r w:rsidRPr="00DB5512">
        <w:tab/>
      </w:r>
      <w:r w:rsidRPr="00DB5512">
        <w:tab/>
        <w:t>B.</w:t>
      </w:r>
      <w:r w:rsidRPr="00DB5512">
        <w:tab/>
      </w:r>
      <w:r w:rsidR="00783D6A">
        <w:t>Balance, necessity and proportionality in limiting rights while countering terrorism</w:t>
      </w:r>
      <w:r w:rsidRPr="00DB5512">
        <w:tab/>
      </w:r>
      <w:r w:rsidRPr="00DB5512">
        <w:tab/>
      </w:r>
      <w:r w:rsidR="00074C3D">
        <w:t>1</w:t>
      </w:r>
      <w:r w:rsidR="00011B1E">
        <w:t>2</w:t>
      </w:r>
    </w:p>
    <w:p w14:paraId="73DD378A" w14:textId="4A914E0C" w:rsidR="00F84571" w:rsidRPr="00DB5512" w:rsidRDefault="00F84571" w:rsidP="00011B1E">
      <w:pPr>
        <w:tabs>
          <w:tab w:val="right" w:pos="850"/>
          <w:tab w:val="left" w:pos="1134"/>
          <w:tab w:val="left" w:pos="1559"/>
          <w:tab w:val="left" w:pos="1984"/>
          <w:tab w:val="left" w:leader="dot" w:pos="8787"/>
          <w:tab w:val="right" w:pos="9638"/>
        </w:tabs>
        <w:spacing w:after="120"/>
      </w:pPr>
      <w:r w:rsidRPr="00DB5512">
        <w:tab/>
      </w:r>
      <w:r w:rsidRPr="00DB5512">
        <w:tab/>
        <w:t>C.</w:t>
      </w:r>
      <w:r w:rsidRPr="00DB5512">
        <w:tab/>
        <w:t>Domestic and international oversight of emergency powers</w:t>
      </w:r>
      <w:r w:rsidRPr="00DB5512">
        <w:tab/>
      </w:r>
      <w:r w:rsidRPr="00DB5512">
        <w:tab/>
      </w:r>
      <w:r w:rsidR="00074C3D">
        <w:t>1</w:t>
      </w:r>
      <w:r w:rsidR="00011B1E">
        <w:t>3</w:t>
      </w:r>
    </w:p>
    <w:p w14:paraId="08A8AC56" w14:textId="45495CCE" w:rsidR="00F84571" w:rsidRPr="00DB5512" w:rsidRDefault="00F84571" w:rsidP="00F84571">
      <w:pPr>
        <w:tabs>
          <w:tab w:val="right" w:pos="850"/>
          <w:tab w:val="left" w:pos="1134"/>
          <w:tab w:val="left" w:pos="1559"/>
          <w:tab w:val="left" w:pos="1984"/>
          <w:tab w:val="left" w:leader="dot" w:pos="8787"/>
          <w:tab w:val="right" w:pos="9638"/>
        </w:tabs>
        <w:spacing w:after="120"/>
      </w:pPr>
      <w:r w:rsidRPr="00DB5512">
        <w:tab/>
        <w:t>IV.</w:t>
      </w:r>
      <w:r w:rsidRPr="00DB5512">
        <w:tab/>
        <w:t>Ending emergencies</w:t>
      </w:r>
      <w:r w:rsidRPr="00DB5512">
        <w:tab/>
      </w:r>
      <w:r w:rsidRPr="00DB5512">
        <w:tab/>
      </w:r>
      <w:r w:rsidR="00074C3D">
        <w:t>14</w:t>
      </w:r>
    </w:p>
    <w:p w14:paraId="49E814D1" w14:textId="436BF84D" w:rsidR="00F84571" w:rsidRPr="00DB5512" w:rsidRDefault="00F84571" w:rsidP="00011B1E">
      <w:pPr>
        <w:tabs>
          <w:tab w:val="right" w:pos="850"/>
          <w:tab w:val="left" w:pos="1134"/>
          <w:tab w:val="left" w:pos="1559"/>
          <w:tab w:val="left" w:pos="1984"/>
          <w:tab w:val="left" w:leader="dot" w:pos="8787"/>
          <w:tab w:val="right" w:pos="9638"/>
        </w:tabs>
        <w:spacing w:after="120"/>
      </w:pPr>
      <w:r w:rsidRPr="00DB5512">
        <w:tab/>
        <w:t>V.</w:t>
      </w:r>
      <w:r w:rsidRPr="00DB5512">
        <w:tab/>
      </w:r>
      <w:r w:rsidR="00783D6A" w:rsidRPr="00783D6A">
        <w:t>Prohibition of permanent and complex emergency powers</w:t>
      </w:r>
      <w:r w:rsidRPr="00DB5512">
        <w:tab/>
      </w:r>
      <w:r w:rsidRPr="00DB5512">
        <w:tab/>
      </w:r>
      <w:r w:rsidR="00074C3D">
        <w:t>1</w:t>
      </w:r>
      <w:r w:rsidR="00011B1E">
        <w:t>4</w:t>
      </w:r>
    </w:p>
    <w:p w14:paraId="67736AE4" w14:textId="6A6B2474" w:rsidR="00F84571" w:rsidRPr="00DB5512" w:rsidRDefault="00F84571">
      <w:pPr>
        <w:tabs>
          <w:tab w:val="right" w:pos="850"/>
          <w:tab w:val="left" w:pos="1134"/>
          <w:tab w:val="left" w:pos="1559"/>
          <w:tab w:val="left" w:pos="1984"/>
          <w:tab w:val="left" w:leader="dot" w:pos="8787"/>
          <w:tab w:val="right" w:pos="9638"/>
        </w:tabs>
        <w:spacing w:after="120"/>
      </w:pPr>
      <w:r w:rsidRPr="00DB5512">
        <w:tab/>
        <w:t>VI.</w:t>
      </w:r>
      <w:r w:rsidRPr="00DB5512">
        <w:tab/>
        <w:t xml:space="preserve">Post-9/11 </w:t>
      </w:r>
      <w:r w:rsidR="00B40CBA">
        <w:t>p</w:t>
      </w:r>
      <w:r w:rsidRPr="00DB5512">
        <w:t>ractices</w:t>
      </w:r>
      <w:r w:rsidRPr="00DB5512">
        <w:tab/>
      </w:r>
      <w:r w:rsidRPr="00DB5512">
        <w:tab/>
      </w:r>
      <w:r w:rsidR="00074C3D">
        <w:t>16</w:t>
      </w:r>
    </w:p>
    <w:p w14:paraId="51D8AC48" w14:textId="61E78740" w:rsidR="00F84571" w:rsidRPr="00DB5512" w:rsidRDefault="00F84571" w:rsidP="00F84571">
      <w:pPr>
        <w:tabs>
          <w:tab w:val="right" w:pos="850"/>
          <w:tab w:val="left" w:pos="1134"/>
          <w:tab w:val="left" w:pos="1559"/>
          <w:tab w:val="left" w:pos="1984"/>
          <w:tab w:val="left" w:leader="dot" w:pos="8787"/>
          <w:tab w:val="right" w:pos="9638"/>
        </w:tabs>
        <w:spacing w:after="120"/>
      </w:pPr>
      <w:r w:rsidRPr="00DB5512">
        <w:tab/>
      </w:r>
      <w:r w:rsidRPr="00DB5512">
        <w:tab/>
        <w:t>A.</w:t>
      </w:r>
      <w:r w:rsidRPr="00DB5512">
        <w:tab/>
        <w:t>Declarations of war and states of emergency</w:t>
      </w:r>
      <w:r w:rsidRPr="00DB5512">
        <w:tab/>
      </w:r>
      <w:r w:rsidRPr="00DB5512">
        <w:tab/>
      </w:r>
      <w:r w:rsidR="00074C3D">
        <w:t>16</w:t>
      </w:r>
    </w:p>
    <w:p w14:paraId="00561EE0" w14:textId="0A3C7CFE" w:rsidR="00F84571" w:rsidRPr="00DB5512" w:rsidRDefault="00F84571" w:rsidP="00F84571">
      <w:pPr>
        <w:tabs>
          <w:tab w:val="right" w:pos="850"/>
          <w:tab w:val="left" w:pos="1134"/>
          <w:tab w:val="left" w:pos="1559"/>
          <w:tab w:val="left" w:pos="1984"/>
          <w:tab w:val="left" w:leader="dot" w:pos="8787"/>
          <w:tab w:val="right" w:pos="9638"/>
        </w:tabs>
        <w:spacing w:after="120"/>
      </w:pPr>
      <w:r w:rsidRPr="00DB5512">
        <w:tab/>
      </w:r>
      <w:r w:rsidRPr="00DB5512">
        <w:tab/>
        <w:t>B.</w:t>
      </w:r>
      <w:r w:rsidRPr="00DB5512">
        <w:tab/>
        <w:t>Extra-territorial use of emergency powers</w:t>
      </w:r>
      <w:r w:rsidRPr="00DB5512">
        <w:tab/>
      </w:r>
      <w:r w:rsidRPr="00DB5512">
        <w:tab/>
      </w:r>
      <w:r w:rsidR="00074C3D">
        <w:t>17</w:t>
      </w:r>
    </w:p>
    <w:p w14:paraId="1333BABC" w14:textId="2B6278D1" w:rsidR="00F84571" w:rsidRPr="00DB5512" w:rsidRDefault="00F84571">
      <w:pPr>
        <w:tabs>
          <w:tab w:val="right" w:pos="850"/>
          <w:tab w:val="left" w:pos="1134"/>
          <w:tab w:val="left" w:pos="1559"/>
          <w:tab w:val="left" w:pos="1984"/>
          <w:tab w:val="left" w:leader="dot" w:pos="8787"/>
          <w:tab w:val="right" w:pos="9638"/>
        </w:tabs>
        <w:spacing w:after="120"/>
      </w:pPr>
      <w:r w:rsidRPr="00DB5512">
        <w:tab/>
        <w:t>VII.</w:t>
      </w:r>
      <w:r w:rsidRPr="00DB5512">
        <w:tab/>
        <w:t xml:space="preserve">Conclusions and </w:t>
      </w:r>
      <w:r w:rsidR="00B40CBA">
        <w:t>r</w:t>
      </w:r>
      <w:r w:rsidRPr="00DB5512">
        <w:t>ecommendations</w:t>
      </w:r>
      <w:r w:rsidRPr="00DB5512">
        <w:tab/>
      </w:r>
      <w:r w:rsidRPr="00DB5512">
        <w:tab/>
      </w:r>
      <w:r w:rsidR="00074C3D">
        <w:t>18</w:t>
      </w:r>
    </w:p>
    <w:p w14:paraId="428F6EEA" w14:textId="6D830FD9" w:rsidR="00F84571" w:rsidRPr="00DB5512" w:rsidRDefault="00F84571">
      <w:pPr>
        <w:pStyle w:val="HChG"/>
      </w:pPr>
      <w:r w:rsidRPr="00DB5512">
        <w:br w:type="page"/>
      </w:r>
      <w:r w:rsidRPr="00DB5512">
        <w:lastRenderedPageBreak/>
        <w:tab/>
        <w:t>I.</w:t>
      </w:r>
      <w:r w:rsidRPr="00DB5512">
        <w:tab/>
      </w:r>
      <w:r w:rsidR="00B40CBA">
        <w:t>C</w:t>
      </w:r>
      <w:r w:rsidRPr="00DB5512">
        <w:t>oncept and legal basis for emergency powers while countering terrorism</w:t>
      </w:r>
    </w:p>
    <w:p w14:paraId="139EDC8B" w14:textId="41FAFF28" w:rsidR="00F84571" w:rsidRPr="00DB5512" w:rsidRDefault="00F84571" w:rsidP="00B73283">
      <w:pPr>
        <w:pStyle w:val="SingleTxtG"/>
      </w:pPr>
      <w:r w:rsidRPr="00DB5512">
        <w:rPr>
          <w:rFonts w:eastAsia="Calibri"/>
        </w:rPr>
        <w:t>1.</w:t>
      </w:r>
      <w:r w:rsidRPr="00DB5512">
        <w:rPr>
          <w:rFonts w:ascii="Calibri" w:eastAsia="Calibri" w:hAnsi="Calibri" w:cs="Arial"/>
          <w:sz w:val="24"/>
          <w:szCs w:val="24"/>
          <w:lang w:eastAsia="en-US"/>
        </w:rPr>
        <w:tab/>
      </w:r>
      <w:r w:rsidRPr="000F002E">
        <w:t>Emergencies</w:t>
      </w:r>
      <w:r w:rsidRPr="00DB5512">
        <w:t xml:space="preserve"> are often unforeseen and unexpected phenomena which require immediate action. Emergencies can be political, social, economic and ecological in nature.</w:t>
      </w:r>
      <w:r w:rsidR="00840E68">
        <w:t xml:space="preserve"> </w:t>
      </w:r>
      <w:r w:rsidR="00527067">
        <w:t>W</w:t>
      </w:r>
      <w:r w:rsidRPr="00DB5512">
        <w:t xml:space="preserve">hile acknowledging that a range of different kinds of emergencies require governments to respond by law, the </w:t>
      </w:r>
      <w:r w:rsidR="00AF065A">
        <w:t>Special</w:t>
      </w:r>
      <w:r w:rsidRPr="00F02BAF">
        <w:t xml:space="preserve"> Rapporteur focuse</w:t>
      </w:r>
      <w:r w:rsidR="00527067">
        <w:t>s</w:t>
      </w:r>
      <w:r w:rsidRPr="00F02BAF">
        <w:t xml:space="preserve"> on the ways in which the protection of human rights must be ensured in situations whe</w:t>
      </w:r>
      <w:r w:rsidR="00530B3A">
        <w:t>re</w:t>
      </w:r>
      <w:r w:rsidRPr="00F02BAF">
        <w:t xml:space="preserve"> terrorism, violent</w:t>
      </w:r>
      <w:r w:rsidR="00530B3A">
        <w:t xml:space="preserve"> </w:t>
      </w:r>
      <w:r w:rsidRPr="00F02BAF">
        <w:t xml:space="preserve">extremism and counter-terrorism can create emergency conditions </w:t>
      </w:r>
      <w:r w:rsidR="00530B3A">
        <w:t xml:space="preserve">that </w:t>
      </w:r>
      <w:r w:rsidR="00471955" w:rsidRPr="00F02BAF">
        <w:t>re</w:t>
      </w:r>
      <w:r w:rsidR="00527067">
        <w:t>quire</w:t>
      </w:r>
      <w:r w:rsidRPr="00F02BAF">
        <w:t xml:space="preserve"> emergency response</w:t>
      </w:r>
      <w:r w:rsidR="00471955" w:rsidRPr="00F02BAF">
        <w:t>s</w:t>
      </w:r>
      <w:r w:rsidRPr="00F02BAF">
        <w:t xml:space="preserve"> by </w:t>
      </w:r>
      <w:r w:rsidR="00530B3A">
        <w:t>S</w:t>
      </w:r>
      <w:r w:rsidRPr="00F02BAF">
        <w:t>tates.</w:t>
      </w:r>
      <w:r w:rsidRPr="00DB5512">
        <w:t xml:space="preserve"> </w:t>
      </w:r>
      <w:r w:rsidR="00530B3A">
        <w:t>I</w:t>
      </w:r>
      <w:r w:rsidRPr="00F02BAF">
        <w:t xml:space="preserve">nternational law recognizes the permissibility of certain restrictions </w:t>
      </w:r>
      <w:r w:rsidR="00471955" w:rsidRPr="00F02BAF">
        <w:t>o</w:t>
      </w:r>
      <w:r w:rsidR="00530B3A">
        <w:t>n</w:t>
      </w:r>
      <w:r w:rsidR="00471955" w:rsidRPr="00F02BAF">
        <w:t xml:space="preserve"> </w:t>
      </w:r>
      <w:r w:rsidRPr="00F02BAF">
        <w:t>certain rights and freedoms during emergencies and enables governments to take measures that are necessary, proportionate and consistent with international law obligat</w:t>
      </w:r>
      <w:r w:rsidR="00471955" w:rsidRPr="00F02BAF">
        <w:t>i</w:t>
      </w:r>
      <w:r w:rsidRPr="00F02BAF">
        <w:t>ons.</w:t>
      </w:r>
    </w:p>
    <w:p w14:paraId="507F6DE7" w14:textId="2D29FA26" w:rsidR="00F84571" w:rsidRPr="00DB5512" w:rsidRDefault="00F84571" w:rsidP="0072253F">
      <w:pPr>
        <w:pStyle w:val="SingleTxtG"/>
      </w:pPr>
      <w:r w:rsidRPr="00DB5512">
        <w:rPr>
          <w:rFonts w:eastAsia="Calibri"/>
        </w:rPr>
        <w:t>2.</w:t>
      </w:r>
      <w:r w:rsidRPr="00DB5512">
        <w:rPr>
          <w:rFonts w:ascii="Calibri" w:eastAsia="Calibri" w:hAnsi="Calibri" w:cs="Arial"/>
          <w:sz w:val="24"/>
          <w:szCs w:val="24"/>
          <w:lang w:eastAsia="en-US"/>
        </w:rPr>
        <w:tab/>
      </w:r>
      <w:r w:rsidRPr="00DB5512">
        <w:t>Terrorism is an old and global phenomenon</w:t>
      </w:r>
      <w:r w:rsidR="00527067">
        <w:t>, with</w:t>
      </w:r>
      <w:r w:rsidRPr="00DB5512">
        <w:t xml:space="preserve"> a variety of manifestations and forms. Terrorism lacks </w:t>
      </w:r>
      <w:r w:rsidR="00530B3A">
        <w:t xml:space="preserve">a </w:t>
      </w:r>
      <w:r w:rsidRPr="00DB5512">
        <w:t>comprehensive and agreed treaty definition under international law</w:t>
      </w:r>
      <w:r w:rsidR="00E728D2">
        <w:t>.</w:t>
      </w:r>
      <w:r w:rsidRPr="00DB5512">
        <w:t xml:space="preserve"> </w:t>
      </w:r>
      <w:r w:rsidR="00E728D2">
        <w:t xml:space="preserve">However, </w:t>
      </w:r>
      <w:r w:rsidRPr="00DB5512">
        <w:t xml:space="preserve">substantial inroads have been made by consensus </w:t>
      </w:r>
      <w:r w:rsidR="00527067">
        <w:t>regarding</w:t>
      </w:r>
      <w:r w:rsidRPr="00DB5512">
        <w:t xml:space="preserve"> a range of acts and actors</w:t>
      </w:r>
      <w:r w:rsidR="00FD0ABF">
        <w:t xml:space="preserve"> </w:t>
      </w:r>
      <w:r w:rsidR="00527067">
        <w:t xml:space="preserve">that </w:t>
      </w:r>
      <w:r w:rsidR="00E728D2">
        <w:t>seek</w:t>
      </w:r>
      <w:r w:rsidR="00FD0ABF">
        <w:t xml:space="preserve"> to provoke fear within </w:t>
      </w:r>
      <w:r w:rsidR="00527067">
        <w:t>a</w:t>
      </w:r>
      <w:r w:rsidR="00FD0ABF">
        <w:t xml:space="preserve"> population and </w:t>
      </w:r>
      <w:r w:rsidR="00527067">
        <w:t xml:space="preserve">which </w:t>
      </w:r>
      <w:r w:rsidR="00FD0ABF">
        <w:t>are</w:t>
      </w:r>
      <w:r w:rsidRPr="00DB5512">
        <w:t xml:space="preserve"> prohibited by </w:t>
      </w:r>
      <w:r w:rsidR="00530B3A">
        <w:t>S</w:t>
      </w:r>
      <w:r w:rsidRPr="00DB5512">
        <w:t xml:space="preserve">tates and subject to sanction. </w:t>
      </w:r>
      <w:r w:rsidRPr="00F02BAF">
        <w:t xml:space="preserve">Since 1963, the international community has </w:t>
      </w:r>
      <w:r w:rsidR="00530B3A">
        <w:t>developed</w:t>
      </w:r>
      <w:r w:rsidRPr="00F02BAF">
        <w:t xml:space="preserve"> 19 international legal instruments to prevent terrorist acts</w:t>
      </w:r>
      <w:r w:rsidRPr="00DB5512">
        <w:t>.</w:t>
      </w:r>
      <w:r w:rsidRPr="00DB5512">
        <w:rPr>
          <w:rStyle w:val="FootnoteReference"/>
          <w:rFonts w:eastAsiaTheme="majorEastAsia"/>
        </w:rPr>
        <w:footnoteReference w:id="2"/>
      </w:r>
      <w:r w:rsidRPr="00DB5512">
        <w:t xml:space="preserve"> International law affirms </w:t>
      </w:r>
      <w:r w:rsidR="0072253F">
        <w:t>the</w:t>
      </w:r>
      <w:r w:rsidR="002137B1">
        <w:t xml:space="preserve"> </w:t>
      </w:r>
      <w:r w:rsidRPr="00DB5512">
        <w:t>general duty of States to protect individuals under their jurisdiction against interference in the enjoyment of human rights</w:t>
      </w:r>
      <w:r w:rsidR="00530B3A">
        <w:t>,</w:t>
      </w:r>
      <w:r w:rsidRPr="00DB5512">
        <w:t xml:space="preserve"> including en</w:t>
      </w:r>
      <w:r w:rsidR="008D6A54">
        <w:t xml:space="preserve">abling </w:t>
      </w:r>
      <w:r w:rsidRPr="00DB5512">
        <w:t>their security</w:t>
      </w:r>
      <w:r w:rsidR="00530B3A">
        <w:t>, which is itself</w:t>
      </w:r>
      <w:r w:rsidRPr="00DB5512">
        <w:t xml:space="preserve"> broadly defined. More specifically, this duty is recognized as part of States’ obligations to ensure respect for the right to life</w:t>
      </w:r>
      <w:r w:rsidR="00530B3A">
        <w:rPr>
          <w:rStyle w:val="FootnoteReference"/>
        </w:rPr>
        <w:footnoteReference w:id="3"/>
      </w:r>
      <w:r w:rsidRPr="00DB5512">
        <w:t xml:space="preserve"> and the right to security of person.</w:t>
      </w:r>
      <w:r w:rsidR="0079665E">
        <w:rPr>
          <w:rStyle w:val="FootnoteReference"/>
        </w:rPr>
        <w:footnoteReference w:id="4"/>
      </w:r>
    </w:p>
    <w:p w14:paraId="43A8139B" w14:textId="3FFE3EE5" w:rsidR="00F84571" w:rsidRPr="00DB5512" w:rsidRDefault="00F84571">
      <w:pPr>
        <w:pStyle w:val="SingleTxtG"/>
      </w:pPr>
      <w:r w:rsidRPr="00DB5512">
        <w:t>3.</w:t>
      </w:r>
      <w:r w:rsidRPr="00DB5512">
        <w:tab/>
      </w:r>
      <w:r w:rsidRPr="00527067">
        <w:t>It is generally recognized</w:t>
      </w:r>
      <w:r w:rsidRPr="00DB5512">
        <w:t xml:space="preserve"> that some terrorist acts and the actions of terrorist organizations can create necessary </w:t>
      </w:r>
      <w:r w:rsidR="0079665E">
        <w:t xml:space="preserve">and sufficient </w:t>
      </w:r>
      <w:r w:rsidRPr="00DB5512">
        <w:t>conditions</w:t>
      </w:r>
      <w:r w:rsidR="0079665E">
        <w:t xml:space="preserve"> </w:t>
      </w:r>
      <w:r w:rsidRPr="00DB5512">
        <w:t>to activate the threshold of emergency under both national and international law</w:t>
      </w:r>
      <w:r w:rsidR="0079665E">
        <w:t>,</w:t>
      </w:r>
      <w:r w:rsidRPr="00DB5512">
        <w:t xml:space="preserve"> subject to the requirements of legality, proportionality and non-discrimination. Random acts of terrorism</w:t>
      </w:r>
      <w:r w:rsidR="00EC7D07">
        <w:t>,</w:t>
      </w:r>
      <w:r w:rsidRPr="00DB5512">
        <w:t xml:space="preserve"> while egregious and harm producing</w:t>
      </w:r>
      <w:r w:rsidR="00EC7D07">
        <w:t>,</w:t>
      </w:r>
      <w:r w:rsidRPr="00DB5512">
        <w:t xml:space="preserve"> may not reach the necessary thresholds or pose the scale of threat sufficient to activate emergency powers under national and international law. </w:t>
      </w:r>
      <w:r w:rsidR="00E728D2">
        <w:t xml:space="preserve">The </w:t>
      </w:r>
      <w:r w:rsidR="00AF065A">
        <w:t>Special</w:t>
      </w:r>
      <w:r w:rsidRPr="00DB5512">
        <w:t xml:space="preserve"> Rapporteur maintains the view, consistent with the practice and jurisprudence of regional human rights courts, that each country must individually demonstrate that it experiences the level and scope of threat to necessitate the use of emergency powers.</w:t>
      </w:r>
      <w:r w:rsidR="00840E68">
        <w:t xml:space="preserve"> </w:t>
      </w:r>
      <w:r w:rsidRPr="00DB5512">
        <w:t xml:space="preserve">There is no generic authorization for global emergencies, and such a process would significantly impinge on </w:t>
      </w:r>
      <w:r w:rsidR="00EC7D07">
        <w:t>S</w:t>
      </w:r>
      <w:r w:rsidR="00E728D2">
        <w:t>tate sovereignty</w:t>
      </w:r>
      <w:r w:rsidRPr="00DB5512">
        <w:t>.</w:t>
      </w:r>
      <w:r w:rsidR="00840E68">
        <w:t xml:space="preserve"> </w:t>
      </w:r>
      <w:r w:rsidR="00EC7D07">
        <w:t>M</w:t>
      </w:r>
      <w:r w:rsidRPr="00DB5512">
        <w:t xml:space="preserve">any </w:t>
      </w:r>
      <w:r w:rsidR="00EC7D07">
        <w:t>S</w:t>
      </w:r>
      <w:r w:rsidRPr="00DB5512">
        <w:t>tates have robust, effective and highly functional legal systems that are capable and designed to withstand a range of challenges, including those posed by violent, politically motivated offenders.</w:t>
      </w:r>
      <w:r w:rsidR="00840E68">
        <w:t xml:space="preserve"> </w:t>
      </w:r>
      <w:r w:rsidRPr="00DB5512">
        <w:t>Thus, terrorism may trigger the conditions of emergency</w:t>
      </w:r>
      <w:r w:rsidR="00EC7D07">
        <w:t>,</w:t>
      </w:r>
      <w:r w:rsidRPr="00DB5512">
        <w:t xml:space="preserve"> but that does not </w:t>
      </w:r>
      <w:r w:rsidR="00EC7D07">
        <w:t xml:space="preserve">mean </w:t>
      </w:r>
      <w:r w:rsidRPr="008D6A54">
        <w:rPr>
          <w:iCs/>
        </w:rPr>
        <w:t>per se</w:t>
      </w:r>
      <w:r w:rsidRPr="00DB5512">
        <w:t xml:space="preserve"> that </w:t>
      </w:r>
      <w:r w:rsidR="00EC7D07">
        <w:t>S</w:t>
      </w:r>
      <w:r w:rsidRPr="00DB5512">
        <w:t>tates must use emergency power</w:t>
      </w:r>
      <w:r w:rsidR="00EC7D07">
        <w:t>s</w:t>
      </w:r>
      <w:r w:rsidRPr="00DB5512">
        <w:t xml:space="preserve"> to regulate terrorism, </w:t>
      </w:r>
      <w:r w:rsidR="00EC7D07">
        <w:t>e</w:t>
      </w:r>
      <w:r w:rsidRPr="00DB5512">
        <w:t xml:space="preserve">specially when the ordinary law of </w:t>
      </w:r>
      <w:r w:rsidR="00EC7D07">
        <w:t xml:space="preserve">the </w:t>
      </w:r>
      <w:r w:rsidR="00485E08">
        <w:t>S</w:t>
      </w:r>
      <w:r w:rsidR="00884647">
        <w:t>tate is sufficient and robust.</w:t>
      </w:r>
    </w:p>
    <w:p w14:paraId="2204EF3C" w14:textId="28901132" w:rsidR="00F84571" w:rsidRPr="00DB5512" w:rsidRDefault="00F84571" w:rsidP="00A05C81">
      <w:pPr>
        <w:pStyle w:val="SingleTxtG"/>
      </w:pPr>
      <w:r w:rsidRPr="00DB5512">
        <w:t>4.</w:t>
      </w:r>
      <w:r w:rsidRPr="00DB5512">
        <w:tab/>
      </w:r>
      <w:r w:rsidR="009659D6" w:rsidRPr="00DB5512">
        <w:t>Th</w:t>
      </w:r>
      <w:r w:rsidR="00EC7D07">
        <w:t>e present r</w:t>
      </w:r>
      <w:r w:rsidR="009659D6" w:rsidRPr="00DB5512">
        <w:t>eport is concerned</w:t>
      </w:r>
      <w:r w:rsidR="00961B00">
        <w:t xml:space="preserve"> </w:t>
      </w:r>
      <w:r w:rsidRPr="00DB5512">
        <w:t>that counter-terrorism regulation may function as a consolidating form of emergency practice.</w:t>
      </w:r>
      <w:r w:rsidR="00840E68">
        <w:t xml:space="preserve"> </w:t>
      </w:r>
      <w:r w:rsidRPr="00DB5512">
        <w:t>Not all counter-terrorism legislation and administrative practice constitute emergency regulation.</w:t>
      </w:r>
      <w:r w:rsidR="00840E68">
        <w:t xml:space="preserve"> </w:t>
      </w:r>
      <w:r w:rsidRPr="00DB5512">
        <w:t>For example, when counter-terrorism norms regulate hitherto unregulated areas</w:t>
      </w:r>
      <w:r w:rsidR="00A05C81">
        <w:t xml:space="preserve"> —</w:t>
      </w:r>
      <w:r w:rsidRPr="00DB5512">
        <w:t xml:space="preserve"> such as terrorist financing post 9/11</w:t>
      </w:r>
      <w:r w:rsidR="00A05C81">
        <w:t xml:space="preserve"> —</w:t>
      </w:r>
      <w:r w:rsidR="00EC7D07">
        <w:t>,</w:t>
      </w:r>
      <w:r w:rsidRPr="00DB5512">
        <w:t xml:space="preserve"> there is no specific emergency effect </w:t>
      </w:r>
      <w:r w:rsidR="009659D6" w:rsidRPr="00DB5512">
        <w:t xml:space="preserve">necessarily </w:t>
      </w:r>
      <w:r w:rsidRPr="00DB5512">
        <w:t xml:space="preserve">implicated. </w:t>
      </w:r>
      <w:r w:rsidR="009659D6" w:rsidRPr="00DB5512">
        <w:t>Here</w:t>
      </w:r>
      <w:r w:rsidR="00EC7D07">
        <w:t>,</w:t>
      </w:r>
      <w:r w:rsidR="009659D6" w:rsidRPr="00DB5512">
        <w:t xml:space="preserve"> </w:t>
      </w:r>
      <w:r w:rsidRPr="00DB5512">
        <w:t>counter-terrorism laws are merely a particular species of ordinary law.</w:t>
      </w:r>
      <w:r w:rsidR="00840E68">
        <w:t xml:space="preserve"> </w:t>
      </w:r>
      <w:r w:rsidRPr="00DB5512">
        <w:t>However, where counter-terrorism laws directly and substantially impinge on the full and equal enjoyment of human rights</w:t>
      </w:r>
      <w:r w:rsidR="005C2194" w:rsidRPr="00DB5512">
        <w:t>,</w:t>
      </w:r>
      <w:r w:rsidRPr="00DB5512">
        <w:t xml:space="preserve"> premised on the experience or threat of terrorist acts or actors, then both restrictions on rights and emergency law </w:t>
      </w:r>
      <w:r w:rsidR="005C2194" w:rsidRPr="00DB5512">
        <w:t xml:space="preserve">are </w:t>
      </w:r>
      <w:r w:rsidRPr="00DB5512">
        <w:t>implicated.</w:t>
      </w:r>
      <w:r w:rsidR="00840E68">
        <w:t xml:space="preserve"> </w:t>
      </w:r>
      <w:r w:rsidRPr="00DB5512">
        <w:t>In th</w:t>
      </w:r>
      <w:r w:rsidR="00A05C81">
        <w:t>at</w:t>
      </w:r>
      <w:r w:rsidRPr="00DB5512">
        <w:t xml:space="preserve"> context, counter-terrorism law and practice should be understood as a particular sub-species of emergency regulation and subject to heightened oversight.</w:t>
      </w:r>
    </w:p>
    <w:p w14:paraId="325AA70A" w14:textId="599BBB03" w:rsidR="00F84571" w:rsidRPr="00DB5512" w:rsidRDefault="009659D6" w:rsidP="00A05C81">
      <w:pPr>
        <w:pStyle w:val="SingleTxtG"/>
      </w:pPr>
      <w:r w:rsidRPr="00DB5512">
        <w:t>5</w:t>
      </w:r>
      <w:r w:rsidR="00884647">
        <w:t>.</w:t>
      </w:r>
      <w:r w:rsidR="00F84571" w:rsidRPr="00DB5512">
        <w:tab/>
      </w:r>
      <w:r w:rsidR="002816F7">
        <w:t>Recognizing</w:t>
      </w:r>
      <w:r w:rsidR="00F84571" w:rsidRPr="00DB5512">
        <w:t xml:space="preserve"> that terrorist acts and the actions of terrorist organizations can activate the threshold of emergency under both national and international law</w:t>
      </w:r>
      <w:r w:rsidR="0087638F">
        <w:t xml:space="preserve"> does not mean </w:t>
      </w:r>
      <w:r w:rsidR="00A05C81">
        <w:t xml:space="preserve">that </w:t>
      </w:r>
      <w:r w:rsidR="0087638F">
        <w:t xml:space="preserve">the responses of </w:t>
      </w:r>
      <w:r w:rsidR="00A05C81">
        <w:t>S</w:t>
      </w:r>
      <w:r w:rsidR="0087638F">
        <w:t>tates are unconstrained</w:t>
      </w:r>
      <w:r w:rsidR="00F84571" w:rsidRPr="00DB5512">
        <w:t>. Relevant United Nations</w:t>
      </w:r>
      <w:r w:rsidR="00E728D2">
        <w:t xml:space="preserve"> </w:t>
      </w:r>
      <w:r w:rsidR="00F84571" w:rsidRPr="00DB5512">
        <w:t>resolutions</w:t>
      </w:r>
      <w:r w:rsidR="0087638F">
        <w:t xml:space="preserve"> </w:t>
      </w:r>
      <w:r w:rsidR="00F84571" w:rsidRPr="00DB5512">
        <w:t>require that States ensure that any measure</w:t>
      </w:r>
      <w:r w:rsidR="00936788">
        <w:t xml:space="preserve"> —</w:t>
      </w:r>
      <w:r w:rsidR="00F84571" w:rsidRPr="00DB5512">
        <w:t xml:space="preserve"> including activation of </w:t>
      </w:r>
      <w:r w:rsidR="00A05C81">
        <w:t xml:space="preserve">an </w:t>
      </w:r>
      <w:r w:rsidR="00F84571" w:rsidRPr="00DB5512">
        <w:t>emergency</w:t>
      </w:r>
      <w:r w:rsidR="00936788">
        <w:t xml:space="preserve"> —</w:t>
      </w:r>
      <w:r w:rsidR="00F84571" w:rsidRPr="00DB5512">
        <w:t xml:space="preserve"> taken to combat terrorism and violent extremism, including incitement of and support for terrorist acts, </w:t>
      </w:r>
      <w:r w:rsidR="00F84571" w:rsidRPr="00DB5512">
        <w:lastRenderedPageBreak/>
        <w:t>comply with all of their obligations under international law, in particular international human rights law, refugee law and humanitarian law.</w:t>
      </w:r>
      <w:r w:rsidR="00F84571" w:rsidRPr="00DB5512">
        <w:rPr>
          <w:rStyle w:val="FootnoteReference"/>
          <w:rFonts w:eastAsiaTheme="majorEastAsia"/>
        </w:rPr>
        <w:footnoteReference w:id="5"/>
      </w:r>
    </w:p>
    <w:p w14:paraId="5AC70718" w14:textId="466238DB" w:rsidR="00F84571" w:rsidRPr="00DB5512" w:rsidRDefault="009659D6">
      <w:pPr>
        <w:pStyle w:val="SingleTxtG"/>
      </w:pPr>
      <w:r w:rsidRPr="00DB5512">
        <w:t>6</w:t>
      </w:r>
      <w:r w:rsidR="00F84571" w:rsidRPr="00DB5512">
        <w:rPr>
          <w:rFonts w:eastAsia="Calibri"/>
        </w:rPr>
        <w:t>.</w:t>
      </w:r>
      <w:r w:rsidR="00F84571" w:rsidRPr="00DB5512">
        <w:rPr>
          <w:rFonts w:ascii="Calibri" w:eastAsia="Calibri" w:hAnsi="Calibri" w:cs="Arial"/>
          <w:sz w:val="24"/>
          <w:szCs w:val="24"/>
          <w:lang w:eastAsia="en-US"/>
        </w:rPr>
        <w:tab/>
      </w:r>
      <w:r w:rsidR="00E728D2">
        <w:t>The S</w:t>
      </w:r>
      <w:r w:rsidR="00AF065A">
        <w:t>pecial</w:t>
      </w:r>
      <w:r w:rsidR="00F84571" w:rsidRPr="00DB5512">
        <w:t xml:space="preserve"> Rapporteur affirms that</w:t>
      </w:r>
      <w:r w:rsidR="00936788">
        <w:t>,</w:t>
      </w:r>
      <w:r w:rsidR="00F84571" w:rsidRPr="00DB5512">
        <w:t xml:space="preserve"> in many contexts</w:t>
      </w:r>
      <w:r w:rsidR="00936788">
        <w:t>,</w:t>
      </w:r>
      <w:r w:rsidR="00F84571" w:rsidRPr="00DB5512">
        <w:t xml:space="preserve"> States w</w:t>
      </w:r>
      <w:r w:rsidR="00936788">
        <w:t>ould</w:t>
      </w:r>
      <w:r w:rsidR="00F84571" w:rsidRPr="00DB5512">
        <w:t xml:space="preserve"> be better served by regulating terrorism using ordinary law rather than resort</w:t>
      </w:r>
      <w:r w:rsidRPr="00DB5512">
        <w:t>ing</w:t>
      </w:r>
      <w:r w:rsidR="00F84571" w:rsidRPr="00DB5512">
        <w:t xml:space="preserve"> to exceptional regulation. </w:t>
      </w:r>
      <w:r w:rsidR="00936788">
        <w:t>I</w:t>
      </w:r>
      <w:r w:rsidR="00F84571" w:rsidRPr="00DB5512">
        <w:t>nternational law requires States to use ordinary law i</w:t>
      </w:r>
      <w:r w:rsidRPr="00DB5512">
        <w:t>f</w:t>
      </w:r>
      <w:r w:rsidR="00F84571" w:rsidRPr="00DB5512">
        <w:t xml:space="preserve"> emergency measures are not strictly necessary.</w:t>
      </w:r>
      <w:r w:rsidR="00840E68">
        <w:t xml:space="preserve"> </w:t>
      </w:r>
      <w:r w:rsidR="00F84571" w:rsidRPr="00DB5512">
        <w:t xml:space="preserve">Overreaction by governments can ratchet up the levels of violence and confrontation as well as undermine the broader fight against terrorism and inadvertently bolster the conditions conducive to terrorism. States must precisely calibrate the ways in which they use the law and limit the impingement upon human rights when countering terrorism. </w:t>
      </w:r>
      <w:r w:rsidR="002A147E">
        <w:t xml:space="preserve">States </w:t>
      </w:r>
      <w:r w:rsidR="00936788">
        <w:t>would be</w:t>
      </w:r>
      <w:r w:rsidR="00F84571" w:rsidRPr="00DB5512">
        <w:t xml:space="preserve"> well-served </w:t>
      </w:r>
      <w:r w:rsidR="006B3671">
        <w:t>to</w:t>
      </w:r>
      <w:r w:rsidR="00F84571" w:rsidRPr="00DB5512">
        <w:t xml:space="preserve"> understand that when emergency powers are misused, overused and misapplied</w:t>
      </w:r>
      <w:r w:rsidR="006B3671">
        <w:t>,</w:t>
      </w:r>
      <w:r w:rsidR="00F84571" w:rsidRPr="00DB5512">
        <w:t xml:space="preserve"> the consequences for the rule of law, accountability and transparency are devastating.</w:t>
      </w:r>
      <w:r w:rsidR="00F84571" w:rsidRPr="00DB5512">
        <w:rPr>
          <w:rStyle w:val="FootnoteReference"/>
          <w:rFonts w:eastAsiaTheme="majorEastAsia"/>
        </w:rPr>
        <w:footnoteReference w:id="6"/>
      </w:r>
      <w:r w:rsidR="00F84571" w:rsidRPr="00DB5512">
        <w:t xml:space="preserve"> </w:t>
      </w:r>
    </w:p>
    <w:p w14:paraId="2068031B" w14:textId="0D78AB32" w:rsidR="00F84571" w:rsidRPr="00DB5512" w:rsidRDefault="00F84571">
      <w:pPr>
        <w:pStyle w:val="H1G"/>
      </w:pPr>
      <w:r w:rsidRPr="00DB5512">
        <w:tab/>
        <w:t>A.</w:t>
      </w:r>
      <w:r w:rsidRPr="00DB5512">
        <w:tab/>
        <w:t xml:space="preserve">International </w:t>
      </w:r>
      <w:r w:rsidR="0036555A">
        <w:t>l</w:t>
      </w:r>
      <w:r w:rsidRPr="00DB5512">
        <w:t>aw</w:t>
      </w:r>
    </w:p>
    <w:p w14:paraId="514BDF0D" w14:textId="0265147F" w:rsidR="00F84571" w:rsidRPr="00DB5512" w:rsidRDefault="009659D6">
      <w:pPr>
        <w:pStyle w:val="SingleTxtG"/>
      </w:pPr>
      <w:r w:rsidRPr="00DB5512">
        <w:rPr>
          <w:rFonts w:eastAsia="Calibri"/>
        </w:rPr>
        <w:t>7</w:t>
      </w:r>
      <w:r w:rsidR="00F84571" w:rsidRPr="00DB5512">
        <w:rPr>
          <w:rFonts w:eastAsia="Calibri"/>
        </w:rPr>
        <w:t>.</w:t>
      </w:r>
      <w:r w:rsidR="00F84571" w:rsidRPr="00DB5512">
        <w:rPr>
          <w:rFonts w:ascii="Calibri" w:eastAsia="Calibri" w:hAnsi="Calibri" w:cs="Arial"/>
          <w:sz w:val="24"/>
          <w:szCs w:val="24"/>
          <w:lang w:eastAsia="en-US"/>
        </w:rPr>
        <w:tab/>
      </w:r>
      <w:r w:rsidR="00F84571" w:rsidRPr="00DB5512">
        <w:t xml:space="preserve">A driving feature of the major </w:t>
      </w:r>
      <w:r w:rsidR="0036555A" w:rsidRPr="00DB5512">
        <w:t xml:space="preserve">regional and international </w:t>
      </w:r>
      <w:r w:rsidR="00F84571" w:rsidRPr="00DB5512">
        <w:t xml:space="preserve">human rights treaties is that they explicitly acknowledge </w:t>
      </w:r>
      <w:r w:rsidRPr="00DB5512">
        <w:t>and provide</w:t>
      </w:r>
      <w:r w:rsidR="00F84571" w:rsidRPr="00DB5512">
        <w:t xml:space="preserve"> for the experience of crisis. This accommodation mechanism is enabled by the process of derogation from human rights treaties. Derogation refers to the legally mandated privilege of States </w:t>
      </w:r>
      <w:r w:rsidR="002F4EDA">
        <w:t>to</w:t>
      </w:r>
      <w:r w:rsidR="00F84571" w:rsidRPr="00DB5512">
        <w:t xml:space="preserve"> restrict certain individual rights in the exceptional circumstances of emergency or war. A variety of terms is used to describe these exceptional circumstances. </w:t>
      </w:r>
      <w:r w:rsidR="002F4EDA">
        <w:t xml:space="preserve">The </w:t>
      </w:r>
      <w:r w:rsidR="00F84571" w:rsidRPr="00DB5512">
        <w:t>European Convention</w:t>
      </w:r>
      <w:r w:rsidR="002F4EDA">
        <w:t xml:space="preserve"> on Human Rights</w:t>
      </w:r>
      <w:r w:rsidR="00F84571" w:rsidRPr="00DB5512">
        <w:t xml:space="preserve"> uses the operative phrase “time of war or other public emergency threatening the life of the nation”</w:t>
      </w:r>
      <w:r w:rsidR="002F4EDA">
        <w:t>, and similar terminology can be found</w:t>
      </w:r>
      <w:r w:rsidR="00F84571" w:rsidRPr="00DB5512">
        <w:t xml:space="preserve"> </w:t>
      </w:r>
      <w:r w:rsidR="002F4EDA">
        <w:t>in the International Covenant on Civil and Political Rights.</w:t>
      </w:r>
      <w:r w:rsidR="00F84571" w:rsidRPr="00DB5512">
        <w:t xml:space="preserve"> </w:t>
      </w:r>
      <w:r w:rsidR="00A235B4">
        <w:t xml:space="preserve">The </w:t>
      </w:r>
      <w:r w:rsidR="00F84571" w:rsidRPr="00DB5512">
        <w:t>American Convention</w:t>
      </w:r>
      <w:r w:rsidR="00A235B4">
        <w:t xml:space="preserve"> on Human Rights describes exceptional circumstances as </w:t>
      </w:r>
      <w:r w:rsidR="00F84571" w:rsidRPr="00DB5512">
        <w:t>“time of war, public danger, or other emergency that threatens the independence or security of a State Party”.</w:t>
      </w:r>
      <w:r w:rsidR="00840E68">
        <w:t xml:space="preserve"> </w:t>
      </w:r>
      <w:r w:rsidR="00F84571" w:rsidRPr="00DB5512">
        <w:t xml:space="preserve">Each treaty requires that the scale of threat to </w:t>
      </w:r>
      <w:r w:rsidR="00A235B4">
        <w:t xml:space="preserve">the </w:t>
      </w:r>
      <w:r w:rsidR="00485E08">
        <w:t>S</w:t>
      </w:r>
      <w:r w:rsidR="00F84571" w:rsidRPr="00DB5512">
        <w:t xml:space="preserve">tate must be exceptional and affect the fundamental capacity of </w:t>
      </w:r>
      <w:r w:rsidR="00A235B4">
        <w:t xml:space="preserve">the </w:t>
      </w:r>
      <w:r w:rsidR="00485E08">
        <w:t>S</w:t>
      </w:r>
      <w:r w:rsidR="00F84571" w:rsidRPr="00DB5512">
        <w:t xml:space="preserve">tate to function effectively. Critically, a </w:t>
      </w:r>
      <w:r w:rsidR="00A235B4">
        <w:t>S</w:t>
      </w:r>
      <w:r w:rsidR="00F84571" w:rsidRPr="00DB5512">
        <w:t xml:space="preserve">tate need not enact specific </w:t>
      </w:r>
      <w:r w:rsidR="00A235B4">
        <w:t>“</w:t>
      </w:r>
      <w:r w:rsidR="00F84571" w:rsidRPr="00DB5512">
        <w:t>emergency</w:t>
      </w:r>
      <w:r w:rsidR="00A235B4">
        <w:t>”</w:t>
      </w:r>
      <w:r w:rsidR="00F84571" w:rsidRPr="00DB5512">
        <w:t xml:space="preserve"> legislation for derogation to follow; ordinary law or practice sufficiently based on an actual threat to the </w:t>
      </w:r>
      <w:r w:rsidR="00A235B4">
        <w:t>S</w:t>
      </w:r>
      <w:r w:rsidR="00F84571" w:rsidRPr="00DB5512">
        <w:t>tate and encroaching</w:t>
      </w:r>
      <w:r w:rsidR="00E40BBA">
        <w:t xml:space="preserve"> substantially</w:t>
      </w:r>
      <w:r w:rsidR="00F84571" w:rsidRPr="00DB5512">
        <w:t xml:space="preserve"> on rights can require a </w:t>
      </w:r>
      <w:r w:rsidR="00A235B4">
        <w:t>S</w:t>
      </w:r>
      <w:r w:rsidR="00F84571" w:rsidRPr="00DB5512">
        <w:t xml:space="preserve">tate to derogate from its international treaty obligations. </w:t>
      </w:r>
    </w:p>
    <w:p w14:paraId="66B8D10F" w14:textId="654BC870" w:rsidR="00F84571" w:rsidRPr="00DB5512" w:rsidRDefault="009659D6">
      <w:pPr>
        <w:pStyle w:val="SingleTxtG"/>
      </w:pPr>
      <w:r w:rsidRPr="00DB5512">
        <w:t>8</w:t>
      </w:r>
      <w:r w:rsidR="002347AE">
        <w:t>.</w:t>
      </w:r>
      <w:r w:rsidR="002347AE">
        <w:tab/>
      </w:r>
      <w:r w:rsidR="00F84571" w:rsidRPr="00DB5512">
        <w:t xml:space="preserve">In parallel, </w:t>
      </w:r>
      <w:r w:rsidR="00A235B4">
        <w:t xml:space="preserve">the </w:t>
      </w:r>
      <w:r w:rsidR="00F84571" w:rsidRPr="00DB5512">
        <w:t xml:space="preserve">Universal Declaration on Human Rights and human rights treaties allow </w:t>
      </w:r>
      <w:r w:rsidR="00A235B4">
        <w:t>S</w:t>
      </w:r>
      <w:r w:rsidR="00F84571" w:rsidRPr="00DB5512">
        <w:t>tates to partially restrict the full en</w:t>
      </w:r>
      <w:r w:rsidR="00A235B4">
        <w:t>joyment</w:t>
      </w:r>
      <w:r w:rsidR="00F84571" w:rsidRPr="00DB5512">
        <w:t xml:space="preserve"> of human rights through limitation clauses</w:t>
      </w:r>
      <w:r w:rsidR="00A11E6E" w:rsidRPr="00DB5512">
        <w:t xml:space="preserve"> to a </w:t>
      </w:r>
      <w:r w:rsidR="00F84571" w:rsidRPr="00DB5512">
        <w:t xml:space="preserve">specified extent and for justifiable purposes </w:t>
      </w:r>
      <w:r w:rsidR="00A11E6E" w:rsidRPr="00DB5512">
        <w:t xml:space="preserve">when certain conditions are met. </w:t>
      </w:r>
      <w:r w:rsidR="00F84571" w:rsidRPr="00DB5512">
        <w:t>Limitations must be</w:t>
      </w:r>
      <w:r w:rsidR="00A235B4">
        <w:t>:</w:t>
      </w:r>
      <w:r w:rsidR="00F84571" w:rsidRPr="00DB5512">
        <w:t xml:space="preserve"> </w:t>
      </w:r>
      <w:r w:rsidR="00A235B4">
        <w:t>(</w:t>
      </w:r>
      <w:r w:rsidR="00F84571" w:rsidRPr="00DB5512">
        <w:t>a) necessary</w:t>
      </w:r>
      <w:r w:rsidR="00A235B4">
        <w:t>;</w:t>
      </w:r>
      <w:r w:rsidR="00F84571" w:rsidRPr="00DB5512">
        <w:t xml:space="preserve"> </w:t>
      </w:r>
      <w:r w:rsidR="00A235B4">
        <w:t>(</w:t>
      </w:r>
      <w:r w:rsidR="00F84571" w:rsidRPr="00DB5512">
        <w:t>b) impinge only minimally on rights (least restrictive alternative)</w:t>
      </w:r>
      <w:r w:rsidR="00A235B4">
        <w:t>; (</w:t>
      </w:r>
      <w:r w:rsidR="00F84571" w:rsidRPr="00DB5512">
        <w:t>c) demonstrate proportionality between means and clearly stated objectives</w:t>
      </w:r>
      <w:r w:rsidR="00A235B4">
        <w:t>; and (</w:t>
      </w:r>
      <w:r w:rsidR="00F84571" w:rsidRPr="00DB5512">
        <w:t>d) consistent with other fundamental rights and non-discriminatory in purpose and practice.</w:t>
      </w:r>
      <w:r w:rsidR="00840E68">
        <w:t xml:space="preserve"> </w:t>
      </w:r>
      <w:r w:rsidR="00F84571" w:rsidRPr="00DB5512">
        <w:t>States may respond to emergency situations</w:t>
      </w:r>
      <w:r w:rsidR="00A235B4">
        <w:t>,</w:t>
      </w:r>
      <w:r w:rsidR="00A11E6E" w:rsidRPr="00DB5512">
        <w:t xml:space="preserve"> including terrorism</w:t>
      </w:r>
      <w:r w:rsidR="00A235B4">
        <w:t>,</w:t>
      </w:r>
      <w:r w:rsidR="00F84571" w:rsidRPr="00DB5512">
        <w:t xml:space="preserve"> by limiting specific rights rather than derogating from them.</w:t>
      </w:r>
      <w:r w:rsidR="00F84571" w:rsidRPr="00DB5512">
        <w:rPr>
          <w:rStyle w:val="FootnoteReference"/>
          <w:rFonts w:eastAsiaTheme="majorEastAsia"/>
        </w:rPr>
        <w:footnoteReference w:id="7"/>
      </w:r>
      <w:r w:rsidR="0099266C">
        <w:t xml:space="preserve"> Limitations are conceptually narrower than derogation and were designed to meet specific objectives</w:t>
      </w:r>
      <w:r w:rsidR="00AD34C9">
        <w:t xml:space="preserve"> to a specific extent and for certain democratically justifiable purposes. </w:t>
      </w:r>
      <w:r w:rsidR="00E90A42">
        <w:t>For</w:t>
      </w:r>
      <w:r w:rsidR="00AD34C9">
        <w:t xml:space="preserve"> example</w:t>
      </w:r>
      <w:r w:rsidR="009E27AD">
        <w:t>,</w:t>
      </w:r>
      <w:r w:rsidR="00AD34C9">
        <w:t xml:space="preserve"> a right may be limited in order to prevent conflict with other rights. Limitations are prudent measures designed to protect public goods and the rights of others without undermining essential human rights that provide the foundation for a dignity</w:t>
      </w:r>
      <w:r w:rsidR="00D66D5D">
        <w:t>-</w:t>
      </w:r>
      <w:r w:rsidR="00AD34C9">
        <w:t>based society.</w:t>
      </w:r>
      <w:r w:rsidR="00F84571" w:rsidRPr="00DB5512">
        <w:t xml:space="preserve"> Derogation from certain treaty obligations in emergency situations is legally distinct from restrictions allowed </w:t>
      </w:r>
      <w:r w:rsidR="00A11E6E" w:rsidRPr="00DB5512">
        <w:t xml:space="preserve">in normal times. </w:t>
      </w:r>
      <w:r w:rsidR="00F84571" w:rsidRPr="00DB5512">
        <w:t xml:space="preserve">Restrictions may be viewed (in theory) as having a less severe effect on the protection </w:t>
      </w:r>
      <w:r w:rsidR="00E90A42">
        <w:t>of</w:t>
      </w:r>
      <w:r w:rsidR="00F84571" w:rsidRPr="00DB5512">
        <w:t xml:space="preserve"> human rights, though the problem of </w:t>
      </w:r>
      <w:r w:rsidR="00F84571" w:rsidRPr="00E40BBA">
        <w:rPr>
          <w:iCs/>
        </w:rPr>
        <w:t>de facto</w:t>
      </w:r>
      <w:r w:rsidR="00F84571" w:rsidRPr="00DB5512">
        <w:t xml:space="preserve"> emergencies</w:t>
      </w:r>
      <w:r w:rsidR="00A11E6E" w:rsidRPr="00DB5512">
        <w:t xml:space="preserve"> using counter-terrorism legislation and practice</w:t>
      </w:r>
      <w:r w:rsidR="00F84571" w:rsidRPr="00DB5512">
        <w:t xml:space="preserve"> underscores that this is not the case in practice.</w:t>
      </w:r>
    </w:p>
    <w:p w14:paraId="4F980D78" w14:textId="7E480EFA" w:rsidR="009659D6" w:rsidRPr="00B736D2" w:rsidRDefault="009659D6">
      <w:pPr>
        <w:pStyle w:val="SingleTxtG"/>
      </w:pPr>
      <w:r w:rsidRPr="00DB5512">
        <w:t>9</w:t>
      </w:r>
      <w:r w:rsidR="00F84571" w:rsidRPr="00DB5512">
        <w:t>.</w:t>
      </w:r>
      <w:r w:rsidR="003654F2">
        <w:tab/>
      </w:r>
      <w:r w:rsidR="00F84571" w:rsidRPr="00DB5512">
        <w:t xml:space="preserve">Treaty provisions have given rise to a substantial amount of jurisprudence from national, regional and international bodies </w:t>
      </w:r>
      <w:r w:rsidR="00D66D5D">
        <w:t xml:space="preserve">that </w:t>
      </w:r>
      <w:r w:rsidR="00E90A42" w:rsidRPr="00DB5512">
        <w:t>amplif</w:t>
      </w:r>
      <w:r w:rsidR="00D66D5D">
        <w:t>ies</w:t>
      </w:r>
      <w:r w:rsidR="00E90A42" w:rsidRPr="00DB5512">
        <w:t xml:space="preserve"> and interpret</w:t>
      </w:r>
      <w:r w:rsidR="00D66D5D">
        <w:t>s</w:t>
      </w:r>
      <w:r w:rsidR="00E90A42" w:rsidRPr="00DB5512">
        <w:t xml:space="preserve"> </w:t>
      </w:r>
      <w:r w:rsidR="00F84571" w:rsidRPr="00DB5512">
        <w:t>when a derogation is justified, what kinds of measures and in what degree are justified, as well as oversee</w:t>
      </w:r>
      <w:r w:rsidR="00D66D5D">
        <w:t>s</w:t>
      </w:r>
      <w:r w:rsidR="00F84571" w:rsidRPr="00DB5512">
        <w:t xml:space="preserve"> </w:t>
      </w:r>
      <w:r w:rsidR="00D66D5D">
        <w:t>S</w:t>
      </w:r>
      <w:r w:rsidR="00F84571" w:rsidRPr="00DB5512">
        <w:t xml:space="preserve">tate </w:t>
      </w:r>
      <w:r w:rsidR="00F84571" w:rsidRPr="00DB5512">
        <w:lastRenderedPageBreak/>
        <w:t xml:space="preserve">reporting and notification. When </w:t>
      </w:r>
      <w:r w:rsidR="00D66D5D">
        <w:t>S</w:t>
      </w:r>
      <w:r w:rsidR="00F84571" w:rsidRPr="00DB5512">
        <w:t>tates drafted these treaties, they were aware of the challenges of terrorism, insurrection, internal armed conflict and collective violence. Derogation remains relevant and useful to States facing cris</w:t>
      </w:r>
      <w:r w:rsidR="00D66D5D">
        <w:t>e</w:t>
      </w:r>
      <w:r w:rsidR="00F84571" w:rsidRPr="00DB5512">
        <w:t>s today. Even as new methods and means of terrorism have emerged in recent decades, the language of derogation is sufficient</w:t>
      </w:r>
      <w:r w:rsidR="00882E9E">
        <w:t>ly</w:t>
      </w:r>
      <w:r w:rsidR="00F84571" w:rsidRPr="00DB5512">
        <w:t xml:space="preserve"> broad and encompassing to address new challenges and new contexts. New applications of emergency powers must be tested against these international standards to assess if the counter-terrorism measures used are necessary, proportionate and lawful under international law.</w:t>
      </w:r>
    </w:p>
    <w:p w14:paraId="174986A5" w14:textId="51DE69A1" w:rsidR="00F84571" w:rsidRPr="003654F2" w:rsidRDefault="009659D6">
      <w:pPr>
        <w:pStyle w:val="SingleTxtG"/>
      </w:pPr>
      <w:r w:rsidRPr="003654F2">
        <w:t>10</w:t>
      </w:r>
      <w:r w:rsidR="00F84571" w:rsidRPr="003654F2">
        <w:t>.</w:t>
      </w:r>
      <w:r w:rsidR="00F84571" w:rsidRPr="003654F2">
        <w:tab/>
        <w:t xml:space="preserve">If States </w:t>
      </w:r>
      <w:r w:rsidR="001545F7" w:rsidRPr="003654F2">
        <w:t>must</w:t>
      </w:r>
      <w:r w:rsidR="00F84571" w:rsidRPr="003654F2">
        <w:t xml:space="preserve"> suspend their international human rights obligations in an emergency, all measures derogating from the provisions </w:t>
      </w:r>
      <w:r w:rsidR="00D66D5D" w:rsidRPr="003654F2">
        <w:t>of</w:t>
      </w:r>
      <w:r w:rsidR="00D66D5D">
        <w:t xml:space="preserve"> the </w:t>
      </w:r>
      <w:r w:rsidR="00AF065A" w:rsidRPr="00CE7899">
        <w:t>I</w:t>
      </w:r>
      <w:r w:rsidR="00CE7899">
        <w:t xml:space="preserve">nternational Covenant on Civil and Political Rights </w:t>
      </w:r>
      <w:r w:rsidR="00F84571" w:rsidRPr="00CE7899">
        <w:t>(and/or regional</w:t>
      </w:r>
      <w:r w:rsidR="00F84571" w:rsidRPr="003654F2">
        <w:t xml:space="preserve"> human rights treaties) must be of an exceptional and temporary nature. Before a State invoke</w:t>
      </w:r>
      <w:r w:rsidR="00864F68" w:rsidRPr="003654F2">
        <w:t>s</w:t>
      </w:r>
      <w:r w:rsidR="00F84571" w:rsidRPr="003654F2">
        <w:t xml:space="preserve"> </w:t>
      </w:r>
      <w:r w:rsidR="00CE7899">
        <w:t xml:space="preserve">a </w:t>
      </w:r>
      <w:r w:rsidR="00F84571" w:rsidRPr="003654F2">
        <w:t>derogation, two fundamental conditions must be met: the situation must amount to an emergency which threatens the life of the nation, and</w:t>
      </w:r>
      <w:r w:rsidR="00CE7899">
        <w:t xml:space="preserve"> the </w:t>
      </w:r>
      <w:r w:rsidR="00F84571" w:rsidRPr="003654F2">
        <w:t xml:space="preserve">State must have officially proclaimed a state of emergency. </w:t>
      </w:r>
    </w:p>
    <w:p w14:paraId="7ABF1771" w14:textId="7ADB7EEF" w:rsidR="00F84571" w:rsidRPr="00DB5512" w:rsidRDefault="003654F2" w:rsidP="000E2623">
      <w:pPr>
        <w:pStyle w:val="SingleTxtG"/>
      </w:pPr>
      <w:r w:rsidRPr="003654F2">
        <w:t>11.</w:t>
      </w:r>
      <w:r w:rsidR="00F84571" w:rsidRPr="003654F2">
        <w:tab/>
      </w:r>
      <w:r w:rsidR="00CE7899">
        <w:t>The Covenant</w:t>
      </w:r>
      <w:r w:rsidR="00F84571" w:rsidRPr="003654F2">
        <w:t xml:space="preserve"> and regional human rights treaties require that</w:t>
      </w:r>
      <w:r w:rsidR="00CE7899">
        <w:t>,</w:t>
      </w:r>
      <w:r w:rsidR="00F84571" w:rsidRPr="003654F2">
        <w:t xml:space="preserve"> even during an armed conflict</w:t>
      </w:r>
      <w:r w:rsidR="00CE7899">
        <w:t>,</w:t>
      </w:r>
      <w:r w:rsidR="00F84571" w:rsidRPr="003654F2">
        <w:t xml:space="preserve"> measures derogating from the Covenant are </w:t>
      </w:r>
      <w:r w:rsidR="001545F7" w:rsidRPr="003654F2">
        <w:t xml:space="preserve">only </w:t>
      </w:r>
      <w:r w:rsidR="00F84571" w:rsidRPr="003654F2">
        <w:t xml:space="preserve">allowed if and to the extent that the situation constitutes a fundamental threat to </w:t>
      </w:r>
      <w:r w:rsidR="00CE7899">
        <w:t xml:space="preserve">the </w:t>
      </w:r>
      <w:r w:rsidR="00485E08" w:rsidRPr="003654F2">
        <w:t>S</w:t>
      </w:r>
      <w:r w:rsidR="00F84571" w:rsidRPr="003654F2">
        <w:t>tate. A</w:t>
      </w:r>
      <w:r w:rsidR="001545F7" w:rsidRPr="003654F2">
        <w:t>n</w:t>
      </w:r>
      <w:r w:rsidR="00F84571" w:rsidRPr="003654F2">
        <w:t xml:space="preserve"> </w:t>
      </w:r>
      <w:r w:rsidR="001545F7" w:rsidRPr="003654F2">
        <w:t xml:space="preserve">essential requirement for </w:t>
      </w:r>
      <w:r w:rsidR="00F84571" w:rsidRPr="003654F2">
        <w:t xml:space="preserve">measures derogating from </w:t>
      </w:r>
      <w:r w:rsidR="000E2623">
        <w:t xml:space="preserve">the </w:t>
      </w:r>
      <w:r w:rsidR="00CE7899">
        <w:t>Covenant</w:t>
      </w:r>
      <w:r w:rsidR="00F84571" w:rsidRPr="003654F2">
        <w:t xml:space="preserve"> is that </w:t>
      </w:r>
      <w:r w:rsidR="001545F7" w:rsidRPr="003654F2">
        <w:t xml:space="preserve">they </w:t>
      </w:r>
      <w:r w:rsidR="000E2623">
        <w:t>be</w:t>
      </w:r>
      <w:r w:rsidR="00F84571" w:rsidRPr="003654F2">
        <w:t xml:space="preserve"> limited to the extent strictly required by the exigencies</w:t>
      </w:r>
      <w:r w:rsidR="00F84571" w:rsidRPr="00DB5512">
        <w:t xml:space="preserve"> of the situation.</w:t>
      </w:r>
      <w:r w:rsidR="00F84571" w:rsidRPr="00DB5512">
        <w:rPr>
          <w:rStyle w:val="FootnoteReference"/>
          <w:rFonts w:eastAsiaTheme="majorEastAsia"/>
        </w:rPr>
        <w:footnoteReference w:id="8"/>
      </w:r>
      <w:r w:rsidR="00F84571" w:rsidRPr="00DB5512">
        <w:t xml:space="preserve"> </w:t>
      </w:r>
      <w:r w:rsidR="00782C65" w:rsidRPr="00DB5512">
        <w:t>Courts interpret this requirement</w:t>
      </w:r>
      <w:r w:rsidR="000E2623">
        <w:t xml:space="preserve"> as</w:t>
      </w:r>
      <w:r w:rsidR="00F84571" w:rsidRPr="00DB5512">
        <w:t xml:space="preserve"> apply</w:t>
      </w:r>
      <w:r w:rsidR="000E2623">
        <w:t>ing</w:t>
      </w:r>
      <w:r w:rsidR="00F84571" w:rsidRPr="00DB5512">
        <w:t xml:space="preserve"> to the duration, geographical coverage and material scope of the state of emergency and any measures of derogation. </w:t>
      </w:r>
      <w:r w:rsidR="00782C65" w:rsidRPr="00DB5512">
        <w:t>The</w:t>
      </w:r>
      <w:r w:rsidR="00F84571" w:rsidRPr="00DB5512">
        <w:t xml:space="preserve"> obligation to limit derogations to those strictly required by the exigencies of the situation reflects the principles of legitimacy, </w:t>
      </w:r>
      <w:r>
        <w:t>proportionality and necessity.</w:t>
      </w:r>
    </w:p>
    <w:p w14:paraId="0FF35067" w14:textId="70753BE5" w:rsidR="00F84571" w:rsidRPr="00DB5512" w:rsidRDefault="00F84571">
      <w:pPr>
        <w:pStyle w:val="SingleTxtG"/>
      </w:pPr>
      <w:r w:rsidRPr="00DB5512">
        <w:t>1</w:t>
      </w:r>
      <w:r w:rsidR="009659D6" w:rsidRPr="00DB5512">
        <w:t>2</w:t>
      </w:r>
      <w:r w:rsidRPr="00DB5512">
        <w:t>.</w:t>
      </w:r>
      <w:r w:rsidRPr="00DB5512">
        <w:tab/>
        <w:t xml:space="preserve">Derogation requires that the scale of threat be exceptional and affect </w:t>
      </w:r>
      <w:r w:rsidR="006B1E50">
        <w:t xml:space="preserve">the </w:t>
      </w:r>
      <w:r w:rsidR="00485E08">
        <w:t>S</w:t>
      </w:r>
      <w:r w:rsidR="00DC0E8D" w:rsidRPr="00DB5512">
        <w:t>tate’s</w:t>
      </w:r>
      <w:r w:rsidR="00782C65" w:rsidRPr="00DB5512">
        <w:t xml:space="preserve"> </w:t>
      </w:r>
      <w:r w:rsidRPr="00DB5512">
        <w:t>fundamental capacity to function effectively</w:t>
      </w:r>
      <w:r w:rsidR="007A2617">
        <w:t>,</w:t>
      </w:r>
      <w:r w:rsidRPr="00DB5512">
        <w:t xml:space="preserve"> </w:t>
      </w:r>
      <w:r w:rsidRPr="007A2617">
        <w:t xml:space="preserve">and impact </w:t>
      </w:r>
      <w:r w:rsidR="006B1E50">
        <w:t>the State’s</w:t>
      </w:r>
      <w:r w:rsidRPr="00DB5512">
        <w:t xml:space="preserve"> core security, independence and </w:t>
      </w:r>
      <w:r w:rsidR="00DC0E8D" w:rsidRPr="00DB5512">
        <w:t>function</w:t>
      </w:r>
      <w:r w:rsidRPr="00DB5512">
        <w:t>.</w:t>
      </w:r>
      <w:r w:rsidR="00840E68">
        <w:t xml:space="preserve"> </w:t>
      </w:r>
      <w:r w:rsidR="00E728D2">
        <w:t xml:space="preserve">The Special </w:t>
      </w:r>
      <w:r w:rsidRPr="00DB5512">
        <w:t>Rapporteur emphasizes that the exercise of emergency powers must reach high and specific thresholds to be lawfully exercised under international law.</w:t>
      </w:r>
    </w:p>
    <w:p w14:paraId="046026C2" w14:textId="5C87ABDD" w:rsidR="00F84571" w:rsidRPr="00DB5512" w:rsidRDefault="00F84571" w:rsidP="00374517">
      <w:pPr>
        <w:pStyle w:val="SingleTxtG"/>
      </w:pPr>
      <w:r w:rsidRPr="00DB5512">
        <w:rPr>
          <w:rFonts w:eastAsia="Calibri"/>
        </w:rPr>
        <w:t>1</w:t>
      </w:r>
      <w:r w:rsidR="009659D6" w:rsidRPr="00DB5512">
        <w:rPr>
          <w:rFonts w:eastAsia="Calibri"/>
        </w:rPr>
        <w:t>3</w:t>
      </w:r>
      <w:r w:rsidRPr="00DB5512">
        <w:t>.</w:t>
      </w:r>
      <w:r w:rsidRPr="00DB5512">
        <w:tab/>
      </w:r>
      <w:r w:rsidR="00E728D2">
        <w:t xml:space="preserve">The </w:t>
      </w:r>
      <w:r w:rsidR="00AF065A">
        <w:t>Special</w:t>
      </w:r>
      <w:r w:rsidRPr="00DB5512">
        <w:t xml:space="preserve"> Rapporteur reminds States of the threshold required to activate emergency powers, in conformity with international law. In </w:t>
      </w:r>
      <w:r w:rsidRPr="00DB5512">
        <w:rPr>
          <w:i/>
          <w:iCs/>
        </w:rPr>
        <w:t>Lawless v. Ireland</w:t>
      </w:r>
      <w:r w:rsidRPr="00DB5512">
        <w:t>,</w:t>
      </w:r>
      <w:r w:rsidRPr="00DB5512">
        <w:rPr>
          <w:vertAlign w:val="superscript"/>
        </w:rPr>
        <w:footnoteReference w:id="9"/>
      </w:r>
      <w:r w:rsidRPr="00DB5512">
        <w:t xml:space="preserve"> the European Commission o</w:t>
      </w:r>
      <w:r w:rsidR="00374517">
        <w:t>n</w:t>
      </w:r>
      <w:r w:rsidRPr="00DB5512">
        <w:t xml:space="preserve"> Human Rights defined a “public emergency” for the purposes of article 15 of the </w:t>
      </w:r>
      <w:r w:rsidR="00B736D2">
        <w:t>E</w:t>
      </w:r>
      <w:r w:rsidR="005905F2">
        <w:t xml:space="preserve">uropean </w:t>
      </w:r>
      <w:r w:rsidR="00B736D2">
        <w:t>C</w:t>
      </w:r>
      <w:r w:rsidR="005905F2">
        <w:t>onvention on Human Rights</w:t>
      </w:r>
      <w:r w:rsidRPr="00DB5512">
        <w:t xml:space="preserve"> as “a situation of exceptional and imminent danger or crisis affecting the general public, as distinct from particular groups, and constituting a threat to the organised life of the community which composes State in question.”</w:t>
      </w:r>
      <w:r w:rsidRPr="00DB5512">
        <w:rPr>
          <w:vertAlign w:val="superscript"/>
        </w:rPr>
        <w:footnoteReference w:id="10"/>
      </w:r>
      <w:r w:rsidRPr="00DB5512">
        <w:t xml:space="preserve"> In </w:t>
      </w:r>
      <w:r w:rsidR="00C4433A" w:rsidRPr="005875A5">
        <w:rPr>
          <w:i/>
          <w:iCs/>
        </w:rPr>
        <w:t>T</w:t>
      </w:r>
      <w:r w:rsidRPr="005875A5">
        <w:rPr>
          <w:i/>
          <w:iCs/>
        </w:rPr>
        <w:t xml:space="preserve">he </w:t>
      </w:r>
      <w:r w:rsidRPr="00B73283">
        <w:rPr>
          <w:i/>
          <w:iCs/>
        </w:rPr>
        <w:t xml:space="preserve">Greek </w:t>
      </w:r>
      <w:r w:rsidR="00C4433A" w:rsidRPr="00B73283">
        <w:rPr>
          <w:i/>
          <w:iCs/>
        </w:rPr>
        <w:t>C</w:t>
      </w:r>
      <w:r w:rsidRPr="005875A5">
        <w:rPr>
          <w:i/>
          <w:iCs/>
        </w:rPr>
        <w:t>ase</w:t>
      </w:r>
      <w:r w:rsidRPr="00DB5512">
        <w:t>,</w:t>
      </w:r>
      <w:r w:rsidRPr="00DB5512">
        <w:rPr>
          <w:vertAlign w:val="superscript"/>
        </w:rPr>
        <w:footnoteReference w:id="11"/>
      </w:r>
      <w:r w:rsidRPr="00DB5512">
        <w:t xml:space="preserve"> the Commission identified four characteristics of a “public emergency” under article 15 </w:t>
      </w:r>
      <w:r w:rsidR="00C4433A">
        <w:t>of the European Convention</w:t>
      </w:r>
      <w:r w:rsidRPr="00DB5512">
        <w:t xml:space="preserve">: </w:t>
      </w:r>
      <w:r w:rsidR="00C4433A">
        <w:t>it</w:t>
      </w:r>
      <w:r w:rsidRPr="00DB5512">
        <w:t xml:space="preserve"> must be actual or imminent; its effects must involve the whole nation; the continuance of the organized life of the community must be threatened; and the crisis or danger must be exceptional, in that the normal measures or restrictions, permitted by the Convention for the maintenance of public safety, health and order, are plainly inadequate.</w:t>
      </w:r>
      <w:r w:rsidRPr="00DB5512">
        <w:rPr>
          <w:vertAlign w:val="superscript"/>
        </w:rPr>
        <w:footnoteReference w:id="12"/>
      </w:r>
      <w:r w:rsidRPr="00DB5512">
        <w:t xml:space="preserve"> </w:t>
      </w:r>
    </w:p>
    <w:p w14:paraId="77BBA1D0" w14:textId="3275B701" w:rsidR="00F84571" w:rsidRPr="00DB5512" w:rsidRDefault="00F84571" w:rsidP="00374517">
      <w:pPr>
        <w:pStyle w:val="SingleTxtG"/>
      </w:pPr>
      <w:r w:rsidRPr="00DB5512">
        <w:t>1</w:t>
      </w:r>
      <w:r w:rsidR="009659D6" w:rsidRPr="00DB5512">
        <w:t>4</w:t>
      </w:r>
      <w:r w:rsidRPr="00DB5512">
        <w:t>.</w:t>
      </w:r>
      <w:r w:rsidRPr="00DB5512">
        <w:tab/>
        <w:t xml:space="preserve">In its </w:t>
      </w:r>
      <w:r w:rsidR="00A7741A">
        <w:t>g</w:t>
      </w:r>
      <w:r w:rsidRPr="00DB5512">
        <w:t xml:space="preserve">eneral </w:t>
      </w:r>
      <w:r w:rsidR="00A7741A">
        <w:t>c</w:t>
      </w:r>
      <w:r w:rsidRPr="00DB5512">
        <w:t xml:space="preserve">omment </w:t>
      </w:r>
      <w:r w:rsidR="00A7741A">
        <w:t xml:space="preserve">No. </w:t>
      </w:r>
      <w:r w:rsidRPr="00DB5512">
        <w:t>5, the Human Rights Committee indicated that an emergency will justify derogation only if the relevant circumstances are of an exceptional and temporary nature.</w:t>
      </w:r>
      <w:r w:rsidRPr="00DB5512">
        <w:rPr>
          <w:vertAlign w:val="superscript"/>
        </w:rPr>
        <w:footnoteReference w:id="13"/>
      </w:r>
      <w:r w:rsidRPr="00DB5512">
        <w:t xml:space="preserve"> </w:t>
      </w:r>
      <w:r w:rsidR="00A7741A">
        <w:t>T</w:t>
      </w:r>
      <w:r w:rsidRPr="00DB5512">
        <w:t>he Committee determined that States bear the burden of showing that th</w:t>
      </w:r>
      <w:r w:rsidR="00A7741A">
        <w:t>o</w:t>
      </w:r>
      <w:r w:rsidRPr="00DB5512">
        <w:t>se requirements have been fulfilled.</w:t>
      </w:r>
      <w:r w:rsidRPr="00DB5512">
        <w:rPr>
          <w:vertAlign w:val="superscript"/>
        </w:rPr>
        <w:footnoteReference w:id="14"/>
      </w:r>
      <w:r w:rsidRPr="00DB5512">
        <w:t xml:space="preserve"> The principles </w:t>
      </w:r>
      <w:r w:rsidR="00A7741A">
        <w:t xml:space="preserve">set out </w:t>
      </w:r>
      <w:r w:rsidRPr="00DB5512">
        <w:t>in</w:t>
      </w:r>
      <w:r w:rsidR="00A7741A">
        <w:t xml:space="preserve"> g</w:t>
      </w:r>
      <w:r w:rsidRPr="00DB5512">
        <w:t xml:space="preserve">eneral </w:t>
      </w:r>
      <w:r w:rsidR="00A7741A">
        <w:t>c</w:t>
      </w:r>
      <w:r w:rsidRPr="00DB5512">
        <w:t xml:space="preserve">omment </w:t>
      </w:r>
      <w:r w:rsidR="00A7741A">
        <w:t xml:space="preserve">No. </w:t>
      </w:r>
      <w:r w:rsidRPr="00DB5512">
        <w:t>5</w:t>
      </w:r>
      <w:r w:rsidR="00A7741A">
        <w:t xml:space="preserve"> </w:t>
      </w:r>
      <w:r w:rsidRPr="00DB5512">
        <w:t>were rev</w:t>
      </w:r>
      <w:r w:rsidR="00A7741A">
        <w:t>iewed</w:t>
      </w:r>
      <w:r w:rsidRPr="00DB5512">
        <w:t xml:space="preserve"> and ex</w:t>
      </w:r>
      <w:r w:rsidR="00A7741A">
        <w:t>panded</w:t>
      </w:r>
      <w:r w:rsidRPr="00DB5512">
        <w:t xml:space="preserve"> in </w:t>
      </w:r>
      <w:r w:rsidR="00A7741A">
        <w:t>g</w:t>
      </w:r>
      <w:r w:rsidRPr="00DB5512">
        <w:t xml:space="preserve">eneral </w:t>
      </w:r>
      <w:r w:rsidR="00A7741A">
        <w:t>c</w:t>
      </w:r>
      <w:r w:rsidRPr="00DB5512">
        <w:t xml:space="preserve">omment </w:t>
      </w:r>
      <w:r w:rsidR="00A7741A">
        <w:t xml:space="preserve">No. </w:t>
      </w:r>
      <w:r w:rsidRPr="00DB5512">
        <w:t>29</w:t>
      </w:r>
      <w:r w:rsidR="00A7741A">
        <w:t xml:space="preserve"> (2001)</w:t>
      </w:r>
      <w:r w:rsidRPr="00DB5512">
        <w:t xml:space="preserve"> </w:t>
      </w:r>
      <w:r w:rsidR="00A7741A">
        <w:t>and</w:t>
      </w:r>
      <w:r w:rsidRPr="00DB5512">
        <w:t xml:space="preserve"> the </w:t>
      </w:r>
      <w:r w:rsidR="00A7741A">
        <w:t xml:space="preserve">exceptional and </w:t>
      </w:r>
      <w:r w:rsidRPr="00DB5512">
        <w:t>temporary nature of emergencies</w:t>
      </w:r>
      <w:r w:rsidR="00A7741A">
        <w:t xml:space="preserve"> was again stressed</w:t>
      </w:r>
      <w:r w:rsidRPr="00DB5512">
        <w:t>.</w:t>
      </w:r>
      <w:r w:rsidRPr="00DB5512">
        <w:rPr>
          <w:vertAlign w:val="superscript"/>
        </w:rPr>
        <w:footnoteReference w:id="15"/>
      </w:r>
      <w:r w:rsidRPr="00DB5512">
        <w:t xml:space="preserve"> </w:t>
      </w:r>
      <w:r w:rsidR="00A7741A">
        <w:t>T</w:t>
      </w:r>
      <w:r w:rsidRPr="00DB5512">
        <w:t xml:space="preserve">he Inter-American Commission on </w:t>
      </w:r>
      <w:r w:rsidRPr="00DB5512">
        <w:lastRenderedPageBreak/>
        <w:t xml:space="preserve">Human Rights and the Inter-American Court of Human Rights have </w:t>
      </w:r>
      <w:r w:rsidR="00B92487">
        <w:t xml:space="preserve">also </w:t>
      </w:r>
      <w:r w:rsidRPr="00DB5512">
        <w:t xml:space="preserve">accepted the requirement that </w:t>
      </w:r>
      <w:r w:rsidR="00B92487">
        <w:t xml:space="preserve">an </w:t>
      </w:r>
      <w:r w:rsidRPr="00DB5512">
        <w:t xml:space="preserve">emergency be exceptional and temporary. The </w:t>
      </w:r>
      <w:r w:rsidR="00B92487">
        <w:t>Inter-American C</w:t>
      </w:r>
      <w:r w:rsidR="00967B31">
        <w:t>ommission</w:t>
      </w:r>
      <w:r w:rsidRPr="00DB5512">
        <w:t xml:space="preserve"> has often expressed </w:t>
      </w:r>
      <w:r w:rsidR="00B92487">
        <w:t>the</w:t>
      </w:r>
      <w:r w:rsidRPr="00DB5512">
        <w:t xml:space="preserve"> opinion that governmental emergency measures may only be carried out in “extremely serious circumstances” and may never suspend certain fundamental rights.</w:t>
      </w:r>
      <w:r w:rsidRPr="00DB5512">
        <w:rPr>
          <w:vertAlign w:val="superscript"/>
        </w:rPr>
        <w:footnoteReference w:id="16"/>
      </w:r>
      <w:r w:rsidRPr="00DB5512">
        <w:t xml:space="preserve"> In its advisory opinion on </w:t>
      </w:r>
      <w:r w:rsidR="00967B31">
        <w:t>h</w:t>
      </w:r>
      <w:r w:rsidRPr="00707DA9">
        <w:t xml:space="preserve">abeas </w:t>
      </w:r>
      <w:r w:rsidR="00967B31">
        <w:t>c</w:t>
      </w:r>
      <w:r w:rsidRPr="00707DA9">
        <w:t xml:space="preserve">orpus in </w:t>
      </w:r>
      <w:r w:rsidR="00967B31">
        <w:t>e</w:t>
      </w:r>
      <w:r w:rsidRPr="00707DA9">
        <w:t xml:space="preserve">mergency </w:t>
      </w:r>
      <w:r w:rsidR="00967B31">
        <w:t>s</w:t>
      </w:r>
      <w:r w:rsidRPr="00707DA9">
        <w:t>ituations</w:t>
      </w:r>
      <w:r w:rsidRPr="00DB5512">
        <w:t>, the I</w:t>
      </w:r>
      <w:r w:rsidR="00967B31">
        <w:t>nter-American Court</w:t>
      </w:r>
      <w:r w:rsidRPr="00DB5512">
        <w:t xml:space="preserve"> stated that article 27 of the American Convention</w:t>
      </w:r>
      <w:r w:rsidR="00967B31">
        <w:t xml:space="preserve"> on Human Rights</w:t>
      </w:r>
      <w:r w:rsidRPr="00DB5512">
        <w:t xml:space="preserve"> was “a provision for exceptional situations only.”</w:t>
      </w:r>
      <w:r w:rsidRPr="00DB5512">
        <w:rPr>
          <w:vertAlign w:val="superscript"/>
        </w:rPr>
        <w:footnoteReference w:id="17"/>
      </w:r>
      <w:r w:rsidRPr="00DB5512">
        <w:t xml:space="preserve"> </w:t>
      </w:r>
      <w:r w:rsidR="00CA0135">
        <w:t>T</w:t>
      </w:r>
      <w:r w:rsidRPr="00DB5512">
        <w:t xml:space="preserve">here is broad international consensus on the general contours of the term </w:t>
      </w:r>
      <w:r w:rsidR="00CA0135">
        <w:t>“</w:t>
      </w:r>
      <w:r w:rsidRPr="00DB5512">
        <w:t>emergency</w:t>
      </w:r>
      <w:r w:rsidR="00CA0135">
        <w:t>”</w:t>
      </w:r>
      <w:r w:rsidRPr="00DB5512">
        <w:t xml:space="preserve">, </w:t>
      </w:r>
      <w:r w:rsidR="00DC0E8D" w:rsidRPr="00DB5512">
        <w:t>specifically</w:t>
      </w:r>
      <w:r w:rsidRPr="00DB5512">
        <w:t xml:space="preserve"> its co</w:t>
      </w:r>
      <w:r w:rsidR="00DC0E8D" w:rsidRPr="00DB5512">
        <w:t>ntingent and exceptional nature,</w:t>
      </w:r>
      <w:r w:rsidRPr="00DB5512">
        <w:t xml:space="preserve"> the necessity of overseeing and regulating emergencies</w:t>
      </w:r>
      <w:r w:rsidR="00DC0E8D" w:rsidRPr="00DB5512">
        <w:t xml:space="preserve"> and</w:t>
      </w:r>
      <w:r w:rsidRPr="00DB5512">
        <w:t xml:space="preserve"> the finite and limited purposes of emergency powers. </w:t>
      </w:r>
    </w:p>
    <w:p w14:paraId="743B9162" w14:textId="051D9E72" w:rsidR="00F84571" w:rsidRPr="00DB5512" w:rsidRDefault="00F84571">
      <w:pPr>
        <w:pStyle w:val="H1G"/>
      </w:pPr>
      <w:r w:rsidRPr="00DB5512">
        <w:tab/>
        <w:t>B.</w:t>
      </w:r>
      <w:r w:rsidRPr="00DB5512">
        <w:tab/>
        <w:t xml:space="preserve">Domestic </w:t>
      </w:r>
      <w:r w:rsidR="00CA0135">
        <w:t>l</w:t>
      </w:r>
      <w:r w:rsidRPr="00DB5512">
        <w:t>aw</w:t>
      </w:r>
    </w:p>
    <w:p w14:paraId="2C45614D" w14:textId="1C629127" w:rsidR="00F84571" w:rsidRPr="00DB5512" w:rsidRDefault="00F84571">
      <w:pPr>
        <w:pStyle w:val="SingleTxtG"/>
      </w:pPr>
      <w:r w:rsidRPr="00DB5512">
        <w:t>1</w:t>
      </w:r>
      <w:r w:rsidR="009659D6" w:rsidRPr="00DB5512">
        <w:t>5</w:t>
      </w:r>
      <w:r w:rsidRPr="00DB5512">
        <w:t>.</w:t>
      </w:r>
      <w:r w:rsidRPr="00DB5512">
        <w:tab/>
        <w:t>States have multiple and varied domestic procedures to legally proclaim an emergency. These include constitutional, executive and legislative mechanisms to enable the activation of emergency powers in domestic law, which may impinge on the full and equal enjoyment of human rights. Importantly, State</w:t>
      </w:r>
      <w:r w:rsidR="00A12E9C" w:rsidRPr="00DB5512">
        <w:t>s</w:t>
      </w:r>
      <w:r w:rsidRPr="00DB5512">
        <w:t xml:space="preserve"> may not rely on the provisions of its internal law as justification for failure to comply with its international obligations.</w:t>
      </w:r>
      <w:r w:rsidRPr="00DB5512">
        <w:rPr>
          <w:rStyle w:val="FootnoteReference"/>
          <w:rFonts w:eastAsiaTheme="majorEastAsia"/>
        </w:rPr>
        <w:footnoteReference w:id="18"/>
      </w:r>
    </w:p>
    <w:p w14:paraId="7CB294D2" w14:textId="68FA77E7" w:rsidR="00F84571" w:rsidRPr="00DB5512" w:rsidRDefault="00F84571">
      <w:pPr>
        <w:pStyle w:val="SingleTxtG"/>
      </w:pPr>
      <w:r w:rsidRPr="00DB5512">
        <w:t>1</w:t>
      </w:r>
      <w:r w:rsidR="009659D6" w:rsidRPr="00DB5512">
        <w:t>6</w:t>
      </w:r>
      <w:r w:rsidRPr="00DB5512">
        <w:t>.</w:t>
      </w:r>
      <w:r w:rsidRPr="00DB5512">
        <w:tab/>
        <w:t xml:space="preserve">For many States, authority for the exercise of emergency powers can be traced to </w:t>
      </w:r>
      <w:r w:rsidR="00CA0135">
        <w:t>their</w:t>
      </w:r>
      <w:r w:rsidRPr="00DB5512">
        <w:t xml:space="preserve"> </w:t>
      </w:r>
      <w:r w:rsidR="00CA0135">
        <w:t>C</w:t>
      </w:r>
      <w:r w:rsidRPr="00DB5512">
        <w:t>onstitution. Constitutions vary in articulation</w:t>
      </w:r>
      <w:r w:rsidR="00CA0135">
        <w:t>,</w:t>
      </w:r>
      <w:r w:rsidRPr="00DB5512">
        <w:t xml:space="preserve"> but a common thread is </w:t>
      </w:r>
      <w:r w:rsidR="00CA0135">
        <w:t>the</w:t>
      </w:r>
      <w:r w:rsidRPr="00DB5512">
        <w:t xml:space="preserve"> enumerat</w:t>
      </w:r>
      <w:r w:rsidR="00CA0135">
        <w:t>ion of</w:t>
      </w:r>
      <w:r w:rsidRPr="00DB5512">
        <w:t xml:space="preserve"> circumstances which merit a proclamation of emergency.</w:t>
      </w:r>
      <w:r w:rsidRPr="00DB5512">
        <w:rPr>
          <w:vertAlign w:val="superscript"/>
        </w:rPr>
        <w:footnoteReference w:id="19"/>
      </w:r>
      <w:r w:rsidRPr="00DB5512">
        <w:t xml:space="preserve"> Legislative models also dominate </w:t>
      </w:r>
      <w:r w:rsidR="00374517">
        <w:t xml:space="preserve">the </w:t>
      </w:r>
      <w:r w:rsidRPr="00DB5512">
        <w:t>national regulation of cris</w:t>
      </w:r>
      <w:r w:rsidR="00C2759A">
        <w:t>e</w:t>
      </w:r>
      <w:r w:rsidRPr="00DB5512">
        <w:t>s, including responses to terrorism. The legislative model generally delegates</w:t>
      </w:r>
      <w:r w:rsidR="00C2759A">
        <w:t>, in legislation,</w:t>
      </w:r>
      <w:r w:rsidRPr="00DB5512">
        <w:t xml:space="preserve"> special powers to the executive to respond to the exigencies of a particular emergency. In general, this model enables the powers to lapse once the emergency has ended. In practice, the challenge for human rights protection has been the absorption of emergency statutes into the ordinary legal framework, including counter-terrorism legislation, </w:t>
      </w:r>
      <w:r w:rsidR="00C2759A">
        <w:t xml:space="preserve">which </w:t>
      </w:r>
      <w:r w:rsidRPr="00DB5512">
        <w:t>essentially normaliz</w:t>
      </w:r>
      <w:r w:rsidR="00C2759A">
        <w:t>es</w:t>
      </w:r>
      <w:r w:rsidRPr="00DB5512">
        <w:t xml:space="preserve"> the exception.</w:t>
      </w:r>
      <w:r w:rsidRPr="00DB5512">
        <w:rPr>
          <w:vertAlign w:val="superscript"/>
        </w:rPr>
        <w:footnoteReference w:id="20"/>
      </w:r>
    </w:p>
    <w:p w14:paraId="3DFC31D5" w14:textId="7E107AC4" w:rsidR="00F84571" w:rsidRPr="00DB5512" w:rsidRDefault="00CB613F" w:rsidP="007A2617">
      <w:pPr>
        <w:pStyle w:val="SingleTxtG"/>
      </w:pPr>
      <w:r w:rsidRPr="00DB5512">
        <w:t>1</w:t>
      </w:r>
      <w:r>
        <w:t>7</w:t>
      </w:r>
      <w:r w:rsidR="00497580">
        <w:t>.</w:t>
      </w:r>
      <w:r w:rsidR="00497580">
        <w:tab/>
      </w:r>
      <w:r w:rsidR="00F84571" w:rsidRPr="00DB5512">
        <w:t xml:space="preserve">A residual category of legal authorization for states of emergency falls under the doctrine of necessity. The doctrine is founded on the assumption that situations of extreme danger justify </w:t>
      </w:r>
      <w:r w:rsidR="00E33492" w:rsidRPr="00DB5512">
        <w:t>r</w:t>
      </w:r>
      <w:r w:rsidR="00E33492" w:rsidRPr="00B736D2">
        <w:t>e</w:t>
      </w:r>
      <w:r w:rsidR="00E33492">
        <w:t>sort</w:t>
      </w:r>
      <w:r w:rsidR="009B4B63">
        <w:t>ing</w:t>
      </w:r>
      <w:r w:rsidR="00E33492" w:rsidRPr="00DB5512">
        <w:t xml:space="preserve"> </w:t>
      </w:r>
      <w:r w:rsidR="00F84571" w:rsidRPr="00DB5512">
        <w:t xml:space="preserve">to exceptional regulation which </w:t>
      </w:r>
      <w:r w:rsidR="00A12E9C" w:rsidRPr="00DB5512">
        <w:t>might</w:t>
      </w:r>
      <w:r w:rsidR="00F84571" w:rsidRPr="00DB5512">
        <w:t xml:space="preserve"> otherwise be </w:t>
      </w:r>
      <w:r w:rsidR="00F84571" w:rsidRPr="007A2617">
        <w:t>unlawful.</w:t>
      </w:r>
      <w:r w:rsidR="00840E68">
        <w:t xml:space="preserve"> </w:t>
      </w:r>
      <w:r w:rsidR="00F84571" w:rsidRPr="00DB5512">
        <w:t xml:space="preserve">Given the wide latitude for </w:t>
      </w:r>
      <w:r w:rsidR="001B0ACF">
        <w:t xml:space="preserve">a </w:t>
      </w:r>
      <w:r w:rsidR="00F84571" w:rsidRPr="00DB5512">
        <w:t>subjective governmental view on what constitutes extreme danger and the lack of coherent regulatory oversight, this category has</w:t>
      </w:r>
      <w:r w:rsidR="001B0ACF">
        <w:t xml:space="preserve"> </w:t>
      </w:r>
      <w:r w:rsidR="00F84571" w:rsidRPr="00DB5512">
        <w:t>significant and negative impact on the enjoyment of human rights</w:t>
      </w:r>
      <w:r w:rsidR="00E33492">
        <w:t>.</w:t>
      </w:r>
    </w:p>
    <w:p w14:paraId="0F107EF7" w14:textId="5942ABC9" w:rsidR="00F84571" w:rsidRPr="00DB5512" w:rsidRDefault="00CB613F">
      <w:pPr>
        <w:pStyle w:val="SingleTxtG"/>
      </w:pPr>
      <w:r>
        <w:t>18</w:t>
      </w:r>
      <w:r w:rsidR="00F84571" w:rsidRPr="00DB5512">
        <w:t>.</w:t>
      </w:r>
      <w:r w:rsidR="00F84571" w:rsidRPr="00DB5512">
        <w:tab/>
        <w:t xml:space="preserve">A key principle of domestic procedures is that they satisfy and enable the principle of legality and proclamation within </w:t>
      </w:r>
      <w:r w:rsidR="001B0ACF">
        <w:t xml:space="preserve">a </w:t>
      </w:r>
      <w:r w:rsidR="00485E08">
        <w:t>S</w:t>
      </w:r>
      <w:r w:rsidR="00F84571" w:rsidRPr="00DB5512">
        <w:t>tate</w:t>
      </w:r>
      <w:r w:rsidR="001B0ACF">
        <w:t xml:space="preserve"> and</w:t>
      </w:r>
      <w:r w:rsidR="00F84571" w:rsidRPr="00DB5512">
        <w:t xml:space="preserve"> giv</w:t>
      </w:r>
      <w:r w:rsidR="001B0ACF">
        <w:t>e</w:t>
      </w:r>
      <w:r w:rsidR="00F84571" w:rsidRPr="00DB5512">
        <w:t xml:space="preserve"> (ideally) ample and sufficient information to the public at large about the existence of a crisis and the specific legal means being used to address th</w:t>
      </w:r>
      <w:r w:rsidR="00A12E9C" w:rsidRPr="00DB5512">
        <w:t>e challenges faced</w:t>
      </w:r>
      <w:r w:rsidR="00F84571" w:rsidRPr="00DB5512">
        <w:t xml:space="preserve">. </w:t>
      </w:r>
      <w:r w:rsidR="001B0ACF">
        <w:t>F</w:t>
      </w:r>
      <w:r w:rsidR="00F84571" w:rsidRPr="00DB5512">
        <w:t xml:space="preserve">ailure to follow </w:t>
      </w:r>
      <w:r w:rsidR="001B0ACF">
        <w:t xml:space="preserve">the </w:t>
      </w:r>
      <w:r w:rsidR="00F84571" w:rsidRPr="00DB5512">
        <w:t>domestic legal proce</w:t>
      </w:r>
      <w:r w:rsidR="001B0ACF">
        <w:t>dure</w:t>
      </w:r>
      <w:r w:rsidR="006B7555">
        <w:t>s</w:t>
      </w:r>
      <w:r w:rsidR="001B0ACF">
        <w:t xml:space="preserve"> </w:t>
      </w:r>
      <w:r w:rsidR="00F84571" w:rsidRPr="00DB5512">
        <w:t>on the declaration of eme</w:t>
      </w:r>
      <w:r w:rsidR="00A12E9C" w:rsidRPr="00DB5512">
        <w:t>rgencies</w:t>
      </w:r>
      <w:r w:rsidR="001B0ACF">
        <w:t>,</w:t>
      </w:r>
      <w:r w:rsidR="00A12E9C" w:rsidRPr="00DB5512">
        <w:t xml:space="preserve"> including emergencies triggered</w:t>
      </w:r>
      <w:r w:rsidR="00F84571" w:rsidRPr="00DB5512">
        <w:t xml:space="preserve"> by terrorism</w:t>
      </w:r>
      <w:r w:rsidR="001B0ACF">
        <w:t>,</w:t>
      </w:r>
      <w:r w:rsidR="00F84571" w:rsidRPr="00DB5512">
        <w:t xml:space="preserve"> is an indication of a lack of accountability and transparenc</w:t>
      </w:r>
      <w:r w:rsidR="00A12E9C" w:rsidRPr="00DB5512">
        <w:t xml:space="preserve">y within national systems and </w:t>
      </w:r>
      <w:r w:rsidR="00F84571" w:rsidRPr="00DB5512">
        <w:t xml:space="preserve">weakness in the rule of law. </w:t>
      </w:r>
    </w:p>
    <w:p w14:paraId="06E38142" w14:textId="3E2299BB" w:rsidR="00F84571" w:rsidRPr="00DB5512" w:rsidRDefault="00CB613F" w:rsidP="00C956BA">
      <w:pPr>
        <w:pStyle w:val="SingleTxtG"/>
      </w:pPr>
      <w:r>
        <w:t>19</w:t>
      </w:r>
      <w:r w:rsidR="00497580">
        <w:t>.</w:t>
      </w:r>
      <w:r w:rsidR="00F84571" w:rsidRPr="00DB5512">
        <w:tab/>
      </w:r>
      <w:r w:rsidR="004C6EDB">
        <w:t xml:space="preserve">The </w:t>
      </w:r>
      <w:r w:rsidR="00AF065A">
        <w:t>Special</w:t>
      </w:r>
      <w:r w:rsidR="00F84571" w:rsidRPr="00DB5512">
        <w:t xml:space="preserve"> Rapporteur points out that supranational legal regulation</w:t>
      </w:r>
      <w:r w:rsidR="001B0ACF">
        <w:t>,</w:t>
      </w:r>
      <w:r w:rsidR="00F84571" w:rsidRPr="00DB5512">
        <w:t xml:space="preserve"> including such devices as Security Council </w:t>
      </w:r>
      <w:r w:rsidR="001B0ACF">
        <w:t>r</w:t>
      </w:r>
      <w:r w:rsidR="00F84571" w:rsidRPr="00DB5512">
        <w:t xml:space="preserve">esolutions and European Union </w:t>
      </w:r>
      <w:r w:rsidR="001B0ACF">
        <w:t>d</w:t>
      </w:r>
      <w:r w:rsidR="00F84571" w:rsidRPr="00DB5512">
        <w:t>irectives</w:t>
      </w:r>
      <w:r w:rsidR="001B0ACF">
        <w:t>,</w:t>
      </w:r>
      <w:r w:rsidR="00F84571" w:rsidRPr="00DB5512">
        <w:t xml:space="preserve"> can impinge on the prerogatives of national legal systems and undermine procedural and rights</w:t>
      </w:r>
      <w:r w:rsidR="00E33492">
        <w:t>-</w:t>
      </w:r>
      <w:r w:rsidR="00F84571" w:rsidRPr="00DB5512">
        <w:t xml:space="preserve">based protections entrenched in national law </w:t>
      </w:r>
      <w:r w:rsidR="001B0ACF">
        <w:t xml:space="preserve">that are </w:t>
      </w:r>
      <w:r w:rsidR="00F84571" w:rsidRPr="00DB5512">
        <w:t xml:space="preserve">designed precisely to protect against overreach by </w:t>
      </w:r>
      <w:r w:rsidR="00F84571" w:rsidRPr="00DB5512">
        <w:lastRenderedPageBreak/>
        <w:t xml:space="preserve">emergency powers. </w:t>
      </w:r>
      <w:r w:rsidR="004C6EDB">
        <w:t xml:space="preserve">The </w:t>
      </w:r>
      <w:r w:rsidR="00AF065A">
        <w:t>Special</w:t>
      </w:r>
      <w:r w:rsidR="00F84571" w:rsidRPr="00DB5512">
        <w:t xml:space="preserve"> Rapporteur affirms that international practice by supranational bodies</w:t>
      </w:r>
      <w:r w:rsidR="001B0ACF">
        <w:t xml:space="preserve"> </w:t>
      </w:r>
      <w:r w:rsidR="00F84571" w:rsidRPr="00DB5512">
        <w:t>address</w:t>
      </w:r>
      <w:r w:rsidR="006B7555">
        <w:t xml:space="preserve">ing </w:t>
      </w:r>
      <w:r w:rsidR="00F84571" w:rsidRPr="00DB5512">
        <w:t xml:space="preserve">terrorism must not impinge on the protection of rights in national constitutions and national procedures. This caution needs to be borne in mind given the increasingly dense production of global regulation </w:t>
      </w:r>
      <w:r w:rsidR="001B0ACF">
        <w:t>relating</w:t>
      </w:r>
      <w:r w:rsidR="00F84571" w:rsidRPr="00DB5512">
        <w:t xml:space="preserve"> to counter-terrorism and violent extremism, which is often deaf to domestic human rights protections and procedures</w:t>
      </w:r>
      <w:r w:rsidR="001B0ACF">
        <w:t xml:space="preserve"> that</w:t>
      </w:r>
      <w:r w:rsidR="00F84571" w:rsidRPr="00DB5512">
        <w:t xml:space="preserve"> amplify and support rights. </w:t>
      </w:r>
    </w:p>
    <w:p w14:paraId="60E264F1" w14:textId="50707393" w:rsidR="00F84571" w:rsidRPr="00DB5512" w:rsidRDefault="00F84571" w:rsidP="00C956BA">
      <w:pPr>
        <w:pStyle w:val="SingleTxtG"/>
      </w:pPr>
      <w:r w:rsidRPr="00DB5512">
        <w:t>2</w:t>
      </w:r>
      <w:r w:rsidR="00CB613F">
        <w:t>0</w:t>
      </w:r>
      <w:r w:rsidR="00497580">
        <w:t>.</w:t>
      </w:r>
      <w:r w:rsidRPr="00DB5512">
        <w:tab/>
        <w:t xml:space="preserve">Moreover, </w:t>
      </w:r>
      <w:r w:rsidR="004C6EDB">
        <w:t xml:space="preserve">the </w:t>
      </w:r>
      <w:r w:rsidR="00AF065A">
        <w:t>Special</w:t>
      </w:r>
      <w:r w:rsidRPr="00DB5512">
        <w:t xml:space="preserve"> Rapporteur </w:t>
      </w:r>
      <w:r w:rsidR="007A41B5">
        <w:t>is</w:t>
      </w:r>
      <w:r w:rsidRPr="00DB5512">
        <w:t xml:space="preserve"> concern</w:t>
      </w:r>
      <w:r w:rsidR="007A41B5">
        <w:t>ed</w:t>
      </w:r>
      <w:r w:rsidRPr="00DB5512">
        <w:t xml:space="preserve"> about the ways in which international obligations are used as a rationale for failing to conform to domestic </w:t>
      </w:r>
      <w:r w:rsidR="00BB4078">
        <w:t>human rights standards</w:t>
      </w:r>
      <w:r w:rsidR="00B736D2">
        <w:t>.</w:t>
      </w:r>
      <w:r w:rsidR="00840E68">
        <w:t xml:space="preserve"> </w:t>
      </w:r>
      <w:r w:rsidR="00B736D2">
        <w:t>International legal regulation should support</w:t>
      </w:r>
      <w:r w:rsidR="001B0ACF">
        <w:t xml:space="preserve"> —</w:t>
      </w:r>
      <w:r w:rsidR="00B736D2">
        <w:t xml:space="preserve"> not undercut</w:t>
      </w:r>
      <w:r w:rsidR="001B0ACF">
        <w:t xml:space="preserve"> —</w:t>
      </w:r>
      <w:r w:rsidR="00B736D2">
        <w:t xml:space="preserve"> domestic protections for human rights. </w:t>
      </w:r>
      <w:r w:rsidR="001B0ACF">
        <w:t>Given</w:t>
      </w:r>
      <w:r w:rsidR="00BB4078">
        <w:t xml:space="preserve"> the </w:t>
      </w:r>
      <w:r w:rsidR="001B0ACF">
        <w:t>adoption</w:t>
      </w:r>
      <w:r w:rsidR="00BB4078">
        <w:t xml:space="preserve"> of multiple</w:t>
      </w:r>
      <w:r w:rsidR="00B736D2">
        <w:t xml:space="preserve"> Security Council </w:t>
      </w:r>
      <w:r w:rsidR="001B0ACF">
        <w:t>r</w:t>
      </w:r>
      <w:r w:rsidR="00B736D2">
        <w:t xml:space="preserve">esolutions </w:t>
      </w:r>
      <w:r w:rsidR="00BB4078">
        <w:t xml:space="preserve">added to </w:t>
      </w:r>
      <w:r w:rsidR="001B0ACF">
        <w:t>the</w:t>
      </w:r>
      <w:r w:rsidR="00B736D2">
        <w:t xml:space="preserve"> variety of soft law</w:t>
      </w:r>
      <w:r w:rsidR="00BB4078">
        <w:t xml:space="preserve"> regulations</w:t>
      </w:r>
      <w:r w:rsidR="001B0ACF">
        <w:t>,</w:t>
      </w:r>
      <w:r w:rsidR="00B736D2">
        <w:t xml:space="preserve"> </w:t>
      </w:r>
      <w:r w:rsidR="004C6EDB">
        <w:t xml:space="preserve">the </w:t>
      </w:r>
      <w:r w:rsidR="00AF065A">
        <w:t>Special</w:t>
      </w:r>
      <w:r w:rsidR="00B736D2">
        <w:t xml:space="preserve"> Rapporteur observes </w:t>
      </w:r>
      <w:r w:rsidR="00BB4078">
        <w:t xml:space="preserve">that </w:t>
      </w:r>
      <w:r w:rsidRPr="00DB5512">
        <w:t>new forms of counter-terrorism regulation expressly work</w:t>
      </w:r>
      <w:r w:rsidR="001B0ACF">
        <w:t xml:space="preserve"> </w:t>
      </w:r>
      <w:r w:rsidRPr="00DB5512">
        <w:t>around or limit the full operation of domestic legal constraints</w:t>
      </w:r>
      <w:r w:rsidR="00BB4078">
        <w:t xml:space="preserve"> designed to protect human rights at the national level</w:t>
      </w:r>
      <w:r w:rsidR="00B736D2">
        <w:t>.</w:t>
      </w:r>
      <w:r w:rsidRPr="00DB5512">
        <w:t xml:space="preserve"> </w:t>
      </w:r>
      <w:r w:rsidR="00BB4078">
        <w:t>Specifically,</w:t>
      </w:r>
      <w:r w:rsidR="00BB4078" w:rsidRPr="00DB5512">
        <w:t xml:space="preserve"> </w:t>
      </w:r>
      <w:r w:rsidRPr="00DB5512">
        <w:t>supranational legal dictates</w:t>
      </w:r>
      <w:r w:rsidR="00BB4078">
        <w:t xml:space="preserve"> are </w:t>
      </w:r>
      <w:r w:rsidRPr="00DB5512">
        <w:t>fail</w:t>
      </w:r>
      <w:r w:rsidR="00BB4078">
        <w:t>ing</w:t>
      </w:r>
      <w:r w:rsidRPr="00DB5512">
        <w:t xml:space="preserve"> to pay attention to the legality requirements of national legal systems</w:t>
      </w:r>
      <w:r w:rsidR="00BB4078">
        <w:t>.</w:t>
      </w:r>
      <w:r w:rsidR="00BB4078" w:rsidRPr="00DB5512">
        <w:rPr>
          <w:vertAlign w:val="superscript"/>
        </w:rPr>
        <w:footnoteReference w:id="21"/>
      </w:r>
      <w:r w:rsidR="00BB4078" w:rsidRPr="00DB5512">
        <w:t xml:space="preserve"> </w:t>
      </w:r>
      <w:r w:rsidR="00BB4078">
        <w:t xml:space="preserve">In parallel, </w:t>
      </w:r>
      <w:r w:rsidR="004C6EDB">
        <w:t xml:space="preserve">the </w:t>
      </w:r>
      <w:r w:rsidR="00AF065A">
        <w:t>Special</w:t>
      </w:r>
      <w:r w:rsidR="00BB4078">
        <w:t xml:space="preserve"> Rapporteur notes</w:t>
      </w:r>
      <w:r w:rsidR="00296485">
        <w:t xml:space="preserve"> that</w:t>
      </w:r>
      <w:r w:rsidR="00BB4078">
        <w:t xml:space="preserve"> the</w:t>
      </w:r>
      <w:r w:rsidRPr="00DB5512">
        <w:t xml:space="preserve"> use of ordinary</w:t>
      </w:r>
      <w:r w:rsidR="00296485">
        <w:t xml:space="preserve"> counter-terrorism</w:t>
      </w:r>
      <w:r w:rsidRPr="00DB5512">
        <w:t xml:space="preserve"> law as a vehicle for substantive and far-reaching restrictions o</w:t>
      </w:r>
      <w:r w:rsidR="00F81728">
        <w:t>n</w:t>
      </w:r>
      <w:r w:rsidRPr="00DB5512">
        <w:t xml:space="preserve"> human </w:t>
      </w:r>
      <w:r w:rsidR="00296485">
        <w:t xml:space="preserve">rights </w:t>
      </w:r>
      <w:r w:rsidRPr="00DB5512">
        <w:t>circumvent</w:t>
      </w:r>
      <w:r w:rsidR="00BB4078">
        <w:t>s</w:t>
      </w:r>
      <w:r w:rsidRPr="00DB5512">
        <w:t xml:space="preserve"> the requirements of international law. It should also be remarked that governments are regularly fast-tracking extensive counter-terrorism legislation, leaving little time for consideration of the impact on rights, obfuscating compliance with international human rights law obligations and entrenching permanent securitization. </w:t>
      </w:r>
    </w:p>
    <w:p w14:paraId="667B47E4" w14:textId="77777777" w:rsidR="00F84571" w:rsidRPr="00DB5512" w:rsidRDefault="00F84571" w:rsidP="00F84571">
      <w:pPr>
        <w:pStyle w:val="HChG"/>
      </w:pPr>
      <w:r w:rsidRPr="00DB5512">
        <w:tab/>
        <w:t>II.</w:t>
      </w:r>
      <w:r w:rsidRPr="00DB5512">
        <w:tab/>
        <w:t xml:space="preserve">Declaration of emergency and the problem of </w:t>
      </w:r>
      <w:r w:rsidRPr="004E5468">
        <w:rPr>
          <w:iCs/>
        </w:rPr>
        <w:t>de facto</w:t>
      </w:r>
      <w:r w:rsidRPr="00DB5512">
        <w:t xml:space="preserve"> emergencies</w:t>
      </w:r>
    </w:p>
    <w:p w14:paraId="2281E805" w14:textId="77777777" w:rsidR="00F84571" w:rsidRPr="00DB5512" w:rsidRDefault="00F84571" w:rsidP="00F84571">
      <w:pPr>
        <w:pStyle w:val="H1G"/>
      </w:pPr>
      <w:r w:rsidRPr="00DB5512">
        <w:tab/>
        <w:t>A.</w:t>
      </w:r>
      <w:r w:rsidRPr="00DB5512">
        <w:tab/>
        <w:t>International law obligations and declaration</w:t>
      </w:r>
    </w:p>
    <w:p w14:paraId="6CAEDAC2" w14:textId="1DA9CC16" w:rsidR="00F84571" w:rsidRPr="00DB5512" w:rsidRDefault="00CB613F" w:rsidP="00374517">
      <w:pPr>
        <w:pStyle w:val="SingleTxtG"/>
      </w:pPr>
      <w:r w:rsidRPr="00DB5512">
        <w:t>2</w:t>
      </w:r>
      <w:r>
        <w:t>1</w:t>
      </w:r>
      <w:r w:rsidR="00F84571" w:rsidRPr="00DB5512">
        <w:t>.</w:t>
      </w:r>
      <w:r w:rsidR="00F84571" w:rsidRPr="00DB5512">
        <w:tab/>
        <w:t xml:space="preserve">An uncontroversial principle governing the use of emergency powers is that the </w:t>
      </w:r>
      <w:r w:rsidR="002B2330" w:rsidRPr="00DB5512">
        <w:t>existence</w:t>
      </w:r>
      <w:r w:rsidR="00F84571" w:rsidRPr="00DB5512">
        <w:t xml:space="preserve"> of </w:t>
      </w:r>
      <w:r w:rsidR="002B2330" w:rsidRPr="00DB5512">
        <w:t xml:space="preserve">an </w:t>
      </w:r>
      <w:r w:rsidR="00F84571" w:rsidRPr="00DB5512">
        <w:t>emergency and the modification of legal regulation affecting the exercise of human rights be public and notified. In general, declaration</w:t>
      </w:r>
      <w:r w:rsidR="007556BB" w:rsidRPr="00DB5512">
        <w:t>s</w:t>
      </w:r>
      <w:r w:rsidR="00F84571" w:rsidRPr="00DB5512">
        <w:t xml:space="preserve"> of emergency in international treaty law require speedy formal notification of derogation to other States</w:t>
      </w:r>
      <w:r w:rsidR="006A113A">
        <w:t xml:space="preserve"> </w:t>
      </w:r>
      <w:r w:rsidR="00954113">
        <w:t>p</w:t>
      </w:r>
      <w:r w:rsidR="006A113A">
        <w:t>arties</w:t>
      </w:r>
      <w:r w:rsidR="00F84571" w:rsidRPr="00DB5512">
        <w:t xml:space="preserve"> whe</w:t>
      </w:r>
      <w:r w:rsidR="00C27E01" w:rsidRPr="00DB5512">
        <w:t>n</w:t>
      </w:r>
      <w:r w:rsidR="00351D40">
        <w:t xml:space="preserve"> a</w:t>
      </w:r>
      <w:r w:rsidR="00F84571" w:rsidRPr="00DB5512">
        <w:t xml:space="preserve"> </w:t>
      </w:r>
      <w:r w:rsidR="00485E08">
        <w:t>S</w:t>
      </w:r>
      <w:r w:rsidR="00F84571" w:rsidRPr="00DB5512">
        <w:t xml:space="preserve">tate is taking express measures to limit the full protection of human rights under domestic law. </w:t>
      </w:r>
      <w:r w:rsidR="00C27E01" w:rsidRPr="00DB5512">
        <w:t xml:space="preserve">States should </w:t>
      </w:r>
      <w:r w:rsidR="00351D40">
        <w:t xml:space="preserve">also </w:t>
      </w:r>
      <w:r w:rsidR="00C27E01" w:rsidRPr="00DB5512">
        <w:t>identify</w:t>
      </w:r>
      <w:r w:rsidR="00F84571" w:rsidRPr="00DB5512">
        <w:t xml:space="preserve"> the measures taken and their effect on the enjoyment of </w:t>
      </w:r>
      <w:r w:rsidR="005775AB">
        <w:t xml:space="preserve">the rights and freedoms contained in </w:t>
      </w:r>
      <w:r w:rsidR="00F84571" w:rsidRPr="00DB5512">
        <w:t xml:space="preserve">particular treaty articles. </w:t>
      </w:r>
      <w:r w:rsidR="00351D40">
        <w:t xml:space="preserve">The </w:t>
      </w:r>
      <w:r w:rsidR="00AF065A">
        <w:t>I</w:t>
      </w:r>
      <w:r w:rsidR="00351D40">
        <w:t xml:space="preserve">nternational </w:t>
      </w:r>
      <w:r w:rsidR="00AF065A">
        <w:t>C</w:t>
      </w:r>
      <w:r w:rsidR="00351D40">
        <w:t xml:space="preserve">ovenant on </w:t>
      </w:r>
      <w:r w:rsidR="00AF065A">
        <w:t>C</w:t>
      </w:r>
      <w:r w:rsidR="00351D40">
        <w:t xml:space="preserve">ivil and </w:t>
      </w:r>
      <w:r w:rsidR="00AF065A">
        <w:t>P</w:t>
      </w:r>
      <w:r w:rsidR="00351D40">
        <w:t xml:space="preserve">olitical </w:t>
      </w:r>
      <w:r w:rsidR="00AF065A">
        <w:t>R</w:t>
      </w:r>
      <w:r w:rsidR="00351D40">
        <w:t>ights</w:t>
      </w:r>
      <w:r w:rsidR="005775AB">
        <w:t xml:space="preserve">, </w:t>
      </w:r>
      <w:r w:rsidR="00351D40">
        <w:t xml:space="preserve">the </w:t>
      </w:r>
      <w:r w:rsidR="005775AB">
        <w:t>E</w:t>
      </w:r>
      <w:r w:rsidR="00351D40">
        <w:t xml:space="preserve">uropean </w:t>
      </w:r>
      <w:r w:rsidR="005775AB">
        <w:t>C</w:t>
      </w:r>
      <w:r w:rsidR="00351D40">
        <w:t xml:space="preserve">onvention on </w:t>
      </w:r>
      <w:r w:rsidR="005775AB">
        <w:t>H</w:t>
      </w:r>
      <w:r w:rsidR="00351D40">
        <w:t xml:space="preserve">uman </w:t>
      </w:r>
      <w:r w:rsidR="005775AB">
        <w:t>R</w:t>
      </w:r>
      <w:r w:rsidR="00351D40">
        <w:t>ights</w:t>
      </w:r>
      <w:r w:rsidR="00F84571" w:rsidRPr="00DB5512">
        <w:t xml:space="preserve"> and </w:t>
      </w:r>
      <w:r w:rsidR="00351D40">
        <w:t xml:space="preserve">the </w:t>
      </w:r>
      <w:r w:rsidR="00F84571" w:rsidRPr="00DB5512">
        <w:t>American Convention</w:t>
      </w:r>
      <w:r w:rsidR="00351D40">
        <w:t xml:space="preserve"> on Human Rights</w:t>
      </w:r>
      <w:r w:rsidR="00F84571" w:rsidRPr="00DB5512">
        <w:t xml:space="preserve"> </w:t>
      </w:r>
      <w:r w:rsidR="00161AD6">
        <w:t>require</w:t>
      </w:r>
      <w:r w:rsidR="00F84571" w:rsidRPr="00DB5512">
        <w:t xml:space="preserve"> </w:t>
      </w:r>
      <w:r w:rsidR="00351D40">
        <w:t xml:space="preserve">States to provide </w:t>
      </w:r>
      <w:r w:rsidR="00F84571" w:rsidRPr="00DB5512">
        <w:t xml:space="preserve">the reasons for </w:t>
      </w:r>
      <w:r w:rsidR="00C27E01" w:rsidRPr="00DB5512">
        <w:t>derogation</w:t>
      </w:r>
      <w:r w:rsidR="00F84571" w:rsidRPr="00DB5512">
        <w:t>. Th</w:t>
      </w:r>
      <w:r w:rsidR="00351D40">
        <w:t>e</w:t>
      </w:r>
      <w:r w:rsidR="00F84571" w:rsidRPr="00DB5512">
        <w:t xml:space="preserve"> communication </w:t>
      </w:r>
      <w:r w:rsidR="00351D40">
        <w:t>should</w:t>
      </w:r>
      <w:r w:rsidR="00F84571" w:rsidRPr="00DB5512">
        <w:t xml:space="preserve"> </w:t>
      </w:r>
      <w:r w:rsidR="00351D40">
        <w:t>normally be</w:t>
      </w:r>
      <w:r w:rsidR="00F84571" w:rsidRPr="00DB5512">
        <w:t xml:space="preserve"> </w:t>
      </w:r>
      <w:r w:rsidR="00351D40">
        <w:t xml:space="preserve">submitted </w:t>
      </w:r>
      <w:r w:rsidR="00C27E01" w:rsidRPr="00DB5512">
        <w:t xml:space="preserve">to the treaty </w:t>
      </w:r>
      <w:r w:rsidR="00F84571" w:rsidRPr="00DB5512">
        <w:t>depository. A</w:t>
      </w:r>
      <w:r w:rsidR="00351D40">
        <w:t>nother</w:t>
      </w:r>
      <w:r w:rsidR="00F84571" w:rsidRPr="00DB5512">
        <w:t xml:space="preserve"> communication </w:t>
      </w:r>
      <w:r w:rsidR="00351D40">
        <w:t>should be submitted</w:t>
      </w:r>
      <w:r w:rsidR="00C27E01" w:rsidRPr="00DB5512">
        <w:t xml:space="preserve"> when</w:t>
      </w:r>
      <w:r w:rsidR="00F84571" w:rsidRPr="00DB5512">
        <w:t xml:space="preserve"> </w:t>
      </w:r>
      <w:r w:rsidR="00374517">
        <w:t xml:space="preserve">the </w:t>
      </w:r>
      <w:r w:rsidR="00F84571" w:rsidRPr="00DB5512">
        <w:t xml:space="preserve">State terminates </w:t>
      </w:r>
      <w:r w:rsidR="00374517">
        <w:t>the</w:t>
      </w:r>
      <w:r w:rsidR="00F84571" w:rsidRPr="00DB5512">
        <w:t xml:space="preserve"> derogation. </w:t>
      </w:r>
      <w:r w:rsidR="00351D40">
        <w:t>The Covenant and the European and American c</w:t>
      </w:r>
      <w:r w:rsidR="00C27E01" w:rsidRPr="00DB5512">
        <w:t>onvention</w:t>
      </w:r>
      <w:r w:rsidR="00351D40">
        <w:t>s</w:t>
      </w:r>
      <w:r w:rsidR="00C27E01" w:rsidRPr="00DB5512">
        <w:t xml:space="preserve"> </w:t>
      </w:r>
      <w:r w:rsidR="00F84571" w:rsidRPr="00DB5512">
        <w:t xml:space="preserve">all require </w:t>
      </w:r>
      <w:r w:rsidR="00C27E01" w:rsidRPr="00DB5512">
        <w:t>that rights protection be</w:t>
      </w:r>
      <w:r w:rsidR="00F84571" w:rsidRPr="00DB5512">
        <w:t xml:space="preserve"> fully restore</w:t>
      </w:r>
      <w:r w:rsidR="00C27E01" w:rsidRPr="00DB5512">
        <w:t>d</w:t>
      </w:r>
      <w:r w:rsidR="00F84571" w:rsidRPr="00DB5512">
        <w:t xml:space="preserve"> </w:t>
      </w:r>
      <w:r w:rsidR="00C27E01" w:rsidRPr="00DB5512">
        <w:t>when derogation ends</w:t>
      </w:r>
      <w:r w:rsidR="00F84571" w:rsidRPr="00DB5512">
        <w:t>.</w:t>
      </w:r>
    </w:p>
    <w:p w14:paraId="0B0B479B" w14:textId="05506F25" w:rsidR="00F84571" w:rsidRPr="00DB5512" w:rsidRDefault="00CB613F" w:rsidP="00B73283">
      <w:pPr>
        <w:pStyle w:val="SingleTxtG"/>
      </w:pPr>
      <w:r w:rsidRPr="00DB5512">
        <w:t>2</w:t>
      </w:r>
      <w:r>
        <w:t>2</w:t>
      </w:r>
      <w:r w:rsidR="00F84571" w:rsidRPr="00DB5512">
        <w:t>.</w:t>
      </w:r>
      <w:r w:rsidR="00F84571" w:rsidRPr="00DB5512">
        <w:tab/>
        <w:t xml:space="preserve">Derogation </w:t>
      </w:r>
      <w:r w:rsidR="004C6EDB">
        <w:t>constitutes</w:t>
      </w:r>
      <w:r w:rsidR="004C6EDB" w:rsidRPr="00DB5512">
        <w:t xml:space="preserve"> </w:t>
      </w:r>
      <w:r w:rsidR="00F84571" w:rsidRPr="00DB5512">
        <w:t xml:space="preserve">a treaty obligation for States </w:t>
      </w:r>
      <w:r w:rsidR="00351D40">
        <w:t>p</w:t>
      </w:r>
      <w:r w:rsidR="00F84571" w:rsidRPr="00DB5512">
        <w:t>arties to international human rights treaties</w:t>
      </w:r>
      <w:r w:rsidR="004C6EDB">
        <w:t xml:space="preserve"> when certain conditions are met</w:t>
      </w:r>
      <w:r w:rsidR="00F84571" w:rsidRPr="00DB5512">
        <w:t xml:space="preserve">. </w:t>
      </w:r>
      <w:r w:rsidR="00351D40">
        <w:t>T</w:t>
      </w:r>
      <w:r w:rsidR="004C6EDB">
        <w:t xml:space="preserve">he </w:t>
      </w:r>
      <w:r w:rsidR="00AF065A">
        <w:t>Special</w:t>
      </w:r>
      <w:r w:rsidR="00F84571" w:rsidRPr="00DB5512">
        <w:t xml:space="preserve"> Rapporteur affirms the </w:t>
      </w:r>
      <w:r w:rsidR="004C6EDB">
        <w:t>obligatory dimensions</w:t>
      </w:r>
      <w:r w:rsidR="00F84571" w:rsidRPr="00DB5512">
        <w:t xml:space="preserve"> of derogation as necessary for transparency and accountability when States exercise emergency powers</w:t>
      </w:r>
      <w:r w:rsidR="0087638F">
        <w:t>.</w:t>
      </w:r>
      <w:r w:rsidR="0087638F" w:rsidRPr="00DB5512">
        <w:t xml:space="preserve"> </w:t>
      </w:r>
      <w:r w:rsidR="0087638F">
        <w:t>S</w:t>
      </w:r>
      <w:r w:rsidR="00F84571" w:rsidRPr="00DB5512">
        <w:t>pecifically</w:t>
      </w:r>
      <w:r w:rsidR="00351D40">
        <w:t>,</w:t>
      </w:r>
      <w:r w:rsidR="00F84571" w:rsidRPr="00DB5512">
        <w:t xml:space="preserve"> </w:t>
      </w:r>
      <w:r w:rsidR="0087638F">
        <w:t xml:space="preserve">derogation applies </w:t>
      </w:r>
      <w:r w:rsidR="00F84571" w:rsidRPr="00DB5512">
        <w:t>when counter-terrorism laws enable the use of emergency powers and/or function as a form of de facto emergency</w:t>
      </w:r>
      <w:r w:rsidR="00351D40">
        <w:t xml:space="preserve"> that</w:t>
      </w:r>
      <w:r w:rsidR="00F84571" w:rsidRPr="00DB5512">
        <w:t xml:space="preserve"> substantially affect</w:t>
      </w:r>
      <w:r w:rsidR="00351D40">
        <w:t>s</w:t>
      </w:r>
      <w:r w:rsidR="00F84571" w:rsidRPr="00DB5512">
        <w:t xml:space="preserve"> the full enjoyment of human rights. The failure to derogate creates grey zones of State practice. It leaves open the possibility for abuse of emergency powers premised on the actuality or threat of terrorism and undermines the integrity of human rights obligations.</w:t>
      </w:r>
    </w:p>
    <w:p w14:paraId="700AED06" w14:textId="2CD1D872" w:rsidR="00C27E01" w:rsidRPr="00DB5512" w:rsidRDefault="00CB613F">
      <w:pPr>
        <w:pStyle w:val="SingleTxtG"/>
      </w:pPr>
      <w:r w:rsidRPr="00DB5512">
        <w:t>2</w:t>
      </w:r>
      <w:r>
        <w:t>3</w:t>
      </w:r>
      <w:r w:rsidR="00F84571" w:rsidRPr="00DB5512">
        <w:t>.</w:t>
      </w:r>
      <w:r w:rsidR="00F84571" w:rsidRPr="00DB5512">
        <w:tab/>
        <w:t xml:space="preserve">The second procedural prong of derogation is the requirement of proclamation, which is closely </w:t>
      </w:r>
      <w:r w:rsidR="00161AD6">
        <w:t>linked</w:t>
      </w:r>
      <w:r w:rsidR="00F84571" w:rsidRPr="00DB5512">
        <w:t xml:space="preserve"> </w:t>
      </w:r>
      <w:r w:rsidR="00161AD6">
        <w:t>to</w:t>
      </w:r>
      <w:r w:rsidR="00F84571" w:rsidRPr="00DB5512">
        <w:t xml:space="preserve"> the goal of legality. States </w:t>
      </w:r>
      <w:r w:rsidR="00ED5797">
        <w:t>utilizing</w:t>
      </w:r>
      <w:r w:rsidR="00F84571" w:rsidRPr="00DB5512">
        <w:t xml:space="preserve"> emergency powers, whether displacing the o</w:t>
      </w:r>
      <w:r w:rsidR="00C27E01" w:rsidRPr="00DB5512">
        <w:t>rdinary law to address a crisis</w:t>
      </w:r>
      <w:r w:rsidR="00F84571" w:rsidRPr="00DB5512">
        <w:t xml:space="preserve"> or using the ordinary law as a vehicle to limit the full exercise of human rights, have an obligation to </w:t>
      </w:r>
      <w:r w:rsidR="00161AD6">
        <w:t>inform</w:t>
      </w:r>
      <w:r w:rsidR="00F84571" w:rsidRPr="00DB5512">
        <w:t xml:space="preserve"> their citizens and those </w:t>
      </w:r>
      <w:r w:rsidR="00CB6A51">
        <w:t xml:space="preserve">subject to </w:t>
      </w:r>
      <w:r w:rsidR="00F84571" w:rsidRPr="00DB5512">
        <w:t xml:space="preserve">their </w:t>
      </w:r>
      <w:r w:rsidR="00F84571" w:rsidRPr="00DB5512">
        <w:lastRenderedPageBreak/>
        <w:t xml:space="preserve">jurisdiction that the legal rules have changed. Proclamation promotes rule of law, transparency and the possibility of contestation if the emergency powers are excessive, disproportionate or at odds with other legal rules in the jurisdiction. </w:t>
      </w:r>
      <w:r w:rsidR="004C6EDB">
        <w:t xml:space="preserve">The </w:t>
      </w:r>
      <w:r w:rsidR="00AF065A">
        <w:t>Special</w:t>
      </w:r>
      <w:r w:rsidR="00F84571" w:rsidRPr="00DB5512">
        <w:t xml:space="preserve"> Rapporteur underscores that</w:t>
      </w:r>
      <w:r w:rsidR="00161AD6">
        <w:t>,</w:t>
      </w:r>
      <w:r w:rsidR="00F84571" w:rsidRPr="00DB5512">
        <w:t xml:space="preserve"> for </w:t>
      </w:r>
      <w:r w:rsidR="00161AD6">
        <w:t>S</w:t>
      </w:r>
      <w:r w:rsidR="00F84571" w:rsidRPr="00DB5512">
        <w:t xml:space="preserve">tates </w:t>
      </w:r>
      <w:r w:rsidR="00161AD6">
        <w:t xml:space="preserve">that </w:t>
      </w:r>
      <w:r w:rsidR="00F84571" w:rsidRPr="00DB5512">
        <w:t xml:space="preserve">have not signed </w:t>
      </w:r>
      <w:r w:rsidR="00161AD6">
        <w:t xml:space="preserve">the International </w:t>
      </w:r>
      <w:r w:rsidR="00AF065A">
        <w:t>C</w:t>
      </w:r>
      <w:r w:rsidR="00161AD6">
        <w:t xml:space="preserve">ovenant on </w:t>
      </w:r>
      <w:r w:rsidR="00AF065A">
        <w:t>C</w:t>
      </w:r>
      <w:r w:rsidR="00161AD6">
        <w:t xml:space="preserve">ivil and </w:t>
      </w:r>
      <w:r w:rsidR="00AF065A">
        <w:t>P</w:t>
      </w:r>
      <w:r w:rsidR="00161AD6">
        <w:t xml:space="preserve">olitical </w:t>
      </w:r>
      <w:r w:rsidR="00AF065A">
        <w:t>R</w:t>
      </w:r>
      <w:r w:rsidR="00161AD6">
        <w:t>ights</w:t>
      </w:r>
      <w:r w:rsidR="00F84571" w:rsidRPr="00DB5512">
        <w:t xml:space="preserve"> or </w:t>
      </w:r>
      <w:r w:rsidR="00161AD6">
        <w:t xml:space="preserve">other </w:t>
      </w:r>
      <w:r w:rsidR="00F84571" w:rsidRPr="00DB5512">
        <w:t>relevant regional human rights conventions</w:t>
      </w:r>
      <w:r w:rsidR="00161AD6">
        <w:t>,</w:t>
      </w:r>
      <w:r w:rsidR="00F84571" w:rsidRPr="00DB5512">
        <w:t xml:space="preserve"> emergency proclamation remains essential good practice</w:t>
      </w:r>
      <w:r w:rsidR="0087638F">
        <w:t>.</w:t>
      </w:r>
      <w:r w:rsidR="0087638F" w:rsidRPr="00DB5512">
        <w:t xml:space="preserve"> </w:t>
      </w:r>
      <w:r w:rsidR="00161AD6">
        <w:t>It</w:t>
      </w:r>
      <w:r w:rsidR="0087638F" w:rsidRPr="00DB5512">
        <w:t xml:space="preserve"> </w:t>
      </w:r>
      <w:r w:rsidR="0087638F">
        <w:t>re</w:t>
      </w:r>
      <w:r w:rsidR="00F84571" w:rsidRPr="00DB5512">
        <w:t>affirm</w:t>
      </w:r>
      <w:r w:rsidR="00161AD6">
        <w:t>s</w:t>
      </w:r>
      <w:r w:rsidR="00F84571" w:rsidRPr="00DB5512">
        <w:t xml:space="preserve"> </w:t>
      </w:r>
      <w:r w:rsidR="0087638F">
        <w:t xml:space="preserve">the </w:t>
      </w:r>
      <w:r w:rsidR="00F84571" w:rsidRPr="00DB5512">
        <w:t xml:space="preserve">broader </w:t>
      </w:r>
      <w:r w:rsidR="0087638F">
        <w:t>obligations</w:t>
      </w:r>
      <w:r w:rsidR="0087638F" w:rsidRPr="00DB5512">
        <w:t xml:space="preserve"> </w:t>
      </w:r>
      <w:r w:rsidR="00F84571" w:rsidRPr="00DB5512">
        <w:t xml:space="preserve">to human rights protections contained in customary international law that apply in both war and peace times. </w:t>
      </w:r>
    </w:p>
    <w:p w14:paraId="43F3D0F8" w14:textId="020ABEB0" w:rsidR="00F84571" w:rsidRPr="00DB5512" w:rsidRDefault="00CB613F">
      <w:pPr>
        <w:pStyle w:val="SingleTxtG"/>
      </w:pPr>
      <w:r w:rsidRPr="00DB5512">
        <w:t>2</w:t>
      </w:r>
      <w:r>
        <w:t>4</w:t>
      </w:r>
      <w:r w:rsidR="00F84571" w:rsidRPr="00DB5512">
        <w:t>.</w:t>
      </w:r>
      <w:r w:rsidR="00F84571" w:rsidRPr="00DB5512">
        <w:tab/>
        <w:t xml:space="preserve">Domestically, many </w:t>
      </w:r>
      <w:r w:rsidR="00161AD6">
        <w:t>S</w:t>
      </w:r>
      <w:r w:rsidR="00F84571" w:rsidRPr="00DB5512">
        <w:t xml:space="preserve">tates have </w:t>
      </w:r>
      <w:r w:rsidR="00161AD6">
        <w:t>the</w:t>
      </w:r>
      <w:r w:rsidR="00F84571" w:rsidRPr="00DB5512">
        <w:t xml:space="preserve"> requirement of proclamation. Proclamation must be meaningful and more than merely procedural to the internal workings of </w:t>
      </w:r>
      <w:r w:rsidR="00161AD6">
        <w:t>G</w:t>
      </w:r>
      <w:r w:rsidR="00F84571" w:rsidRPr="00DB5512">
        <w:t>overnment. Proclamation must be provided by a clear and accessible source</w:t>
      </w:r>
      <w:r w:rsidR="00161AD6">
        <w:t>, and</w:t>
      </w:r>
      <w:r w:rsidR="00B20513" w:rsidRPr="00DB5512">
        <w:t xml:space="preserve"> </w:t>
      </w:r>
      <w:r w:rsidR="00E105FB">
        <w:t xml:space="preserve">be </w:t>
      </w:r>
      <w:r w:rsidR="00F84571" w:rsidRPr="00DB5512">
        <w:t xml:space="preserve">public, available and understandable to the public at large. Good practice by </w:t>
      </w:r>
      <w:r w:rsidR="00161AD6">
        <w:t>S</w:t>
      </w:r>
      <w:r w:rsidR="00F84571" w:rsidRPr="00DB5512">
        <w:t xml:space="preserve">tates would ensure that proclamation is undertaken in all the official languages of </w:t>
      </w:r>
      <w:r w:rsidR="00161AD6">
        <w:t xml:space="preserve">the </w:t>
      </w:r>
      <w:r w:rsidR="00485E08">
        <w:t>S</w:t>
      </w:r>
      <w:r w:rsidR="00F84571" w:rsidRPr="00DB5512">
        <w:t xml:space="preserve">tate, as well as in languages used by a broad segment of the population. Given that the counter-terrorism laws increasingly involve criminal regulation of activities that might not previously have been deemed criminal acts by </w:t>
      </w:r>
      <w:r w:rsidR="00161AD6">
        <w:t>S</w:t>
      </w:r>
      <w:r w:rsidR="00F84571" w:rsidRPr="00DB5512">
        <w:t xml:space="preserve">tates, </w:t>
      </w:r>
      <w:r w:rsidR="00161AD6">
        <w:t>together</w:t>
      </w:r>
      <w:r w:rsidR="00C038A6" w:rsidRPr="00DB5512">
        <w:t xml:space="preserve"> with</w:t>
      </w:r>
      <w:r w:rsidR="00F84571" w:rsidRPr="00DB5512">
        <w:t xml:space="preserve"> ever-widening national definitions of terrorism,</w:t>
      </w:r>
      <w:r w:rsidR="00F84571" w:rsidRPr="00DB5512">
        <w:rPr>
          <w:vertAlign w:val="superscript"/>
        </w:rPr>
        <w:footnoteReference w:id="22"/>
      </w:r>
      <w:r w:rsidR="00F84571" w:rsidRPr="00DB5512">
        <w:t xml:space="preserve"> </w:t>
      </w:r>
      <w:r w:rsidR="00ED5797">
        <w:t xml:space="preserve">the </w:t>
      </w:r>
      <w:r w:rsidR="00AF065A">
        <w:t>Special</w:t>
      </w:r>
      <w:r w:rsidR="00F84571" w:rsidRPr="00DB5512">
        <w:t xml:space="preserve"> Rapporteur underscores the importance of meaningful notification as </w:t>
      </w:r>
      <w:r w:rsidR="00161AD6">
        <w:t xml:space="preserve">being </w:t>
      </w:r>
      <w:r w:rsidR="00F84571" w:rsidRPr="00DB5512">
        <w:t xml:space="preserve">essential to the fulfilment of the principle of </w:t>
      </w:r>
      <w:r w:rsidR="00F84571" w:rsidRPr="00DB5512">
        <w:rPr>
          <w:i/>
        </w:rPr>
        <w:t>nullem crimen sine lege</w:t>
      </w:r>
      <w:r w:rsidR="00F84571" w:rsidRPr="00DB5512">
        <w:t>.</w:t>
      </w:r>
    </w:p>
    <w:p w14:paraId="7BA48EAF" w14:textId="096949CF" w:rsidR="00F84571" w:rsidRPr="00DB5512" w:rsidRDefault="00CB613F">
      <w:pPr>
        <w:pStyle w:val="SingleTxtG"/>
      </w:pPr>
      <w:r w:rsidRPr="00DB5512">
        <w:t>2</w:t>
      </w:r>
      <w:r>
        <w:t>5</w:t>
      </w:r>
      <w:r w:rsidR="00F84571" w:rsidRPr="00DB5512">
        <w:t>.</w:t>
      </w:r>
      <w:r w:rsidR="00F84571" w:rsidRPr="00DB5512">
        <w:tab/>
        <w:t xml:space="preserve">The exercise of emergency powers, including those </w:t>
      </w:r>
      <w:r w:rsidR="00161AD6">
        <w:t>provided for</w:t>
      </w:r>
      <w:r w:rsidR="00F84571" w:rsidRPr="00DB5512">
        <w:t xml:space="preserve"> in counter-terrorism legislation</w:t>
      </w:r>
      <w:r w:rsidR="00161AD6">
        <w:t>,</w:t>
      </w:r>
      <w:r w:rsidR="00F84571" w:rsidRPr="00DB5512">
        <w:t xml:space="preserve"> or executive action must be consistent with each </w:t>
      </w:r>
      <w:r w:rsidR="00161AD6">
        <w:t>S</w:t>
      </w:r>
      <w:r w:rsidR="00F84571" w:rsidRPr="00DB5512">
        <w:t>tate’</w:t>
      </w:r>
      <w:r w:rsidR="00161AD6">
        <w:t>s</w:t>
      </w:r>
      <w:r w:rsidR="00F84571" w:rsidRPr="00DB5512">
        <w:t xml:space="preserve"> other obligations under international law</w:t>
      </w:r>
      <w:r w:rsidR="00161AD6">
        <w:t xml:space="preserve">, </w:t>
      </w:r>
      <w:r w:rsidR="00F84571" w:rsidRPr="00DB5512">
        <w:t>includ</w:t>
      </w:r>
      <w:r w:rsidR="00161AD6">
        <w:t xml:space="preserve">ing </w:t>
      </w:r>
      <w:r w:rsidR="00F84571" w:rsidRPr="00DB5512">
        <w:t>the law o</w:t>
      </w:r>
      <w:r w:rsidR="00CB6A51">
        <w:t>f</w:t>
      </w:r>
      <w:r w:rsidR="00F84571" w:rsidRPr="00DB5512">
        <w:t xml:space="preserve"> armed conflict, international criminal law and international refugee law.</w:t>
      </w:r>
      <w:r w:rsidR="00F84571" w:rsidRPr="00DB5512">
        <w:rPr>
          <w:vertAlign w:val="superscript"/>
        </w:rPr>
        <w:footnoteReference w:id="23"/>
      </w:r>
    </w:p>
    <w:p w14:paraId="7302D28C" w14:textId="77777777" w:rsidR="00F84571" w:rsidRPr="00DB5512" w:rsidRDefault="00F84571" w:rsidP="00F84571">
      <w:pPr>
        <w:pStyle w:val="H1G"/>
      </w:pPr>
      <w:r w:rsidRPr="00DB5512">
        <w:tab/>
        <w:t>B.</w:t>
      </w:r>
      <w:r w:rsidRPr="00DB5512">
        <w:tab/>
        <w:t>International oversight of declaration of emergency</w:t>
      </w:r>
    </w:p>
    <w:p w14:paraId="4E54322E" w14:textId="25F61D4F" w:rsidR="00F84571" w:rsidRPr="00DB5512" w:rsidRDefault="00CB613F">
      <w:pPr>
        <w:pStyle w:val="SingleTxtG"/>
      </w:pPr>
      <w:r w:rsidRPr="00DB5512">
        <w:t>2</w:t>
      </w:r>
      <w:r>
        <w:t>6</w:t>
      </w:r>
      <w:r w:rsidR="00F84571" w:rsidRPr="00DB5512">
        <w:t>.</w:t>
      </w:r>
      <w:r w:rsidR="00F84571" w:rsidRPr="00DB5512">
        <w:tab/>
        <w:t xml:space="preserve">In practice, notification and proclamation have two limitations. The first is the </w:t>
      </w:r>
      <w:r w:rsidR="00B73283">
        <w:t>“</w:t>
      </w:r>
      <w:r w:rsidR="00F84571" w:rsidRPr="00DB5512">
        <w:t>check-box</w:t>
      </w:r>
      <w:r w:rsidR="00B73283">
        <w:t>”</w:t>
      </w:r>
      <w:r w:rsidR="00F84571" w:rsidRPr="00DB5512">
        <w:t xml:space="preserve"> </w:t>
      </w:r>
      <w:r w:rsidR="00B73283">
        <w:t>approach</w:t>
      </w:r>
      <w:r w:rsidR="00F84571" w:rsidRPr="00DB5512">
        <w:t xml:space="preserve"> that </w:t>
      </w:r>
      <w:r w:rsidR="00B73283">
        <w:t xml:space="preserve">seems to </w:t>
      </w:r>
      <w:r w:rsidR="00F84571" w:rsidRPr="00DB5512">
        <w:t xml:space="preserve">follow </w:t>
      </w:r>
      <w:r w:rsidR="00B73283">
        <w:t>when</w:t>
      </w:r>
      <w:r w:rsidR="00F84571" w:rsidRPr="00DB5512">
        <w:t xml:space="preserve"> an emergency is </w:t>
      </w:r>
      <w:r w:rsidR="00B73283">
        <w:t>communicated</w:t>
      </w:r>
      <w:r w:rsidR="00B73283" w:rsidRPr="00DB5512">
        <w:t xml:space="preserve"> </w:t>
      </w:r>
      <w:r w:rsidR="00F84571" w:rsidRPr="00DB5512">
        <w:t xml:space="preserve">by a State </w:t>
      </w:r>
      <w:r w:rsidR="00485E08">
        <w:t>p</w:t>
      </w:r>
      <w:r w:rsidR="00F84571" w:rsidRPr="00DB5512">
        <w:t xml:space="preserve">arty. The </w:t>
      </w:r>
      <w:r w:rsidR="00B73283">
        <w:t xml:space="preserve">treaty </w:t>
      </w:r>
      <w:r w:rsidR="00F84571" w:rsidRPr="00DB5512">
        <w:t xml:space="preserve">depositories and the human rights </w:t>
      </w:r>
      <w:r w:rsidR="00895BCB">
        <w:t>bodies</w:t>
      </w:r>
      <w:r w:rsidR="00895BCB" w:rsidRPr="00DB5512">
        <w:t xml:space="preserve"> </w:t>
      </w:r>
      <w:r w:rsidR="00F84571" w:rsidRPr="00DB5512">
        <w:t>monitoring the implementation of the treaties have rarely taken the notification as a basis for</w:t>
      </w:r>
      <w:r w:rsidR="00814EF5">
        <w:t xml:space="preserve"> </w:t>
      </w:r>
      <w:r w:rsidR="00F84571" w:rsidRPr="00DB5512">
        <w:t xml:space="preserve">robust engagement with </w:t>
      </w:r>
      <w:r w:rsidR="00B73283">
        <w:t>S</w:t>
      </w:r>
      <w:r w:rsidR="00F84571" w:rsidRPr="00DB5512">
        <w:t>tates</w:t>
      </w:r>
      <w:r w:rsidR="00C038A6" w:rsidRPr="00DB5512">
        <w:t>.</w:t>
      </w:r>
      <w:r w:rsidR="00840E68">
        <w:t xml:space="preserve"> </w:t>
      </w:r>
      <w:r w:rsidR="00C038A6" w:rsidRPr="00DB5512">
        <w:t>This includes</w:t>
      </w:r>
      <w:r w:rsidR="00F84571" w:rsidRPr="00DB5512">
        <w:t xml:space="preserve"> </w:t>
      </w:r>
      <w:r w:rsidR="00C038A6" w:rsidRPr="00DB5512">
        <w:t xml:space="preserve">notifications </w:t>
      </w:r>
      <w:r w:rsidR="00B73283">
        <w:t>that</w:t>
      </w:r>
      <w:r w:rsidR="00C038A6" w:rsidRPr="00DB5512">
        <w:t xml:space="preserve"> raise questions </w:t>
      </w:r>
      <w:r w:rsidR="00F84571" w:rsidRPr="00DB5512">
        <w:t xml:space="preserve">as to the legality, legitimacy, proportionality and necessity of the measures taken </w:t>
      </w:r>
      <w:r w:rsidR="00B73283">
        <w:t xml:space="preserve">— </w:t>
      </w:r>
      <w:r w:rsidR="00F84571" w:rsidRPr="00DB5512">
        <w:t>with some notabl</w:t>
      </w:r>
      <w:r w:rsidR="00C038A6" w:rsidRPr="00DB5512">
        <w:t>e exceptions. The hesitancy of</w:t>
      </w:r>
      <w:r w:rsidR="00F84571" w:rsidRPr="00DB5512">
        <w:t xml:space="preserve"> human rights treaty </w:t>
      </w:r>
      <w:r w:rsidR="00895BCB">
        <w:t>bodies</w:t>
      </w:r>
      <w:r w:rsidR="00F84571" w:rsidRPr="00DB5512">
        <w:t xml:space="preserve"> to confront troubling derogation practices from the outset stems from a historic deference to </w:t>
      </w:r>
      <w:r w:rsidR="00895BCB">
        <w:t>the S</w:t>
      </w:r>
      <w:r w:rsidR="00F84571" w:rsidRPr="00DB5512">
        <w:t xml:space="preserve">tate’s assessment of threat. </w:t>
      </w:r>
      <w:r w:rsidR="00ED5797">
        <w:t xml:space="preserve">The </w:t>
      </w:r>
      <w:r w:rsidR="00AF065A">
        <w:t>Special</w:t>
      </w:r>
      <w:r w:rsidR="00F84571" w:rsidRPr="00DB5512">
        <w:t xml:space="preserve"> Rapporteur takes the view that this culture of accommodation is in </w:t>
      </w:r>
      <w:r w:rsidR="00895BCB">
        <w:t>acute</w:t>
      </w:r>
      <w:r w:rsidR="00F84571" w:rsidRPr="00DB5512">
        <w:t xml:space="preserve"> need of revision to address the widespread abuse of emergency powers, the practice of utilizing emergency powers in the absence of a sustained domestic interrogation of their necessity and the overlap between states of emergency and high level of human rights violations.</w:t>
      </w:r>
      <w:r w:rsidR="00840E68">
        <w:t xml:space="preserve"> </w:t>
      </w:r>
      <w:r w:rsidR="00F84571" w:rsidRPr="00DB5512">
        <w:t xml:space="preserve">In the context of emergencies, international organizations need to foster a culture and practice of public justification </w:t>
      </w:r>
      <w:r w:rsidR="003B6F92">
        <w:t>by</w:t>
      </w:r>
      <w:r w:rsidR="00F84571" w:rsidRPr="00DB5512">
        <w:t xml:space="preserve"> </w:t>
      </w:r>
      <w:r w:rsidR="003B6F92">
        <w:t>S</w:t>
      </w:r>
      <w:r w:rsidR="00F84571" w:rsidRPr="00DB5512">
        <w:t>tates.</w:t>
      </w:r>
      <w:r w:rsidR="00840E68">
        <w:t xml:space="preserve"> </w:t>
      </w:r>
      <w:r w:rsidR="00F84571" w:rsidRPr="00DB5512">
        <w:t>This shift in policy and practice</w:t>
      </w:r>
      <w:r w:rsidR="003B6F92">
        <w:t xml:space="preserve"> is</w:t>
      </w:r>
      <w:r w:rsidR="00F84571" w:rsidRPr="00DB5512">
        <w:t xml:space="preserve"> consistent with the requirements of human rights treaties</w:t>
      </w:r>
      <w:r w:rsidR="003B6F92">
        <w:t xml:space="preserve"> and would</w:t>
      </w:r>
      <w:r w:rsidR="00F84571" w:rsidRPr="00DB5512">
        <w:t xml:space="preserve"> serve the long-term security interests of </w:t>
      </w:r>
      <w:r w:rsidR="003B6F92">
        <w:t>S</w:t>
      </w:r>
      <w:r w:rsidR="00F84571" w:rsidRPr="00DB5512">
        <w:t>tates</w:t>
      </w:r>
      <w:r w:rsidR="003B6F92">
        <w:t xml:space="preserve"> as i</w:t>
      </w:r>
      <w:r w:rsidR="00F84571" w:rsidRPr="00DB5512">
        <w:t xml:space="preserve">t </w:t>
      </w:r>
      <w:r w:rsidR="003B6F92">
        <w:t xml:space="preserve">would </w:t>
      </w:r>
      <w:r w:rsidR="00F84571" w:rsidRPr="00DB5512">
        <w:t>provide a robust</w:t>
      </w:r>
      <w:r w:rsidR="003B6F92">
        <w:t>,</w:t>
      </w:r>
      <w:r w:rsidR="00F84571" w:rsidRPr="00DB5512">
        <w:t xml:space="preserve"> legal basis for the legitimate use of emergency powers</w:t>
      </w:r>
      <w:r w:rsidR="003B6F92">
        <w:t>,</w:t>
      </w:r>
      <w:r w:rsidR="00B20513">
        <w:t xml:space="preserve"> and</w:t>
      </w:r>
      <w:r w:rsidR="00F84571" w:rsidRPr="00DB5512">
        <w:t xml:space="preserve"> enable early engagement with </w:t>
      </w:r>
      <w:r w:rsidR="003B6F92">
        <w:t>S</w:t>
      </w:r>
      <w:r w:rsidR="00F84571" w:rsidRPr="00DB5512">
        <w:t xml:space="preserve">tates </w:t>
      </w:r>
      <w:r w:rsidR="003B6F92">
        <w:t>that</w:t>
      </w:r>
      <w:r w:rsidR="00497580">
        <w:t xml:space="preserve"> abuse the emergency privilege.</w:t>
      </w:r>
    </w:p>
    <w:p w14:paraId="0F15E927" w14:textId="27414D1D" w:rsidR="00F84571" w:rsidRPr="00DB5512" w:rsidRDefault="00CB613F" w:rsidP="00A043E1">
      <w:pPr>
        <w:pStyle w:val="SingleTxtG"/>
      </w:pPr>
      <w:r w:rsidRPr="00DB5512">
        <w:t>2</w:t>
      </w:r>
      <w:r>
        <w:t>7</w:t>
      </w:r>
      <w:r w:rsidR="00F84571" w:rsidRPr="00DB5512">
        <w:t>.</w:t>
      </w:r>
      <w:r w:rsidR="00F84571" w:rsidRPr="00DB5512">
        <w:tab/>
        <w:t xml:space="preserve">Second, many </w:t>
      </w:r>
      <w:r w:rsidR="003B6F92">
        <w:t>S</w:t>
      </w:r>
      <w:r w:rsidR="00F84571" w:rsidRPr="00DB5512">
        <w:t xml:space="preserve">tates no longer formally derogate from their human rights treaty obligations </w:t>
      </w:r>
      <w:r w:rsidR="00F84571" w:rsidRPr="00DB5512">
        <w:sym w:font="Symbol" w:char="F0BE"/>
      </w:r>
      <w:r w:rsidR="003B6F92">
        <w:t xml:space="preserve"> </w:t>
      </w:r>
      <w:r w:rsidR="00F84571" w:rsidRPr="00DB5512">
        <w:t>even in contexts where their actions reflect de facto suspensions of derogable and non</w:t>
      </w:r>
      <w:r w:rsidR="00B20513">
        <w:t>-</w:t>
      </w:r>
      <w:r w:rsidR="00F84571" w:rsidRPr="00DB5512">
        <w:t>derogable rights. Such non-derogation occurs notwithstanding the extensive use of exceptional national security or emergency powers which have the equivalent effect</w:t>
      </w:r>
      <w:r w:rsidR="003B6F92">
        <w:t>,</w:t>
      </w:r>
      <w:r w:rsidR="00F84571" w:rsidRPr="00DB5512">
        <w:t xml:space="preserve"> in practice</w:t>
      </w:r>
      <w:r w:rsidR="003B6F92">
        <w:t>,</w:t>
      </w:r>
      <w:r w:rsidR="00F84571" w:rsidRPr="00DB5512">
        <w:t xml:space="preserve"> of creating emergency practices and conditions in response to terrorism. Treaty bodies have been ill-informed and under-notified of the consequences of State counter-terrorism measures for rights protection. </w:t>
      </w:r>
      <w:r w:rsidR="00777DFC" w:rsidRPr="00DB5512">
        <w:t>This failure to derogate</w:t>
      </w:r>
      <w:r w:rsidR="00F84571" w:rsidRPr="00DB5512">
        <w:t xml:space="preserve"> is a serious and emerging practice that must be addressed in order to ensure legal oversight of emergency powers. Derogation and emergency practice is entering a new and</w:t>
      </w:r>
      <w:r w:rsidR="003B6F92">
        <w:t xml:space="preserve"> —</w:t>
      </w:r>
      <w:r w:rsidR="00F84571" w:rsidRPr="00DB5512">
        <w:t xml:space="preserve"> arguably </w:t>
      </w:r>
      <w:r w:rsidR="003B6F92">
        <w:t xml:space="preserve">— </w:t>
      </w:r>
      <w:r w:rsidR="00F84571" w:rsidRPr="00DB5512">
        <w:t xml:space="preserve">more insidious </w:t>
      </w:r>
      <w:r w:rsidR="00F84571" w:rsidRPr="00DB5512">
        <w:lastRenderedPageBreak/>
        <w:t>phase of human rights limitations in the name of advancing security. Normalizing the exception</w:t>
      </w:r>
      <w:r w:rsidR="00F84571" w:rsidRPr="00DB5512">
        <w:rPr>
          <w:vertAlign w:val="superscript"/>
        </w:rPr>
        <w:footnoteReference w:id="24"/>
      </w:r>
      <w:r w:rsidR="00F84571" w:rsidRPr="00DB5512">
        <w:t xml:space="preserve"> is taking on new pathways.</w:t>
      </w:r>
      <w:r w:rsidR="00840E68">
        <w:t xml:space="preserve"> </w:t>
      </w:r>
      <w:r w:rsidR="00F84571" w:rsidRPr="00DB5512">
        <w:t xml:space="preserve">In particular, </w:t>
      </w:r>
      <w:r w:rsidR="00ED5797">
        <w:t xml:space="preserve">the </w:t>
      </w:r>
      <w:r w:rsidR="00AF065A">
        <w:t>Special</w:t>
      </w:r>
      <w:r w:rsidR="00F84571" w:rsidRPr="00DB5512">
        <w:t xml:space="preserve"> Rapporteur highlights the use of ordinary law as the most common vehicle for counter-terrorism legislation</w:t>
      </w:r>
      <w:r w:rsidR="00814EF5">
        <w:t>.</w:t>
      </w:r>
      <w:r w:rsidR="00F84571" w:rsidRPr="00DB5512">
        <w:t xml:space="preserve"> </w:t>
      </w:r>
      <w:r w:rsidR="00814EF5">
        <w:t>This</w:t>
      </w:r>
      <w:r w:rsidR="00F84571" w:rsidRPr="00DB5512">
        <w:t xml:space="preserve"> creates sustained and enduring situations of emergency at the national level, with severe and frequently unjustified restrictions on many non-derogable rights. This is a highly problematic arena of </w:t>
      </w:r>
      <w:r w:rsidR="003B6F92">
        <w:t>S</w:t>
      </w:r>
      <w:r w:rsidR="00F84571" w:rsidRPr="00DB5512">
        <w:t>tate practice in which the lack of notification and proclamation contributes to a broader lack of accountability and oversight.</w:t>
      </w:r>
    </w:p>
    <w:p w14:paraId="569E39DC" w14:textId="77777777" w:rsidR="00F84571" w:rsidRPr="00DB5512" w:rsidRDefault="00F84571" w:rsidP="00F84571">
      <w:pPr>
        <w:pStyle w:val="H1G"/>
      </w:pPr>
      <w:r w:rsidRPr="00DB5512">
        <w:tab/>
        <w:t>C.</w:t>
      </w:r>
      <w:r w:rsidRPr="00DB5512">
        <w:tab/>
        <w:t>State obligations when declaring emergencies</w:t>
      </w:r>
    </w:p>
    <w:p w14:paraId="0F1E8BB6" w14:textId="44C6BE82" w:rsidR="00F84571" w:rsidRPr="00DB5512" w:rsidRDefault="00CB613F">
      <w:pPr>
        <w:pStyle w:val="SingleTxtG"/>
      </w:pPr>
      <w:r>
        <w:t>28</w:t>
      </w:r>
      <w:r w:rsidR="00F84571" w:rsidRPr="00DB5512">
        <w:t>.</w:t>
      </w:r>
      <w:r w:rsidR="00F84571" w:rsidRPr="00DB5512">
        <w:tab/>
        <w:t>Derogation requires information</w:t>
      </w:r>
      <w:r w:rsidR="00E63A16">
        <w:t>-</w:t>
      </w:r>
      <w:r w:rsidR="00F84571" w:rsidRPr="00DB5512">
        <w:t xml:space="preserve">sharing with the relevant </w:t>
      </w:r>
      <w:r w:rsidR="00E63A16">
        <w:t xml:space="preserve">treaty </w:t>
      </w:r>
      <w:r w:rsidR="00F84571" w:rsidRPr="00DB5512">
        <w:t>depositories, treaty bodies and States</w:t>
      </w:r>
      <w:r w:rsidR="00A043E1">
        <w:t xml:space="preserve"> parties</w:t>
      </w:r>
      <w:r w:rsidR="00F84571" w:rsidRPr="00DB5512">
        <w:t xml:space="preserve"> in a timely manner. As the jurisprudence of various human rights </w:t>
      </w:r>
      <w:r w:rsidR="00E63A16">
        <w:t xml:space="preserve">treaty </w:t>
      </w:r>
      <w:r w:rsidR="00F84571" w:rsidRPr="00DB5512">
        <w:t xml:space="preserve">bodies has consistently affirmed, States must apply </w:t>
      </w:r>
      <w:r w:rsidR="00E63A16">
        <w:t xml:space="preserve">the </w:t>
      </w:r>
      <w:r w:rsidR="00F84571" w:rsidRPr="00DB5512">
        <w:t xml:space="preserve">tests of legitimacy, proportionality and necessity </w:t>
      </w:r>
      <w:r w:rsidR="00E63A16">
        <w:t>when choosing</w:t>
      </w:r>
      <w:r w:rsidR="00F84571" w:rsidRPr="00DB5512">
        <w:t xml:space="preserve"> measures </w:t>
      </w:r>
      <w:r w:rsidR="00777DFC" w:rsidRPr="00DB5512">
        <w:t>in response to crisis</w:t>
      </w:r>
      <w:r w:rsidR="00F84571" w:rsidRPr="00DB5512">
        <w:t>.</w:t>
      </w:r>
      <w:r w:rsidR="00840E68">
        <w:t xml:space="preserve"> </w:t>
      </w:r>
      <w:r w:rsidR="00F84571" w:rsidRPr="00DB5512">
        <w:t>Where possible and appropriate</w:t>
      </w:r>
      <w:r w:rsidR="00E63A16">
        <w:t>,</w:t>
      </w:r>
      <w:r w:rsidR="00F84571" w:rsidRPr="00DB5512">
        <w:t xml:space="preserve"> ordinary law should be used to regulate political challengers.</w:t>
      </w:r>
      <w:r w:rsidR="00840E68">
        <w:t xml:space="preserve"> </w:t>
      </w:r>
      <w:r w:rsidR="00F84571" w:rsidRPr="00DB5512">
        <w:t xml:space="preserve">It bears reminding that it is the strength and </w:t>
      </w:r>
      <w:r w:rsidR="00814EF5">
        <w:t>endurance</w:t>
      </w:r>
      <w:r w:rsidR="00814EF5" w:rsidRPr="00DB5512">
        <w:t xml:space="preserve"> </w:t>
      </w:r>
      <w:r w:rsidR="00F84571" w:rsidRPr="00DB5512">
        <w:t xml:space="preserve">of the ordinary rule of law </w:t>
      </w:r>
      <w:r w:rsidR="00E63A16">
        <w:t>that</w:t>
      </w:r>
      <w:r w:rsidR="00F84571" w:rsidRPr="00DB5512">
        <w:t xml:space="preserve"> is as much under attack from terrorism as any concrete physical target.</w:t>
      </w:r>
      <w:r w:rsidR="00840E68">
        <w:t xml:space="preserve"> </w:t>
      </w:r>
      <w:r w:rsidR="00E63A16">
        <w:t>S</w:t>
      </w:r>
      <w:r w:rsidR="00F84571" w:rsidRPr="00DB5512">
        <w:t>tates are positioned to supplement</w:t>
      </w:r>
      <w:r w:rsidR="00E63A16">
        <w:t>, i</w:t>
      </w:r>
      <w:r w:rsidR="00E63A16" w:rsidRPr="00DB5512">
        <w:t xml:space="preserve">f necessary, </w:t>
      </w:r>
      <w:r w:rsidR="00F84571" w:rsidRPr="00DB5512">
        <w:t>the ordinary law through the application of human rights</w:t>
      </w:r>
      <w:r w:rsidR="00E63A16">
        <w:t>-</w:t>
      </w:r>
      <w:r w:rsidR="00F84571" w:rsidRPr="00DB5512">
        <w:t>based limitations or restrictions (subject to over-riding non-discrimination, proportionality and necessity requirements). State obligations are no different whether the threat emanates from terrorism, natural disaster or war. Moreover, States must ensure that the measures taken do not have an adverse impact on minorities</w:t>
      </w:r>
      <w:r w:rsidR="00E63A16">
        <w:t xml:space="preserve"> and</w:t>
      </w:r>
      <w:r w:rsidR="00F84571" w:rsidRPr="00DB5512">
        <w:t xml:space="preserve"> vulnerable groups (including women and children) and do not affect religious, ethnic or identified social groups in selective or discriminatory ways. </w:t>
      </w:r>
      <w:r w:rsidR="007B1E45">
        <w:t xml:space="preserve">The </w:t>
      </w:r>
      <w:r w:rsidR="00AF065A">
        <w:t>Special</w:t>
      </w:r>
      <w:r w:rsidR="00F84571" w:rsidRPr="00DB5512">
        <w:t xml:space="preserve"> Rapporteur considers it good practice for </w:t>
      </w:r>
      <w:r w:rsidR="00E63A16">
        <w:t>S</w:t>
      </w:r>
      <w:r w:rsidR="00F84571" w:rsidRPr="00DB5512">
        <w:t>tates to affirm that such non-discrimination</w:t>
      </w:r>
      <w:r w:rsidR="00E63A16">
        <w:t>-</w:t>
      </w:r>
      <w:r w:rsidR="00F84571" w:rsidRPr="00DB5512">
        <w:t>based benchmarking has been undertaken and satisfied when notif</w:t>
      </w:r>
      <w:r w:rsidR="00E63A16">
        <w:t>ying an emergency</w:t>
      </w:r>
      <w:r w:rsidR="00F84571" w:rsidRPr="00DB5512">
        <w:t>.</w:t>
      </w:r>
    </w:p>
    <w:p w14:paraId="21E26FFA" w14:textId="0F380CE2" w:rsidR="00F84571" w:rsidRPr="00DB5512" w:rsidRDefault="00CB613F" w:rsidP="00A043E1">
      <w:pPr>
        <w:pStyle w:val="SingleTxtG"/>
      </w:pPr>
      <w:r>
        <w:t>29</w:t>
      </w:r>
      <w:r w:rsidR="00F84571" w:rsidRPr="00DB5512">
        <w:t>.</w:t>
      </w:r>
      <w:r w:rsidR="00F84571" w:rsidRPr="00DB5512">
        <w:tab/>
      </w:r>
      <w:r w:rsidR="007B1E45">
        <w:t xml:space="preserve">The </w:t>
      </w:r>
      <w:r w:rsidR="00AF065A">
        <w:t>Special</w:t>
      </w:r>
      <w:r w:rsidR="00F84571" w:rsidRPr="00DB5512">
        <w:t xml:space="preserve"> Rapporteur calls upon </w:t>
      </w:r>
      <w:r w:rsidR="00E63A16">
        <w:t>S</w:t>
      </w:r>
      <w:r w:rsidR="00F84571" w:rsidRPr="00DB5512">
        <w:t xml:space="preserve">tates to adhere to their human rights treaty obligations when </w:t>
      </w:r>
      <w:r w:rsidR="00777DFC" w:rsidRPr="00DB5512">
        <w:t>resorting to</w:t>
      </w:r>
      <w:r w:rsidR="00F84571" w:rsidRPr="00DB5512">
        <w:t xml:space="preserve"> national security</w:t>
      </w:r>
      <w:r w:rsidR="00E63A16">
        <w:t xml:space="preserve"> or </w:t>
      </w:r>
      <w:r w:rsidR="00F84571" w:rsidRPr="00DB5512">
        <w:t>counter-terrorism</w:t>
      </w:r>
      <w:r w:rsidR="00E63A16">
        <w:t xml:space="preserve"> or </w:t>
      </w:r>
      <w:r w:rsidR="00F84571" w:rsidRPr="00DB5512">
        <w:t xml:space="preserve">emergency powers. </w:t>
      </w:r>
      <w:r w:rsidR="007B1E45">
        <w:t xml:space="preserve">The </w:t>
      </w:r>
      <w:r w:rsidR="00AF065A">
        <w:t>Special</w:t>
      </w:r>
      <w:r w:rsidR="00F84571" w:rsidRPr="00DB5512">
        <w:t xml:space="preserve"> Rapporteur calls </w:t>
      </w:r>
      <w:r w:rsidR="00E63A16">
        <w:t>up</w:t>
      </w:r>
      <w:r w:rsidR="00F84571" w:rsidRPr="00DB5512">
        <w:t xml:space="preserve">on the </w:t>
      </w:r>
      <w:r w:rsidR="00E63A16">
        <w:t>h</w:t>
      </w:r>
      <w:r w:rsidR="00F84571" w:rsidRPr="00DB5512">
        <w:t xml:space="preserve">uman </w:t>
      </w:r>
      <w:r w:rsidR="00E63A16">
        <w:t>r</w:t>
      </w:r>
      <w:r w:rsidR="00F84571" w:rsidRPr="00DB5512">
        <w:t xml:space="preserve">ights </w:t>
      </w:r>
      <w:r w:rsidR="00E63A16">
        <w:t>t</w:t>
      </w:r>
      <w:r w:rsidR="00F84571" w:rsidRPr="00DB5512">
        <w:t>reaty bodies and international oversight entities to pay particular attention to the procedural requirements of derogation</w:t>
      </w:r>
      <w:r w:rsidR="00777DFC" w:rsidRPr="00DB5512">
        <w:t xml:space="preserve"> in the context of counter-terrorism</w:t>
      </w:r>
      <w:r w:rsidR="00E63A16">
        <w:t>,</w:t>
      </w:r>
      <w:r w:rsidR="00F84571" w:rsidRPr="00DB5512">
        <w:t xml:space="preserve"> specifically, the necessity for </w:t>
      </w:r>
      <w:r w:rsidR="00E63A16">
        <w:t>S</w:t>
      </w:r>
      <w:r w:rsidR="00F84571" w:rsidRPr="00DB5512">
        <w:t xml:space="preserve">tates to </w:t>
      </w:r>
      <w:r w:rsidR="00A043E1">
        <w:t xml:space="preserve">give </w:t>
      </w:r>
      <w:r w:rsidR="00F84571" w:rsidRPr="00DB5512">
        <w:t>notif</w:t>
      </w:r>
      <w:r w:rsidR="00A043E1">
        <w:t>ication</w:t>
      </w:r>
      <w:r w:rsidR="00F84571" w:rsidRPr="00DB5512">
        <w:t xml:space="preserve"> of measures taken. Where a </w:t>
      </w:r>
      <w:r w:rsidR="00E63A16">
        <w:t>S</w:t>
      </w:r>
      <w:r w:rsidR="00F84571" w:rsidRPr="00DB5512">
        <w:t>tate fails to provide sufficient information, procedures for follow-up and dialogue should be robust and fully engaged.</w:t>
      </w:r>
    </w:p>
    <w:p w14:paraId="06EE9FC4" w14:textId="77777777" w:rsidR="00F84571" w:rsidRPr="00DB5512" w:rsidRDefault="00F84571" w:rsidP="00F84571">
      <w:pPr>
        <w:pStyle w:val="H1G"/>
      </w:pPr>
      <w:r w:rsidRPr="00DB5512">
        <w:tab/>
        <w:t>D.</w:t>
      </w:r>
      <w:r w:rsidRPr="00DB5512">
        <w:tab/>
        <w:t xml:space="preserve">Hidden, </w:t>
      </w:r>
      <w:r w:rsidRPr="00827F49">
        <w:rPr>
          <w:iCs/>
        </w:rPr>
        <w:t>de facto</w:t>
      </w:r>
      <w:r w:rsidRPr="00DB5512">
        <w:rPr>
          <w:i/>
        </w:rPr>
        <w:t xml:space="preserve"> </w:t>
      </w:r>
      <w:r w:rsidRPr="00DB5512">
        <w:t>and complex emergencies</w:t>
      </w:r>
    </w:p>
    <w:p w14:paraId="0B73E2CB" w14:textId="04EE18BD" w:rsidR="00F84571" w:rsidRPr="00DB5512" w:rsidRDefault="00CB613F" w:rsidP="00A31265">
      <w:pPr>
        <w:pStyle w:val="SingleTxtG"/>
      </w:pPr>
      <w:r w:rsidRPr="00DB5512">
        <w:t>3</w:t>
      </w:r>
      <w:r>
        <w:t>0</w:t>
      </w:r>
      <w:r w:rsidR="00F84571" w:rsidRPr="00DB5512">
        <w:t>.</w:t>
      </w:r>
      <w:r w:rsidR="00F84571" w:rsidRPr="00DB5512">
        <w:tab/>
      </w:r>
      <w:r w:rsidR="003311D6">
        <w:rPr>
          <w:iCs/>
        </w:rPr>
        <w:t>D</w:t>
      </w:r>
      <w:r w:rsidR="003311D6" w:rsidRPr="00693139">
        <w:rPr>
          <w:iCs/>
        </w:rPr>
        <w:t>e facto</w:t>
      </w:r>
      <w:r w:rsidR="003311D6" w:rsidRPr="00DB5512">
        <w:t xml:space="preserve"> states of emergency</w:t>
      </w:r>
      <w:r w:rsidR="003311D6">
        <w:t xml:space="preserve"> are</w:t>
      </w:r>
      <w:r w:rsidR="003311D6" w:rsidRPr="00DB5512">
        <w:t xml:space="preserve"> </w:t>
      </w:r>
      <w:r w:rsidR="003311D6">
        <w:t>s</w:t>
      </w:r>
      <w:r w:rsidR="00F84571" w:rsidRPr="00DB5512">
        <w:t xml:space="preserve">ituations of emergency </w:t>
      </w:r>
      <w:r w:rsidR="003311D6">
        <w:t xml:space="preserve">that </w:t>
      </w:r>
      <w:r w:rsidR="00F84571" w:rsidRPr="00DB5512">
        <w:t>are frequently hidden by the exercise of restrictive powers without formal acknowledgment of the existence of an emergency.</w:t>
      </w:r>
      <w:r w:rsidR="00F84571" w:rsidRPr="00DB5512">
        <w:rPr>
          <w:vertAlign w:val="superscript"/>
        </w:rPr>
        <w:footnoteReference w:id="25"/>
      </w:r>
      <w:r w:rsidR="00F84571" w:rsidRPr="00DB5512">
        <w:t xml:space="preserve"> A number of examples illustrate th</w:t>
      </w:r>
      <w:r w:rsidR="003311D6">
        <w:t>at</w:t>
      </w:r>
      <w:r w:rsidR="00F84571" w:rsidRPr="00DB5512">
        <w:t xml:space="preserve"> practice. First, an initial passage of emergency legislation into law with explicit time restrictions, including</w:t>
      </w:r>
      <w:r w:rsidR="00E62090">
        <w:t>,</w:t>
      </w:r>
      <w:r w:rsidR="00F84571" w:rsidRPr="00DB5512">
        <w:t xml:space="preserve"> perhaps</w:t>
      </w:r>
      <w:r w:rsidR="00E62090">
        <w:t>,</w:t>
      </w:r>
      <w:r w:rsidR="00F84571" w:rsidRPr="00DB5512">
        <w:t xml:space="preserve"> a sunset clause</w:t>
      </w:r>
      <w:r w:rsidR="003311D6">
        <w:t>,</w:t>
      </w:r>
      <w:r w:rsidR="00F84571" w:rsidRPr="00DB5512">
        <w:t xml:space="preserve"> is followed by the translation of the same or equivalent emergency powers into ordinary legislation, but without the </w:t>
      </w:r>
      <w:r w:rsidR="003311D6">
        <w:t>word</w:t>
      </w:r>
      <w:r w:rsidR="00F84571" w:rsidRPr="00DB5512">
        <w:t xml:space="preserve"> </w:t>
      </w:r>
      <w:r w:rsidR="003311D6">
        <w:t>“</w:t>
      </w:r>
      <w:r w:rsidR="00F84571" w:rsidRPr="00DB5512">
        <w:t>emergency</w:t>
      </w:r>
      <w:r w:rsidR="003311D6">
        <w:t>”</w:t>
      </w:r>
      <w:r w:rsidR="00F84571" w:rsidRPr="00DB5512">
        <w:t xml:space="preserve"> in the </w:t>
      </w:r>
      <w:r w:rsidR="003311D6">
        <w:t>title</w:t>
      </w:r>
      <w:r w:rsidR="00F84571" w:rsidRPr="00DB5512">
        <w:t xml:space="preserve"> of the legislation. This is a </w:t>
      </w:r>
      <w:r w:rsidR="00814EF5">
        <w:t>somewhat deceptive legal approach</w:t>
      </w:r>
      <w:r w:rsidR="003311D6">
        <w:t>,</w:t>
      </w:r>
      <w:r w:rsidR="00814EF5" w:rsidRPr="00DB5512">
        <w:t xml:space="preserve"> </w:t>
      </w:r>
      <w:r w:rsidR="00F84571" w:rsidRPr="00DB5512">
        <w:t xml:space="preserve">whereby the overlap between the emergency legislation and </w:t>
      </w:r>
      <w:r w:rsidR="003311D6">
        <w:t xml:space="preserve">the </w:t>
      </w:r>
      <w:r w:rsidR="00F84571" w:rsidRPr="00DB5512">
        <w:t xml:space="preserve">ordinary legislation is </w:t>
      </w:r>
      <w:r w:rsidR="00814EF5">
        <w:t xml:space="preserve">factually </w:t>
      </w:r>
      <w:r w:rsidR="00F84571" w:rsidRPr="00DB5512">
        <w:t xml:space="preserve">extensive and undeniable, but the </w:t>
      </w:r>
      <w:r w:rsidR="003311D6">
        <w:t>title</w:t>
      </w:r>
      <w:r w:rsidR="00F84571" w:rsidRPr="00DB5512">
        <w:t xml:space="preserve"> and </w:t>
      </w:r>
      <w:r w:rsidR="00814EF5">
        <w:t xml:space="preserve">the illusion of </w:t>
      </w:r>
      <w:r w:rsidR="003311D6">
        <w:t xml:space="preserve">a </w:t>
      </w:r>
      <w:r w:rsidR="00814EF5">
        <w:t>regular legislative process</w:t>
      </w:r>
      <w:r w:rsidR="00F84571" w:rsidRPr="00DB5512">
        <w:t xml:space="preserve"> </w:t>
      </w:r>
      <w:r w:rsidR="003311D6">
        <w:t>have the effect of</w:t>
      </w:r>
      <w:r w:rsidR="00F84571" w:rsidRPr="00DB5512">
        <w:t xml:space="preserve"> cloak</w:t>
      </w:r>
      <w:r w:rsidR="003311D6">
        <w:t>ing</w:t>
      </w:r>
      <w:r w:rsidR="00F84571" w:rsidRPr="00DB5512">
        <w:t xml:space="preserve"> the legislation as ordinary, not exceptional. </w:t>
      </w:r>
      <w:r w:rsidR="007B1E45">
        <w:t xml:space="preserve">The </w:t>
      </w:r>
      <w:r w:rsidR="00AF065A">
        <w:t>Special</w:t>
      </w:r>
      <w:r w:rsidR="00F84571" w:rsidRPr="00DB5512">
        <w:t xml:space="preserve"> Rapporteur affirms that it is not only the title of </w:t>
      </w:r>
      <w:r w:rsidR="003311D6">
        <w:t xml:space="preserve">the </w:t>
      </w:r>
      <w:r w:rsidR="00F84571" w:rsidRPr="00DB5512">
        <w:t xml:space="preserve">legislation that confers emergency status, but </w:t>
      </w:r>
      <w:r w:rsidR="003311D6">
        <w:t>also</w:t>
      </w:r>
      <w:r w:rsidR="00F84571" w:rsidRPr="00DB5512">
        <w:t xml:space="preserve"> the scope, impact and rights-limiting nature of </w:t>
      </w:r>
      <w:r w:rsidR="003311D6">
        <w:t xml:space="preserve">the </w:t>
      </w:r>
      <w:r w:rsidR="00F84571" w:rsidRPr="00DB5512">
        <w:t xml:space="preserve">legislation which </w:t>
      </w:r>
      <w:r w:rsidR="003311D6">
        <w:t xml:space="preserve">gives </w:t>
      </w:r>
      <w:r w:rsidR="00F84571" w:rsidRPr="00DB5512">
        <w:t>it a</w:t>
      </w:r>
      <w:r w:rsidR="003311D6">
        <w:t>n</w:t>
      </w:r>
      <w:r w:rsidR="00F84571" w:rsidRPr="00DB5512">
        <w:t xml:space="preserve"> </w:t>
      </w:r>
      <w:r w:rsidR="003311D6">
        <w:t>“</w:t>
      </w:r>
      <w:r w:rsidR="00F84571" w:rsidRPr="00DB5512">
        <w:t>emergency</w:t>
      </w:r>
      <w:r w:rsidR="003311D6">
        <w:t>”</w:t>
      </w:r>
      <w:r w:rsidR="00F84571" w:rsidRPr="00DB5512">
        <w:t xml:space="preserve"> character</w:t>
      </w:r>
      <w:r w:rsidR="003311D6">
        <w:t>istic</w:t>
      </w:r>
      <w:r w:rsidR="00F84571" w:rsidRPr="00DB5512">
        <w:t>.</w:t>
      </w:r>
      <w:r w:rsidR="00840E68">
        <w:t xml:space="preserve"> </w:t>
      </w:r>
    </w:p>
    <w:p w14:paraId="77D04F3F" w14:textId="7452E82E" w:rsidR="00F84571" w:rsidRPr="00DB5512" w:rsidRDefault="00CB613F" w:rsidP="00A31265">
      <w:pPr>
        <w:pStyle w:val="SingleTxtG"/>
      </w:pPr>
      <w:r w:rsidRPr="00DB5512">
        <w:lastRenderedPageBreak/>
        <w:t>3</w:t>
      </w:r>
      <w:r>
        <w:t>1</w:t>
      </w:r>
      <w:r w:rsidR="00F84571" w:rsidRPr="00DB5512">
        <w:t>.</w:t>
      </w:r>
      <w:r w:rsidR="00F84571" w:rsidRPr="00DB5512">
        <w:tab/>
        <w:t xml:space="preserve">Second, </w:t>
      </w:r>
      <w:r w:rsidR="003311D6">
        <w:t xml:space="preserve">there is </w:t>
      </w:r>
      <w:r w:rsidR="00F84571" w:rsidRPr="00DB5512">
        <w:t xml:space="preserve">the increased tendency </w:t>
      </w:r>
      <w:r w:rsidR="003311D6">
        <w:t xml:space="preserve">on the part </w:t>
      </w:r>
      <w:r w:rsidR="00F84571" w:rsidRPr="00DB5512">
        <w:t xml:space="preserve">of </w:t>
      </w:r>
      <w:r w:rsidR="003311D6">
        <w:t>S</w:t>
      </w:r>
      <w:r w:rsidR="00F84571" w:rsidRPr="00DB5512">
        <w:t>tates to pass</w:t>
      </w:r>
      <w:r w:rsidR="003311D6">
        <w:t>, ab initio,</w:t>
      </w:r>
      <w:r w:rsidR="00F84571" w:rsidRPr="00DB5512">
        <w:t xml:space="preserve"> ordinary legislation </w:t>
      </w:r>
      <w:r w:rsidR="003311D6">
        <w:t xml:space="preserve">that </w:t>
      </w:r>
      <w:r w:rsidR="00F84571" w:rsidRPr="00DB5512">
        <w:t>is exceptional in character and scope, premised on the fact or threat of a terrorist atrocity</w:t>
      </w:r>
      <w:r w:rsidR="003311D6">
        <w:t>, which</w:t>
      </w:r>
      <w:r w:rsidR="00F84571" w:rsidRPr="00DB5512">
        <w:t xml:space="preserve"> forego</w:t>
      </w:r>
      <w:r w:rsidR="003311D6">
        <w:t>es</w:t>
      </w:r>
      <w:r w:rsidR="00F84571" w:rsidRPr="00DB5512">
        <w:t xml:space="preserve"> the subterfuge that it is a finite emergency piece of legislation</w:t>
      </w:r>
      <w:r w:rsidR="00814EF5">
        <w:t xml:space="preserve"> and commit</w:t>
      </w:r>
      <w:r w:rsidR="00E62090">
        <w:t>s</w:t>
      </w:r>
      <w:r w:rsidR="003311D6">
        <w:t xml:space="preserve"> </w:t>
      </w:r>
      <w:r w:rsidR="00515DA7">
        <w:t>the State</w:t>
      </w:r>
      <w:r w:rsidR="00814EF5">
        <w:t xml:space="preserve"> to long-term exceptionality</w:t>
      </w:r>
      <w:r w:rsidR="00F84571" w:rsidRPr="00DB5512">
        <w:t>.</w:t>
      </w:r>
    </w:p>
    <w:p w14:paraId="0D7D2B5C" w14:textId="67711527" w:rsidR="00F84571" w:rsidRPr="00DB5512" w:rsidRDefault="00CB613F" w:rsidP="00A31265">
      <w:pPr>
        <w:pStyle w:val="SingleTxtG"/>
      </w:pPr>
      <w:r w:rsidRPr="00DB5512">
        <w:t>3</w:t>
      </w:r>
      <w:r>
        <w:t>2</w:t>
      </w:r>
      <w:r w:rsidR="00497580">
        <w:t>.</w:t>
      </w:r>
      <w:r w:rsidR="00F84571" w:rsidRPr="00DB5512">
        <w:tab/>
        <w:t>Third, some countries are using the device of “reserve” powers in their ordinary legislation</w:t>
      </w:r>
      <w:r w:rsidR="003311D6">
        <w:t>, that is,</w:t>
      </w:r>
      <w:r w:rsidR="00F84571" w:rsidRPr="00DB5512">
        <w:t xml:space="preserve"> counter-terrorism laws that provide for exceptional measures when the </w:t>
      </w:r>
      <w:r w:rsidR="003311D6">
        <w:t>G</w:t>
      </w:r>
      <w:r w:rsidR="00F84571" w:rsidRPr="00DB5512">
        <w:t xml:space="preserve">overnment deems them necessary, </w:t>
      </w:r>
      <w:r w:rsidR="00344047">
        <w:t xml:space="preserve">so that </w:t>
      </w:r>
      <w:r w:rsidR="00F84571" w:rsidRPr="00DB5512">
        <w:t>the need for a formal declaration of emergency</w:t>
      </w:r>
      <w:r w:rsidR="00344047">
        <w:t xml:space="preserve"> is bypassed</w:t>
      </w:r>
      <w:r w:rsidR="00F84571" w:rsidRPr="00DB5512">
        <w:t>.</w:t>
      </w:r>
      <w:r w:rsidR="00F84571" w:rsidRPr="00DB5512">
        <w:rPr>
          <w:vertAlign w:val="superscript"/>
        </w:rPr>
        <w:footnoteReference w:id="26"/>
      </w:r>
    </w:p>
    <w:p w14:paraId="15F52B7C" w14:textId="2BA221C0" w:rsidR="00F84571" w:rsidRPr="00DB5512" w:rsidRDefault="00CB613F" w:rsidP="00E62090">
      <w:pPr>
        <w:pStyle w:val="SingleTxtG"/>
      </w:pPr>
      <w:r w:rsidRPr="00DB5512">
        <w:t>3</w:t>
      </w:r>
      <w:r>
        <w:t>3</w:t>
      </w:r>
      <w:r w:rsidR="00497580">
        <w:t>.</w:t>
      </w:r>
      <w:r w:rsidR="00497580">
        <w:tab/>
      </w:r>
      <w:r w:rsidR="00F84571" w:rsidRPr="00DB5512">
        <w:t xml:space="preserve">Fourth, overreliance on and abuse of limitation clauses contribute sizeably to the phenomena of </w:t>
      </w:r>
      <w:r w:rsidR="00F84571" w:rsidRPr="00515DA7">
        <w:rPr>
          <w:iCs/>
        </w:rPr>
        <w:t>de facto</w:t>
      </w:r>
      <w:r w:rsidR="00F84571" w:rsidRPr="00DB5512">
        <w:t xml:space="preserve"> emergencies. States invoke clauses such as national security and safety as a basis for the usurpation of rights in the context of countering terrorism</w:t>
      </w:r>
      <w:r w:rsidR="00672460">
        <w:t>. However,</w:t>
      </w:r>
      <w:r w:rsidR="00F84571" w:rsidRPr="00DB5512">
        <w:t xml:space="preserve"> national legislation frequently </w:t>
      </w:r>
      <w:r w:rsidR="00672460">
        <w:t>contain</w:t>
      </w:r>
      <w:r w:rsidR="00E62090">
        <w:t>s</w:t>
      </w:r>
      <w:r w:rsidR="00F84571" w:rsidRPr="00DB5512">
        <w:t xml:space="preserve"> </w:t>
      </w:r>
      <w:r w:rsidR="00B20513">
        <w:t>vague</w:t>
      </w:r>
      <w:r w:rsidR="00B20513" w:rsidRPr="00DB5512">
        <w:t xml:space="preserve"> </w:t>
      </w:r>
      <w:r w:rsidR="00F84571" w:rsidRPr="00DB5512">
        <w:t xml:space="preserve">definitions of terrorism, </w:t>
      </w:r>
      <w:r w:rsidR="00672460">
        <w:t xml:space="preserve">and </w:t>
      </w:r>
      <w:r w:rsidR="00F84571" w:rsidRPr="00DB5512">
        <w:t>broadly target core human rights</w:t>
      </w:r>
      <w:r w:rsidR="00672460">
        <w:t>,</w:t>
      </w:r>
      <w:r w:rsidR="00F84571" w:rsidRPr="00DB5512">
        <w:t xml:space="preserve"> including </w:t>
      </w:r>
      <w:r w:rsidR="00672460">
        <w:t xml:space="preserve">the </w:t>
      </w:r>
      <w:r w:rsidR="00F83BEF">
        <w:t>rights to life, liberty and security</w:t>
      </w:r>
      <w:r w:rsidR="00F84571" w:rsidRPr="00DB5512">
        <w:t>,</w:t>
      </w:r>
      <w:r w:rsidR="00F83BEF">
        <w:t xml:space="preserve"> due process, fair trial,</w:t>
      </w:r>
      <w:r w:rsidR="00F84571" w:rsidRPr="00DB5512">
        <w:t xml:space="preserve"> freedom </w:t>
      </w:r>
      <w:r w:rsidR="00672460">
        <w:t xml:space="preserve">of </w:t>
      </w:r>
      <w:r w:rsidR="00F83BEF">
        <w:t xml:space="preserve">speech, peaceful </w:t>
      </w:r>
      <w:r w:rsidR="00F84571" w:rsidRPr="00DB5512">
        <w:t>assembly</w:t>
      </w:r>
      <w:r w:rsidR="00F83BEF">
        <w:t xml:space="preserve"> and association</w:t>
      </w:r>
      <w:r w:rsidR="00F84571" w:rsidRPr="00DB5512">
        <w:t xml:space="preserve">, </w:t>
      </w:r>
      <w:r w:rsidR="00F83BEF">
        <w:t>and religion or belief</w:t>
      </w:r>
      <w:r w:rsidR="00F84571" w:rsidRPr="00DB5512">
        <w:t>.</w:t>
      </w:r>
      <w:r w:rsidR="00840E68">
        <w:t xml:space="preserve"> </w:t>
      </w:r>
      <w:r w:rsidR="00F84571" w:rsidRPr="00DB5512">
        <w:t xml:space="preserve">The deference to the use of limitation clauses </w:t>
      </w:r>
      <w:r w:rsidR="00672460">
        <w:t>together</w:t>
      </w:r>
      <w:r w:rsidR="00F84571" w:rsidRPr="00DB5512">
        <w:t xml:space="preserve"> with a lack of long-term </w:t>
      </w:r>
      <w:r w:rsidR="00BE102B" w:rsidRPr="00DB5512">
        <w:t>appreciation for</w:t>
      </w:r>
      <w:r w:rsidR="00F84571" w:rsidRPr="00DB5512">
        <w:t xml:space="preserve"> the cumulative effect of such reliance </w:t>
      </w:r>
      <w:r w:rsidR="00BE102B" w:rsidRPr="00DB5512">
        <w:t>on the</w:t>
      </w:r>
      <w:r w:rsidR="00666488">
        <w:t xml:space="preserve"> integrity of</w:t>
      </w:r>
      <w:r w:rsidR="00BE102B" w:rsidRPr="00DB5512">
        <w:t xml:space="preserve"> </w:t>
      </w:r>
      <w:r w:rsidR="00672460">
        <w:t xml:space="preserve">the </w:t>
      </w:r>
      <w:r w:rsidR="00BE102B" w:rsidRPr="00DB5512">
        <w:t>rule of law</w:t>
      </w:r>
      <w:r w:rsidR="00666488">
        <w:t xml:space="preserve"> must be robustly addressed</w:t>
      </w:r>
      <w:r w:rsidR="00BE102B" w:rsidRPr="00DB5512">
        <w:t>.</w:t>
      </w:r>
    </w:p>
    <w:p w14:paraId="7991FD53" w14:textId="516F11BD" w:rsidR="00F84571" w:rsidRPr="00DB5512" w:rsidRDefault="00CB613F" w:rsidP="00A31265">
      <w:pPr>
        <w:pStyle w:val="SingleTxtG"/>
      </w:pPr>
      <w:r w:rsidRPr="00DB5512">
        <w:t>3</w:t>
      </w:r>
      <w:r>
        <w:t>4</w:t>
      </w:r>
      <w:r w:rsidR="00F84571" w:rsidRPr="00DB5512">
        <w:t>.</w:t>
      </w:r>
      <w:r w:rsidR="00F84571" w:rsidRPr="00DB5512">
        <w:tab/>
      </w:r>
      <w:r w:rsidR="00E33492" w:rsidRPr="00DB5512">
        <w:t>Fi</w:t>
      </w:r>
      <w:r w:rsidR="00E33492">
        <w:t>fth</w:t>
      </w:r>
      <w:r w:rsidR="00F84571" w:rsidRPr="00DB5512">
        <w:t xml:space="preserve">, an acute form of </w:t>
      </w:r>
      <w:r w:rsidR="00F84571" w:rsidRPr="00515DA7">
        <w:rPr>
          <w:iCs/>
        </w:rPr>
        <w:t>de facto</w:t>
      </w:r>
      <w:r w:rsidR="00F84571" w:rsidRPr="00DB5512">
        <w:t xml:space="preserve"> emergency </w:t>
      </w:r>
      <w:r w:rsidR="00515DA7">
        <w:t xml:space="preserve">practice </w:t>
      </w:r>
      <w:r w:rsidR="00F84571" w:rsidRPr="00DB5512">
        <w:t>is created</w:t>
      </w:r>
      <w:r w:rsidR="007F4364">
        <w:t>, which</w:t>
      </w:r>
      <w:r w:rsidR="00F84571" w:rsidRPr="00DB5512">
        <w:t xml:space="preserve"> bypass</w:t>
      </w:r>
      <w:r w:rsidR="007F4364">
        <w:t>es</w:t>
      </w:r>
      <w:r w:rsidR="00F84571" w:rsidRPr="00DB5512">
        <w:t xml:space="preserve"> explicit legislative authorization entirely</w:t>
      </w:r>
      <w:r w:rsidR="007F4364">
        <w:t xml:space="preserve">. </w:t>
      </w:r>
      <w:r w:rsidR="004A19B7">
        <w:t>Here</w:t>
      </w:r>
      <w:r w:rsidR="00E105FB">
        <w:t>,</w:t>
      </w:r>
      <w:r w:rsidR="007F4364">
        <w:t xml:space="preserve"> </w:t>
      </w:r>
      <w:r w:rsidR="00F84571" w:rsidRPr="00DB5512">
        <w:t>governments rely predominantly or exclusively on executive powers to regulate terrorism and enable counter-terrorism responses.</w:t>
      </w:r>
    </w:p>
    <w:p w14:paraId="70B04BB7" w14:textId="2D08662A" w:rsidR="00F84571" w:rsidRPr="00DB5512" w:rsidRDefault="00CB613F" w:rsidP="00E62090">
      <w:pPr>
        <w:pStyle w:val="SingleTxtG"/>
      </w:pPr>
      <w:r w:rsidRPr="00DB5512">
        <w:t>3</w:t>
      </w:r>
      <w:r>
        <w:t>5</w:t>
      </w:r>
      <w:r w:rsidR="00497580">
        <w:t>.</w:t>
      </w:r>
      <w:r w:rsidR="00497580">
        <w:tab/>
      </w:r>
      <w:r w:rsidR="00F84571" w:rsidRPr="00DB5512">
        <w:t>Finally, a new pattern of what a</w:t>
      </w:r>
      <w:r w:rsidR="00BE102B" w:rsidRPr="00DB5512">
        <w:t xml:space="preserve">re termed “covert” emergencies </w:t>
      </w:r>
      <w:r w:rsidR="00F84571" w:rsidRPr="00DB5512">
        <w:t>should be noted.</w:t>
      </w:r>
      <w:r w:rsidR="00F84571" w:rsidRPr="00DB5512">
        <w:rPr>
          <w:rStyle w:val="FootnoteReference"/>
          <w:rFonts w:eastAsiaTheme="majorEastAsia"/>
          <w:sz w:val="20"/>
        </w:rPr>
        <w:footnoteReference w:id="27"/>
      </w:r>
      <w:r w:rsidR="00F84571" w:rsidRPr="00DB5512">
        <w:rPr>
          <w:bCs/>
          <w:caps/>
        </w:rPr>
        <w:t xml:space="preserve"> </w:t>
      </w:r>
      <w:r w:rsidR="007F4364">
        <w:rPr>
          <w:bCs/>
          <w:caps/>
        </w:rPr>
        <w:t>A</w:t>
      </w:r>
      <w:r w:rsidR="00F84571" w:rsidRPr="00DB5512">
        <w:t xml:space="preserve"> covert emergency includes the subtle persuasion of parliaments and courts to acquiesce to “the minimal interpretations of certain [human] rights that stripped [the rights] of much of their content. This tactic has the effect of, at worst, seeking to create effective covert derogations and, at best, redefining the rights so that they emerged only in a diluted form of practice.”</w:t>
      </w:r>
      <w:r w:rsidR="00F84571" w:rsidRPr="00DB5512">
        <w:rPr>
          <w:rStyle w:val="FootnoteReference"/>
          <w:rFonts w:eastAsiaTheme="majorEastAsia"/>
          <w:sz w:val="20"/>
        </w:rPr>
        <w:footnoteReference w:id="28"/>
      </w:r>
      <w:r w:rsidR="00F84571" w:rsidRPr="00DB5512">
        <w:rPr>
          <w:bCs/>
          <w:caps/>
        </w:rPr>
        <w:t xml:space="preserve"> </w:t>
      </w:r>
      <w:r w:rsidR="00F84571" w:rsidRPr="00DB5512">
        <w:rPr>
          <w:lang w:eastAsia="en-GB"/>
        </w:rPr>
        <w:t xml:space="preserve">To enable this, </w:t>
      </w:r>
      <w:r w:rsidR="00756AD1">
        <w:rPr>
          <w:lang w:eastAsia="en-GB"/>
        </w:rPr>
        <w:t>S</w:t>
      </w:r>
      <w:r w:rsidR="00F84571" w:rsidRPr="00DB5512">
        <w:rPr>
          <w:lang w:eastAsia="en-GB"/>
        </w:rPr>
        <w:t xml:space="preserve">tate tactics include simple assurances to parliamentarians that </w:t>
      </w:r>
      <w:r w:rsidR="00756AD1">
        <w:rPr>
          <w:lang w:eastAsia="en-GB"/>
        </w:rPr>
        <w:t xml:space="preserve">the </w:t>
      </w:r>
      <w:r w:rsidR="00F84571" w:rsidRPr="00DB5512">
        <w:rPr>
          <w:lang w:eastAsia="en-GB"/>
        </w:rPr>
        <w:t xml:space="preserve">measures taken </w:t>
      </w:r>
      <w:r w:rsidR="00F83BEF">
        <w:rPr>
          <w:lang w:eastAsia="en-GB"/>
        </w:rPr>
        <w:t>are</w:t>
      </w:r>
      <w:r w:rsidR="00F83BEF" w:rsidRPr="00DB5512">
        <w:rPr>
          <w:lang w:eastAsia="en-GB"/>
        </w:rPr>
        <w:t xml:space="preserve"> </w:t>
      </w:r>
      <w:r w:rsidR="00F84571" w:rsidRPr="00DB5512">
        <w:rPr>
          <w:lang w:eastAsia="en-GB"/>
        </w:rPr>
        <w:t xml:space="preserve">compliant with human rights treaty obligations or for those </w:t>
      </w:r>
      <w:r w:rsidR="00756AD1">
        <w:rPr>
          <w:lang w:eastAsia="en-GB"/>
        </w:rPr>
        <w:t xml:space="preserve">who are </w:t>
      </w:r>
      <w:r w:rsidR="00F84571" w:rsidRPr="00DB5512">
        <w:rPr>
          <w:lang w:eastAsia="en-GB"/>
        </w:rPr>
        <w:t xml:space="preserve">more inquiring, the executive </w:t>
      </w:r>
      <w:r w:rsidR="00BE102B" w:rsidRPr="00DB5512">
        <w:rPr>
          <w:lang w:eastAsia="en-GB"/>
        </w:rPr>
        <w:t>issues</w:t>
      </w:r>
      <w:r w:rsidR="00F84571" w:rsidRPr="00DB5512">
        <w:rPr>
          <w:lang w:eastAsia="en-GB"/>
        </w:rPr>
        <w:t xml:space="preserve"> assurances that the measures involve only partial minimization of rights </w:t>
      </w:r>
      <w:r w:rsidR="00756AD1">
        <w:rPr>
          <w:lang w:eastAsia="en-GB"/>
        </w:rPr>
        <w:t xml:space="preserve">that is </w:t>
      </w:r>
      <w:r w:rsidR="00F84571" w:rsidRPr="00DB5512">
        <w:rPr>
          <w:lang w:eastAsia="en-GB"/>
        </w:rPr>
        <w:t>justified by the necessity of the exceptional threat posed by terrorists.</w:t>
      </w:r>
      <w:r w:rsidR="00840E68">
        <w:rPr>
          <w:lang w:eastAsia="en-GB"/>
        </w:rPr>
        <w:t xml:space="preserve"> </w:t>
      </w:r>
      <w:r w:rsidR="00F84571" w:rsidRPr="00DB5512">
        <w:rPr>
          <w:lang w:eastAsia="en-GB"/>
        </w:rPr>
        <w:t>These assurances are often merely rhetorical</w:t>
      </w:r>
      <w:r w:rsidR="00BE102B" w:rsidRPr="00DB5512">
        <w:rPr>
          <w:lang w:eastAsia="en-GB"/>
        </w:rPr>
        <w:t xml:space="preserve"> and</w:t>
      </w:r>
      <w:r w:rsidR="00F84571" w:rsidRPr="00DB5512">
        <w:rPr>
          <w:lang w:eastAsia="en-GB"/>
        </w:rPr>
        <w:t xml:space="preserve"> not </w:t>
      </w:r>
      <w:r w:rsidR="00F83BEF">
        <w:rPr>
          <w:lang w:eastAsia="en-GB"/>
        </w:rPr>
        <w:t>supported</w:t>
      </w:r>
      <w:r w:rsidR="00F84571" w:rsidRPr="00DB5512">
        <w:rPr>
          <w:lang w:eastAsia="en-GB"/>
        </w:rPr>
        <w:t xml:space="preserve"> by a review of actual legislation and the substance of human rights implications. </w:t>
      </w:r>
    </w:p>
    <w:p w14:paraId="3655A158" w14:textId="36441F51" w:rsidR="00F84571" w:rsidRPr="00DB5512" w:rsidRDefault="00CB613F">
      <w:pPr>
        <w:pStyle w:val="SingleTxtG"/>
      </w:pPr>
      <w:r w:rsidRPr="00DB5512">
        <w:t>3</w:t>
      </w:r>
      <w:r>
        <w:t>6</w:t>
      </w:r>
      <w:r w:rsidR="00497580">
        <w:t>.</w:t>
      </w:r>
      <w:r w:rsidR="00497580">
        <w:tab/>
      </w:r>
      <w:r w:rsidR="00F84571" w:rsidRPr="00DB5512">
        <w:t>Expansive counter-terrorism law is now the ordinary law in many States.</w:t>
      </w:r>
      <w:r w:rsidR="00F84571" w:rsidRPr="00DB5512">
        <w:rPr>
          <w:vertAlign w:val="superscript"/>
        </w:rPr>
        <w:footnoteReference w:id="29"/>
      </w:r>
      <w:r w:rsidR="00F84571" w:rsidRPr="00DB5512">
        <w:t xml:space="preserve"> Such laws often use the word terrorism</w:t>
      </w:r>
      <w:r w:rsidR="00756AD1">
        <w:t>,</w:t>
      </w:r>
      <w:r w:rsidR="00F84571" w:rsidRPr="00DB5512">
        <w:t xml:space="preserve"> with no guidance as to its definition, </w:t>
      </w:r>
      <w:r w:rsidR="00756AD1">
        <w:t xml:space="preserve">and it is </w:t>
      </w:r>
      <w:r w:rsidR="00F84571" w:rsidRPr="00DB5512">
        <w:t xml:space="preserve">increasingly coupled with terms such as </w:t>
      </w:r>
      <w:r w:rsidR="00756AD1">
        <w:t>“</w:t>
      </w:r>
      <w:r w:rsidR="00F84571" w:rsidRPr="00DB5512">
        <w:t>violent extremism</w:t>
      </w:r>
      <w:r w:rsidR="00756AD1">
        <w:t>”</w:t>
      </w:r>
      <w:r w:rsidR="00F84571" w:rsidRPr="00DB5512">
        <w:t xml:space="preserve"> and </w:t>
      </w:r>
      <w:r w:rsidR="00756AD1">
        <w:t>“</w:t>
      </w:r>
      <w:r w:rsidR="00F84571" w:rsidRPr="00DB5512">
        <w:t>radicalization</w:t>
      </w:r>
      <w:r w:rsidR="00756AD1">
        <w:t>”, which are</w:t>
      </w:r>
      <w:r w:rsidR="00F84571" w:rsidRPr="00DB5512">
        <w:t xml:space="preserve"> also offered without definition</w:t>
      </w:r>
      <w:r w:rsidR="00756AD1">
        <w:t>s</w:t>
      </w:r>
      <w:r w:rsidR="00F84571" w:rsidRPr="00DB5512">
        <w:t xml:space="preserve">. Many domestic legislative enactments are </w:t>
      </w:r>
      <w:r w:rsidR="00756AD1">
        <w:t>characterized</w:t>
      </w:r>
      <w:r w:rsidR="00F84571" w:rsidRPr="00DB5512">
        <w:t xml:space="preserve"> by wide-ranging and vague definitions of terrorism</w:t>
      </w:r>
      <w:r w:rsidR="00AB16B4">
        <w:t xml:space="preserve">, including definitions </w:t>
      </w:r>
      <w:r w:rsidR="00684E71">
        <w:t>that limit</w:t>
      </w:r>
      <w:r w:rsidR="00AB16B4">
        <w:t xml:space="preserve"> both the valid application of international humanitarian</w:t>
      </w:r>
      <w:r w:rsidR="00684E71">
        <w:t xml:space="preserve"> law to </w:t>
      </w:r>
      <w:r w:rsidR="007229ED">
        <w:t>conflicts covered by the provisions of c</w:t>
      </w:r>
      <w:r w:rsidR="00684E71">
        <w:t xml:space="preserve">ommon </w:t>
      </w:r>
      <w:r w:rsidR="007229ED">
        <w:t>a</w:t>
      </w:r>
      <w:r w:rsidR="00684E71">
        <w:t>rticle 3</w:t>
      </w:r>
      <w:r w:rsidR="007229ED">
        <w:t xml:space="preserve"> of the 1949 Geneva Conventions</w:t>
      </w:r>
      <w:r w:rsidR="00684E71">
        <w:t xml:space="preserve"> and </w:t>
      </w:r>
      <w:r w:rsidR="007229ED">
        <w:t xml:space="preserve">Additional </w:t>
      </w:r>
      <w:r w:rsidR="00684E71">
        <w:t>Protocol II threshold</w:t>
      </w:r>
      <w:r w:rsidR="00E105FB">
        <w:t xml:space="preserve"> </w:t>
      </w:r>
      <w:r w:rsidR="00684E71">
        <w:t>conflicts</w:t>
      </w:r>
      <w:r w:rsidR="00AB16B4">
        <w:t xml:space="preserve"> as well as the recognition of legitimate self-determination claims</w:t>
      </w:r>
      <w:r w:rsidR="004A19B7">
        <w:t xml:space="preserve"> under human rights treaties</w:t>
      </w:r>
      <w:r w:rsidR="00F84571" w:rsidRPr="00DB5512">
        <w:t xml:space="preserve">. </w:t>
      </w:r>
      <w:r w:rsidR="00280F56" w:rsidRPr="00DB5512">
        <w:t>Definitional lacunae compound the challenge of confronting de facto emergencies.</w:t>
      </w:r>
    </w:p>
    <w:p w14:paraId="0E1B7C2C" w14:textId="30285336" w:rsidR="00F84571" w:rsidRPr="00DB5512" w:rsidRDefault="00CB613F" w:rsidP="00A31265">
      <w:pPr>
        <w:pStyle w:val="SingleTxtG"/>
      </w:pPr>
      <w:r w:rsidRPr="00DB5512">
        <w:t>3</w:t>
      </w:r>
      <w:r>
        <w:t>7</w:t>
      </w:r>
      <w:r w:rsidR="00F84571" w:rsidRPr="00DB5512">
        <w:t>.</w:t>
      </w:r>
      <w:r w:rsidR="00F84571" w:rsidRPr="00DB5512">
        <w:tab/>
        <w:t>Complex emergencies are a distinct and under-appreciated dimension of emergency practice in counter-terrorism context</w:t>
      </w:r>
      <w:r w:rsidR="00280F56" w:rsidRPr="00DB5512">
        <w:t>s</w:t>
      </w:r>
      <w:r w:rsidR="00F84571" w:rsidRPr="00DB5512">
        <w:t xml:space="preserve">. Complex emergencies evolve from the piling up of multiple forms of legislation and administrative practice, including constitutional exercises of emergency powers, combined with legislative counter-terrorism measures </w:t>
      </w:r>
      <w:r w:rsidR="00F83BEF">
        <w:t xml:space="preserve">and </w:t>
      </w:r>
      <w:r w:rsidR="00F84571" w:rsidRPr="00DB5512">
        <w:t>mingled with devolved uses of emergency powers in federal systems (regional, state and local governments in particular)</w:t>
      </w:r>
      <w:r w:rsidR="007229ED">
        <w:t>, which</w:t>
      </w:r>
      <w:r w:rsidR="00F84571" w:rsidRPr="00DB5512">
        <w:t xml:space="preserve"> creat</w:t>
      </w:r>
      <w:r w:rsidR="007229ED">
        <w:t>e</w:t>
      </w:r>
      <w:r w:rsidR="00F84571" w:rsidRPr="00DB5512">
        <w:t xml:space="preserve"> a complex and overlapping mosaic of legal regulation. Complex emergencies require close and sustained oversight by international human rights oversight bodies. Mapping the totality of the counter-terrorism terrain is essential</w:t>
      </w:r>
      <w:r w:rsidR="007229ED">
        <w:t>; that means</w:t>
      </w:r>
      <w:r w:rsidR="00F84571" w:rsidRPr="00DB5512">
        <w:t xml:space="preserve"> not only seeing individual pieces of legislation or executive order</w:t>
      </w:r>
      <w:r w:rsidR="006B581E">
        <w:t>s</w:t>
      </w:r>
      <w:r w:rsidR="00F84571" w:rsidRPr="00DB5512">
        <w:t xml:space="preserve">, but </w:t>
      </w:r>
      <w:r w:rsidR="00F84571" w:rsidRPr="00DB5512">
        <w:lastRenderedPageBreak/>
        <w:t xml:space="preserve">understanding the cumulative effect of </w:t>
      </w:r>
      <w:r w:rsidR="00156FA4">
        <w:t xml:space="preserve">such </w:t>
      </w:r>
      <w:r w:rsidR="00F84571" w:rsidRPr="00DB5512">
        <w:t xml:space="preserve">regulation on the total enjoyment of human rights. </w:t>
      </w:r>
    </w:p>
    <w:p w14:paraId="4F77573C" w14:textId="244DE233" w:rsidR="00F84571" w:rsidRPr="00DB5512" w:rsidRDefault="00CB613F" w:rsidP="00A31265">
      <w:pPr>
        <w:pStyle w:val="SingleTxtG"/>
      </w:pPr>
      <w:r>
        <w:t>38</w:t>
      </w:r>
      <w:r w:rsidR="00F84571" w:rsidRPr="00DB5512">
        <w:t>.</w:t>
      </w:r>
      <w:r w:rsidR="00F84571" w:rsidRPr="00DB5512">
        <w:tab/>
        <w:t xml:space="preserve">International </w:t>
      </w:r>
      <w:r w:rsidR="003F0A5B">
        <w:t>human rights</w:t>
      </w:r>
      <w:r w:rsidR="003F0A5B" w:rsidRPr="00DB5512">
        <w:t xml:space="preserve"> </w:t>
      </w:r>
      <w:r w:rsidR="00F84571" w:rsidRPr="00DB5512">
        <w:t xml:space="preserve">bodies have </w:t>
      </w:r>
      <w:r w:rsidR="00DC56FA">
        <w:t>highlighted</w:t>
      </w:r>
      <w:r w:rsidR="00F84571" w:rsidRPr="00DB5512">
        <w:t xml:space="preserve"> the problem of </w:t>
      </w:r>
      <w:r w:rsidR="00F84571" w:rsidRPr="004A19B7">
        <w:rPr>
          <w:iCs/>
        </w:rPr>
        <w:t>de facto</w:t>
      </w:r>
      <w:r w:rsidR="00F84571" w:rsidRPr="00DB5512">
        <w:t xml:space="preserve"> emergencies and expressly called </w:t>
      </w:r>
      <w:r w:rsidR="003F0A5B">
        <w:t>up</w:t>
      </w:r>
      <w:r w:rsidR="00F84571" w:rsidRPr="00DB5512">
        <w:t xml:space="preserve">on </w:t>
      </w:r>
      <w:r w:rsidR="003F0A5B">
        <w:t>S</w:t>
      </w:r>
      <w:r w:rsidR="00F84571" w:rsidRPr="00DB5512">
        <w:t xml:space="preserve">tates to declare or abandon their hidden emergency </w:t>
      </w:r>
      <w:r w:rsidR="00F84571" w:rsidRPr="0060215C">
        <w:t>practice</w:t>
      </w:r>
      <w:r w:rsidR="003F0A5B" w:rsidRPr="0060215C">
        <w:t>s</w:t>
      </w:r>
      <w:r w:rsidR="00F84571" w:rsidRPr="0060215C">
        <w:t>.</w:t>
      </w:r>
      <w:r w:rsidR="00F84571" w:rsidRPr="0060215C">
        <w:rPr>
          <w:vertAlign w:val="superscript"/>
        </w:rPr>
        <w:footnoteReference w:id="30"/>
      </w:r>
      <w:r w:rsidR="00F84571" w:rsidRPr="00DB5512">
        <w:t xml:space="preserve"> </w:t>
      </w:r>
      <w:r w:rsidR="007339DF">
        <w:t xml:space="preserve">Given </w:t>
      </w:r>
      <w:r w:rsidR="00F84571" w:rsidRPr="00DB5512">
        <w:t xml:space="preserve">the widespread use of ordinary counter-terrorism laws </w:t>
      </w:r>
      <w:r w:rsidR="003F0A5B">
        <w:t xml:space="preserve">that </w:t>
      </w:r>
      <w:r w:rsidR="00F84571" w:rsidRPr="00DB5512">
        <w:t>significantly limit or imping</w:t>
      </w:r>
      <w:r w:rsidR="003F0A5B">
        <w:t>e</w:t>
      </w:r>
      <w:r w:rsidR="00F84571" w:rsidRPr="00DB5512">
        <w:t xml:space="preserve"> upon the full enjoyment of human rights, greater attention needs to be paid by all relevant oversight bodies to the </w:t>
      </w:r>
      <w:r w:rsidR="00F84571" w:rsidRPr="00C60370">
        <w:rPr>
          <w:iCs/>
        </w:rPr>
        <w:t>de facto</w:t>
      </w:r>
      <w:r w:rsidR="00280F56" w:rsidRPr="00DB5512">
        <w:rPr>
          <w:i/>
        </w:rPr>
        <w:t xml:space="preserve"> </w:t>
      </w:r>
      <w:r w:rsidR="00280F56" w:rsidRPr="00DB5512">
        <w:t>and complex</w:t>
      </w:r>
      <w:r w:rsidR="00F84571" w:rsidRPr="00DB5512">
        <w:t xml:space="preserve"> expansion of emergency powers through the use of counter-terrorism law. </w:t>
      </w:r>
      <w:r w:rsidR="007A0967">
        <w:t>F</w:t>
      </w:r>
      <w:r w:rsidR="00F84571" w:rsidRPr="00DB5512">
        <w:t xml:space="preserve">ailure to fully name and recognize national counter-terrorism regimes as holding devices for states of emergency is a fundamental weakness in ensuring human rights protection in all circumstances. </w:t>
      </w:r>
    </w:p>
    <w:p w14:paraId="305A7BEE" w14:textId="6E7239E5" w:rsidR="00F84571" w:rsidRPr="00DB5512" w:rsidRDefault="00CB613F" w:rsidP="00A31265">
      <w:pPr>
        <w:pStyle w:val="SingleTxtG"/>
      </w:pPr>
      <w:r>
        <w:t>39</w:t>
      </w:r>
      <w:r w:rsidR="00F84571" w:rsidRPr="00DB5512">
        <w:t>.</w:t>
      </w:r>
      <w:r w:rsidR="00F84571" w:rsidRPr="00DB5512">
        <w:tab/>
      </w:r>
      <w:r w:rsidR="007339DF">
        <w:t xml:space="preserve">The </w:t>
      </w:r>
      <w:r w:rsidR="00AF065A">
        <w:t>Special</w:t>
      </w:r>
      <w:r w:rsidR="00F84571" w:rsidRPr="00DB5512">
        <w:t xml:space="preserve"> Rapporteur urges States, the Security Council and the Counter-Terrorism Committee to be aware of and remind</w:t>
      </w:r>
      <w:r w:rsidR="00C60370">
        <w:t xml:space="preserve"> those</w:t>
      </w:r>
      <w:r w:rsidR="00F84571" w:rsidRPr="00DB5512">
        <w:t xml:space="preserve"> States creating new supranational legal obligations that substantial limitations on the exercise of the rights implicate emergencies and generic affirmations of protecting human rights are insufficient. Rather, States have specific and concrete human rights obligations when emergency powers are triggered by counter-terrorism law and practice. Undeniably, all counter-terrorism </w:t>
      </w:r>
      <w:r w:rsidR="007339DF">
        <w:t>measures</w:t>
      </w:r>
      <w:r w:rsidR="007339DF" w:rsidRPr="00DB5512">
        <w:t xml:space="preserve"> </w:t>
      </w:r>
      <w:r w:rsidR="00F84571" w:rsidRPr="00DB5512">
        <w:t xml:space="preserve">that implicate emergency measures </w:t>
      </w:r>
      <w:r w:rsidR="00905073">
        <w:t xml:space="preserve">that </w:t>
      </w:r>
      <w:r w:rsidR="00F84571" w:rsidRPr="00DB5512">
        <w:t>significantly limit or imping</w:t>
      </w:r>
      <w:r w:rsidR="00905073">
        <w:t>e</w:t>
      </w:r>
      <w:r w:rsidR="00F84571" w:rsidRPr="00DB5512">
        <w:t xml:space="preserve"> upon the full enjoyment of human </w:t>
      </w:r>
      <w:r w:rsidR="00280F56" w:rsidRPr="00DB5512">
        <w:t>rights</w:t>
      </w:r>
      <w:r w:rsidR="00F84571" w:rsidRPr="00DB5512">
        <w:t xml:space="preserve"> must be regulated by transparent and specific </w:t>
      </w:r>
      <w:r w:rsidR="007339DF">
        <w:t>national norms</w:t>
      </w:r>
      <w:r w:rsidR="00F84571" w:rsidRPr="00DB5512">
        <w:t xml:space="preserve"> </w:t>
      </w:r>
      <w:r w:rsidR="00905073">
        <w:t xml:space="preserve">that </w:t>
      </w:r>
      <w:r w:rsidR="007339DF">
        <w:t>establish</w:t>
      </w:r>
      <w:r w:rsidR="00F84571" w:rsidRPr="00DB5512">
        <w:t xml:space="preserve"> a clear mechanism for triggering those measures</w:t>
      </w:r>
      <w:r w:rsidR="00905073">
        <w:t>,</w:t>
      </w:r>
      <w:r w:rsidR="00F84571" w:rsidRPr="00DB5512">
        <w:t xml:space="preserve"> in full compliance with States’ international human rights obligations.</w:t>
      </w:r>
    </w:p>
    <w:p w14:paraId="1A5118DA" w14:textId="31456808" w:rsidR="00F84571" w:rsidRPr="00DB5512" w:rsidRDefault="00F84571" w:rsidP="00F84571">
      <w:pPr>
        <w:pStyle w:val="HChG"/>
      </w:pPr>
      <w:r w:rsidRPr="00DB5512">
        <w:tab/>
        <w:t>III.</w:t>
      </w:r>
      <w:r w:rsidRPr="00DB5512">
        <w:tab/>
        <w:t xml:space="preserve">Human rights protection measures that must be taken in states of emergency </w:t>
      </w:r>
    </w:p>
    <w:p w14:paraId="3433304C" w14:textId="46433ABA" w:rsidR="00F84571" w:rsidRPr="00DB5512" w:rsidRDefault="00CB613F" w:rsidP="00A31265">
      <w:pPr>
        <w:pStyle w:val="SingleTxtG"/>
      </w:pPr>
      <w:r w:rsidRPr="00DB5512">
        <w:t>4</w:t>
      </w:r>
      <w:r>
        <w:t>0</w:t>
      </w:r>
      <w:r w:rsidR="00F84571" w:rsidRPr="00DB5512">
        <w:t>.</w:t>
      </w:r>
      <w:r w:rsidR="00F84571" w:rsidRPr="00DB5512">
        <w:tab/>
        <w:t xml:space="preserve">Under international law, States have obligations and duties to respect, protect and fulfil human rights and fundamental freedoms. During </w:t>
      </w:r>
      <w:r w:rsidR="00751B6B">
        <w:t>an</w:t>
      </w:r>
      <w:r w:rsidR="00FA4E45">
        <w:t xml:space="preserve"> emergency</w:t>
      </w:r>
      <w:r w:rsidR="00905073">
        <w:t xml:space="preserve"> — no matter </w:t>
      </w:r>
      <w:r w:rsidR="00FA4E45">
        <w:t>how</w:t>
      </w:r>
      <w:r w:rsidR="00905073">
        <w:t xml:space="preserve"> it is</w:t>
      </w:r>
      <w:r w:rsidR="00FA4E45">
        <w:t xml:space="preserve"> occasioned</w:t>
      </w:r>
      <w:r w:rsidR="00905073">
        <w:t xml:space="preserve"> —</w:t>
      </w:r>
      <w:r w:rsidR="00F84571" w:rsidRPr="00DB5512">
        <w:t>, if the situation constitutes a threat to the life of the nation and its exigencies require suspension of certain international human rights</w:t>
      </w:r>
      <w:r w:rsidR="00905073">
        <w:t>,</w:t>
      </w:r>
      <w:r w:rsidR="00F84571" w:rsidRPr="00DB5512">
        <w:t xml:space="preserve"> such action must be taken while fulfilling </w:t>
      </w:r>
      <w:r w:rsidR="00485E08">
        <w:t>S</w:t>
      </w:r>
      <w:r w:rsidR="00F84571" w:rsidRPr="00DB5512">
        <w:t xml:space="preserve">tate’s </w:t>
      </w:r>
      <w:r w:rsidR="00905073">
        <w:t xml:space="preserve">obligations under </w:t>
      </w:r>
      <w:r w:rsidR="00F84571" w:rsidRPr="00DB5512">
        <w:t>international law.</w:t>
      </w:r>
    </w:p>
    <w:p w14:paraId="2AD0A9EE" w14:textId="3E241D8E" w:rsidR="00F84571" w:rsidRPr="00DB5512" w:rsidRDefault="00F84571" w:rsidP="00F84571">
      <w:pPr>
        <w:pStyle w:val="H1G"/>
      </w:pPr>
      <w:r w:rsidRPr="00DB5512">
        <w:tab/>
        <w:t>A.</w:t>
      </w:r>
      <w:r w:rsidRPr="00DB5512">
        <w:tab/>
        <w:t>Which rights</w:t>
      </w:r>
      <w:r w:rsidR="002F4356">
        <w:t xml:space="preserve"> cannot be limited or suspended</w:t>
      </w:r>
    </w:p>
    <w:p w14:paraId="2213CC88" w14:textId="3BE6A5D4" w:rsidR="00F84571" w:rsidRPr="00DB5512" w:rsidRDefault="00CB613F" w:rsidP="00A31265">
      <w:pPr>
        <w:pStyle w:val="SingleTxtG"/>
      </w:pPr>
      <w:r w:rsidRPr="00DB5512">
        <w:t>4</w:t>
      </w:r>
      <w:r>
        <w:t>1</w:t>
      </w:r>
      <w:r w:rsidR="00F84571" w:rsidRPr="00DB5512">
        <w:t>.</w:t>
      </w:r>
      <w:r w:rsidR="00F84571" w:rsidRPr="00DB5512">
        <w:tab/>
        <w:t xml:space="preserve">Only derogable rights </w:t>
      </w:r>
      <w:r w:rsidR="00905073">
        <w:t>may be</w:t>
      </w:r>
      <w:r w:rsidR="00F84571" w:rsidRPr="00DB5512">
        <w:t xml:space="preserve"> subject to limitations during </w:t>
      </w:r>
      <w:r w:rsidR="00905073">
        <w:t xml:space="preserve">an </w:t>
      </w:r>
      <w:r w:rsidR="00F84571" w:rsidRPr="00DB5512">
        <w:t>emergency.</w:t>
      </w:r>
      <w:r w:rsidR="00840E68">
        <w:t xml:space="preserve"> </w:t>
      </w:r>
      <w:r w:rsidR="00F84571" w:rsidRPr="00DB5512">
        <w:t xml:space="preserve">Non-derogable rights are </w:t>
      </w:r>
      <w:r w:rsidR="00905073">
        <w:t xml:space="preserve">rights that are </w:t>
      </w:r>
      <w:r w:rsidR="00F84571" w:rsidRPr="00DB5512">
        <w:t xml:space="preserve">especially protected under treaty law that cannot be limited or suspended, </w:t>
      </w:r>
      <w:r w:rsidR="00A23B58">
        <w:t>regardless of</w:t>
      </w:r>
      <w:r w:rsidR="00A23B58" w:rsidRPr="00DB5512">
        <w:t xml:space="preserve"> </w:t>
      </w:r>
      <w:r w:rsidR="00F84571" w:rsidRPr="00DB5512">
        <w:t xml:space="preserve">the extent </w:t>
      </w:r>
      <w:r w:rsidR="00905073">
        <w:t xml:space="preserve">or the source </w:t>
      </w:r>
      <w:r w:rsidR="00F84571" w:rsidRPr="00DB5512">
        <w:t xml:space="preserve">of the crisis faced by </w:t>
      </w:r>
      <w:r w:rsidR="00905073">
        <w:t xml:space="preserve">the </w:t>
      </w:r>
      <w:r w:rsidR="00485E08">
        <w:t>S</w:t>
      </w:r>
      <w:r w:rsidR="00F84571" w:rsidRPr="00DB5512">
        <w:t>tate.</w:t>
      </w:r>
      <w:r w:rsidR="00840E68">
        <w:t xml:space="preserve"> </w:t>
      </w:r>
      <w:r w:rsidR="00F84571" w:rsidRPr="00DB5512">
        <w:t>There is some variance across treaties on what constitute non-derogable rights.</w:t>
      </w:r>
      <w:r w:rsidR="00840E68">
        <w:t xml:space="preserve"> </w:t>
      </w:r>
      <w:r w:rsidR="00905073">
        <w:t xml:space="preserve">The </w:t>
      </w:r>
      <w:r w:rsidR="00AF065A">
        <w:t>I</w:t>
      </w:r>
      <w:r w:rsidR="00905073">
        <w:t xml:space="preserve">nternational </w:t>
      </w:r>
      <w:r w:rsidR="00AF065A">
        <w:t>C</w:t>
      </w:r>
      <w:r w:rsidR="00905073">
        <w:t xml:space="preserve">ovenant on </w:t>
      </w:r>
      <w:r w:rsidR="00AF065A">
        <w:t>C</w:t>
      </w:r>
      <w:r w:rsidR="00905073">
        <w:t xml:space="preserve">ivil and </w:t>
      </w:r>
      <w:r w:rsidR="00AF065A">
        <w:t>P</w:t>
      </w:r>
      <w:r w:rsidR="00905073">
        <w:t xml:space="preserve">olitical </w:t>
      </w:r>
      <w:r w:rsidR="00AF065A">
        <w:t>R</w:t>
      </w:r>
      <w:r w:rsidR="00905073">
        <w:t>ights</w:t>
      </w:r>
      <w:r w:rsidR="00F84571" w:rsidRPr="00DB5512">
        <w:t xml:space="preserve"> does not permit derogation on the arbitrary deprivation of life, freedom from torture, inhuman and degrading treatment, slavery and servitude, imprisonment for the inability to fulfil contractual obligations, application of ex post facto laws and freedom of thought, conscience and religion.</w:t>
      </w:r>
      <w:r w:rsidR="00840E68">
        <w:t xml:space="preserve"> </w:t>
      </w:r>
      <w:r w:rsidR="00F84571" w:rsidRPr="00DB5512">
        <w:t>The E</w:t>
      </w:r>
      <w:r w:rsidR="00905073">
        <w:t xml:space="preserve">uropean </w:t>
      </w:r>
      <w:r w:rsidR="00F84571" w:rsidRPr="00DB5512">
        <w:t>C</w:t>
      </w:r>
      <w:r w:rsidR="00905073">
        <w:t xml:space="preserve">onvention on </w:t>
      </w:r>
      <w:r w:rsidR="00F84571" w:rsidRPr="00DB5512">
        <w:t>H</w:t>
      </w:r>
      <w:r w:rsidR="00905073">
        <w:t xml:space="preserve">uman </w:t>
      </w:r>
      <w:r w:rsidR="00F84571" w:rsidRPr="00DB5512">
        <w:t>R</w:t>
      </w:r>
      <w:r w:rsidR="00905073">
        <w:t>ights</w:t>
      </w:r>
      <w:r w:rsidR="00F84571" w:rsidRPr="00DB5512">
        <w:t xml:space="preserve"> contains minimal provisions on non-derogable rights</w:t>
      </w:r>
      <w:r w:rsidR="00954E8B">
        <w:t>,</w:t>
      </w:r>
      <w:r w:rsidR="00F84571" w:rsidRPr="00DB5512">
        <w:t xml:space="preserve"> includ</w:t>
      </w:r>
      <w:r w:rsidR="00954E8B">
        <w:t>ing</w:t>
      </w:r>
      <w:r w:rsidR="00F84571" w:rsidRPr="00DB5512">
        <w:t xml:space="preserve"> the right to life (except in respect of death resulting from lawful acts of war), freedom from torture, inhuman and degrading treatment, freedom from slavery and the right not to be subject to</w:t>
      </w:r>
      <w:r w:rsidR="002F4356">
        <w:t xml:space="preserve"> post</w:t>
      </w:r>
      <w:r w:rsidR="00954E8B">
        <w:t xml:space="preserve"> </w:t>
      </w:r>
      <w:r w:rsidR="002F4356">
        <w:t xml:space="preserve">facto application of </w:t>
      </w:r>
      <w:r w:rsidR="00954E8B">
        <w:t xml:space="preserve">the </w:t>
      </w:r>
      <w:r w:rsidR="002F4356">
        <w:t>law.</w:t>
      </w:r>
    </w:p>
    <w:p w14:paraId="7288BD50" w14:textId="2F23ED5E" w:rsidR="00F84571" w:rsidRPr="00DB5512" w:rsidRDefault="00CB613F">
      <w:pPr>
        <w:pStyle w:val="SingleTxtG"/>
      </w:pPr>
      <w:r w:rsidRPr="00DB5512">
        <w:lastRenderedPageBreak/>
        <w:t>4</w:t>
      </w:r>
      <w:r>
        <w:t>2</w:t>
      </w:r>
      <w:r w:rsidR="00F84571" w:rsidRPr="00DB5512">
        <w:t>.</w:t>
      </w:r>
      <w:r w:rsidR="00F84571" w:rsidRPr="00DB5512">
        <w:tab/>
        <w:t>The Human Rights Committee has paid particular attention to derogations from derogable rights</w:t>
      </w:r>
      <w:r w:rsidR="00EC52E5">
        <w:t xml:space="preserve"> and</w:t>
      </w:r>
      <w:r w:rsidR="00F84571" w:rsidRPr="00DB5512">
        <w:t xml:space="preserve"> stress</w:t>
      </w:r>
      <w:r w:rsidR="00EC52E5">
        <w:t>ed</w:t>
      </w:r>
      <w:r w:rsidR="00F84571" w:rsidRPr="00DB5512">
        <w:t xml:space="preserve"> that their derogable status does not mean that the</w:t>
      </w:r>
      <w:r w:rsidR="00EC52E5">
        <w:t>y</w:t>
      </w:r>
      <w:r w:rsidR="00F84571" w:rsidRPr="00DB5512">
        <w:t xml:space="preserve"> can be derogated from at will.</w:t>
      </w:r>
      <w:r w:rsidR="00F84571" w:rsidRPr="00DB5512">
        <w:rPr>
          <w:rStyle w:val="FootnoteReference"/>
          <w:rFonts w:eastAsiaTheme="majorEastAsia"/>
        </w:rPr>
        <w:footnoteReference w:id="31"/>
      </w:r>
      <w:r w:rsidR="00F84571" w:rsidRPr="00DB5512">
        <w:t xml:space="preserve"> This approach has</w:t>
      </w:r>
      <w:r w:rsidR="00265DBA">
        <w:t xml:space="preserve"> a</w:t>
      </w:r>
      <w:r w:rsidR="00F84571" w:rsidRPr="00DB5512">
        <w:t xml:space="preserve"> relevant cross-application to the </w:t>
      </w:r>
      <w:r w:rsidR="007339DF">
        <w:t>approach</w:t>
      </w:r>
      <w:r w:rsidR="007339DF" w:rsidRPr="00DB5512">
        <w:t xml:space="preserve"> </w:t>
      </w:r>
      <w:r w:rsidR="00F84571" w:rsidRPr="00DB5512">
        <w:t xml:space="preserve">of the Inter-American Court which, in two important advisory opinion decisions, found that certain derogable rights under the American Convention are effectively rendered non-derogable by expansive interpretation of the term </w:t>
      </w:r>
      <w:r w:rsidR="00265DBA">
        <w:t>“</w:t>
      </w:r>
      <w:r w:rsidR="00F84571" w:rsidRPr="00DB5512">
        <w:t>judicial guarantees</w:t>
      </w:r>
      <w:r w:rsidR="00265DBA">
        <w:t>”</w:t>
      </w:r>
      <w:r w:rsidR="00F84571" w:rsidRPr="00DB5512">
        <w:t xml:space="preserve"> in </w:t>
      </w:r>
      <w:r w:rsidR="00265DBA">
        <w:t>a</w:t>
      </w:r>
      <w:r w:rsidR="00F84571" w:rsidRPr="00DB5512">
        <w:t>rticle 27 of the American Convention.</w:t>
      </w:r>
      <w:r w:rsidR="00F84571" w:rsidRPr="00DB5512">
        <w:rPr>
          <w:rStyle w:val="FootnoteReference"/>
          <w:rFonts w:eastAsiaTheme="majorEastAsia"/>
        </w:rPr>
        <w:footnoteReference w:id="32"/>
      </w:r>
      <w:r w:rsidR="00F84571" w:rsidRPr="00DB5512">
        <w:t xml:space="preserve"> Another important </w:t>
      </w:r>
      <w:r w:rsidR="00280F56" w:rsidRPr="00DB5512">
        <w:t xml:space="preserve">extension of protection for </w:t>
      </w:r>
      <w:r w:rsidR="00F84571" w:rsidRPr="00DB5512">
        <w:t xml:space="preserve">derogable rights in times of emergency has been undertaken by the </w:t>
      </w:r>
      <w:r w:rsidR="007339DF">
        <w:t>H</w:t>
      </w:r>
      <w:r w:rsidR="002E55CC">
        <w:t xml:space="preserve">uman </w:t>
      </w:r>
      <w:r w:rsidR="007339DF">
        <w:t>R</w:t>
      </w:r>
      <w:r w:rsidR="002E55CC">
        <w:t xml:space="preserve">ights </w:t>
      </w:r>
      <w:r w:rsidR="007339DF">
        <w:t>C</w:t>
      </w:r>
      <w:r w:rsidR="002E55CC">
        <w:t>ommittee</w:t>
      </w:r>
      <w:r w:rsidR="00265DBA">
        <w:t>, which</w:t>
      </w:r>
      <w:r w:rsidR="00F84571" w:rsidRPr="00DB5512">
        <w:t xml:space="preserve"> </w:t>
      </w:r>
      <w:r w:rsidR="00E071DE">
        <w:t>holds</w:t>
      </w:r>
      <w:r w:rsidR="00F84571" w:rsidRPr="00DB5512">
        <w:t xml:space="preserve"> that derogable rights which also constitute peremptory norms of international law are effectively non-derogable</w:t>
      </w:r>
      <w:r w:rsidR="00280F56" w:rsidRPr="00DB5512">
        <w:t xml:space="preserve"> in </w:t>
      </w:r>
      <w:r w:rsidR="00684E71">
        <w:t>emergencies</w:t>
      </w:r>
      <w:r w:rsidR="00F84571" w:rsidRPr="00DB5512">
        <w:t>.</w:t>
      </w:r>
      <w:r w:rsidR="00840E68">
        <w:t xml:space="preserve"> </w:t>
      </w:r>
      <w:r w:rsidR="00F84571" w:rsidRPr="00DB5512">
        <w:t xml:space="preserve">Moreover, the Committee </w:t>
      </w:r>
      <w:r w:rsidR="00265DBA">
        <w:t>stated</w:t>
      </w:r>
      <w:r w:rsidR="00F84571" w:rsidRPr="00DB5512">
        <w:t xml:space="preserve"> that derogation from certain rights could never</w:t>
      </w:r>
      <w:r w:rsidR="00265DBA">
        <w:t xml:space="preserve"> —</w:t>
      </w:r>
      <w:r w:rsidR="00F84571" w:rsidRPr="00DB5512">
        <w:t xml:space="preserve"> in </w:t>
      </w:r>
      <w:r w:rsidR="00265DBA">
        <w:t>its</w:t>
      </w:r>
      <w:r w:rsidR="00F84571" w:rsidRPr="00DB5512">
        <w:t xml:space="preserve"> view</w:t>
      </w:r>
      <w:r w:rsidR="00265DBA">
        <w:t xml:space="preserve"> —</w:t>
      </w:r>
      <w:r w:rsidR="00F84571" w:rsidRPr="00DB5512">
        <w:t xml:space="preserve"> be proportionate (</w:t>
      </w:r>
      <w:r w:rsidR="00A9699D">
        <w:t>for example,</w:t>
      </w:r>
      <w:r w:rsidR="00F84571" w:rsidRPr="00DB5512">
        <w:t xml:space="preserve"> </w:t>
      </w:r>
      <w:r w:rsidR="00A9699D">
        <w:t xml:space="preserve">hostage </w:t>
      </w:r>
      <w:r w:rsidR="00F84571" w:rsidRPr="00DB5512">
        <w:t>taking, arbitrary deprivation of liberty, deviation from</w:t>
      </w:r>
      <w:r w:rsidR="00E954EF">
        <w:t xml:space="preserve"> the principles of</w:t>
      </w:r>
      <w:r w:rsidR="00A9699D">
        <w:t xml:space="preserve"> </w:t>
      </w:r>
      <w:r w:rsidR="00F84571" w:rsidRPr="00DB5512">
        <w:t>fair trial).</w:t>
      </w:r>
      <w:r w:rsidR="00F84571" w:rsidRPr="00DB5512">
        <w:rPr>
          <w:rStyle w:val="FootnoteReference"/>
          <w:rFonts w:eastAsiaTheme="majorEastAsia"/>
        </w:rPr>
        <w:footnoteReference w:id="33"/>
      </w:r>
      <w:r w:rsidR="00840E68">
        <w:t xml:space="preserve"> </w:t>
      </w:r>
      <w:r w:rsidR="007339DF">
        <w:t xml:space="preserve">The </w:t>
      </w:r>
      <w:r w:rsidR="00AF065A">
        <w:t>Special</w:t>
      </w:r>
      <w:r w:rsidR="00F84571" w:rsidRPr="00DB5512">
        <w:t xml:space="preserve"> Rapporteur concurs with this position.</w:t>
      </w:r>
    </w:p>
    <w:p w14:paraId="02D3A452" w14:textId="24517665" w:rsidR="00F84571" w:rsidRPr="00DB5512" w:rsidRDefault="00F84571" w:rsidP="00F84571">
      <w:pPr>
        <w:pStyle w:val="H1G"/>
      </w:pPr>
      <w:r w:rsidRPr="00DB5512" w:rsidDel="00BE5D6F">
        <w:t xml:space="preserve"> </w:t>
      </w:r>
      <w:r w:rsidRPr="00DB5512">
        <w:tab/>
        <w:t>B.</w:t>
      </w:r>
      <w:r w:rsidRPr="00DB5512">
        <w:tab/>
      </w:r>
      <w:r w:rsidRPr="00E954EF">
        <w:t>Balance,</w:t>
      </w:r>
      <w:r w:rsidRPr="00DB5512">
        <w:t xml:space="preserve"> </w:t>
      </w:r>
      <w:r w:rsidR="00783D6A">
        <w:t>n</w:t>
      </w:r>
      <w:r w:rsidRPr="00DB5512">
        <w:t xml:space="preserve">ecessity and </w:t>
      </w:r>
      <w:r w:rsidR="00783D6A">
        <w:t>p</w:t>
      </w:r>
      <w:r w:rsidRPr="00DB5512">
        <w:t>roportion</w:t>
      </w:r>
      <w:r w:rsidR="00A23B58">
        <w:t>ality</w:t>
      </w:r>
      <w:r w:rsidRPr="00DB5512">
        <w:t xml:space="preserve"> in </w:t>
      </w:r>
      <w:r w:rsidR="00783D6A">
        <w:t>l</w:t>
      </w:r>
      <w:r w:rsidRPr="00DB5512">
        <w:t xml:space="preserve">imiting </w:t>
      </w:r>
      <w:r w:rsidR="00783D6A">
        <w:t>r</w:t>
      </w:r>
      <w:r w:rsidRPr="00DB5512">
        <w:t xml:space="preserve">ights </w:t>
      </w:r>
      <w:r w:rsidR="00783D6A">
        <w:t>while</w:t>
      </w:r>
      <w:r w:rsidR="00783D6A" w:rsidRPr="00DB5512">
        <w:t xml:space="preserve"> </w:t>
      </w:r>
      <w:r w:rsidR="00783D6A">
        <w:t>c</w:t>
      </w:r>
      <w:r w:rsidRPr="00DB5512">
        <w:t xml:space="preserve">ountering </w:t>
      </w:r>
      <w:r w:rsidR="00783D6A">
        <w:t>t</w:t>
      </w:r>
      <w:r w:rsidRPr="00DB5512">
        <w:t>errorism</w:t>
      </w:r>
    </w:p>
    <w:p w14:paraId="0C5393D1" w14:textId="20B16EDA" w:rsidR="00F84571" w:rsidRPr="00DB5512" w:rsidRDefault="00CB613F">
      <w:pPr>
        <w:pStyle w:val="SingleTxtG"/>
      </w:pPr>
      <w:r w:rsidRPr="00DB5512">
        <w:t>4</w:t>
      </w:r>
      <w:r>
        <w:t>3</w:t>
      </w:r>
      <w:r w:rsidR="00F84571" w:rsidRPr="00DB5512">
        <w:t>.</w:t>
      </w:r>
      <w:r w:rsidR="00F84571" w:rsidRPr="00DB5512">
        <w:tab/>
        <w:t>Derogation is not a blanket mechanism.</w:t>
      </w:r>
      <w:r w:rsidR="00840E68">
        <w:t xml:space="preserve"> </w:t>
      </w:r>
      <w:r w:rsidR="00F84571" w:rsidRPr="00DB5512">
        <w:t xml:space="preserve">States must reach the same threshold of necessity and proportionality for each measure taken, and each measure shall be </w:t>
      </w:r>
      <w:r w:rsidR="00E954EF">
        <w:t>“</w:t>
      </w:r>
      <w:r w:rsidR="00F84571" w:rsidRPr="00DB5512">
        <w:t>directed to an actual, clear, present or imminent danger</w:t>
      </w:r>
      <w:r w:rsidR="00E954EF">
        <w:t>”</w:t>
      </w:r>
      <w:r w:rsidR="00F84571" w:rsidRPr="00DB5512">
        <w:t>.</w:t>
      </w:r>
      <w:r w:rsidR="00F84571" w:rsidRPr="00DB5512">
        <w:rPr>
          <w:rStyle w:val="FootnoteReference"/>
          <w:rFonts w:eastAsiaTheme="majorEastAsia"/>
        </w:rPr>
        <w:footnoteReference w:id="34"/>
      </w:r>
      <w:r w:rsidR="00F84571" w:rsidRPr="00DB5512">
        <w:t xml:space="preserve"> Simply put, each counter-terrorism measure taken by </w:t>
      </w:r>
      <w:r w:rsidR="00E954EF">
        <w:t xml:space="preserve">a </w:t>
      </w:r>
      <w:r w:rsidR="00280F56" w:rsidRPr="00DB5512">
        <w:t>State</w:t>
      </w:r>
      <w:r w:rsidR="00F84571" w:rsidRPr="00DB5512">
        <w:t xml:space="preserve"> that functions as an emergency power</w:t>
      </w:r>
      <w:r w:rsidR="00E954EF">
        <w:t xml:space="preserve"> by</w:t>
      </w:r>
      <w:r w:rsidR="00F84571" w:rsidRPr="00DB5512">
        <w:t xml:space="preserve"> modifying the existing protection of human rights under the ordinary law must be measured by the same tests and requirements.</w:t>
      </w:r>
    </w:p>
    <w:p w14:paraId="7D5A6AFA" w14:textId="15B7ED87" w:rsidR="00F84571" w:rsidRPr="00DB5512" w:rsidRDefault="00CB613F">
      <w:pPr>
        <w:pStyle w:val="SingleTxtG"/>
      </w:pPr>
      <w:r w:rsidRPr="00DB5512">
        <w:t>4</w:t>
      </w:r>
      <w:r>
        <w:t>4</w:t>
      </w:r>
      <w:r w:rsidR="004B384E">
        <w:t>.</w:t>
      </w:r>
      <w:r w:rsidR="004B384E">
        <w:tab/>
      </w:r>
      <w:r w:rsidR="00F84571" w:rsidRPr="00DB5512">
        <w:t xml:space="preserve">The implementation of proportionality requirements is varied </w:t>
      </w:r>
      <w:r w:rsidR="00E954EF">
        <w:t>across</w:t>
      </w:r>
      <w:r w:rsidR="00F84571" w:rsidRPr="00DB5512">
        <w:t xml:space="preserve"> treaty bodies (</w:t>
      </w:r>
      <w:r w:rsidR="00E954EF">
        <w:t xml:space="preserve">for example, </w:t>
      </w:r>
      <w:r w:rsidR="00F84571" w:rsidRPr="00DB5512">
        <w:t>the E</w:t>
      </w:r>
      <w:r w:rsidR="00E954EF">
        <w:t xml:space="preserve">uropean </w:t>
      </w:r>
      <w:r w:rsidR="00F84571" w:rsidRPr="00DB5512">
        <w:t>C</w:t>
      </w:r>
      <w:r w:rsidR="00E954EF">
        <w:t xml:space="preserve">ourt of </w:t>
      </w:r>
      <w:r w:rsidR="00F84571" w:rsidRPr="00DB5512">
        <w:t>H</w:t>
      </w:r>
      <w:r w:rsidR="00E954EF">
        <w:t xml:space="preserve">uman </w:t>
      </w:r>
      <w:r w:rsidR="00F84571" w:rsidRPr="00DB5512">
        <w:t>R</w:t>
      </w:r>
      <w:r w:rsidR="00E954EF">
        <w:t>ights</w:t>
      </w:r>
      <w:r w:rsidR="00F84571" w:rsidRPr="00DB5512">
        <w:t xml:space="preserve"> uses the “the margin of appreciation”</w:t>
      </w:r>
      <w:r w:rsidR="00E954EF">
        <w:t xml:space="preserve"> doctrine</w:t>
      </w:r>
      <w:r w:rsidR="00F84571" w:rsidRPr="00DB5512">
        <w:t>.</w:t>
      </w:r>
      <w:r w:rsidR="00F84571" w:rsidRPr="00DB5512">
        <w:rPr>
          <w:rStyle w:val="FootnoteReference"/>
          <w:rFonts w:eastAsiaTheme="majorEastAsia"/>
        </w:rPr>
        <w:footnoteReference w:id="35"/>
      </w:r>
      <w:r w:rsidR="00F84571" w:rsidRPr="00DB5512">
        <w:t xml:space="preserve"> </w:t>
      </w:r>
      <w:r w:rsidR="00A23B58">
        <w:t>While r</w:t>
      </w:r>
      <w:r w:rsidR="00F84571" w:rsidRPr="00DB5512">
        <w:t>ecognizing the need to give States nece</w:t>
      </w:r>
      <w:r w:rsidR="00280F56" w:rsidRPr="00DB5512">
        <w:t>ssary flexibility when dealing</w:t>
      </w:r>
      <w:r w:rsidR="00F84571" w:rsidRPr="00DB5512">
        <w:t xml:space="preserve"> with a </w:t>
      </w:r>
      <w:r w:rsidR="00E954EF">
        <w:t xml:space="preserve">crisis </w:t>
      </w:r>
      <w:r w:rsidR="00F84571" w:rsidRPr="00DB5512">
        <w:t xml:space="preserve">situation triggered by acts of terrorism, </w:t>
      </w:r>
      <w:r w:rsidR="00E954EF">
        <w:t xml:space="preserve">the </w:t>
      </w:r>
      <w:r w:rsidR="00AF065A">
        <w:t>Special</w:t>
      </w:r>
      <w:r w:rsidR="00F84571" w:rsidRPr="00DB5512">
        <w:t xml:space="preserve"> Rapporteur </w:t>
      </w:r>
      <w:r w:rsidR="00A23B58">
        <w:t>stresses</w:t>
      </w:r>
      <w:r w:rsidR="00F84571" w:rsidRPr="00DB5512">
        <w:t xml:space="preserve"> that the longer or more entrenched the emergency, the narrower the margin of deference that should to be ceded to </w:t>
      </w:r>
      <w:r w:rsidR="00485E08">
        <w:t>S</w:t>
      </w:r>
      <w:r w:rsidR="00F84571" w:rsidRPr="00DB5512">
        <w:t>tate, particularly when there is sustained evidence of systematic human rights violations resulting from the counter-terrorism</w:t>
      </w:r>
      <w:r w:rsidR="00E954EF">
        <w:t xml:space="preserve"> and</w:t>
      </w:r>
      <w:r w:rsidR="00F84571" w:rsidRPr="00DB5512">
        <w:t>/</w:t>
      </w:r>
      <w:r w:rsidR="00E954EF">
        <w:t xml:space="preserve">or </w:t>
      </w:r>
      <w:r w:rsidR="00F84571" w:rsidRPr="00DB5512">
        <w:t>emergency measures.</w:t>
      </w:r>
      <w:r w:rsidR="00F84571" w:rsidRPr="00DB5512" w:rsidDel="00BE5D6F">
        <w:t xml:space="preserve"> </w:t>
      </w:r>
    </w:p>
    <w:p w14:paraId="10C6F68B" w14:textId="7F5F40A1" w:rsidR="00F84571" w:rsidRPr="00DB5512" w:rsidRDefault="00CB613F">
      <w:pPr>
        <w:pStyle w:val="SingleTxtG"/>
      </w:pPr>
      <w:r w:rsidRPr="00DB5512">
        <w:t>4</w:t>
      </w:r>
      <w:r>
        <w:t>5</w:t>
      </w:r>
      <w:r w:rsidR="004B384E">
        <w:t>.</w:t>
      </w:r>
      <w:r w:rsidR="004B384E">
        <w:tab/>
      </w:r>
      <w:r w:rsidR="00E071DE">
        <w:t xml:space="preserve">The </w:t>
      </w:r>
      <w:r w:rsidR="00AF065A">
        <w:t>Special</w:t>
      </w:r>
      <w:r w:rsidR="00F84571" w:rsidRPr="00DB5512">
        <w:t xml:space="preserve"> Rapporteur </w:t>
      </w:r>
      <w:r w:rsidR="00E954EF">
        <w:t>expresses</w:t>
      </w:r>
      <w:r w:rsidR="00F84571" w:rsidRPr="00DB5512">
        <w:t xml:space="preserve"> concern at counter-terrorism laws that facially appear to impinge particular</w:t>
      </w:r>
      <w:r w:rsidR="0019522C">
        <w:t>ly</w:t>
      </w:r>
      <w:r w:rsidR="00F84571" w:rsidRPr="00DB5512">
        <w:t xml:space="preserve"> on the principles of legality, fair trial and the freedom of thought, conscience and religion. Core aspects of these rights are effectively non-derogable and compromises on these rights have consequential effects on the most basic of human entitlements. </w:t>
      </w:r>
    </w:p>
    <w:p w14:paraId="3BECF542" w14:textId="401169BD" w:rsidR="00F84571" w:rsidRPr="00DB5512" w:rsidRDefault="00CB613F">
      <w:pPr>
        <w:pStyle w:val="SingleTxtG"/>
      </w:pPr>
      <w:r w:rsidRPr="00DB5512">
        <w:t>4</w:t>
      </w:r>
      <w:r>
        <w:t>6</w:t>
      </w:r>
      <w:r w:rsidR="00F84571" w:rsidRPr="00DB5512">
        <w:t>.</w:t>
      </w:r>
      <w:r w:rsidR="00F84571" w:rsidRPr="00DB5512">
        <w:tab/>
        <w:t xml:space="preserve">States </w:t>
      </w:r>
      <w:r w:rsidR="00F93932">
        <w:t>must demonstrate</w:t>
      </w:r>
      <w:r w:rsidR="00F84571" w:rsidRPr="00DB5512">
        <w:t xml:space="preserve"> that resorting to emergency powers is strictly necessary </w:t>
      </w:r>
      <w:r w:rsidR="00464C2C" w:rsidRPr="00814EF5">
        <w:t xml:space="preserve">to </w:t>
      </w:r>
      <w:r w:rsidR="00F84571" w:rsidRPr="00DB5512">
        <w:t xml:space="preserve">implementing counter-terrorism measures </w:t>
      </w:r>
      <w:r w:rsidR="00E954EF">
        <w:t xml:space="preserve">that </w:t>
      </w:r>
      <w:r w:rsidR="00280F56" w:rsidRPr="00DB5512">
        <w:t>limit</w:t>
      </w:r>
      <w:r w:rsidR="00F84571" w:rsidRPr="00DB5512">
        <w:t xml:space="preserve"> the exercise of human rights.</w:t>
      </w:r>
      <w:r w:rsidR="00F84571" w:rsidRPr="00DB5512">
        <w:rPr>
          <w:rStyle w:val="FootnoteReference"/>
          <w:rFonts w:eastAsiaTheme="majorEastAsia"/>
        </w:rPr>
        <w:footnoteReference w:id="36"/>
      </w:r>
      <w:r w:rsidR="00F84571" w:rsidRPr="00DB5512">
        <w:t xml:space="preserve"> Generic exhortations to an unspecified threat of terrorism do not meet this standard.</w:t>
      </w:r>
      <w:r w:rsidR="00840E68">
        <w:t xml:space="preserve"> </w:t>
      </w:r>
      <w:r w:rsidR="00F84571" w:rsidRPr="00DB5512">
        <w:t xml:space="preserve">States must expressly demonstrate what the precise nature of the threat involves to </w:t>
      </w:r>
      <w:r w:rsidR="00464C2C" w:rsidRPr="00DB5512">
        <w:t>them</w:t>
      </w:r>
      <w:r w:rsidR="00F84571" w:rsidRPr="00DB5512">
        <w:t xml:space="preserve"> when deploying exceptional legal measures affecting the full enjoyment of human rights. </w:t>
      </w:r>
      <w:r w:rsidR="00BB4393">
        <w:t>States parties</w:t>
      </w:r>
      <w:r w:rsidR="00F2043B">
        <w:t xml:space="preserve"> </w:t>
      </w:r>
      <w:r w:rsidR="00BB4393">
        <w:t>have</w:t>
      </w:r>
      <w:r w:rsidR="00BB4393" w:rsidRPr="00DB5512">
        <w:t xml:space="preserve"> </w:t>
      </w:r>
      <w:r w:rsidR="009A3D10">
        <w:lastRenderedPageBreak/>
        <w:t>“</w:t>
      </w:r>
      <w:r w:rsidR="00F84571" w:rsidRPr="00DB5512">
        <w:t>a duty to conduct a careful analysis under each article of the Covenant based on an objective assessment of the actual situation.</w:t>
      </w:r>
      <w:r w:rsidR="009A3D10">
        <w:t>”</w:t>
      </w:r>
      <w:r w:rsidR="00F84571" w:rsidRPr="00DB5512">
        <w:rPr>
          <w:rStyle w:val="FootnoteReference"/>
          <w:rFonts w:eastAsiaTheme="majorEastAsia"/>
        </w:rPr>
        <w:footnoteReference w:id="37"/>
      </w:r>
    </w:p>
    <w:p w14:paraId="0C89B8C0" w14:textId="08D509BE" w:rsidR="00F84571" w:rsidRPr="00DB5512" w:rsidRDefault="00CB613F">
      <w:pPr>
        <w:pStyle w:val="SingleTxtG"/>
      </w:pPr>
      <w:r>
        <w:t>47</w:t>
      </w:r>
      <w:r w:rsidR="00F84571" w:rsidRPr="00DB5512">
        <w:t>.</w:t>
      </w:r>
      <w:r w:rsidR="00F84571" w:rsidRPr="00DB5512">
        <w:tab/>
        <w:t>New counter-terrorism laws across the globe</w:t>
      </w:r>
      <w:r w:rsidR="000964CD">
        <w:t xml:space="preserve"> that </w:t>
      </w:r>
      <w:r w:rsidR="00F84571" w:rsidRPr="00DB5512">
        <w:t>criminaliz</w:t>
      </w:r>
      <w:r w:rsidR="000964CD">
        <w:t>e</w:t>
      </w:r>
      <w:r w:rsidR="00F84571" w:rsidRPr="00DB5512">
        <w:t xml:space="preserve"> freedom of expression or views that appear to praise, glorify, support, defend, apologize for or </w:t>
      </w:r>
      <w:r w:rsidR="003F2407">
        <w:t xml:space="preserve">that </w:t>
      </w:r>
      <w:r w:rsidR="00F84571" w:rsidRPr="00DB5512">
        <w:t xml:space="preserve">seek to justify acts defined as </w:t>
      </w:r>
      <w:r w:rsidR="003F2407">
        <w:t>“</w:t>
      </w:r>
      <w:r w:rsidR="00F84571" w:rsidRPr="00DB5512">
        <w:t>terrorism</w:t>
      </w:r>
      <w:r w:rsidR="003F2407">
        <w:t>”</w:t>
      </w:r>
      <w:r w:rsidR="00F84571" w:rsidRPr="00DB5512">
        <w:t xml:space="preserve"> under domestic law implicate both serious concerns of legality and limitations on freedom of thought and expression. The application of such provisions has been targeted at</w:t>
      </w:r>
      <w:r w:rsidR="003F2407">
        <w:t>, inter alia,</w:t>
      </w:r>
      <w:r w:rsidR="00F84571" w:rsidRPr="00DB5512">
        <w:t xml:space="preserve"> </w:t>
      </w:r>
      <w:r w:rsidR="00BB6D2F" w:rsidRPr="00DB5512">
        <w:t xml:space="preserve">the legitimate activities of political opposition, critics, dissidents, </w:t>
      </w:r>
      <w:r w:rsidR="00F84571" w:rsidRPr="00DB5512">
        <w:t xml:space="preserve">civil society, human rights defenders, lawyers, religious clerics, </w:t>
      </w:r>
      <w:r w:rsidR="00BB6D2F" w:rsidRPr="00DB5512">
        <w:t xml:space="preserve">bloggers, </w:t>
      </w:r>
      <w:r w:rsidR="00F84571" w:rsidRPr="00DB5512">
        <w:t>artists</w:t>
      </w:r>
      <w:r w:rsidR="00BB6D2F" w:rsidRPr="00DB5512">
        <w:t xml:space="preserve">, </w:t>
      </w:r>
      <w:r w:rsidR="00F84571" w:rsidRPr="00DB5512">
        <w:t>musicians</w:t>
      </w:r>
      <w:r w:rsidR="00BB6D2F" w:rsidRPr="00DB5512">
        <w:t xml:space="preserve"> and others</w:t>
      </w:r>
      <w:r w:rsidR="00F84571" w:rsidRPr="00DB5512">
        <w:t xml:space="preserve">. Furthermore, the non-violent criticism of </w:t>
      </w:r>
      <w:r w:rsidR="003F2407">
        <w:t>S</w:t>
      </w:r>
      <w:r w:rsidR="00F84571" w:rsidRPr="00DB5512">
        <w:t xml:space="preserve">tate policies or institutions, including the judiciary, should </w:t>
      </w:r>
      <w:r w:rsidR="00BB6D2F" w:rsidRPr="00DB5512">
        <w:t xml:space="preserve">not </w:t>
      </w:r>
      <w:r w:rsidR="00F84571" w:rsidRPr="00DB5512">
        <w:t xml:space="preserve">be </w:t>
      </w:r>
      <w:r w:rsidR="005062EC">
        <w:t>made</w:t>
      </w:r>
      <w:r w:rsidR="00F84571" w:rsidRPr="00DB5512">
        <w:t xml:space="preserve"> a criminal offence </w:t>
      </w:r>
      <w:r w:rsidR="000614C2">
        <w:t>under counter-</w:t>
      </w:r>
      <w:r w:rsidR="00F84571" w:rsidRPr="00DB5512">
        <w:t>terrorism</w:t>
      </w:r>
      <w:r w:rsidR="000614C2">
        <w:t xml:space="preserve"> measures</w:t>
      </w:r>
      <w:r w:rsidR="00F84571" w:rsidRPr="00DB5512">
        <w:t xml:space="preserve"> in any society governed by rule of law and abiding by human rights principles and obligations.</w:t>
      </w:r>
    </w:p>
    <w:p w14:paraId="1A815413" w14:textId="05439921" w:rsidR="00F84571" w:rsidRPr="00DB5512" w:rsidRDefault="00CB613F">
      <w:pPr>
        <w:pStyle w:val="SingleTxtG"/>
      </w:pPr>
      <w:r>
        <w:t>48</w:t>
      </w:r>
      <w:r w:rsidR="00F84571" w:rsidRPr="00DB5512">
        <w:t>.</w:t>
      </w:r>
      <w:r w:rsidR="00F84571" w:rsidRPr="00DB5512">
        <w:tab/>
        <w:t xml:space="preserve">While countering terrorism, violent extremism and other </w:t>
      </w:r>
      <w:r w:rsidR="003F2407">
        <w:t>S</w:t>
      </w:r>
      <w:r w:rsidR="00F84571" w:rsidRPr="00DB5512">
        <w:t xml:space="preserve">tate security offences, States may impose </w:t>
      </w:r>
      <w:r w:rsidR="00684E71">
        <w:t>limitations</w:t>
      </w:r>
      <w:r w:rsidR="00684E71" w:rsidRPr="00DB5512">
        <w:t xml:space="preserve"> </w:t>
      </w:r>
      <w:r w:rsidR="00F84571" w:rsidRPr="00DB5512">
        <w:t xml:space="preserve">on rights and freedoms but only such </w:t>
      </w:r>
      <w:r w:rsidR="00BB6D2F" w:rsidRPr="00DB5512">
        <w:t>“</w:t>
      </w:r>
      <w:r w:rsidR="00F84571" w:rsidRPr="00DB5512">
        <w:t xml:space="preserve">as are determined by law </w:t>
      </w:r>
      <w:r w:rsidR="00BB6D2F" w:rsidRPr="00DB5512">
        <w:t xml:space="preserve">and </w:t>
      </w:r>
      <w:r w:rsidR="00F84571" w:rsidRPr="00DB5512">
        <w:t>solely for the purpose of securing due recognition and respect for the rights and freedoms of others and of meeting the just requirements of security, morality, public order and the general welfare in a democratic society</w:t>
      </w:r>
      <w:r w:rsidR="00BB6D2F" w:rsidRPr="00DB5512">
        <w:t>”</w:t>
      </w:r>
      <w:r w:rsidR="00F84571" w:rsidRPr="00DB5512">
        <w:t>.</w:t>
      </w:r>
      <w:r w:rsidR="00F84571" w:rsidRPr="00DB5512">
        <w:rPr>
          <w:rStyle w:val="FootnoteReference"/>
          <w:rFonts w:eastAsiaTheme="majorEastAsia"/>
        </w:rPr>
        <w:footnoteReference w:id="38"/>
      </w:r>
      <w:r w:rsidR="00F84571" w:rsidRPr="00DB5512">
        <w:t xml:space="preserve"> Emergency or not, States must reach the same threshold of legality, legitimacy, necessity and proportionality for each measure taken, and each measure shall be </w:t>
      </w:r>
      <w:r w:rsidR="003F2407">
        <w:t>“</w:t>
      </w:r>
      <w:r w:rsidR="00F84571" w:rsidRPr="00DB5512">
        <w:t>directed to an actual, clear, present or imminent danger.</w:t>
      </w:r>
      <w:r w:rsidR="003F2407">
        <w:t>”</w:t>
      </w:r>
      <w:r w:rsidR="00F84571" w:rsidRPr="00DB5512">
        <w:rPr>
          <w:vertAlign w:val="superscript"/>
        </w:rPr>
        <w:footnoteReference w:id="39"/>
      </w:r>
      <w:r w:rsidR="00F84571" w:rsidRPr="00DB5512">
        <w:t xml:space="preserve"> The measures taken </w:t>
      </w:r>
      <w:r w:rsidR="00317169" w:rsidRPr="00DB5512">
        <w:t>must be</w:t>
      </w:r>
      <w:r w:rsidR="00F84571" w:rsidRPr="00DB5512">
        <w:t xml:space="preserve"> the least intrusive possible to achieve their objective.  </w:t>
      </w:r>
    </w:p>
    <w:p w14:paraId="6E832AD3" w14:textId="7B5C807B" w:rsidR="00F84571" w:rsidRPr="00684E71" w:rsidRDefault="00CB613F">
      <w:pPr>
        <w:pStyle w:val="SingleTxtG"/>
      </w:pPr>
      <w:r>
        <w:t>49</w:t>
      </w:r>
      <w:r w:rsidR="00F84571" w:rsidRPr="00DB5512">
        <w:t>.</w:t>
      </w:r>
      <w:r w:rsidR="00F84571" w:rsidRPr="00DB5512">
        <w:tab/>
        <w:t xml:space="preserve">Importantly, the discretion granted </w:t>
      </w:r>
      <w:r w:rsidR="00317169" w:rsidRPr="00DB5512">
        <w:t>to States is</w:t>
      </w:r>
      <w:r w:rsidR="00F84571" w:rsidRPr="00DB5512">
        <w:t xml:space="preserve"> not unfettered. </w:t>
      </w:r>
      <w:r w:rsidR="00317169" w:rsidRPr="00DB5512">
        <w:t>E</w:t>
      </w:r>
      <w:r w:rsidR="00F84571" w:rsidRPr="00DB5512">
        <w:t>mergency powers must be fine</w:t>
      </w:r>
      <w:r w:rsidR="003F2407">
        <w:t>-</w:t>
      </w:r>
      <w:r w:rsidR="00F84571" w:rsidRPr="00DB5512">
        <w:t>tailored to an immediate and urgent crisis and not be used as a means to limit legitimate dissent, protest, expression and the work of civil society</w:t>
      </w:r>
      <w:r w:rsidR="003F2407">
        <w:t>. That</w:t>
      </w:r>
      <w:r w:rsidR="00F84571" w:rsidRPr="00DB5512">
        <w:t xml:space="preserve"> risks violating</w:t>
      </w:r>
      <w:r w:rsidR="00F84571" w:rsidRPr="003F2407">
        <w:t xml:space="preserve">, </w:t>
      </w:r>
      <w:r w:rsidR="00F84571" w:rsidRPr="00214F38">
        <w:t>inter alia</w:t>
      </w:r>
      <w:r w:rsidR="00F84571" w:rsidRPr="00DB5512">
        <w:t xml:space="preserve">, fair trial and due process guarantees, the prohibition of torture and even the right to life. The principle of non-discrimination must always be respected and special effort </w:t>
      </w:r>
      <w:r w:rsidR="00C901D1">
        <w:t xml:space="preserve">must be </w:t>
      </w:r>
      <w:r w:rsidR="00F84571" w:rsidRPr="00DB5512">
        <w:t xml:space="preserve">made to safeguard the rights of vulnerable groups. Counter-terrorism measures targeting specific ethnic or religious groups </w:t>
      </w:r>
      <w:r w:rsidR="00317169" w:rsidRPr="00DB5512">
        <w:t xml:space="preserve">are in breach of </w:t>
      </w:r>
      <w:r w:rsidR="00C901D1">
        <w:t>S</w:t>
      </w:r>
      <w:r w:rsidR="00317169" w:rsidRPr="00DB5512">
        <w:t>tate</w:t>
      </w:r>
      <w:r w:rsidR="00C901D1">
        <w:t>s’</w:t>
      </w:r>
      <w:r w:rsidR="00317169" w:rsidRPr="00DB5512">
        <w:t xml:space="preserve"> human rights obligations</w:t>
      </w:r>
      <w:r w:rsidR="00F84571" w:rsidRPr="00DB5512">
        <w:t>.</w:t>
      </w:r>
    </w:p>
    <w:p w14:paraId="390EDD42" w14:textId="393CDA62" w:rsidR="00F84571" w:rsidRPr="00DB5512" w:rsidRDefault="00CB613F">
      <w:pPr>
        <w:pStyle w:val="SingleTxtG"/>
      </w:pPr>
      <w:r w:rsidRPr="00DB5512">
        <w:t>5</w:t>
      </w:r>
      <w:r>
        <w:t>0</w:t>
      </w:r>
      <w:r w:rsidR="00F84571" w:rsidRPr="00DB5512">
        <w:t>.</w:t>
      </w:r>
      <w:r w:rsidR="00F84571" w:rsidRPr="00DB5512">
        <w:tab/>
        <w:t>The E</w:t>
      </w:r>
      <w:r w:rsidR="00C901D1">
        <w:t xml:space="preserve">uropean </w:t>
      </w:r>
      <w:r w:rsidR="00F84571" w:rsidRPr="00DB5512">
        <w:t>C</w:t>
      </w:r>
      <w:r w:rsidR="00C901D1">
        <w:t>our</w:t>
      </w:r>
      <w:r w:rsidR="00F84571" w:rsidRPr="00DB5512">
        <w:t>t</w:t>
      </w:r>
      <w:r w:rsidR="00C901D1">
        <w:t xml:space="preserve"> of </w:t>
      </w:r>
      <w:r w:rsidR="00F84571" w:rsidRPr="00DB5512">
        <w:t>H</w:t>
      </w:r>
      <w:r w:rsidR="00C901D1">
        <w:t xml:space="preserve">uman </w:t>
      </w:r>
      <w:r w:rsidR="00F84571" w:rsidRPr="00DB5512">
        <w:t>R</w:t>
      </w:r>
      <w:r w:rsidR="00C901D1">
        <w:t>ights</w:t>
      </w:r>
      <w:r w:rsidR="00F84571" w:rsidRPr="00DB5512">
        <w:t xml:space="preserve"> has taken a robust and highly engaged approach to addressing the necessity and proportionality of measures taken by States, specifically in the context of countering terrorism. For example, in </w:t>
      </w:r>
      <w:r w:rsidR="00C901D1">
        <w:rPr>
          <w:i/>
        </w:rPr>
        <w:t>Ö</w:t>
      </w:r>
      <w:r w:rsidR="00F84571" w:rsidRPr="00DB5512">
        <w:rPr>
          <w:i/>
        </w:rPr>
        <w:t>calan v. Turkey</w:t>
      </w:r>
      <w:r w:rsidR="00C901D1">
        <w:t xml:space="preserve">, </w:t>
      </w:r>
      <w:r w:rsidR="00F84571" w:rsidRPr="00DB5512">
        <w:t>the Court found that while the investigation of terrorist offences undoubtedly presented the authorities with special problems, “this does not mean</w:t>
      </w:r>
      <w:r w:rsidR="00F34BE1">
        <w:t>, however,</w:t>
      </w:r>
      <w:r w:rsidR="00F84571" w:rsidRPr="00DB5512">
        <w:t xml:space="preserve"> that the investigating authorities have carte blanche under Article 5 to arrest suspects for questioning, free from effective control by the domestic courts</w:t>
      </w:r>
      <w:r w:rsidR="00F34BE1">
        <w:t>.</w:t>
      </w:r>
      <w:r w:rsidR="00F84571" w:rsidRPr="00DB5512">
        <w:t>”</w:t>
      </w:r>
      <w:r w:rsidR="00F84571" w:rsidRPr="00DB5512">
        <w:rPr>
          <w:vertAlign w:val="superscript"/>
        </w:rPr>
        <w:footnoteReference w:id="40"/>
      </w:r>
      <w:r w:rsidR="00F84571" w:rsidRPr="00DB5512">
        <w:t xml:space="preserve"> In</w:t>
      </w:r>
      <w:r w:rsidR="00F34BE1">
        <w:t xml:space="preserve"> </w:t>
      </w:r>
      <w:r w:rsidR="00F84571" w:rsidRPr="00DB5512">
        <w:rPr>
          <w:i/>
        </w:rPr>
        <w:t>Al-Nashif v. Bulgaria</w:t>
      </w:r>
      <w:r w:rsidR="00F34BE1">
        <w:rPr>
          <w:i/>
        </w:rPr>
        <w:t>,</w:t>
      </w:r>
      <w:r w:rsidR="00F84571" w:rsidRPr="00DB5512">
        <w:t xml:space="preserve"> a case concerning deportation and detention, the Court determined that national authorities could not </w:t>
      </w:r>
      <w:r w:rsidR="00F34BE1">
        <w:t>“</w:t>
      </w:r>
      <w:r w:rsidR="00F84571" w:rsidRPr="00DB5512">
        <w:t>do away with</w:t>
      </w:r>
      <w:r w:rsidR="00F34BE1">
        <w:t>”</w:t>
      </w:r>
      <w:r w:rsidR="00F84571" w:rsidRPr="00DB5512">
        <w:t xml:space="preserve"> effective control of the lawfulness of detention by choosing to assert that national security and terrorism were involved.</w:t>
      </w:r>
      <w:r w:rsidR="00F84571" w:rsidRPr="00DB5512">
        <w:rPr>
          <w:vertAlign w:val="superscript"/>
        </w:rPr>
        <w:footnoteReference w:id="41"/>
      </w:r>
      <w:r w:rsidR="00840E68">
        <w:t xml:space="preserve"> </w:t>
      </w:r>
      <w:r w:rsidR="004D50E2">
        <w:t xml:space="preserve">The </w:t>
      </w:r>
      <w:r w:rsidR="00AF065A">
        <w:t>Special</w:t>
      </w:r>
      <w:r w:rsidR="00684E71">
        <w:t xml:space="preserve"> Rapporteur endorses and supports these robust judicial approaches.</w:t>
      </w:r>
    </w:p>
    <w:p w14:paraId="0A4B0984" w14:textId="777CEEFC" w:rsidR="00F84571" w:rsidRPr="00DB5512" w:rsidRDefault="00F84571" w:rsidP="00F84571">
      <w:pPr>
        <w:pStyle w:val="H1G"/>
      </w:pPr>
      <w:r w:rsidRPr="00DB5512">
        <w:tab/>
      </w:r>
      <w:r w:rsidR="00783D6A">
        <w:t>C</w:t>
      </w:r>
      <w:r w:rsidRPr="00DB5512">
        <w:t>.</w:t>
      </w:r>
      <w:r w:rsidRPr="00DB5512">
        <w:tab/>
        <w:t>Domestic and international oversight of emergency powers</w:t>
      </w:r>
    </w:p>
    <w:p w14:paraId="7BB8CCF0" w14:textId="26908E12" w:rsidR="00F84571" w:rsidRPr="00DB5512" w:rsidRDefault="00CB613F" w:rsidP="00F84571">
      <w:pPr>
        <w:pStyle w:val="SingleTxtG"/>
      </w:pPr>
      <w:r w:rsidRPr="00DB5512">
        <w:t>5</w:t>
      </w:r>
      <w:r>
        <w:t>1</w:t>
      </w:r>
      <w:r w:rsidR="00F84571" w:rsidRPr="00DB5512">
        <w:t>.</w:t>
      </w:r>
      <w:r w:rsidR="00F84571" w:rsidRPr="00DB5512">
        <w:tab/>
        <w:t xml:space="preserve">Oversight of counter-terrorism measures is essential to ensure that human rights are protected as States respond to the actuality or threat of terrorism. States must ensure a range of domestic measures to protect human rights during emergency, which are supplemented by international oversight. </w:t>
      </w:r>
    </w:p>
    <w:p w14:paraId="7B9B1808" w14:textId="6B7173B8" w:rsidR="00F84571" w:rsidRPr="00DB5512" w:rsidRDefault="00CB613F">
      <w:pPr>
        <w:pStyle w:val="SingleTxtG"/>
      </w:pPr>
      <w:r w:rsidRPr="00DB5512">
        <w:t>5</w:t>
      </w:r>
      <w:r>
        <w:t>2</w:t>
      </w:r>
      <w:r w:rsidR="00F84571" w:rsidRPr="00DB5512">
        <w:t>.</w:t>
      </w:r>
      <w:r w:rsidR="00F84571" w:rsidRPr="00DB5512">
        <w:tab/>
      </w:r>
      <w:r w:rsidR="004D50E2">
        <w:t xml:space="preserve">The </w:t>
      </w:r>
      <w:r w:rsidR="00AF065A">
        <w:t>Special</w:t>
      </w:r>
      <w:r w:rsidR="00F84571" w:rsidRPr="00DB5512">
        <w:t xml:space="preserve"> Rapporteur considers it is imperative that domestic and international oversight be attuned to the overlap between counter-terrorism regulation and the exercise of emergency powers </w:t>
      </w:r>
      <w:r w:rsidR="00B50FD7">
        <w:t xml:space="preserve">— </w:t>
      </w:r>
      <w:r w:rsidR="00F84571" w:rsidRPr="00DB5512">
        <w:t xml:space="preserve">whether formal or </w:t>
      </w:r>
      <w:r w:rsidR="00F84571" w:rsidRPr="00001033">
        <w:rPr>
          <w:iCs/>
        </w:rPr>
        <w:t>de facto</w:t>
      </w:r>
      <w:r w:rsidR="00F84571" w:rsidRPr="00DB5512">
        <w:t>. For too long</w:t>
      </w:r>
      <w:r w:rsidR="00B50FD7">
        <w:t>,</w:t>
      </w:r>
      <w:r w:rsidR="00F84571" w:rsidRPr="00DB5512">
        <w:t xml:space="preserve"> </w:t>
      </w:r>
      <w:r w:rsidR="00B50FD7">
        <w:t>since 9/</w:t>
      </w:r>
      <w:r w:rsidR="00F84571" w:rsidRPr="00DB5512">
        <w:t xml:space="preserve">11, it </w:t>
      </w:r>
      <w:r w:rsidR="00B50FD7">
        <w:t>w</w:t>
      </w:r>
      <w:r w:rsidR="00F84571" w:rsidRPr="00DB5512">
        <w:t>as assumed incorrectly that counter-terrorism</w:t>
      </w:r>
      <w:r w:rsidR="00B50FD7">
        <w:t xml:space="preserve"> measures</w:t>
      </w:r>
      <w:r w:rsidR="00F84571" w:rsidRPr="00DB5512">
        <w:t xml:space="preserve"> d</w:t>
      </w:r>
      <w:r w:rsidR="00B50FD7">
        <w:t>id</w:t>
      </w:r>
      <w:r w:rsidR="00F84571" w:rsidRPr="00DB5512">
        <w:t xml:space="preserve"> not implicate emergency practice</w:t>
      </w:r>
      <w:r w:rsidR="00B50FD7">
        <w:t xml:space="preserve"> as </w:t>
      </w:r>
      <w:r w:rsidR="00F84571" w:rsidRPr="00DB5512">
        <w:t xml:space="preserve">the specificity of </w:t>
      </w:r>
      <w:r w:rsidR="00B50FD7">
        <w:t>“</w:t>
      </w:r>
      <w:r w:rsidR="00F84571" w:rsidRPr="00DB5512">
        <w:t>emergency</w:t>
      </w:r>
      <w:r w:rsidR="00B50FD7">
        <w:t xml:space="preserve">” was not </w:t>
      </w:r>
      <w:r w:rsidR="00F84571" w:rsidRPr="00DB5512">
        <w:t>in the title, operation and reporting of such measures.</w:t>
      </w:r>
    </w:p>
    <w:p w14:paraId="07F5ED0F" w14:textId="16C92235" w:rsidR="00F84571" w:rsidRPr="00DB5512" w:rsidRDefault="00CB613F">
      <w:pPr>
        <w:pStyle w:val="SingleTxtG"/>
        <w:rPr>
          <w:b/>
        </w:rPr>
      </w:pPr>
      <w:r w:rsidRPr="00DB5512">
        <w:lastRenderedPageBreak/>
        <w:t>5</w:t>
      </w:r>
      <w:r>
        <w:t>3</w:t>
      </w:r>
      <w:r w:rsidR="00F84571" w:rsidRPr="00DB5512">
        <w:t>.</w:t>
      </w:r>
      <w:r w:rsidR="00F84571" w:rsidRPr="00DB5512">
        <w:tab/>
      </w:r>
      <w:r w:rsidR="004D50E2">
        <w:t xml:space="preserve">The </w:t>
      </w:r>
      <w:r w:rsidR="00AF065A">
        <w:t>Special</w:t>
      </w:r>
      <w:r w:rsidR="00F84571" w:rsidRPr="00DB5512">
        <w:t xml:space="preserve"> Rapporteur underscore</w:t>
      </w:r>
      <w:r w:rsidR="00B50FD7">
        <w:t>s</w:t>
      </w:r>
      <w:r w:rsidR="00F84571" w:rsidRPr="00DB5512">
        <w:t xml:space="preserve"> that States have </w:t>
      </w:r>
      <w:r w:rsidR="00B50FD7">
        <w:t xml:space="preserve">a </w:t>
      </w:r>
      <w:r w:rsidR="00F84571" w:rsidRPr="00DB5512">
        <w:t>legal obligation under international human rights law to disclose and notify, as well as fulfil</w:t>
      </w:r>
      <w:r w:rsidR="00B50FD7">
        <w:t>,</w:t>
      </w:r>
      <w:r w:rsidR="00311E3D" w:rsidRPr="00DB5512">
        <w:t xml:space="preserve"> </w:t>
      </w:r>
      <w:r w:rsidR="00F84571" w:rsidRPr="00DB5512">
        <w:t>their human rights treaty obligations, including where counter-terrorism measures correspond to or have the same effect as emergency powers.</w:t>
      </w:r>
      <w:r w:rsidR="004F63E8">
        <w:t xml:space="preserve"> The</w:t>
      </w:r>
      <w:r w:rsidR="00F84571" w:rsidRPr="00DB5512">
        <w:t xml:space="preserve"> </w:t>
      </w:r>
      <w:r w:rsidR="00AF065A">
        <w:t>Special</w:t>
      </w:r>
      <w:r w:rsidR="00F84571" w:rsidRPr="00DB5512">
        <w:t xml:space="preserve"> Rapporteur affirms that international human rights bodies have an obligation to prompt</w:t>
      </w:r>
      <w:r w:rsidR="00B50FD7">
        <w:t xml:space="preserve"> the notification of</w:t>
      </w:r>
      <w:r w:rsidR="00F84571" w:rsidRPr="00DB5512">
        <w:t>, remind</w:t>
      </w:r>
      <w:r w:rsidR="00B50FD7">
        <w:t xml:space="preserve"> about</w:t>
      </w:r>
      <w:r w:rsidR="00F84571" w:rsidRPr="00DB5512">
        <w:t xml:space="preserve"> and review counter-terrorism measures as emergency powers and practice when th</w:t>
      </w:r>
      <w:r w:rsidR="00B50FD7">
        <w:t>o</w:t>
      </w:r>
      <w:r w:rsidR="00F84571" w:rsidRPr="00DB5512">
        <w:t xml:space="preserve">se measures have </w:t>
      </w:r>
      <w:r w:rsidR="00311E3D" w:rsidRPr="00DB5512">
        <w:t xml:space="preserve">emergency </w:t>
      </w:r>
      <w:r w:rsidR="00F84571" w:rsidRPr="00DB5512">
        <w:t xml:space="preserve">effect in law and </w:t>
      </w:r>
      <w:r w:rsidR="00B50FD7">
        <w:t xml:space="preserve">in </w:t>
      </w:r>
      <w:r w:rsidR="00F84571" w:rsidRPr="00DB5512">
        <w:t xml:space="preserve">practice. As </w:t>
      </w:r>
      <w:r w:rsidR="00B50FD7">
        <w:t xml:space="preserve">will be </w:t>
      </w:r>
      <w:r w:rsidR="00F84571" w:rsidRPr="00DB5512">
        <w:t>detail</w:t>
      </w:r>
      <w:r w:rsidR="00B50FD7">
        <w:t>ed</w:t>
      </w:r>
      <w:r w:rsidR="00F84571" w:rsidRPr="00DB5512">
        <w:t xml:space="preserve"> below, the more entrenched and permanent such measures become</w:t>
      </w:r>
      <w:r w:rsidR="00B50FD7">
        <w:t>,</w:t>
      </w:r>
      <w:r w:rsidR="00F84571" w:rsidRPr="00DB5512">
        <w:t xml:space="preserve"> the more compelling the obligations of oversight and the narrower the discretion to States. </w:t>
      </w:r>
    </w:p>
    <w:p w14:paraId="00941F8F" w14:textId="77777777" w:rsidR="00F84571" w:rsidRPr="00DB5512" w:rsidRDefault="00F84571" w:rsidP="00F84571">
      <w:pPr>
        <w:pStyle w:val="HChG"/>
      </w:pPr>
      <w:r w:rsidRPr="00DB5512">
        <w:tab/>
        <w:t>IV.</w:t>
      </w:r>
      <w:r w:rsidRPr="00DB5512">
        <w:tab/>
        <w:t>Ending emergencies</w:t>
      </w:r>
    </w:p>
    <w:p w14:paraId="4D8B72E3" w14:textId="0D564781" w:rsidR="00F84571" w:rsidRPr="00DB5512" w:rsidRDefault="00CB613F">
      <w:pPr>
        <w:pStyle w:val="SingleTxtG"/>
      </w:pPr>
      <w:r w:rsidRPr="00DB5512">
        <w:t>5</w:t>
      </w:r>
      <w:r>
        <w:t>4</w:t>
      </w:r>
      <w:r w:rsidR="00F84571" w:rsidRPr="00DB5512">
        <w:t>.</w:t>
      </w:r>
      <w:r w:rsidR="00F84571" w:rsidRPr="00DB5512">
        <w:tab/>
        <w:t>The exercise of emergency powers</w:t>
      </w:r>
      <w:r w:rsidR="00311E3D" w:rsidRPr="00DB5512">
        <w:t xml:space="preserve"> </w:t>
      </w:r>
      <w:r w:rsidR="00F84571" w:rsidRPr="00DB5512">
        <w:t xml:space="preserve">is finite and </w:t>
      </w:r>
      <w:r w:rsidR="00311E3D" w:rsidRPr="00DB5512">
        <w:t>their</w:t>
      </w:r>
      <w:r w:rsidR="00F84571" w:rsidRPr="00DB5512">
        <w:t xml:space="preserve"> regulation by international law is intended as a means to </w:t>
      </w:r>
      <w:r w:rsidR="00731780" w:rsidRPr="00DB5512">
        <w:t xml:space="preserve">limit and </w:t>
      </w:r>
      <w:r w:rsidR="00F84571" w:rsidRPr="00DB5512">
        <w:t xml:space="preserve">end reliance on </w:t>
      </w:r>
      <w:r w:rsidR="00356ABF" w:rsidRPr="00DB5512">
        <w:t xml:space="preserve">their </w:t>
      </w:r>
      <w:r w:rsidR="00F84571" w:rsidRPr="00DB5512">
        <w:t xml:space="preserve">exceptional </w:t>
      </w:r>
      <w:r w:rsidR="00356ABF" w:rsidRPr="00DB5512">
        <w:t>exercise</w:t>
      </w:r>
      <w:r w:rsidR="00F84571" w:rsidRPr="00DB5512">
        <w:t xml:space="preserve">. Counter-intuitively, the goal of </w:t>
      </w:r>
      <w:r w:rsidR="00B85CFF">
        <w:t xml:space="preserve">emergency </w:t>
      </w:r>
      <w:r w:rsidR="00F84571" w:rsidRPr="00DB5512">
        <w:t xml:space="preserve">exceptionality is to create and sustain the means to return to normal legal regulation. Legal regulation by regular means promotes </w:t>
      </w:r>
      <w:r w:rsidR="00B50FD7">
        <w:t xml:space="preserve">an </w:t>
      </w:r>
      <w:r w:rsidR="00F84571" w:rsidRPr="00DB5512">
        <w:t xml:space="preserve">open and transparent </w:t>
      </w:r>
      <w:r w:rsidR="00B50FD7">
        <w:t>G</w:t>
      </w:r>
      <w:r w:rsidR="00F84571" w:rsidRPr="00DB5512">
        <w:t>overnment, affirms accountability and is co</w:t>
      </w:r>
      <w:r w:rsidR="00001033">
        <w:t>r</w:t>
      </w:r>
      <w:r w:rsidR="00F84571" w:rsidRPr="00DB5512">
        <w:t xml:space="preserve">related with lower statistical levels of human rights violations. </w:t>
      </w:r>
    </w:p>
    <w:p w14:paraId="79C3424F" w14:textId="5348414D" w:rsidR="00F84571" w:rsidRPr="00DB5512" w:rsidRDefault="00CB613F">
      <w:pPr>
        <w:pStyle w:val="SingleTxtG"/>
      </w:pPr>
      <w:r>
        <w:t>55</w:t>
      </w:r>
      <w:r w:rsidR="00A653D1">
        <w:t>.</w:t>
      </w:r>
      <w:r w:rsidR="00F84571" w:rsidRPr="00DB5512">
        <w:tab/>
        <w:t xml:space="preserve">How are emergency powers </w:t>
      </w:r>
      <w:r w:rsidR="00575CF3">
        <w:t xml:space="preserve">best </w:t>
      </w:r>
      <w:r w:rsidR="00F84571" w:rsidRPr="00DB5512">
        <w:t xml:space="preserve">ended? First, emergency powers are least likely to persist when they are tailor-made to a specific and defined crisis. The obviousness of the end of </w:t>
      </w:r>
      <w:r w:rsidR="00575CF3">
        <w:t xml:space="preserve">the </w:t>
      </w:r>
      <w:r w:rsidR="00F84571" w:rsidRPr="00DB5512">
        <w:t xml:space="preserve">crisis will be signalled more strongly by the bespoke construction of </w:t>
      </w:r>
      <w:r w:rsidR="00575CF3">
        <w:t xml:space="preserve">the </w:t>
      </w:r>
      <w:r w:rsidR="00F84571" w:rsidRPr="00DB5512">
        <w:t>exceptional powers used. Second, emergency powers that are subject to robust domestic and international oversight are less likely to persist and become permanent</w:t>
      </w:r>
      <w:r w:rsidR="00575CF3">
        <w:t>,</w:t>
      </w:r>
      <w:r w:rsidR="00F84571" w:rsidRPr="00DB5512">
        <w:t xml:space="preserve"> not least because the signals to States, security agencies, courts and other enforcers of modified legal rules will make </w:t>
      </w:r>
      <w:r w:rsidR="00575CF3">
        <w:t xml:space="preserve">it </w:t>
      </w:r>
      <w:r w:rsidR="00F84571" w:rsidRPr="00DB5512">
        <w:t>clear when governments have overstepped the limits of permissible emergency regulation. Third, emergency powers are easier to end when they are not hidden in the ordinary law</w:t>
      </w:r>
      <w:r w:rsidR="00A653D1">
        <w:t>.</w:t>
      </w:r>
    </w:p>
    <w:p w14:paraId="52D3BFD1" w14:textId="01E5CA58" w:rsidR="00F84571" w:rsidRPr="00DB5512" w:rsidRDefault="00CB613F">
      <w:pPr>
        <w:pStyle w:val="SingleTxtG"/>
      </w:pPr>
      <w:r>
        <w:t>56</w:t>
      </w:r>
      <w:r w:rsidR="00F84571" w:rsidRPr="00DB5512">
        <w:t>.</w:t>
      </w:r>
      <w:r w:rsidR="00F84571" w:rsidRPr="00DB5512">
        <w:tab/>
      </w:r>
      <w:r w:rsidR="00575CF3">
        <w:t>Therefore</w:t>
      </w:r>
      <w:r w:rsidR="00F84571" w:rsidRPr="00DB5512">
        <w:t>, incentivi</w:t>
      </w:r>
      <w:r w:rsidR="00575CF3">
        <w:t>z</w:t>
      </w:r>
      <w:r w:rsidR="00F84571" w:rsidRPr="00DB5512">
        <w:t xml:space="preserve">ing the end of emergency regulation and affirming the capacity of the ordinary legal system to cope with challenge should be a dual priority for </w:t>
      </w:r>
      <w:r w:rsidR="00575CF3">
        <w:t>S</w:t>
      </w:r>
      <w:r w:rsidR="00F84571" w:rsidRPr="00DB5512">
        <w:t>tates. Making t</w:t>
      </w:r>
      <w:r w:rsidR="00273CEE" w:rsidRPr="00DB5512">
        <w:t>he exercise of emergency powers</w:t>
      </w:r>
      <w:r w:rsidR="00F84571" w:rsidRPr="00DB5512">
        <w:t xml:space="preserve"> and counter-terrorism regulation an ongoing </w:t>
      </w:r>
      <w:r w:rsidR="00575CF3">
        <w:t>area</w:t>
      </w:r>
      <w:r w:rsidR="00575CF3" w:rsidRPr="00DB5512">
        <w:t xml:space="preserve"> </w:t>
      </w:r>
      <w:r w:rsidR="00F84571" w:rsidRPr="00DB5512">
        <w:t xml:space="preserve">of scrutiny and attention for </w:t>
      </w:r>
      <w:r w:rsidR="00132F21">
        <w:t>S</w:t>
      </w:r>
      <w:r w:rsidR="00F84571" w:rsidRPr="00DB5512">
        <w:t xml:space="preserve">tates is </w:t>
      </w:r>
      <w:r w:rsidR="00273CEE" w:rsidRPr="00DB5512">
        <w:t>apt</w:t>
      </w:r>
      <w:r w:rsidR="00F84571" w:rsidRPr="00DB5512">
        <w:t xml:space="preserve"> to create the kind of incentives likely to encourage </w:t>
      </w:r>
      <w:r w:rsidR="00132F21">
        <w:t>S</w:t>
      </w:r>
      <w:r w:rsidR="00F84571" w:rsidRPr="00DB5512">
        <w:t>tates to use ordinary law. When the resort to emergency powers</w:t>
      </w:r>
      <w:r w:rsidR="00273CEE" w:rsidRPr="00DB5512">
        <w:t xml:space="preserve"> </w:t>
      </w:r>
      <w:r w:rsidR="00575CF3">
        <w:t>through</w:t>
      </w:r>
      <w:r w:rsidR="00F84571" w:rsidRPr="00DB5512">
        <w:t xml:space="preserve"> counter-terrorism law lack</w:t>
      </w:r>
      <w:r w:rsidR="00575CF3">
        <w:t>s</w:t>
      </w:r>
      <w:r w:rsidR="00F84571" w:rsidRPr="00DB5512">
        <w:t xml:space="preserve"> meaningful oversight, scrutiny, independent evaluation and robust benchmarking</w:t>
      </w:r>
      <w:r w:rsidR="00575CF3">
        <w:t>,</w:t>
      </w:r>
      <w:r w:rsidR="00F84571" w:rsidRPr="00DB5512">
        <w:t xml:space="preserve"> the incentives will play the other way,</w:t>
      </w:r>
      <w:r w:rsidR="00273CEE" w:rsidRPr="00DB5512">
        <w:t xml:space="preserve"> </w:t>
      </w:r>
      <w:r w:rsidR="00575CF3">
        <w:t xml:space="preserve">and </w:t>
      </w:r>
      <w:r w:rsidR="00273CEE" w:rsidRPr="00DB5512">
        <w:t>States and security sector</w:t>
      </w:r>
      <w:r w:rsidR="00F84571" w:rsidRPr="00DB5512">
        <w:t xml:space="preserve"> institutions will find emergency powers attractive because they offer shortcuts.</w:t>
      </w:r>
    </w:p>
    <w:p w14:paraId="20729D27" w14:textId="77777777" w:rsidR="00F84571" w:rsidRPr="00DB5512" w:rsidRDefault="00F84571" w:rsidP="00F84571">
      <w:pPr>
        <w:pStyle w:val="HChG"/>
      </w:pPr>
      <w:r w:rsidRPr="00DB5512">
        <w:tab/>
        <w:t>V.</w:t>
      </w:r>
      <w:r w:rsidRPr="00DB5512">
        <w:tab/>
        <w:t xml:space="preserve">Prohibition of permanent and complex emergency powers </w:t>
      </w:r>
    </w:p>
    <w:p w14:paraId="6803AE0B" w14:textId="4201E266" w:rsidR="00F84571" w:rsidRPr="00DB5512" w:rsidRDefault="00CB613F">
      <w:pPr>
        <w:pStyle w:val="SingleTxtG"/>
      </w:pPr>
      <w:r>
        <w:t>57</w:t>
      </w:r>
      <w:r w:rsidR="00F84571" w:rsidRPr="00DB5512">
        <w:t>.</w:t>
      </w:r>
      <w:r w:rsidR="00F84571" w:rsidRPr="00DB5512">
        <w:tab/>
        <w:t xml:space="preserve">Permanent and complex emergencies are deeply troubling for </w:t>
      </w:r>
      <w:r w:rsidR="00C956BA">
        <w:t xml:space="preserve">the </w:t>
      </w:r>
      <w:r w:rsidR="00F84571" w:rsidRPr="00DB5512">
        <w:t>protection of human rights. There is robust empirical data stretching back over multiple decades that indisputably demonstrate the nexus between situations of extended emergency and serious, sustained human rights violations. Recent post</w:t>
      </w:r>
      <w:r w:rsidR="00575CF3">
        <w:t>-</w:t>
      </w:r>
      <w:r w:rsidR="00F84571" w:rsidRPr="00DB5512">
        <w:t xml:space="preserve">9/11 studies provide comprehensive data analysis </w:t>
      </w:r>
      <w:r w:rsidR="003748EF" w:rsidRPr="00DB5512">
        <w:t>in this respect</w:t>
      </w:r>
      <w:r w:rsidR="00F84571" w:rsidRPr="00DB5512">
        <w:rPr>
          <w:color w:val="212121"/>
        </w:rPr>
        <w:t>.</w:t>
      </w:r>
      <w:r w:rsidR="00F84571" w:rsidRPr="00DB5512">
        <w:rPr>
          <w:rStyle w:val="FootnoteReference"/>
          <w:rFonts w:eastAsiaTheme="majorEastAsia"/>
          <w:color w:val="212121"/>
          <w:sz w:val="20"/>
        </w:rPr>
        <w:footnoteReference w:id="42"/>
      </w:r>
      <w:r w:rsidR="00F84571" w:rsidRPr="00DB5512">
        <w:rPr>
          <w:color w:val="212121"/>
        </w:rPr>
        <w:t xml:space="preserve"> Th</w:t>
      </w:r>
      <w:r w:rsidR="00575CF3">
        <w:rPr>
          <w:color w:val="212121"/>
        </w:rPr>
        <w:t>e</w:t>
      </w:r>
      <w:r w:rsidR="00F84571" w:rsidRPr="00DB5512">
        <w:rPr>
          <w:color w:val="212121"/>
        </w:rPr>
        <w:t xml:space="preserve"> data also affirm a troubling pattern, namely that non-derogable rights become more vulnerable to erosion and lack of protection during states of emergency, with prohibition on extrajudicial killing being particularly at risk of increased violation. </w:t>
      </w:r>
      <w:r w:rsidR="002E55CC">
        <w:rPr>
          <w:color w:val="212121"/>
        </w:rPr>
        <w:t xml:space="preserve">The </w:t>
      </w:r>
      <w:r w:rsidR="00575CF3">
        <w:rPr>
          <w:color w:val="212121"/>
        </w:rPr>
        <w:t>s</w:t>
      </w:r>
      <w:r w:rsidR="00AF065A">
        <w:rPr>
          <w:color w:val="212121"/>
        </w:rPr>
        <w:t>pecial</w:t>
      </w:r>
      <w:r w:rsidR="00F84571" w:rsidRPr="00DB5512">
        <w:rPr>
          <w:color w:val="212121"/>
        </w:rPr>
        <w:t xml:space="preserve"> </w:t>
      </w:r>
      <w:r w:rsidR="00575CF3">
        <w:rPr>
          <w:color w:val="212121"/>
        </w:rPr>
        <w:t>p</w:t>
      </w:r>
      <w:r w:rsidR="00F84571" w:rsidRPr="00DB5512">
        <w:rPr>
          <w:color w:val="212121"/>
        </w:rPr>
        <w:t xml:space="preserve">rocedures mechanisms </w:t>
      </w:r>
      <w:r w:rsidR="003748EF" w:rsidRPr="00DB5512">
        <w:rPr>
          <w:color w:val="212121"/>
        </w:rPr>
        <w:t xml:space="preserve">of </w:t>
      </w:r>
      <w:r w:rsidR="00575CF3">
        <w:rPr>
          <w:color w:val="212121"/>
        </w:rPr>
        <w:t xml:space="preserve">the </w:t>
      </w:r>
      <w:r w:rsidR="003748EF" w:rsidRPr="00DB5512">
        <w:rPr>
          <w:color w:val="212121"/>
        </w:rPr>
        <w:t xml:space="preserve">Human Rights Council </w:t>
      </w:r>
      <w:r w:rsidR="00F84571" w:rsidRPr="00DB5512">
        <w:rPr>
          <w:color w:val="212121"/>
        </w:rPr>
        <w:t xml:space="preserve">have had increased and sustained engagement with countries that have emergencies in play, </w:t>
      </w:r>
      <w:r w:rsidR="00BD78D2">
        <w:rPr>
          <w:color w:val="212121"/>
        </w:rPr>
        <w:t>particularly when</w:t>
      </w:r>
      <w:r w:rsidR="00BD78D2" w:rsidRPr="00DB5512">
        <w:rPr>
          <w:color w:val="212121"/>
        </w:rPr>
        <w:t xml:space="preserve"> </w:t>
      </w:r>
      <w:r w:rsidR="00F84571" w:rsidRPr="00DB5512">
        <w:rPr>
          <w:color w:val="212121"/>
        </w:rPr>
        <w:t xml:space="preserve">those powers </w:t>
      </w:r>
      <w:r w:rsidR="00BD78D2">
        <w:rPr>
          <w:color w:val="212121"/>
        </w:rPr>
        <w:t>enable</w:t>
      </w:r>
      <w:r w:rsidR="00BD78D2" w:rsidRPr="00DB5512">
        <w:rPr>
          <w:color w:val="212121"/>
        </w:rPr>
        <w:t xml:space="preserve"> </w:t>
      </w:r>
      <w:r w:rsidR="00F84571" w:rsidRPr="00DB5512">
        <w:rPr>
          <w:color w:val="212121"/>
        </w:rPr>
        <w:t xml:space="preserve">counter-terrorism regulation </w:t>
      </w:r>
      <w:r w:rsidR="008D4557">
        <w:rPr>
          <w:color w:val="212121"/>
        </w:rPr>
        <w:t xml:space="preserve">and </w:t>
      </w:r>
      <w:r w:rsidR="00DD170F">
        <w:rPr>
          <w:color w:val="212121"/>
        </w:rPr>
        <w:t>have triggered</w:t>
      </w:r>
      <w:r w:rsidR="00DD170F" w:rsidRPr="00DB5512">
        <w:rPr>
          <w:color w:val="212121"/>
        </w:rPr>
        <w:t xml:space="preserve"> </w:t>
      </w:r>
      <w:r w:rsidR="00F84571" w:rsidRPr="00DB5512">
        <w:rPr>
          <w:color w:val="212121"/>
        </w:rPr>
        <w:t>widespread allegations of human rights violation.</w:t>
      </w:r>
      <w:r w:rsidR="00F84571" w:rsidRPr="00DB5512">
        <w:rPr>
          <w:rStyle w:val="FootnoteReference"/>
          <w:rFonts w:eastAsiaTheme="majorEastAsia"/>
          <w:color w:val="212121"/>
          <w:sz w:val="20"/>
        </w:rPr>
        <w:footnoteReference w:id="43"/>
      </w:r>
      <w:r w:rsidR="00840E68">
        <w:rPr>
          <w:color w:val="212121"/>
        </w:rPr>
        <w:t xml:space="preserve"> </w:t>
      </w:r>
      <w:r w:rsidR="00F84571" w:rsidRPr="00DB5512">
        <w:rPr>
          <w:color w:val="212121"/>
        </w:rPr>
        <w:t>Independent civil society and human rights organization reportin</w:t>
      </w:r>
      <w:r w:rsidR="002753DB" w:rsidRPr="00DB5512">
        <w:rPr>
          <w:color w:val="212121"/>
        </w:rPr>
        <w:t xml:space="preserve">g from multiple countries </w:t>
      </w:r>
      <w:r w:rsidR="00FE1754">
        <w:rPr>
          <w:color w:val="212121"/>
        </w:rPr>
        <w:t xml:space="preserve">have </w:t>
      </w:r>
      <w:r w:rsidR="002753DB" w:rsidRPr="00DB5512">
        <w:rPr>
          <w:color w:val="212121"/>
        </w:rPr>
        <w:t>give</w:t>
      </w:r>
      <w:r w:rsidR="00FE1754">
        <w:rPr>
          <w:color w:val="212121"/>
        </w:rPr>
        <w:t>n</w:t>
      </w:r>
      <w:r w:rsidR="00F84571" w:rsidRPr="00DB5512">
        <w:rPr>
          <w:color w:val="212121"/>
        </w:rPr>
        <w:t xml:space="preserve"> concrete and detailed breakdown</w:t>
      </w:r>
      <w:r w:rsidR="00FE1754">
        <w:rPr>
          <w:color w:val="212121"/>
        </w:rPr>
        <w:t>s</w:t>
      </w:r>
      <w:r w:rsidR="00F84571" w:rsidRPr="00DB5512">
        <w:rPr>
          <w:color w:val="212121"/>
        </w:rPr>
        <w:t xml:space="preserve"> on the incidence of </w:t>
      </w:r>
      <w:r w:rsidR="00F84571" w:rsidRPr="00DB5512">
        <w:rPr>
          <w:color w:val="212121"/>
        </w:rPr>
        <w:lastRenderedPageBreak/>
        <w:t xml:space="preserve">serious human rights violations in </w:t>
      </w:r>
      <w:r w:rsidR="00FE1754">
        <w:rPr>
          <w:color w:val="212121"/>
        </w:rPr>
        <w:t>States that have</w:t>
      </w:r>
      <w:r w:rsidR="00F84571" w:rsidRPr="00DB5512">
        <w:rPr>
          <w:color w:val="212121"/>
        </w:rPr>
        <w:t xml:space="preserve"> us</w:t>
      </w:r>
      <w:r w:rsidR="00FE1754">
        <w:rPr>
          <w:color w:val="212121"/>
        </w:rPr>
        <w:t>ed</w:t>
      </w:r>
      <w:r w:rsidR="00F84571" w:rsidRPr="00DB5512">
        <w:rPr>
          <w:color w:val="212121"/>
        </w:rPr>
        <w:t xml:space="preserve"> exceptional legal powers over the long haul.</w:t>
      </w:r>
    </w:p>
    <w:p w14:paraId="7038C3C5" w14:textId="3A8E787A" w:rsidR="00F84571" w:rsidRPr="00DB5512" w:rsidRDefault="00CB613F">
      <w:pPr>
        <w:pStyle w:val="SingleTxtG"/>
      </w:pPr>
      <w:r>
        <w:t>58</w:t>
      </w:r>
      <w:r w:rsidR="00F84571" w:rsidRPr="00DB5512">
        <w:t>.</w:t>
      </w:r>
      <w:r w:rsidR="00F84571" w:rsidRPr="00DB5512">
        <w:tab/>
        <w:t xml:space="preserve">Clearly, international law does not allow </w:t>
      </w:r>
      <w:r w:rsidR="00FE1754">
        <w:t xml:space="preserve">the </w:t>
      </w:r>
      <w:r w:rsidR="00F84571" w:rsidRPr="00DB5512">
        <w:t>permanent use of emergency powers</w:t>
      </w:r>
      <w:r w:rsidR="00FE1754">
        <w:t xml:space="preserve"> that</w:t>
      </w:r>
      <w:r w:rsidR="00F84571" w:rsidRPr="00DB5512">
        <w:t xml:space="preserve"> implicate indefinite imposition of larger restrictions or suspension of human rights and fundamental freedoms. Moreover, even when allowed, the routine extensions for many years or even decades </w:t>
      </w:r>
      <w:r w:rsidR="00FE1754">
        <w:t xml:space="preserve">of </w:t>
      </w:r>
      <w:r w:rsidR="002753DB" w:rsidRPr="00DB5512">
        <w:t>states</w:t>
      </w:r>
      <w:r w:rsidR="00F84571" w:rsidRPr="00DB5512">
        <w:t xml:space="preserve"> of emergency amount to permanent emergencies, which pose significant challenges to the effective protection of human rights. </w:t>
      </w:r>
    </w:p>
    <w:p w14:paraId="4CBB4C5C" w14:textId="5D574848" w:rsidR="00F84571" w:rsidRPr="00DB5512" w:rsidRDefault="00CB613F">
      <w:pPr>
        <w:pStyle w:val="SingleTxtG"/>
      </w:pPr>
      <w:r>
        <w:t>59</w:t>
      </w:r>
      <w:r w:rsidR="00F84571" w:rsidRPr="00DB5512">
        <w:t>.</w:t>
      </w:r>
      <w:r w:rsidR="00F84571" w:rsidRPr="00DB5512">
        <w:tab/>
      </w:r>
      <w:r w:rsidR="00FE1754">
        <w:t>The i</w:t>
      </w:r>
      <w:r w:rsidR="00F84571" w:rsidRPr="00DB5512">
        <w:t>ndefinite use of emergency powers through counter-terrorism legislation and administrative practice invariabl</w:t>
      </w:r>
      <w:r w:rsidR="003748EF" w:rsidRPr="00DB5512">
        <w:t>y</w:t>
      </w:r>
      <w:r w:rsidR="00F84571" w:rsidRPr="00DB5512">
        <w:t xml:space="preserve"> </w:t>
      </w:r>
      <w:r w:rsidR="00FE1754">
        <w:t>“</w:t>
      </w:r>
      <w:r w:rsidR="00F84571" w:rsidRPr="00DB5512">
        <w:t>infects</w:t>
      </w:r>
      <w:r w:rsidR="00FE1754">
        <w:t>”</w:t>
      </w:r>
      <w:r w:rsidR="00F84571" w:rsidRPr="00DB5512">
        <w:t xml:space="preserve"> the totality of the ordinary legal system. The longer the crisis, the greater the possibility that the exceptional measures contained in counter-terrorism legislation to deal with </w:t>
      </w:r>
      <w:r w:rsidR="003748EF" w:rsidRPr="00DB5512">
        <w:t xml:space="preserve">real or alleged </w:t>
      </w:r>
      <w:r w:rsidR="00F84571" w:rsidRPr="00DB5512">
        <w:t>terrorist</w:t>
      </w:r>
      <w:r w:rsidR="003748EF" w:rsidRPr="00DB5512">
        <w:t xml:space="preserve"> acts</w:t>
      </w:r>
      <w:r w:rsidR="00F84571" w:rsidRPr="00DB5512">
        <w:t xml:space="preserve"> will insidiously creep over into the ordinary law. As the duration of emergencies increases, it becomes harder </w:t>
      </w:r>
      <w:r w:rsidR="003132D2" w:rsidRPr="00DB5512">
        <w:t xml:space="preserve">to </w:t>
      </w:r>
      <w:r w:rsidR="00F84571" w:rsidRPr="00DB5512">
        <w:t>seal off th</w:t>
      </w:r>
      <w:r w:rsidR="00B65B5D">
        <w:t>ose</w:t>
      </w:r>
      <w:r w:rsidR="00F84571" w:rsidRPr="00DB5512">
        <w:t xml:space="preserve"> part</w:t>
      </w:r>
      <w:r w:rsidR="00B65B5D">
        <w:t>s</w:t>
      </w:r>
      <w:r w:rsidR="00F84571" w:rsidRPr="00DB5512">
        <w:t xml:space="preserve"> of security, intelligence and policing systems that operate in one way under counter-terrorism legislation from the ordinary criminal justice system that deals with ordinary crimes.</w:t>
      </w:r>
      <w:r w:rsidR="00840E68">
        <w:t xml:space="preserve"> </w:t>
      </w:r>
      <w:r w:rsidR="00F84571" w:rsidRPr="00DB5512">
        <w:t xml:space="preserve">Numerous examples </w:t>
      </w:r>
      <w:r w:rsidR="00B65B5D">
        <w:t>can be cited,</w:t>
      </w:r>
      <w:r w:rsidR="00132F21">
        <w:t xml:space="preserve"> </w:t>
      </w:r>
      <w:r w:rsidR="00F84571" w:rsidRPr="00DB5512">
        <w:t>including the erosion of the right to silence</w:t>
      </w:r>
      <w:r w:rsidR="00132F21">
        <w:t xml:space="preserve"> and</w:t>
      </w:r>
      <w:r w:rsidR="00F84571" w:rsidRPr="00DB5512">
        <w:t xml:space="preserve"> the use of special or specialized criminal courts in some countries</w:t>
      </w:r>
      <w:r w:rsidR="00132F21">
        <w:t>, which are</w:t>
      </w:r>
      <w:r w:rsidR="00F84571" w:rsidRPr="00DB5512">
        <w:t xml:space="preserve"> initially for terrorist suspects only</w:t>
      </w:r>
      <w:r w:rsidR="00B65B5D">
        <w:t>,</w:t>
      </w:r>
      <w:r w:rsidR="00F84571" w:rsidRPr="00DB5512">
        <w:t xml:space="preserve"> but </w:t>
      </w:r>
      <w:r w:rsidR="00132F21">
        <w:t xml:space="preserve">are </w:t>
      </w:r>
      <w:r w:rsidR="00F84571" w:rsidRPr="00DB5512">
        <w:t>then widened to accommodate other crimes and criminal gangs</w:t>
      </w:r>
      <w:r w:rsidR="00B65B5D">
        <w:t xml:space="preserve"> </w:t>
      </w:r>
      <w:r w:rsidR="00DD170F">
        <w:t>implicating broader sites of</w:t>
      </w:r>
      <w:r w:rsidR="00B65B5D">
        <w:t xml:space="preserve"> State security</w:t>
      </w:r>
      <w:r w:rsidR="00F84571" w:rsidRPr="00DB5512">
        <w:t>.</w:t>
      </w:r>
      <w:r w:rsidR="00F84571" w:rsidRPr="00DB5512">
        <w:rPr>
          <w:vertAlign w:val="superscript"/>
        </w:rPr>
        <w:footnoteReference w:id="44"/>
      </w:r>
    </w:p>
    <w:p w14:paraId="486D3F8F" w14:textId="7BD82033" w:rsidR="00F84571" w:rsidRPr="00DB5512" w:rsidRDefault="00CB613F">
      <w:pPr>
        <w:pStyle w:val="SingleTxtG"/>
      </w:pPr>
      <w:r w:rsidRPr="00DB5512">
        <w:t>6</w:t>
      </w:r>
      <w:r>
        <w:t>0</w:t>
      </w:r>
      <w:r w:rsidR="00F84571" w:rsidRPr="00DB5512">
        <w:t>.</w:t>
      </w:r>
      <w:r w:rsidR="00F84571" w:rsidRPr="00DB5512">
        <w:tab/>
        <w:t xml:space="preserve">In parallel, great care should be taken when expansive and powerful counter-terrorism legislation or administrative practice </w:t>
      </w:r>
      <w:r w:rsidR="00B65B5D">
        <w:t>are</w:t>
      </w:r>
      <w:r w:rsidR="00F84571" w:rsidRPr="00DB5512">
        <w:t xml:space="preserve"> </w:t>
      </w:r>
      <w:r w:rsidR="00B65B5D">
        <w:t>implemented</w:t>
      </w:r>
      <w:r w:rsidR="00F84571" w:rsidRPr="00DB5512">
        <w:t xml:space="preserve"> to deal with particular parts of a territory, because it can seep across entire jurisdictions. As history demonstrates, different legal principles, rules and norms applied in distinct geographical areas that belong to the same “control system”</w:t>
      </w:r>
      <w:r w:rsidR="00F84571" w:rsidRPr="00DB5512">
        <w:rPr>
          <w:vertAlign w:val="superscript"/>
        </w:rPr>
        <w:footnoteReference w:id="45"/>
      </w:r>
      <w:r w:rsidR="00F84571" w:rsidRPr="00DB5512">
        <w:t xml:space="preserve"> do not remain </w:t>
      </w:r>
      <w:r w:rsidR="003132D2" w:rsidRPr="00DB5512">
        <w:t xml:space="preserve">insulated </w:t>
      </w:r>
      <w:r w:rsidR="00F84571" w:rsidRPr="00DB5512">
        <w:t>for long</w:t>
      </w:r>
      <w:r w:rsidR="00B65B5D">
        <w:t>,</w:t>
      </w:r>
      <w:r w:rsidR="00F84571" w:rsidRPr="00DB5512">
        <w:t xml:space="preserve"> but invariably seep across territorial and administrative boundaries. It has been consistently demonstrated that “anomalous</w:t>
      </w:r>
      <w:r w:rsidR="00B65B5D">
        <w:t>”</w:t>
      </w:r>
      <w:r w:rsidR="00F84571" w:rsidRPr="00DB5512">
        <w:t xml:space="preserve"> zones threaten to subvert fundamental values in the larger legal system and undermine the broader rule of law. </w:t>
      </w:r>
      <w:r w:rsidR="008B2D06">
        <w:t>E</w:t>
      </w:r>
      <w:r w:rsidR="00F84571" w:rsidRPr="00DB5512">
        <w:t>xpansive reach and breadth of contemporary counter-terrorism norms should provide pause</w:t>
      </w:r>
      <w:r w:rsidR="00B65B5D">
        <w:t>,</w:t>
      </w:r>
      <w:r w:rsidR="00F84571" w:rsidRPr="00DB5512">
        <w:t xml:space="preserve"> given the global evidence of long-term effects of exceptional legal powers on the integrity of legal systems and </w:t>
      </w:r>
      <w:r w:rsidR="00B65B5D">
        <w:t xml:space="preserve">the </w:t>
      </w:r>
      <w:r w:rsidR="00F84571" w:rsidRPr="00DB5512">
        <w:t>rights of citizens, and underscore the need for greater transparency and accountability.</w:t>
      </w:r>
    </w:p>
    <w:p w14:paraId="222C3E7F" w14:textId="172E87B1" w:rsidR="00F84571" w:rsidRPr="00DB5512" w:rsidRDefault="00CB613F">
      <w:pPr>
        <w:pStyle w:val="SingleTxtG"/>
      </w:pPr>
      <w:r w:rsidRPr="00DB5512">
        <w:t>6</w:t>
      </w:r>
      <w:r>
        <w:t>1</w:t>
      </w:r>
      <w:r w:rsidR="00F84571" w:rsidRPr="00DB5512">
        <w:t>.</w:t>
      </w:r>
      <w:r w:rsidR="00F84571" w:rsidRPr="00DB5512">
        <w:tab/>
        <w:t>Counter-</w:t>
      </w:r>
      <w:r w:rsidR="00B65B5D">
        <w:t>t</w:t>
      </w:r>
      <w:r w:rsidR="00F84571" w:rsidRPr="00DB5512">
        <w:t>errorism legislation that appears facially neutral and whose wide-ranging and rights</w:t>
      </w:r>
      <w:r w:rsidR="00B65B5D">
        <w:t>-</w:t>
      </w:r>
      <w:r w:rsidR="00F84571" w:rsidRPr="00DB5512">
        <w:t>limiting provisions theoretically apply equally to all are invariably and unfortunately targeted at distinct groups and minorities.</w:t>
      </w:r>
      <w:r w:rsidR="00840E68">
        <w:t xml:space="preserve"> </w:t>
      </w:r>
      <w:r w:rsidR="00F84571" w:rsidRPr="00DB5512">
        <w:t xml:space="preserve">When counter-terrorism legislation is permanent, it entrenches legal distinctions and discriminations against minorities and distinct social groups </w:t>
      </w:r>
      <w:r w:rsidR="00B65B5D">
        <w:t xml:space="preserve">and </w:t>
      </w:r>
      <w:r w:rsidR="00F84571" w:rsidRPr="00DB5512">
        <w:t>creat</w:t>
      </w:r>
      <w:r w:rsidR="00B65B5D">
        <w:t>es</w:t>
      </w:r>
      <w:r w:rsidR="00F84571" w:rsidRPr="00DB5512">
        <w:t xml:space="preserve"> patterns of anomie, exclusion</w:t>
      </w:r>
      <w:r w:rsidR="00B65B5D">
        <w:t xml:space="preserve"> and</w:t>
      </w:r>
      <w:r w:rsidR="00F84571" w:rsidRPr="00DB5512">
        <w:t xml:space="preserve"> broader social discrimination</w:t>
      </w:r>
      <w:r w:rsidR="00A869E5">
        <w:t>,</w:t>
      </w:r>
      <w:r w:rsidR="00F84571" w:rsidRPr="00DB5512">
        <w:t xml:space="preserve"> and has been recognized as part of the negative legal landscape that feeds violent extremism.</w:t>
      </w:r>
      <w:r w:rsidR="008E638C">
        <w:rPr>
          <w:rStyle w:val="FootnoteReference"/>
        </w:rPr>
        <w:footnoteReference w:id="46"/>
      </w:r>
      <w:r w:rsidR="00F84571" w:rsidRPr="00DB5512">
        <w:t xml:space="preserve"> Permanent counter-terrorism legislation and administrative practice that normalizes the diminution of rights for certain groups has long</w:t>
      </w:r>
      <w:r w:rsidR="00A869E5">
        <w:t>-</w:t>
      </w:r>
      <w:r w:rsidR="00F84571" w:rsidRPr="00DB5512">
        <w:t xml:space="preserve">term costs, increasingly affirmed by practitioners and experts in the field of countering and preventing violent extremism. Counter-terrorism norms that permanently limit rights are not a shortcut worth taking if </w:t>
      </w:r>
      <w:r w:rsidR="00A869E5">
        <w:t>S</w:t>
      </w:r>
      <w:r w:rsidR="00F84571" w:rsidRPr="00DB5512">
        <w:t>tates are genuinely committed to taking on the conditions that produce and sustain extremism and mobilization.</w:t>
      </w:r>
    </w:p>
    <w:p w14:paraId="1666570B" w14:textId="49D71F90" w:rsidR="00F84571" w:rsidRPr="00DB5512" w:rsidRDefault="00CB613F">
      <w:pPr>
        <w:pStyle w:val="SingleTxtG"/>
      </w:pPr>
      <w:r w:rsidRPr="00DB5512">
        <w:t>6</w:t>
      </w:r>
      <w:r>
        <w:t>2</w:t>
      </w:r>
      <w:r w:rsidR="00A653D1">
        <w:t>.</w:t>
      </w:r>
      <w:r w:rsidR="00A653D1">
        <w:tab/>
      </w:r>
      <w:r w:rsidR="00156FA4">
        <w:t xml:space="preserve">The </w:t>
      </w:r>
      <w:r w:rsidR="00DC56FA">
        <w:t xml:space="preserve">Special Rapporteur </w:t>
      </w:r>
      <w:r w:rsidR="00A869E5">
        <w:t xml:space="preserve">again </w:t>
      </w:r>
      <w:r w:rsidR="00DC56FA">
        <w:t>stresses that c</w:t>
      </w:r>
      <w:r w:rsidR="00DC56FA" w:rsidRPr="00DC56FA">
        <w:t xml:space="preserve">omplex emergencies require close and sustained oversight by international </w:t>
      </w:r>
      <w:r w:rsidR="00DC56FA">
        <w:t xml:space="preserve">human rights oversight bodies. </w:t>
      </w:r>
      <w:r w:rsidR="00F84571" w:rsidRPr="00DB5512">
        <w:t xml:space="preserve">The cumulative effect of </w:t>
      </w:r>
      <w:r w:rsidR="00156FA4">
        <w:t xml:space="preserve">overlapping </w:t>
      </w:r>
      <w:r w:rsidR="00F84571" w:rsidRPr="00DB5512">
        <w:t xml:space="preserve">permanent and complex emergencies </w:t>
      </w:r>
      <w:r w:rsidR="00751B6B">
        <w:t>makes</w:t>
      </w:r>
      <w:r w:rsidR="00F84571" w:rsidRPr="00DB5512">
        <w:t xml:space="preserve"> accountability and oversight of emergency powers difficult</w:t>
      </w:r>
      <w:r w:rsidR="00156FA4">
        <w:t xml:space="preserve">. Overcoming these accountability challenges means paying close </w:t>
      </w:r>
      <w:r w:rsidR="00156FA4">
        <w:lastRenderedPageBreak/>
        <w:t xml:space="preserve">attention to the various forms in which counter-terrorism and emergency practice overlap and reinforce </w:t>
      </w:r>
      <w:r w:rsidR="00A869E5">
        <w:t>each</w:t>
      </w:r>
      <w:r w:rsidR="00156FA4">
        <w:t xml:space="preserve"> other.</w:t>
      </w:r>
    </w:p>
    <w:p w14:paraId="6F2610B8" w14:textId="2E84C2C6" w:rsidR="00F84571" w:rsidRPr="00DB5512" w:rsidRDefault="005F45E4">
      <w:pPr>
        <w:pStyle w:val="HChG"/>
      </w:pPr>
      <w:r w:rsidRPr="00DB5512">
        <w:tab/>
      </w:r>
      <w:r w:rsidR="00F84571" w:rsidRPr="00DB5512">
        <w:t>VI.</w:t>
      </w:r>
      <w:r w:rsidR="00F84571" w:rsidRPr="00DB5512">
        <w:tab/>
        <w:t xml:space="preserve">Post-9/11 </w:t>
      </w:r>
      <w:r w:rsidR="008C2E8A">
        <w:t>p</w:t>
      </w:r>
      <w:r w:rsidR="00F84571" w:rsidRPr="00DB5512">
        <w:t>ractices</w:t>
      </w:r>
    </w:p>
    <w:p w14:paraId="225C46E0" w14:textId="77777777" w:rsidR="00F84571" w:rsidRPr="00DB5512" w:rsidRDefault="00F84571" w:rsidP="00F84571">
      <w:pPr>
        <w:pStyle w:val="H1G"/>
      </w:pPr>
      <w:r w:rsidRPr="00DB5512">
        <w:tab/>
        <w:t>A.</w:t>
      </w:r>
      <w:r w:rsidRPr="00DB5512">
        <w:tab/>
        <w:t>Declarations of war and states of emergency</w:t>
      </w:r>
    </w:p>
    <w:p w14:paraId="4917C5BC" w14:textId="7A4BA2BB" w:rsidR="00F84571" w:rsidRPr="00DB5512" w:rsidRDefault="00596282">
      <w:pPr>
        <w:pStyle w:val="SingleTxtG"/>
      </w:pPr>
      <w:r w:rsidRPr="00DB5512">
        <w:t>6</w:t>
      </w:r>
      <w:r w:rsidR="007353E5">
        <w:t>3</w:t>
      </w:r>
      <w:r w:rsidR="00F84571" w:rsidRPr="00DB5512">
        <w:t>.</w:t>
      </w:r>
      <w:r w:rsidR="00F84571" w:rsidRPr="00DB5512">
        <w:tab/>
        <w:t xml:space="preserve">In the aftermath of </w:t>
      </w:r>
      <w:r w:rsidR="008C2E8A">
        <w:t xml:space="preserve">the </w:t>
      </w:r>
      <w:r w:rsidR="00F84571" w:rsidRPr="00DB5512">
        <w:t>9/11 attacks, the United States</w:t>
      </w:r>
      <w:r w:rsidR="008C2E8A">
        <w:t xml:space="preserve"> of America</w:t>
      </w:r>
      <w:r w:rsidR="00F84571" w:rsidRPr="00DB5512">
        <w:t xml:space="preserve"> executive declared a </w:t>
      </w:r>
      <w:r w:rsidR="008C2E8A">
        <w:t>“</w:t>
      </w:r>
      <w:r w:rsidR="00F84571" w:rsidRPr="00DB5512">
        <w:t>global war on terror</w:t>
      </w:r>
      <w:r w:rsidR="008C2E8A">
        <w:t>”</w:t>
      </w:r>
      <w:r w:rsidR="00F84571" w:rsidRPr="00DB5512">
        <w:t>.</w:t>
      </w:r>
      <w:r w:rsidR="00F84571" w:rsidRPr="00DB5512">
        <w:rPr>
          <w:vertAlign w:val="superscript"/>
        </w:rPr>
        <w:footnoteReference w:id="47"/>
      </w:r>
      <w:r w:rsidR="00F84571" w:rsidRPr="00DB5512">
        <w:t xml:space="preserve"> While as a formal matter</w:t>
      </w:r>
      <w:r w:rsidR="008C2E8A">
        <w:t>,</w:t>
      </w:r>
      <w:r w:rsidR="00F84571" w:rsidRPr="00DB5512">
        <w:t xml:space="preserve"> th</w:t>
      </w:r>
      <w:r w:rsidR="008C2E8A">
        <w:t>at</w:t>
      </w:r>
      <w:r w:rsidR="00F84571" w:rsidRPr="00DB5512">
        <w:t xml:space="preserve"> language was largely repudiated by subsequent U</w:t>
      </w:r>
      <w:r w:rsidR="008C2E8A">
        <w:t xml:space="preserve">nited </w:t>
      </w:r>
      <w:r w:rsidR="00F84571" w:rsidRPr="00DB5512">
        <w:t>S</w:t>
      </w:r>
      <w:r w:rsidR="008C2E8A">
        <w:t>tates</w:t>
      </w:r>
      <w:r w:rsidR="00F84571" w:rsidRPr="00DB5512">
        <w:t xml:space="preserve"> administrations, </w:t>
      </w:r>
      <w:r w:rsidR="008C2E8A">
        <w:t xml:space="preserve">it </w:t>
      </w:r>
      <w:r w:rsidR="00F84571" w:rsidRPr="00DB5512">
        <w:t>became the basis for a set of global and national practices</w:t>
      </w:r>
      <w:r w:rsidR="008C2E8A">
        <w:t>,</w:t>
      </w:r>
      <w:r w:rsidR="00F84571" w:rsidRPr="00DB5512">
        <w:t xml:space="preserve"> whereby some of customary distinctions between war and peace have melted away.</w:t>
      </w:r>
      <w:r w:rsidR="00F84571" w:rsidRPr="00DB5512">
        <w:rPr>
          <w:vertAlign w:val="superscript"/>
        </w:rPr>
        <w:footnoteReference w:id="48"/>
      </w:r>
      <w:r w:rsidR="00F84571" w:rsidRPr="00DB5512">
        <w:t xml:space="preserve"> Recalling that human rights law considers war as </w:t>
      </w:r>
      <w:r w:rsidR="00740C6A" w:rsidRPr="00DB5512">
        <w:t xml:space="preserve">a </w:t>
      </w:r>
      <w:r w:rsidR="00F84571" w:rsidRPr="00DB5512">
        <w:t xml:space="preserve">justified legal basis for the declaration of emergency </w:t>
      </w:r>
      <w:r w:rsidR="008C2E8A">
        <w:t>— al</w:t>
      </w:r>
      <w:r w:rsidR="00F84571" w:rsidRPr="00DB5512">
        <w:t>though an armed conflict does not per se automatically justify a state of emergency</w:t>
      </w:r>
      <w:r w:rsidR="008C2E8A">
        <w:t xml:space="preserve"> —</w:t>
      </w:r>
      <w:r w:rsidR="00F84571" w:rsidRPr="00DB5512">
        <w:t xml:space="preserve">, the post-9/11 articulations of fighting a global war on terror may have muddied the legal and rhetorical waters on the legal basis for emergency powers. Compounding this complex legal mosaic has been the use of Security Council </w:t>
      </w:r>
      <w:r w:rsidR="00E474F8">
        <w:t>r</w:t>
      </w:r>
      <w:r w:rsidR="00F84571" w:rsidRPr="00DB5512">
        <w:t xml:space="preserve">esolutions as a legal super highway to regulate the challenge of terrorism. </w:t>
      </w:r>
    </w:p>
    <w:p w14:paraId="30098647" w14:textId="1026062B" w:rsidR="00F84571" w:rsidRPr="00DB5512" w:rsidRDefault="00596282">
      <w:pPr>
        <w:pStyle w:val="SingleTxtG"/>
      </w:pPr>
      <w:r>
        <w:t>6</w:t>
      </w:r>
      <w:r w:rsidR="007353E5">
        <w:t>4</w:t>
      </w:r>
      <w:r w:rsidR="00A653D1">
        <w:t>.</w:t>
      </w:r>
      <w:r w:rsidR="00A653D1">
        <w:tab/>
      </w:r>
      <w:r w:rsidR="00F84571" w:rsidRPr="00DB5512">
        <w:t>Certain countries have also authorized the use of force and a range of broad extra-territorial actions based on the global threat of terrorism</w:t>
      </w:r>
      <w:r w:rsidR="00686B49">
        <w:t>.</w:t>
      </w:r>
      <w:r w:rsidR="00F84571" w:rsidRPr="00DB5512">
        <w:rPr>
          <w:rStyle w:val="FootnoteReference"/>
          <w:rFonts w:eastAsiaTheme="majorEastAsia"/>
        </w:rPr>
        <w:footnoteReference w:id="49"/>
      </w:r>
      <w:r w:rsidR="00840E68">
        <w:t xml:space="preserve"> </w:t>
      </w:r>
      <w:r w:rsidR="00F84571" w:rsidRPr="00DB5512">
        <w:t>Such authorization</w:t>
      </w:r>
      <w:r w:rsidR="00E474F8">
        <w:t>,</w:t>
      </w:r>
      <w:r w:rsidR="00F84571" w:rsidRPr="00DB5512">
        <w:t xml:space="preserve"> in the form of domestic legislative device</w:t>
      </w:r>
      <w:r w:rsidR="00022C76">
        <w:t>s</w:t>
      </w:r>
      <w:r w:rsidR="00E474F8">
        <w:t>,</w:t>
      </w:r>
      <w:r w:rsidR="00F84571" w:rsidRPr="00DB5512">
        <w:t xml:space="preserve"> effectively constructs a state of war “all the time” but also “everywhere”.</w:t>
      </w:r>
      <w:r w:rsidR="00F84571" w:rsidRPr="00DB5512">
        <w:rPr>
          <w:rStyle w:val="FootnoteReference"/>
          <w:rFonts w:eastAsiaTheme="majorEastAsia"/>
        </w:rPr>
        <w:footnoteReference w:id="50"/>
      </w:r>
      <w:r w:rsidR="00F84571" w:rsidRPr="00DB5512">
        <w:t xml:space="preserve"> The notion of war </w:t>
      </w:r>
      <w:r w:rsidR="00E474F8">
        <w:t xml:space="preserve">that is </w:t>
      </w:r>
      <w:r w:rsidR="00F84571" w:rsidRPr="00DB5512">
        <w:t>at play in continually renewed</w:t>
      </w:r>
      <w:r w:rsidR="00A961A6" w:rsidRPr="00DB5512">
        <w:t xml:space="preserve"> domestic</w:t>
      </w:r>
      <w:r w:rsidR="00F84571" w:rsidRPr="00DB5512">
        <w:t xml:space="preserve"> legislation</w:t>
      </w:r>
      <w:r w:rsidR="00A961A6" w:rsidRPr="00DB5512">
        <w:t>, specifically legislation authorizing the use of force</w:t>
      </w:r>
      <w:r w:rsidR="00396AB5">
        <w:t xml:space="preserve"> indefinitely</w:t>
      </w:r>
      <w:r w:rsidR="00A961A6" w:rsidRPr="00DB5512">
        <w:t xml:space="preserve"> in other territories</w:t>
      </w:r>
      <w:r w:rsidR="00F84571" w:rsidRPr="00DB5512">
        <w:t>, can</w:t>
      </w:r>
      <w:r w:rsidR="00A961A6" w:rsidRPr="00DB5512">
        <w:t xml:space="preserve"> also</w:t>
      </w:r>
      <w:r w:rsidR="00F84571" w:rsidRPr="00DB5512">
        <w:t xml:space="preserve"> be understood as an exceptional piece of </w:t>
      </w:r>
      <w:r w:rsidR="00396AB5">
        <w:t xml:space="preserve">permanent </w:t>
      </w:r>
      <w:r w:rsidR="00F84571" w:rsidRPr="00DB5512">
        <w:t xml:space="preserve">emergency legislation with broad and deep reach </w:t>
      </w:r>
      <w:r w:rsidR="00E474F8">
        <w:t>in</w:t>
      </w:r>
      <w:r w:rsidR="00F84571" w:rsidRPr="00DB5512">
        <w:t xml:space="preserve">to numerous countries around the globe where </w:t>
      </w:r>
      <w:r w:rsidR="00E474F8">
        <w:t xml:space="preserve">the </w:t>
      </w:r>
      <w:r w:rsidR="00F84571" w:rsidRPr="00DB5512">
        <w:t>military forces</w:t>
      </w:r>
      <w:r w:rsidR="00E474F8">
        <w:t xml:space="preserve"> of the State are</w:t>
      </w:r>
      <w:r w:rsidR="00F84571" w:rsidRPr="00DB5512">
        <w:t xml:space="preserve"> engaged. </w:t>
      </w:r>
    </w:p>
    <w:p w14:paraId="7871287B" w14:textId="2439C208" w:rsidR="00F84571" w:rsidRPr="00DB5512" w:rsidRDefault="002E55CC">
      <w:pPr>
        <w:pStyle w:val="SingleTxtG"/>
      </w:pPr>
      <w:r>
        <w:t>6</w:t>
      </w:r>
      <w:r w:rsidR="007353E5">
        <w:t>5</w:t>
      </w:r>
      <w:r w:rsidR="00F84571" w:rsidRPr="00DB5512">
        <w:t>.</w:t>
      </w:r>
      <w:r w:rsidR="00F84571" w:rsidRPr="00DB5512">
        <w:tab/>
        <w:t>As noted previously</w:t>
      </w:r>
      <w:r w:rsidR="00E474F8">
        <w:t>,</w:t>
      </w:r>
      <w:r w:rsidR="00F84571" w:rsidRPr="00DB5512">
        <w:t xml:space="preserve"> </w:t>
      </w:r>
      <w:r w:rsidR="00E474F8">
        <w:t>in</w:t>
      </w:r>
      <w:r w:rsidR="00F84571" w:rsidRPr="00DB5512">
        <w:t xml:space="preserve"> a series of resolutions, </w:t>
      </w:r>
      <w:r w:rsidR="00686B49">
        <w:t xml:space="preserve">the </w:t>
      </w:r>
      <w:r w:rsidR="00F84571" w:rsidRPr="00DB5512">
        <w:t xml:space="preserve">Security Council </w:t>
      </w:r>
      <w:r w:rsidR="00E474F8">
        <w:t xml:space="preserve">has </w:t>
      </w:r>
      <w:r w:rsidR="00F84571" w:rsidRPr="00DB5512">
        <w:t xml:space="preserve">recognized that terrorism constitutes a threat to international peace and </w:t>
      </w:r>
      <w:r w:rsidR="00F84571" w:rsidRPr="0060215C">
        <w:t>security,</w:t>
      </w:r>
      <w:r w:rsidR="00F84571" w:rsidRPr="0060215C">
        <w:rPr>
          <w:vertAlign w:val="superscript"/>
        </w:rPr>
        <w:footnoteReference w:id="51"/>
      </w:r>
      <w:r w:rsidR="00F84571" w:rsidRPr="00DB5512">
        <w:t xml:space="preserve"> </w:t>
      </w:r>
      <w:r w:rsidR="00E474F8">
        <w:t>and has</w:t>
      </w:r>
      <w:r w:rsidR="00F84571" w:rsidRPr="00DB5512">
        <w:t xml:space="preserve"> authoriz</w:t>
      </w:r>
      <w:r w:rsidR="00E474F8">
        <w:t>ed</w:t>
      </w:r>
      <w:r w:rsidR="00F84571" w:rsidRPr="00DB5512">
        <w:t xml:space="preserve"> and requir</w:t>
      </w:r>
      <w:r w:rsidR="00E474F8">
        <w:t>ed</w:t>
      </w:r>
      <w:r w:rsidR="00F84571" w:rsidRPr="00DB5512">
        <w:t xml:space="preserve"> a series of actions </w:t>
      </w:r>
      <w:r w:rsidR="00E474F8">
        <w:t>in</w:t>
      </w:r>
      <w:r w:rsidR="00F84571" w:rsidRPr="00DB5512">
        <w:t xml:space="preserve"> respon</w:t>
      </w:r>
      <w:r w:rsidR="00E474F8">
        <w:t>se</w:t>
      </w:r>
      <w:r w:rsidR="00F84571" w:rsidRPr="00DB5512">
        <w:t xml:space="preserve"> to th</w:t>
      </w:r>
      <w:r w:rsidR="002B7BCD">
        <w:t>at</w:t>
      </w:r>
      <w:r w:rsidR="00F84571" w:rsidRPr="00DB5512">
        <w:t xml:space="preserve"> threat. Whereas </w:t>
      </w:r>
      <w:r w:rsidR="00E474F8">
        <w:t>such</w:t>
      </w:r>
      <w:r w:rsidR="00F84571" w:rsidRPr="00DB5512">
        <w:t xml:space="preserve"> decrees to address legal lacunae enable the regulation of specific terrorist actions and actors</w:t>
      </w:r>
      <w:r w:rsidR="00740C6A" w:rsidRPr="00DB5512">
        <w:t>,</w:t>
      </w:r>
      <w:r w:rsidR="00F84571" w:rsidRPr="00DB5512">
        <w:t xml:space="preserve"> they are not a legitimate basis for creating a global </w:t>
      </w:r>
      <w:r w:rsidR="005D41D8" w:rsidRPr="00DB5512">
        <w:t xml:space="preserve">legal </w:t>
      </w:r>
      <w:r w:rsidR="00F84571" w:rsidRPr="00DB5512">
        <w:t xml:space="preserve">state of emergency. However, it must be recognized that the legal effect of </w:t>
      </w:r>
      <w:r w:rsidR="00E474F8">
        <w:t>Security Council r</w:t>
      </w:r>
      <w:r w:rsidR="00F84571" w:rsidRPr="00DB5512">
        <w:t>esolutions as translated in</w:t>
      </w:r>
      <w:r w:rsidR="00E474F8">
        <w:t>to</w:t>
      </w:r>
      <w:r w:rsidR="00F84571" w:rsidRPr="00DB5512">
        <w:t xml:space="preserve"> the law of many </w:t>
      </w:r>
      <w:r w:rsidR="00E474F8">
        <w:t>S</w:t>
      </w:r>
      <w:r w:rsidR="00F84571" w:rsidRPr="00DB5512">
        <w:t>tates has been to enable, extend and validate exceptional states of emergency</w:t>
      </w:r>
      <w:r w:rsidR="00686B49">
        <w:t>.</w:t>
      </w:r>
    </w:p>
    <w:p w14:paraId="282AFCF5" w14:textId="74D4CCD5" w:rsidR="00F84571" w:rsidRPr="00DB5512" w:rsidRDefault="002E55CC">
      <w:pPr>
        <w:pStyle w:val="SingleTxtG"/>
      </w:pPr>
      <w:r w:rsidRPr="00DB5512">
        <w:t>6</w:t>
      </w:r>
      <w:r w:rsidR="007353E5">
        <w:t>6</w:t>
      </w:r>
      <w:r w:rsidR="00F84571" w:rsidRPr="00DB5512">
        <w:t>.</w:t>
      </w:r>
      <w:r w:rsidR="00F84571" w:rsidRPr="00DB5512">
        <w:tab/>
      </w:r>
      <w:r w:rsidR="002B7BCD">
        <w:t>C</w:t>
      </w:r>
      <w:r w:rsidR="00F84571" w:rsidRPr="00DB5512">
        <w:t xml:space="preserve">ounter-terrorism legislation and practice </w:t>
      </w:r>
      <w:r w:rsidR="002B7BCD">
        <w:t xml:space="preserve">specifically </w:t>
      </w:r>
      <w:r w:rsidR="00F84571" w:rsidRPr="00DB5512">
        <w:t>premised on Security Council resolutions ha</w:t>
      </w:r>
      <w:r w:rsidR="002B7BCD">
        <w:t>ve</w:t>
      </w:r>
      <w:r w:rsidR="00F84571" w:rsidRPr="00DB5512">
        <w:t>, in many countries, upended or shortcut the usual mechanisms for creating exceptional laws</w:t>
      </w:r>
      <w:r w:rsidR="00022C76">
        <w:t xml:space="preserve"> and</w:t>
      </w:r>
      <w:r w:rsidR="00F84571" w:rsidRPr="00DB5512">
        <w:t xml:space="preserve"> enabled </w:t>
      </w:r>
      <w:r w:rsidR="002B7BCD">
        <w:t>S</w:t>
      </w:r>
      <w:r w:rsidR="00F84571" w:rsidRPr="00DB5512">
        <w:t>tates to produce expansive, vague and highly controversial definitions of terrorism</w:t>
      </w:r>
      <w:r w:rsidR="002B7BCD">
        <w:t>,</w:t>
      </w:r>
      <w:r w:rsidR="00F84571" w:rsidRPr="00DB5512">
        <w:t xml:space="preserve"> which not only implement the core imperatives of Security Council resolutions</w:t>
      </w:r>
      <w:r w:rsidR="002B7BCD">
        <w:t>,</w:t>
      </w:r>
      <w:r w:rsidR="00F84571" w:rsidRPr="00DB5512">
        <w:t xml:space="preserve"> but have been further used to quell legitimate domestic protest, snuff out political organizing and undermine lawful expression. In a number of th</w:t>
      </w:r>
      <w:r w:rsidR="002B7BCD">
        <w:t>o</w:t>
      </w:r>
      <w:r w:rsidR="00F84571" w:rsidRPr="00DB5512">
        <w:t xml:space="preserve">se cases, it remains unproven that the specific </w:t>
      </w:r>
      <w:r w:rsidR="002B7BCD">
        <w:t xml:space="preserve">domestic </w:t>
      </w:r>
      <w:r w:rsidR="00F84571" w:rsidRPr="00DB5512">
        <w:t xml:space="preserve">terrorist threat meets the objective threshold of a </w:t>
      </w:r>
      <w:r w:rsidR="002B7BCD">
        <w:t>“</w:t>
      </w:r>
      <w:r w:rsidR="00F84571" w:rsidRPr="00DB5512">
        <w:t>threat to the life of the nation</w:t>
      </w:r>
      <w:r w:rsidR="002B7BCD">
        <w:t>”</w:t>
      </w:r>
      <w:r w:rsidR="00F84571" w:rsidRPr="00DB5512">
        <w:t xml:space="preserve"> or undermines the essential security of </w:t>
      </w:r>
      <w:r w:rsidR="002B7BCD">
        <w:t xml:space="preserve">the </w:t>
      </w:r>
      <w:r w:rsidR="00485E08">
        <w:t>S</w:t>
      </w:r>
      <w:r w:rsidR="00F84571" w:rsidRPr="00DB5512">
        <w:t xml:space="preserve">tate. </w:t>
      </w:r>
      <w:r>
        <w:t xml:space="preserve">The </w:t>
      </w:r>
      <w:r w:rsidR="00AF065A">
        <w:t>Special</w:t>
      </w:r>
      <w:r w:rsidR="00F84571" w:rsidRPr="00DB5512">
        <w:t xml:space="preserve"> Rapporteur reminds States that Security Council resolutions</w:t>
      </w:r>
      <w:r w:rsidR="002B7BCD" w:rsidRPr="002B7BCD">
        <w:t xml:space="preserve"> </w:t>
      </w:r>
      <w:r w:rsidR="002B7BCD">
        <w:t xml:space="preserve">on </w:t>
      </w:r>
      <w:r w:rsidR="002B7BCD" w:rsidRPr="00DB5512">
        <w:t>counter-terrorism</w:t>
      </w:r>
      <w:r w:rsidR="00F84571" w:rsidRPr="00DB5512">
        <w:t xml:space="preserve"> are not a carte blanche </w:t>
      </w:r>
      <w:r w:rsidR="002B7BCD">
        <w:t>for</w:t>
      </w:r>
      <w:r w:rsidR="00F84571" w:rsidRPr="00DB5512">
        <w:t xml:space="preserve"> the denial of human rights nor are they cover for nefarious political action unrelated to the specific content of the resolutions. </w:t>
      </w:r>
      <w:r>
        <w:t xml:space="preserve">The </w:t>
      </w:r>
      <w:r w:rsidR="00AF065A">
        <w:t>Special</w:t>
      </w:r>
      <w:r w:rsidR="00396AB5">
        <w:t xml:space="preserve"> Rapporteur notes that such practices contradict </w:t>
      </w:r>
      <w:r>
        <w:t xml:space="preserve">the </w:t>
      </w:r>
      <w:r w:rsidR="00396AB5">
        <w:t>U</w:t>
      </w:r>
      <w:r w:rsidR="002B7BCD">
        <w:t xml:space="preserve">nited </w:t>
      </w:r>
      <w:r w:rsidR="00396AB5">
        <w:t>N</w:t>
      </w:r>
      <w:r w:rsidR="002B7BCD">
        <w:t>ations</w:t>
      </w:r>
      <w:r w:rsidR="00396AB5">
        <w:t xml:space="preserve"> Global Counter-Terrorism Strategy</w:t>
      </w:r>
      <w:r w:rsidR="002B7BCD">
        <w:t xml:space="preserve"> —</w:t>
      </w:r>
      <w:r w:rsidR="00396AB5">
        <w:t xml:space="preserve"> </w:t>
      </w:r>
      <w:r w:rsidR="002B7BCD">
        <w:t xml:space="preserve">more </w:t>
      </w:r>
      <w:r w:rsidR="00396AB5">
        <w:t>specifically</w:t>
      </w:r>
      <w:r w:rsidR="002B7BCD">
        <w:t>,</w:t>
      </w:r>
      <w:r w:rsidR="00396AB5">
        <w:t xml:space="preserve"> </w:t>
      </w:r>
      <w:r w:rsidR="002B7BCD">
        <w:t>p</w:t>
      </w:r>
      <w:r w:rsidR="00396AB5">
        <w:t xml:space="preserve">illar </w:t>
      </w:r>
      <w:r w:rsidR="00396AB5">
        <w:lastRenderedPageBreak/>
        <w:t>IV</w:t>
      </w:r>
      <w:r w:rsidR="002B7BCD">
        <w:t>, which</w:t>
      </w:r>
      <w:r w:rsidR="00396AB5">
        <w:t xml:space="preserve"> requires human rights and the rule of law to be fully protected while countering terrorism.</w:t>
      </w:r>
    </w:p>
    <w:p w14:paraId="143709AA" w14:textId="77777777" w:rsidR="00F84571" w:rsidRPr="00DB5512" w:rsidRDefault="00F84571" w:rsidP="00F84571">
      <w:pPr>
        <w:pStyle w:val="H1G"/>
      </w:pPr>
      <w:r w:rsidRPr="00DB5512">
        <w:tab/>
        <w:t>B.</w:t>
      </w:r>
      <w:r w:rsidRPr="00DB5512">
        <w:tab/>
        <w:t>Extra-territorial use of emergency powers</w:t>
      </w:r>
    </w:p>
    <w:p w14:paraId="1E7A7D40" w14:textId="0D4B0EEA" w:rsidR="00F84571" w:rsidRPr="00DB5512" w:rsidRDefault="002E55CC">
      <w:pPr>
        <w:pStyle w:val="SingleTxtG"/>
      </w:pPr>
      <w:r>
        <w:t>6</w:t>
      </w:r>
      <w:r w:rsidR="007353E5">
        <w:t>7</w:t>
      </w:r>
      <w:r w:rsidR="00F84571" w:rsidRPr="00DB5512">
        <w:t>.</w:t>
      </w:r>
      <w:r w:rsidR="00F84571" w:rsidRPr="00DB5512">
        <w:tab/>
        <w:t xml:space="preserve">No State has ever derogated from an international human rights treaty based on the </w:t>
      </w:r>
      <w:r w:rsidR="00396AB5">
        <w:t xml:space="preserve">extraterritorial </w:t>
      </w:r>
      <w:r w:rsidR="00F84571" w:rsidRPr="00DB5512">
        <w:t>deployment of its military forces overseas.</w:t>
      </w:r>
      <w:r w:rsidR="00F84571" w:rsidRPr="00DB5512">
        <w:rPr>
          <w:vertAlign w:val="superscript"/>
        </w:rPr>
        <w:footnoteReference w:id="52"/>
      </w:r>
      <w:r w:rsidR="00F84571" w:rsidRPr="00DB5512">
        <w:t xml:space="preserve"> </w:t>
      </w:r>
      <w:r w:rsidR="00396AB5">
        <w:t>However, a</w:t>
      </w:r>
      <w:r w:rsidR="00F84571" w:rsidRPr="00DB5512">
        <w:t xml:space="preserve">ny overseas military deployment, as one of the measures taken individually or collectively </w:t>
      </w:r>
      <w:r w:rsidR="0034231D" w:rsidRPr="00DB5512">
        <w:t xml:space="preserve">by States </w:t>
      </w:r>
      <w:r w:rsidR="00F84571" w:rsidRPr="00DB5512">
        <w:t xml:space="preserve">to eliminate international terrorism, is regulated by the respective national or international rules of engagement, which must be in compliance with international law, in particular international human rights law, refugee law and humanitarian </w:t>
      </w:r>
      <w:r w:rsidR="00F84571" w:rsidRPr="003E7F3E">
        <w:t>law.</w:t>
      </w:r>
      <w:r w:rsidR="00F84571" w:rsidRPr="003E7F3E">
        <w:rPr>
          <w:rStyle w:val="FootnoteReference"/>
          <w:rFonts w:eastAsiaTheme="majorEastAsia"/>
        </w:rPr>
        <w:footnoteReference w:id="53"/>
      </w:r>
      <w:r w:rsidR="00F84571" w:rsidRPr="001E61A5">
        <w:t xml:space="preserve"> </w:t>
      </w:r>
    </w:p>
    <w:p w14:paraId="5C23C675" w14:textId="212305B4" w:rsidR="00F84571" w:rsidRPr="00DB5512" w:rsidRDefault="002E55CC">
      <w:pPr>
        <w:pStyle w:val="SingleTxtG"/>
      </w:pPr>
      <w:r>
        <w:t>6</w:t>
      </w:r>
      <w:r w:rsidR="007353E5">
        <w:t>8</w:t>
      </w:r>
      <w:r w:rsidR="00F84571" w:rsidRPr="00DB5512">
        <w:t>.</w:t>
      </w:r>
      <w:r w:rsidR="00F84571" w:rsidRPr="00DB5512">
        <w:tab/>
        <w:t xml:space="preserve">States have considered the feasibility of </w:t>
      </w:r>
      <w:r w:rsidR="0034231D">
        <w:t>“</w:t>
      </w:r>
      <w:r w:rsidR="00F84571" w:rsidRPr="00DB5512">
        <w:t>presumptive derogations for armed forces in overseas operations</w:t>
      </w:r>
      <w:r w:rsidR="0034231D">
        <w:t>”</w:t>
      </w:r>
      <w:r w:rsidR="00F84571" w:rsidRPr="00DB5512">
        <w:t>.</w:t>
      </w:r>
      <w:r w:rsidR="00F84571" w:rsidRPr="00DB5512">
        <w:rPr>
          <w:vertAlign w:val="superscript"/>
        </w:rPr>
        <w:footnoteReference w:id="54"/>
      </w:r>
      <w:r w:rsidR="00F84571" w:rsidRPr="00DB5512">
        <w:t xml:space="preserve"> </w:t>
      </w:r>
      <w:r>
        <w:t xml:space="preserve">The </w:t>
      </w:r>
      <w:r w:rsidR="00AF065A">
        <w:t>Special</w:t>
      </w:r>
      <w:r w:rsidR="00F84571" w:rsidRPr="00DB5512">
        <w:t xml:space="preserve"> Rapporteur takes th</w:t>
      </w:r>
      <w:r w:rsidR="00EB40E6" w:rsidRPr="00DB5512">
        <w:t>e</w:t>
      </w:r>
      <w:r w:rsidR="00F84571" w:rsidRPr="00DB5512">
        <w:t xml:space="preserve"> view that while such derogations are not </w:t>
      </w:r>
      <w:r w:rsidR="00F84571" w:rsidRPr="006A77E3">
        <w:rPr>
          <w:iCs/>
        </w:rPr>
        <w:t>per se</w:t>
      </w:r>
      <w:r w:rsidR="00F84571" w:rsidRPr="00DB5512">
        <w:t xml:space="preserve"> impossible, extraterritorial application requires fulfilling the requirements</w:t>
      </w:r>
      <w:r w:rsidR="0034231D">
        <w:t>,</w:t>
      </w:r>
      <w:r w:rsidR="00F84571" w:rsidRPr="00DB5512">
        <w:t xml:space="preserve"> based on actual facts on the ground</w:t>
      </w:r>
      <w:r w:rsidR="0034231D">
        <w:t>,</w:t>
      </w:r>
      <w:r w:rsidR="00F84571" w:rsidRPr="00DB5512">
        <w:t xml:space="preserve"> of the </w:t>
      </w:r>
      <w:r w:rsidR="0034231D">
        <w:t>“</w:t>
      </w:r>
      <w:r w:rsidR="00F84571" w:rsidRPr="00DB5512">
        <w:t>threat to the life of the nation</w:t>
      </w:r>
      <w:r w:rsidR="0034231D">
        <w:t>”</w:t>
      </w:r>
      <w:r w:rsidR="00F84571" w:rsidRPr="00DB5512">
        <w:t>, “time of war”</w:t>
      </w:r>
      <w:r w:rsidR="0034231D">
        <w:t xml:space="preserve"> and</w:t>
      </w:r>
      <w:r w:rsidR="00F84571" w:rsidRPr="00DB5512">
        <w:t xml:space="preserve"> “public danger or other emergency that threatens the independence or security of a State”. In </w:t>
      </w:r>
      <w:r w:rsidR="00F84571" w:rsidRPr="006A77E3">
        <w:rPr>
          <w:i/>
          <w:iCs/>
        </w:rPr>
        <w:t>Lawless v. Ireland</w:t>
      </w:r>
      <w:r w:rsidR="00F84571" w:rsidRPr="00DB5512">
        <w:t xml:space="preserve">, </w:t>
      </w:r>
      <w:r>
        <w:t xml:space="preserve">the </w:t>
      </w:r>
      <w:r w:rsidR="00F84571" w:rsidRPr="00DB5512">
        <w:t>E</w:t>
      </w:r>
      <w:r w:rsidR="0075557D">
        <w:t xml:space="preserve">uropean </w:t>
      </w:r>
      <w:r w:rsidR="00F84571" w:rsidRPr="00DB5512">
        <w:t>C</w:t>
      </w:r>
      <w:r w:rsidR="0075557D">
        <w:t>our</w:t>
      </w:r>
      <w:r w:rsidR="00F84571" w:rsidRPr="00DB5512">
        <w:t>t</w:t>
      </w:r>
      <w:r w:rsidR="0075557D">
        <w:t xml:space="preserve"> of </w:t>
      </w:r>
      <w:r w:rsidR="00F84571" w:rsidRPr="00DB5512">
        <w:t>H</w:t>
      </w:r>
      <w:r w:rsidR="0075557D">
        <w:t xml:space="preserve">uman </w:t>
      </w:r>
      <w:r w:rsidR="00F84571" w:rsidRPr="00DB5512">
        <w:t>R</w:t>
      </w:r>
      <w:r w:rsidR="0075557D">
        <w:t>ights</w:t>
      </w:r>
      <w:r w:rsidR="00F84571" w:rsidRPr="00DB5512">
        <w:t xml:space="preserve"> upheld the validity of a derogation by </w:t>
      </w:r>
      <w:r w:rsidR="0075557D">
        <w:t>Ireland</w:t>
      </w:r>
      <w:r w:rsidR="00F84571" w:rsidRPr="00DB5512">
        <w:t xml:space="preserve"> based</w:t>
      </w:r>
      <w:r w:rsidR="0075557D">
        <w:t xml:space="preserve"> on,</w:t>
      </w:r>
      <w:r w:rsidR="00F84571" w:rsidRPr="00DB5512">
        <w:t xml:space="preserve"> </w:t>
      </w:r>
      <w:r w:rsidR="00F84571" w:rsidRPr="006A77E3">
        <w:rPr>
          <w:iCs/>
        </w:rPr>
        <w:t>inter alia</w:t>
      </w:r>
      <w:r w:rsidR="0075557D">
        <w:rPr>
          <w:iCs/>
        </w:rPr>
        <w:t>,</w:t>
      </w:r>
      <w:r w:rsidR="0075557D">
        <w:t xml:space="preserve"> </w:t>
      </w:r>
      <w:r w:rsidR="00F84571" w:rsidRPr="00DB5512">
        <w:t>the operation of “a secret army … also operating outside the territory of the state”.</w:t>
      </w:r>
      <w:r w:rsidR="00F84571" w:rsidRPr="00DB5512">
        <w:rPr>
          <w:vertAlign w:val="superscript"/>
        </w:rPr>
        <w:footnoteReference w:id="55"/>
      </w:r>
      <w:r w:rsidR="00F84571" w:rsidRPr="00DB5512">
        <w:t xml:space="preserve"> Despite the extraterritorial dimension </w:t>
      </w:r>
      <w:r w:rsidR="0075557D">
        <w:t>of</w:t>
      </w:r>
      <w:r w:rsidR="00F84571" w:rsidRPr="00DB5512">
        <w:t xml:space="preserve"> this derogation, it should be noted that the primary test of threat was satisfie</w:t>
      </w:r>
      <w:r w:rsidR="00EB40E6" w:rsidRPr="00DB5512">
        <w:t>d</w:t>
      </w:r>
      <w:r w:rsidR="00F84571" w:rsidRPr="00DB5512">
        <w:t xml:space="preserve"> by the “existence</w:t>
      </w:r>
      <w:r w:rsidR="00F84571" w:rsidRPr="00DB5512">
        <w:rPr>
          <w:i/>
        </w:rPr>
        <w:t xml:space="preserve"> </w:t>
      </w:r>
      <w:r w:rsidR="00F84571" w:rsidRPr="006A77E3">
        <w:t>in the territory</w:t>
      </w:r>
      <w:r w:rsidR="00F84571" w:rsidRPr="00DB5512">
        <w:t xml:space="preserve"> of the Republic of Ireland </w:t>
      </w:r>
      <w:r w:rsidR="00EB40E6" w:rsidRPr="00DB5512">
        <w:t xml:space="preserve">of </w:t>
      </w:r>
      <w:r w:rsidR="0075557D">
        <w:t xml:space="preserve">a </w:t>
      </w:r>
      <w:r w:rsidR="00F84571" w:rsidRPr="00DB5512">
        <w:t xml:space="preserve">secret army engaged in unconstitutional activities and using violence”. </w:t>
      </w:r>
    </w:p>
    <w:p w14:paraId="638157E9" w14:textId="4DB7BE38" w:rsidR="00F84571" w:rsidRPr="00DB5512" w:rsidRDefault="002E55CC">
      <w:pPr>
        <w:pStyle w:val="SingleTxtG"/>
      </w:pPr>
      <w:r>
        <w:t>6</w:t>
      </w:r>
      <w:r w:rsidR="007353E5">
        <w:t>9</w:t>
      </w:r>
      <w:r w:rsidR="00F84571" w:rsidRPr="00DB5512">
        <w:t>.</w:t>
      </w:r>
      <w:r w:rsidR="00F84571" w:rsidRPr="00DB5512">
        <w:tab/>
        <w:t>In the context of extraterritorial derogation, the facts on the ground would include</w:t>
      </w:r>
      <w:r w:rsidR="0075557D">
        <w:t xml:space="preserve"> a </w:t>
      </w:r>
      <w:r w:rsidR="00F84571" w:rsidRPr="00DB5512">
        <w:t xml:space="preserve">review by the relevant human rights body as to whether a war </w:t>
      </w:r>
      <w:r w:rsidR="0075557D">
        <w:t xml:space="preserve">— </w:t>
      </w:r>
      <w:r w:rsidR="00F84571" w:rsidRPr="00DB5512">
        <w:t>specifically an international or non-international armed conflict</w:t>
      </w:r>
      <w:r w:rsidR="0075557D">
        <w:t xml:space="preserve"> —</w:t>
      </w:r>
      <w:r w:rsidR="00F84571" w:rsidRPr="00DB5512">
        <w:t xml:space="preserve"> exists </w:t>
      </w:r>
      <w:r w:rsidR="00396AB5">
        <w:t xml:space="preserve">and </w:t>
      </w:r>
      <w:r w:rsidR="00AB7D62" w:rsidRPr="00396AB5">
        <w:t xml:space="preserve">is </w:t>
      </w:r>
      <w:r w:rsidR="00F84571" w:rsidRPr="00DB5512">
        <w:t>sufficient to justify derogation.</w:t>
      </w:r>
      <w:r w:rsidR="00840E68">
        <w:t xml:space="preserve"> </w:t>
      </w:r>
      <w:r w:rsidR="00F84571" w:rsidRPr="00DB5512">
        <w:t xml:space="preserve">Moreover, when </w:t>
      </w:r>
      <w:r w:rsidR="0075557D">
        <w:t>S</w:t>
      </w:r>
      <w:r w:rsidR="00F84571" w:rsidRPr="00DB5512">
        <w:t xml:space="preserve">tates enter into overseas military operations voluntarily and can withdraw from those operations at any point, the necessity of blanket derogation seems at odds with political circumstances which engage the use of military force. </w:t>
      </w:r>
    </w:p>
    <w:p w14:paraId="74166493" w14:textId="0F1ADCB3" w:rsidR="00F84571" w:rsidRPr="00DB5512" w:rsidRDefault="007353E5">
      <w:pPr>
        <w:pStyle w:val="SingleTxtG"/>
      </w:pPr>
      <w:r>
        <w:t>70</w:t>
      </w:r>
      <w:r w:rsidR="00F84571" w:rsidRPr="00DB5512">
        <w:t>.</w:t>
      </w:r>
      <w:r w:rsidR="00F84571" w:rsidRPr="00DB5512">
        <w:tab/>
        <w:t xml:space="preserve">Derogation is not a vaccination against potential and unrealized threats for States, rather it is exercised in the context of actualized, concrete and measurable threats to a State. </w:t>
      </w:r>
      <w:r w:rsidR="002E55CC">
        <w:t xml:space="preserve">The </w:t>
      </w:r>
      <w:r w:rsidR="00AF065A">
        <w:t>Special</w:t>
      </w:r>
      <w:r w:rsidR="00F84571" w:rsidRPr="00DB5512">
        <w:t xml:space="preserve"> Rapporteur takes the view that presumptive derogations are </w:t>
      </w:r>
      <w:r w:rsidR="00F84571" w:rsidRPr="006A77E3">
        <w:rPr>
          <w:iCs/>
        </w:rPr>
        <w:t>per se</w:t>
      </w:r>
      <w:r w:rsidR="00F84571" w:rsidRPr="00DB5512">
        <w:t xml:space="preserve"> incompatible with the strict requirements of all the relevant human rights treaties, as any derogation must be individually justified by the contextual specificities surrounding the overseas engagement of </w:t>
      </w:r>
      <w:r w:rsidR="0075557D">
        <w:t>S</w:t>
      </w:r>
      <w:r w:rsidR="00F84571" w:rsidRPr="00DB5512">
        <w:t>tate forces.</w:t>
      </w:r>
    </w:p>
    <w:p w14:paraId="1A1D60ED" w14:textId="6725071D" w:rsidR="00F84571" w:rsidRPr="00DB5512" w:rsidRDefault="00CB613F">
      <w:pPr>
        <w:pStyle w:val="SingleTxtG"/>
        <w:rPr>
          <w:u w:val="single"/>
        </w:rPr>
      </w:pPr>
      <w:r w:rsidRPr="00DB5512">
        <w:t>7</w:t>
      </w:r>
      <w:r w:rsidR="007353E5">
        <w:t>1</w:t>
      </w:r>
      <w:r w:rsidR="00F84571" w:rsidRPr="00DB5512">
        <w:t>.</w:t>
      </w:r>
      <w:r w:rsidR="00F84571" w:rsidRPr="00DB5512">
        <w:tab/>
        <w:t xml:space="preserve"> Where a </w:t>
      </w:r>
      <w:r w:rsidR="0075557D">
        <w:t>S</w:t>
      </w:r>
      <w:r w:rsidR="00F84571" w:rsidRPr="00DB5512">
        <w:t>tate might derogate based on its extraterritorial actions</w:t>
      </w:r>
      <w:r w:rsidR="0075557D">
        <w:t>,</w:t>
      </w:r>
      <w:r w:rsidR="00F84571" w:rsidRPr="00DB5512">
        <w:t xml:space="preserve"> including but not limited to conflict in another territory, the measures taken would have to be necessary and proportionate to the exigencies of the situation and</w:t>
      </w:r>
      <w:r w:rsidR="0075557D">
        <w:t>,</w:t>
      </w:r>
      <w:r w:rsidR="00F84571" w:rsidRPr="00DB5512">
        <w:t xml:space="preserve"> of course</w:t>
      </w:r>
      <w:r w:rsidR="0075557D">
        <w:t>,</w:t>
      </w:r>
      <w:r w:rsidR="00F84571" w:rsidRPr="00DB5512">
        <w:t xml:space="preserve"> certain rights are entirely non-derogable.</w:t>
      </w:r>
      <w:r w:rsidR="00F84571" w:rsidRPr="00DB5512">
        <w:rPr>
          <w:vertAlign w:val="superscript"/>
        </w:rPr>
        <w:footnoteReference w:id="56"/>
      </w:r>
      <w:r w:rsidR="00F84571" w:rsidRPr="00DB5512">
        <w:t xml:space="preserve"> </w:t>
      </w:r>
      <w:r w:rsidR="00AE1824">
        <w:t>Some</w:t>
      </w:r>
      <w:r w:rsidR="00F84571" w:rsidRPr="00DB5512">
        <w:t xml:space="preserve"> courts have taken the view that</w:t>
      </w:r>
      <w:r w:rsidR="0075557D">
        <w:t>,</w:t>
      </w:r>
      <w:r w:rsidR="00F84571" w:rsidRPr="00DB5512">
        <w:t xml:space="preserve"> in the context of non-international armed conflicts, if a human rights jurisdiction is established and no lawful derogation is made, the full force of protections under the right to liberty are upheld.</w:t>
      </w:r>
      <w:r w:rsidR="00F84571" w:rsidRPr="00DB5512">
        <w:rPr>
          <w:vertAlign w:val="superscript"/>
        </w:rPr>
        <w:footnoteReference w:id="57"/>
      </w:r>
      <w:r w:rsidR="00F84571" w:rsidRPr="00DB5512">
        <w:t xml:space="preserve"> </w:t>
      </w:r>
      <w:r w:rsidR="002E55CC">
        <w:t xml:space="preserve">The </w:t>
      </w:r>
      <w:r w:rsidR="00AF065A">
        <w:t>Special</w:t>
      </w:r>
      <w:r w:rsidR="00F84571" w:rsidRPr="00DB5512">
        <w:t xml:space="preserve"> Rapporteur broadly concurs with this view and affirms that a derogation would not lower the protections </w:t>
      </w:r>
      <w:r w:rsidR="00F84571" w:rsidRPr="00DB5512">
        <w:lastRenderedPageBreak/>
        <w:t>of the right to liberty below those stipulated by international human rights and humanitarian law.</w:t>
      </w:r>
    </w:p>
    <w:p w14:paraId="741C31F2" w14:textId="77777777" w:rsidR="00F84571" w:rsidRPr="00DB5512" w:rsidRDefault="00F84571" w:rsidP="00F84571">
      <w:pPr>
        <w:pStyle w:val="HChG"/>
      </w:pPr>
      <w:r w:rsidRPr="00DB5512">
        <w:tab/>
        <w:t>VII.</w:t>
      </w:r>
      <w:r w:rsidRPr="00DB5512">
        <w:tab/>
        <w:t>Conclusions and recommendations</w:t>
      </w:r>
    </w:p>
    <w:p w14:paraId="78B5068C" w14:textId="0D3367F8" w:rsidR="00F84571" w:rsidRDefault="002E55CC">
      <w:pPr>
        <w:pStyle w:val="SingleTxtG"/>
        <w:rPr>
          <w:b/>
        </w:rPr>
      </w:pPr>
      <w:r w:rsidRPr="006A77E3">
        <w:rPr>
          <w:bCs/>
        </w:rPr>
        <w:t>7</w:t>
      </w:r>
      <w:r w:rsidR="007353E5" w:rsidRPr="006A77E3">
        <w:rPr>
          <w:bCs/>
        </w:rPr>
        <w:t>2</w:t>
      </w:r>
      <w:r w:rsidR="00F84571" w:rsidRPr="006A77E3">
        <w:rPr>
          <w:bCs/>
        </w:rPr>
        <w:t>.</w:t>
      </w:r>
      <w:r w:rsidR="00F84571" w:rsidRPr="00233B30">
        <w:rPr>
          <w:b/>
        </w:rPr>
        <w:tab/>
        <w:t xml:space="preserve">States of emergency remain a pernicious and under-supervised source of human rights violations globally. The reach and breadth of counter-terrorism law </w:t>
      </w:r>
      <w:r w:rsidR="00CD2E88">
        <w:rPr>
          <w:b/>
        </w:rPr>
        <w:t xml:space="preserve">that </w:t>
      </w:r>
      <w:r w:rsidR="00F84571" w:rsidRPr="00233B30">
        <w:rPr>
          <w:b/>
        </w:rPr>
        <w:t>enabl</w:t>
      </w:r>
      <w:r w:rsidR="00CD2E88">
        <w:rPr>
          <w:b/>
        </w:rPr>
        <w:t>es</w:t>
      </w:r>
      <w:r w:rsidR="00F84571" w:rsidRPr="00233B30">
        <w:rPr>
          <w:b/>
        </w:rPr>
        <w:t xml:space="preserve"> </w:t>
      </w:r>
      <w:r w:rsidR="00F84571" w:rsidRPr="006A77E3">
        <w:rPr>
          <w:b/>
          <w:iCs/>
        </w:rPr>
        <w:t>de facto</w:t>
      </w:r>
      <w:r w:rsidR="00F84571" w:rsidRPr="00233B30">
        <w:rPr>
          <w:b/>
          <w:i/>
        </w:rPr>
        <w:t xml:space="preserve">, </w:t>
      </w:r>
      <w:r w:rsidR="00F84571" w:rsidRPr="00233B30">
        <w:rPr>
          <w:b/>
        </w:rPr>
        <w:t>complex and permanent states of emergency must be recognized and robustly regulated.</w:t>
      </w:r>
    </w:p>
    <w:p w14:paraId="53C92FF4" w14:textId="4A339DC4" w:rsidR="00F84571" w:rsidRDefault="00CD2E88" w:rsidP="005E6F03">
      <w:pPr>
        <w:pStyle w:val="SingleTxtG"/>
        <w:rPr>
          <w:b/>
        </w:rPr>
      </w:pPr>
      <w:r w:rsidRPr="005E6F03">
        <w:rPr>
          <w:bCs/>
        </w:rPr>
        <w:t>73.</w:t>
      </w:r>
      <w:r w:rsidR="00F84571" w:rsidRPr="00233B30">
        <w:rPr>
          <w:b/>
        </w:rPr>
        <w:tab/>
        <w:t>State</w:t>
      </w:r>
      <w:r w:rsidR="00DD1B63" w:rsidRPr="00233B30">
        <w:rPr>
          <w:b/>
        </w:rPr>
        <w:t>s</w:t>
      </w:r>
      <w:r w:rsidR="00F84571" w:rsidRPr="00233B30">
        <w:rPr>
          <w:b/>
        </w:rPr>
        <w:t xml:space="preserve"> must fulfil their international law obligations </w:t>
      </w:r>
      <w:r>
        <w:rPr>
          <w:b/>
        </w:rPr>
        <w:t>when</w:t>
      </w:r>
      <w:r w:rsidRPr="00233B30">
        <w:rPr>
          <w:b/>
        </w:rPr>
        <w:t xml:space="preserve"> </w:t>
      </w:r>
      <w:r w:rsidR="00F84571" w:rsidRPr="00233B30">
        <w:rPr>
          <w:b/>
        </w:rPr>
        <w:t xml:space="preserve">derogating from applicable human rights treaty obligations when counter-terrorism law and practices operate to suspend the full and effective enjoyment of human rights within their territories. </w:t>
      </w:r>
    </w:p>
    <w:p w14:paraId="684190A9" w14:textId="0EE8C2DC" w:rsidR="00F84571" w:rsidRDefault="00CD2E88" w:rsidP="005E6F03">
      <w:pPr>
        <w:pStyle w:val="SingleTxtG"/>
        <w:rPr>
          <w:b/>
        </w:rPr>
      </w:pPr>
      <w:r w:rsidRPr="005E6F03">
        <w:rPr>
          <w:bCs/>
        </w:rPr>
        <w:t>74.</w:t>
      </w:r>
      <w:r w:rsidR="00F84571" w:rsidRPr="00233B30">
        <w:rPr>
          <w:b/>
        </w:rPr>
        <w:tab/>
        <w:t>States must ensure</w:t>
      </w:r>
      <w:r>
        <w:rPr>
          <w:b/>
        </w:rPr>
        <w:t>,</w:t>
      </w:r>
      <w:r w:rsidR="00F84571" w:rsidRPr="00233B30">
        <w:rPr>
          <w:b/>
        </w:rPr>
        <w:t xml:space="preserve"> when revising existing</w:t>
      </w:r>
      <w:r>
        <w:rPr>
          <w:b/>
        </w:rPr>
        <w:t>,</w:t>
      </w:r>
      <w:r w:rsidR="00F84571" w:rsidRPr="00233B30">
        <w:rPr>
          <w:b/>
        </w:rPr>
        <w:t xml:space="preserve"> or drafting new</w:t>
      </w:r>
      <w:r>
        <w:rPr>
          <w:b/>
        </w:rPr>
        <w:t>,</w:t>
      </w:r>
      <w:r w:rsidR="00F84571" w:rsidRPr="00233B30">
        <w:rPr>
          <w:b/>
        </w:rPr>
        <w:t xml:space="preserve"> counter-terrorism legislation</w:t>
      </w:r>
      <w:r>
        <w:rPr>
          <w:b/>
        </w:rPr>
        <w:t>,</w:t>
      </w:r>
      <w:r w:rsidR="00F84571" w:rsidRPr="00233B30">
        <w:rPr>
          <w:b/>
        </w:rPr>
        <w:t xml:space="preserve"> </w:t>
      </w:r>
      <w:r>
        <w:rPr>
          <w:b/>
        </w:rPr>
        <w:t xml:space="preserve">that </w:t>
      </w:r>
      <w:r w:rsidR="00F84571" w:rsidRPr="00233B30">
        <w:rPr>
          <w:b/>
        </w:rPr>
        <w:t>they meet the thresholds of legality, legitimacy, necessity and proportionality as set out by international law to ensure that emergency measures are in compliance with the prohibition of permanent emergency powers.</w:t>
      </w:r>
    </w:p>
    <w:p w14:paraId="36578840" w14:textId="09AD6571" w:rsidR="00F84571" w:rsidRDefault="00CD2E88" w:rsidP="005E6F03">
      <w:pPr>
        <w:pStyle w:val="SingleTxtG"/>
        <w:rPr>
          <w:b/>
        </w:rPr>
      </w:pPr>
      <w:r w:rsidRPr="005E6F03">
        <w:rPr>
          <w:bCs/>
        </w:rPr>
        <w:t>75.</w:t>
      </w:r>
      <w:r w:rsidR="00F84571" w:rsidRPr="00233B30">
        <w:rPr>
          <w:b/>
        </w:rPr>
        <w:tab/>
        <w:t xml:space="preserve">States must undertake robust and meaningful periodic review of their counter-terrorism legislation to assess whether the effect on the enjoyment of human rights is necessary and proportionate. These reviews must address the cumulative impact of a </w:t>
      </w:r>
      <w:r w:rsidR="003B2949">
        <w:rPr>
          <w:b/>
        </w:rPr>
        <w:t>S</w:t>
      </w:r>
      <w:r w:rsidR="00F84571" w:rsidRPr="00233B30">
        <w:rPr>
          <w:b/>
        </w:rPr>
        <w:t xml:space="preserve">tate’s counter-terrorism measures which may, in sum, be disproportionate to the exigencies of </w:t>
      </w:r>
      <w:r w:rsidR="003B2949">
        <w:rPr>
          <w:b/>
        </w:rPr>
        <w:t>the</w:t>
      </w:r>
      <w:r w:rsidR="00F84571" w:rsidRPr="00233B30">
        <w:rPr>
          <w:b/>
        </w:rPr>
        <w:t xml:space="preserve"> situation. Countries such as the United Kingdom </w:t>
      </w:r>
      <w:r w:rsidR="003B2949">
        <w:rPr>
          <w:b/>
        </w:rPr>
        <w:t xml:space="preserve">of Great Britain and Northern Ireland </w:t>
      </w:r>
      <w:r w:rsidR="00F84571" w:rsidRPr="00233B30">
        <w:rPr>
          <w:b/>
        </w:rPr>
        <w:t>are to be commended for their consistent commitment to the Independent Review</w:t>
      </w:r>
      <w:r w:rsidR="003B2949">
        <w:rPr>
          <w:b/>
        </w:rPr>
        <w:t>er</w:t>
      </w:r>
      <w:r w:rsidR="00F84571" w:rsidRPr="00233B30">
        <w:rPr>
          <w:b/>
        </w:rPr>
        <w:t xml:space="preserve"> of Terrorism </w:t>
      </w:r>
      <w:r w:rsidR="003B2949">
        <w:rPr>
          <w:b/>
        </w:rPr>
        <w:t>Legislation in</w:t>
      </w:r>
      <w:r w:rsidR="00F84571" w:rsidRPr="00233B30">
        <w:rPr>
          <w:b/>
        </w:rPr>
        <w:t xml:space="preserve"> providing stellar and much needed guidance and precedent to other </w:t>
      </w:r>
      <w:r w:rsidR="003B2949">
        <w:rPr>
          <w:b/>
        </w:rPr>
        <w:t>S</w:t>
      </w:r>
      <w:r w:rsidR="00F84571" w:rsidRPr="00233B30">
        <w:rPr>
          <w:b/>
        </w:rPr>
        <w:t>tates.</w:t>
      </w:r>
      <w:r w:rsidR="00F84571" w:rsidRPr="00233B30">
        <w:rPr>
          <w:b/>
          <w:vertAlign w:val="superscript"/>
        </w:rPr>
        <w:footnoteReference w:id="58"/>
      </w:r>
      <w:r w:rsidR="00F84571" w:rsidRPr="00233B30">
        <w:rPr>
          <w:b/>
        </w:rPr>
        <w:t xml:space="preserve"> States are encouraged to follow this example to enable independent and expert counter-terrorism oversight </w:t>
      </w:r>
      <w:r w:rsidR="003B2949">
        <w:rPr>
          <w:b/>
        </w:rPr>
        <w:t xml:space="preserve">that </w:t>
      </w:r>
      <w:r w:rsidR="00F84571" w:rsidRPr="00233B30">
        <w:rPr>
          <w:b/>
        </w:rPr>
        <w:t>address</w:t>
      </w:r>
      <w:r w:rsidR="003B2949">
        <w:rPr>
          <w:b/>
        </w:rPr>
        <w:t>es</w:t>
      </w:r>
      <w:r w:rsidR="00F84571" w:rsidRPr="00233B30">
        <w:rPr>
          <w:b/>
        </w:rPr>
        <w:t xml:space="preserve"> the entire counter-terrorism landscape in each </w:t>
      </w:r>
      <w:r w:rsidR="003B2949">
        <w:rPr>
          <w:b/>
        </w:rPr>
        <w:t>S</w:t>
      </w:r>
      <w:r w:rsidR="00F84571" w:rsidRPr="00233B30">
        <w:rPr>
          <w:b/>
        </w:rPr>
        <w:t>tate.</w:t>
      </w:r>
    </w:p>
    <w:p w14:paraId="5712C575" w14:textId="523618C2" w:rsidR="00F84571" w:rsidRDefault="003B2949" w:rsidP="005E6F03">
      <w:pPr>
        <w:pStyle w:val="SingleTxtG"/>
        <w:rPr>
          <w:b/>
        </w:rPr>
      </w:pPr>
      <w:r w:rsidRPr="002E3647">
        <w:rPr>
          <w:bCs/>
        </w:rPr>
        <w:t>76.</w:t>
      </w:r>
      <w:r w:rsidR="00DA783A" w:rsidRPr="00233B30">
        <w:rPr>
          <w:b/>
        </w:rPr>
        <w:tab/>
      </w:r>
      <w:r w:rsidR="00F84571" w:rsidRPr="00233B30">
        <w:rPr>
          <w:b/>
        </w:rPr>
        <w:t>State</w:t>
      </w:r>
      <w:r w:rsidR="00DD1B63" w:rsidRPr="00233B30">
        <w:rPr>
          <w:b/>
        </w:rPr>
        <w:t>s</w:t>
      </w:r>
      <w:r w:rsidR="00F84571" w:rsidRPr="00233B30">
        <w:rPr>
          <w:b/>
        </w:rPr>
        <w:t xml:space="preserve"> </w:t>
      </w:r>
      <w:r w:rsidR="00CA10EF" w:rsidRPr="00233B30">
        <w:rPr>
          <w:b/>
        </w:rPr>
        <w:t>should</w:t>
      </w:r>
      <w:r w:rsidR="00F84571" w:rsidRPr="00233B30">
        <w:rPr>
          <w:b/>
        </w:rPr>
        <w:t xml:space="preserve"> ensure that </w:t>
      </w:r>
      <w:r>
        <w:rPr>
          <w:b/>
        </w:rPr>
        <w:t xml:space="preserve">the </w:t>
      </w:r>
      <w:r w:rsidR="00F84571" w:rsidRPr="00233B30">
        <w:rPr>
          <w:b/>
        </w:rPr>
        <w:t>stated deadlines to end emergency powers are met.</w:t>
      </w:r>
    </w:p>
    <w:p w14:paraId="062DFAEA" w14:textId="79658506" w:rsidR="00F84571" w:rsidRDefault="003B2949" w:rsidP="005E6F03">
      <w:pPr>
        <w:pStyle w:val="SingleTxtG"/>
        <w:rPr>
          <w:b/>
        </w:rPr>
      </w:pPr>
      <w:r w:rsidRPr="002E3647">
        <w:rPr>
          <w:bCs/>
        </w:rPr>
        <w:t>77.</w:t>
      </w:r>
      <w:r w:rsidR="00F84571" w:rsidRPr="00233B30">
        <w:rPr>
          <w:b/>
        </w:rPr>
        <w:tab/>
        <w:t xml:space="preserve">States utilizing counter-terrorism laws that result in states of emergency must maintain robust and independent judicial access and oversight. Judicial oversight is necessary at all phases of </w:t>
      </w:r>
      <w:r>
        <w:rPr>
          <w:b/>
        </w:rPr>
        <w:t xml:space="preserve">the </w:t>
      </w:r>
      <w:r w:rsidR="00F84571" w:rsidRPr="00233B30">
        <w:rPr>
          <w:b/>
        </w:rPr>
        <w:t>emergency powers practice and the longer the emergency</w:t>
      </w:r>
      <w:r>
        <w:rPr>
          <w:b/>
        </w:rPr>
        <w:t>,</w:t>
      </w:r>
      <w:r w:rsidR="00F84571" w:rsidRPr="00233B30">
        <w:rPr>
          <w:b/>
        </w:rPr>
        <w:t xml:space="preserve"> the more compelling and important the need for judicial review.</w:t>
      </w:r>
      <w:r w:rsidR="00911BCB" w:rsidRPr="00233B30">
        <w:rPr>
          <w:rStyle w:val="FootnoteReference"/>
          <w:b/>
        </w:rPr>
        <w:footnoteReference w:id="59"/>
      </w:r>
    </w:p>
    <w:p w14:paraId="2CFF9B95" w14:textId="453B9963" w:rsidR="00F84571" w:rsidRDefault="003B2949" w:rsidP="005E6F03">
      <w:pPr>
        <w:pStyle w:val="SingleTxtG"/>
        <w:rPr>
          <w:b/>
        </w:rPr>
      </w:pPr>
      <w:r w:rsidRPr="002E3647">
        <w:rPr>
          <w:bCs/>
        </w:rPr>
        <w:t>78.</w:t>
      </w:r>
      <w:r w:rsidR="00AB2533" w:rsidRPr="00233B30">
        <w:rPr>
          <w:b/>
        </w:rPr>
        <w:tab/>
      </w:r>
      <w:r w:rsidR="00F84571" w:rsidRPr="00233B30">
        <w:rPr>
          <w:b/>
        </w:rPr>
        <w:t>When a State deploys counter-terrorism laws as functional emergency powers</w:t>
      </w:r>
      <w:r>
        <w:rPr>
          <w:b/>
        </w:rPr>
        <w:t>,</w:t>
      </w:r>
      <w:r w:rsidR="00F84571" w:rsidRPr="00233B30">
        <w:rPr>
          <w:b/>
        </w:rPr>
        <w:t xml:space="preserve"> it remains under an absolute obligation to protect non-derogable rights (</w:t>
      </w:r>
      <w:r>
        <w:rPr>
          <w:b/>
        </w:rPr>
        <w:t>such as</w:t>
      </w:r>
      <w:r w:rsidR="00F84571" w:rsidRPr="00233B30">
        <w:rPr>
          <w:b/>
        </w:rPr>
        <w:t xml:space="preserve"> freedom from torture).</w:t>
      </w:r>
      <w:r w:rsidR="00840E68" w:rsidRPr="00233B30">
        <w:rPr>
          <w:b/>
        </w:rPr>
        <w:t xml:space="preserve"> </w:t>
      </w:r>
      <w:r w:rsidR="00F84571" w:rsidRPr="00233B30">
        <w:rPr>
          <w:b/>
        </w:rPr>
        <w:t xml:space="preserve">Moreover, derogable rights </w:t>
      </w:r>
      <w:r>
        <w:rPr>
          <w:b/>
        </w:rPr>
        <w:t>that</w:t>
      </w:r>
      <w:r w:rsidR="00F84571" w:rsidRPr="00233B30">
        <w:rPr>
          <w:b/>
        </w:rPr>
        <w:t xml:space="preserve"> are intrinsically essential to the enforcement of non-derogable rights must be maintained (</w:t>
      </w:r>
      <w:r>
        <w:rPr>
          <w:b/>
        </w:rPr>
        <w:t>such as</w:t>
      </w:r>
      <w:r w:rsidR="00F84571" w:rsidRPr="00233B30">
        <w:rPr>
          <w:b/>
        </w:rPr>
        <w:t xml:space="preserve"> </w:t>
      </w:r>
      <w:r>
        <w:rPr>
          <w:b/>
        </w:rPr>
        <w:t>S</w:t>
      </w:r>
      <w:r w:rsidR="00F84571" w:rsidRPr="00233B30">
        <w:rPr>
          <w:b/>
        </w:rPr>
        <w:t>tate obligations to ensure effective investigations through the protection of due process). Procedural rights that enable contestation, debate and review of emergency power</w:t>
      </w:r>
      <w:r w:rsidR="00CA10EF" w:rsidRPr="00233B30">
        <w:rPr>
          <w:b/>
        </w:rPr>
        <w:t>s</w:t>
      </w:r>
      <w:r w:rsidR="00F84571" w:rsidRPr="00233B30">
        <w:rPr>
          <w:b/>
        </w:rPr>
        <w:t xml:space="preserve"> </w:t>
      </w:r>
      <w:r w:rsidR="00CA10EF" w:rsidRPr="00233B30">
        <w:rPr>
          <w:b/>
        </w:rPr>
        <w:t>are</w:t>
      </w:r>
      <w:r w:rsidR="00F84571" w:rsidRPr="00233B30">
        <w:rPr>
          <w:b/>
        </w:rPr>
        <w:t xml:space="preserve"> critical to the protection of human rights, the protection of civic space and </w:t>
      </w:r>
      <w:r>
        <w:rPr>
          <w:b/>
        </w:rPr>
        <w:t xml:space="preserve">to </w:t>
      </w:r>
      <w:r w:rsidR="00F84571" w:rsidRPr="00233B30">
        <w:rPr>
          <w:b/>
        </w:rPr>
        <w:t>sustaining tolerance, openness and human dignity in situations of emergency.</w:t>
      </w:r>
    </w:p>
    <w:p w14:paraId="65005BEC" w14:textId="3282F2F8" w:rsidR="00F84571" w:rsidRDefault="003B2949" w:rsidP="00C956BA">
      <w:pPr>
        <w:pStyle w:val="SingleTxtG"/>
        <w:rPr>
          <w:b/>
        </w:rPr>
      </w:pPr>
      <w:r w:rsidRPr="002E3647">
        <w:rPr>
          <w:bCs/>
        </w:rPr>
        <w:t>79.</w:t>
      </w:r>
      <w:r w:rsidR="00AB2533" w:rsidRPr="00233B30">
        <w:rPr>
          <w:b/>
        </w:rPr>
        <w:tab/>
      </w:r>
      <w:r w:rsidR="002E55CC" w:rsidRPr="00233B30">
        <w:rPr>
          <w:b/>
        </w:rPr>
        <w:t xml:space="preserve">The </w:t>
      </w:r>
      <w:r w:rsidR="00AF065A" w:rsidRPr="00233B30">
        <w:rPr>
          <w:b/>
        </w:rPr>
        <w:t>Special</w:t>
      </w:r>
      <w:r w:rsidR="00F84571" w:rsidRPr="00233B30">
        <w:rPr>
          <w:b/>
        </w:rPr>
        <w:t xml:space="preserve"> Rapporteur </w:t>
      </w:r>
      <w:r w:rsidR="00AE1824" w:rsidRPr="00233B30">
        <w:rPr>
          <w:b/>
        </w:rPr>
        <w:t>is concerned</w:t>
      </w:r>
      <w:r w:rsidR="00F84571" w:rsidRPr="00233B30">
        <w:rPr>
          <w:b/>
        </w:rPr>
        <w:t xml:space="preserve"> that current reviews</w:t>
      </w:r>
      <w:r w:rsidR="002E3647">
        <w:rPr>
          <w:b/>
        </w:rPr>
        <w:t xml:space="preserve"> found within the United Nations </w:t>
      </w:r>
      <w:r w:rsidR="002B78E4">
        <w:rPr>
          <w:b/>
        </w:rPr>
        <w:t>c</w:t>
      </w:r>
      <w:r w:rsidR="002E3647">
        <w:rPr>
          <w:b/>
        </w:rPr>
        <w:t>ounter-</w:t>
      </w:r>
      <w:r w:rsidR="002B78E4">
        <w:rPr>
          <w:b/>
        </w:rPr>
        <w:t>t</w:t>
      </w:r>
      <w:r w:rsidR="002E3647">
        <w:rPr>
          <w:b/>
        </w:rPr>
        <w:t>errorism architecture</w:t>
      </w:r>
      <w:r w:rsidR="00F84571" w:rsidRPr="00233B30">
        <w:rPr>
          <w:b/>
        </w:rPr>
        <w:t xml:space="preserve"> </w:t>
      </w:r>
      <w:r>
        <w:rPr>
          <w:b/>
        </w:rPr>
        <w:t xml:space="preserve">that are </w:t>
      </w:r>
      <w:r w:rsidR="00F84571" w:rsidRPr="00233B30">
        <w:rPr>
          <w:b/>
        </w:rPr>
        <w:t xml:space="preserve">focused on meeting the </w:t>
      </w:r>
      <w:r>
        <w:rPr>
          <w:b/>
        </w:rPr>
        <w:t xml:space="preserve">compliance </w:t>
      </w:r>
      <w:r w:rsidR="00F84571" w:rsidRPr="00233B30">
        <w:rPr>
          <w:b/>
        </w:rPr>
        <w:t xml:space="preserve">obligations set out in Security Council </w:t>
      </w:r>
      <w:r>
        <w:rPr>
          <w:b/>
        </w:rPr>
        <w:t>r</w:t>
      </w:r>
      <w:r w:rsidR="00F84571" w:rsidRPr="00233B30">
        <w:rPr>
          <w:b/>
        </w:rPr>
        <w:t xml:space="preserve">esolution 1373 reward </w:t>
      </w:r>
      <w:r>
        <w:rPr>
          <w:b/>
        </w:rPr>
        <w:t>S</w:t>
      </w:r>
      <w:r w:rsidR="00F84571" w:rsidRPr="00233B30">
        <w:rPr>
          <w:b/>
        </w:rPr>
        <w:t xml:space="preserve">tates for producing more forceful counter-terrorism legislation and administrative practice with little meaningful assessment of </w:t>
      </w:r>
      <w:r>
        <w:rPr>
          <w:b/>
        </w:rPr>
        <w:t>the</w:t>
      </w:r>
      <w:r w:rsidR="00F84571" w:rsidRPr="00233B30">
        <w:rPr>
          <w:b/>
        </w:rPr>
        <w:t xml:space="preserve"> cost to </w:t>
      </w:r>
      <w:r>
        <w:rPr>
          <w:b/>
        </w:rPr>
        <w:t xml:space="preserve">the </w:t>
      </w:r>
      <w:r w:rsidR="00485E08" w:rsidRPr="00233B30">
        <w:rPr>
          <w:b/>
        </w:rPr>
        <w:t>S</w:t>
      </w:r>
      <w:r w:rsidR="00F84571" w:rsidRPr="00233B30">
        <w:rPr>
          <w:b/>
        </w:rPr>
        <w:t xml:space="preserve">tate if human rights are adversely affected in the process. Lip service to human rights norms in Security Council </w:t>
      </w:r>
      <w:r>
        <w:rPr>
          <w:b/>
        </w:rPr>
        <w:t>r</w:t>
      </w:r>
      <w:r w:rsidR="00F84571" w:rsidRPr="00233B30">
        <w:rPr>
          <w:b/>
        </w:rPr>
        <w:t>esolutions are a fundamental failure of leadership in counter-terrorism regulation and supranational regulation can and should do better</w:t>
      </w:r>
      <w:r w:rsidRPr="00233B30">
        <w:rPr>
          <w:b/>
        </w:rPr>
        <w:t>.</w:t>
      </w:r>
    </w:p>
    <w:p w14:paraId="59D360CC" w14:textId="7282DA7E" w:rsidR="00F84571" w:rsidRDefault="003B2949" w:rsidP="005E6F03">
      <w:pPr>
        <w:pStyle w:val="SingleTxtG"/>
        <w:rPr>
          <w:b/>
        </w:rPr>
      </w:pPr>
      <w:r w:rsidRPr="002E3647">
        <w:rPr>
          <w:bCs/>
        </w:rPr>
        <w:t>80.</w:t>
      </w:r>
      <w:r w:rsidR="00F84571" w:rsidRPr="00233B30">
        <w:rPr>
          <w:b/>
        </w:rPr>
        <w:tab/>
        <w:t xml:space="preserve">Understanding that when counter-terrorism law functions as emergency law, </w:t>
      </w:r>
      <w:r>
        <w:rPr>
          <w:b/>
        </w:rPr>
        <w:t>S</w:t>
      </w:r>
      <w:r w:rsidR="00F84571" w:rsidRPr="00233B30">
        <w:rPr>
          <w:b/>
        </w:rPr>
        <w:t xml:space="preserve">tates must pay particular attention to the disproportionate effect of exceptional powers </w:t>
      </w:r>
      <w:r w:rsidR="00F84571" w:rsidRPr="00233B30">
        <w:rPr>
          <w:b/>
        </w:rPr>
        <w:lastRenderedPageBreak/>
        <w:t xml:space="preserve">on ethnic minorities, vulnerable groups, and religious minorities. The effects of counter-terrorism </w:t>
      </w:r>
      <w:r w:rsidR="00433D3C">
        <w:rPr>
          <w:b/>
        </w:rPr>
        <w:t xml:space="preserve">laws </w:t>
      </w:r>
      <w:r w:rsidR="00F84571" w:rsidRPr="00233B30">
        <w:rPr>
          <w:b/>
        </w:rPr>
        <w:t>must also be calibrated in States where subjugated ethnic</w:t>
      </w:r>
      <w:r w:rsidR="00433D3C">
        <w:rPr>
          <w:b/>
        </w:rPr>
        <w:t xml:space="preserve"> and </w:t>
      </w:r>
      <w:r w:rsidR="00F84571" w:rsidRPr="00233B30">
        <w:rPr>
          <w:b/>
        </w:rPr>
        <w:t>religious groups are functionally a majority in a non-dominant position, whose</w:t>
      </w:r>
      <w:r w:rsidR="00CA10EF" w:rsidRPr="00233B30">
        <w:rPr>
          <w:b/>
        </w:rPr>
        <w:t xml:space="preserve"> lowered</w:t>
      </w:r>
      <w:r w:rsidR="00F84571" w:rsidRPr="00233B30">
        <w:rPr>
          <w:b/>
        </w:rPr>
        <w:t xml:space="preserve"> status is in part maintained by the use of exceptional powers. Entrenched counter-terrorism norms also often specifically affect women in gendered ways and human rights violations in permanent emergencies have </w:t>
      </w:r>
      <w:r w:rsidR="00433D3C">
        <w:rPr>
          <w:b/>
        </w:rPr>
        <w:t xml:space="preserve">both </w:t>
      </w:r>
      <w:r w:rsidR="00F84571" w:rsidRPr="00233B30">
        <w:rPr>
          <w:b/>
        </w:rPr>
        <w:t>a gendered burden and a gendered hue.</w:t>
      </w:r>
      <w:r w:rsidR="00840E68" w:rsidRPr="00233B30">
        <w:rPr>
          <w:b/>
        </w:rPr>
        <w:t xml:space="preserve"> </w:t>
      </w:r>
      <w:r w:rsidR="00686B49" w:rsidRPr="00233B30">
        <w:rPr>
          <w:b/>
        </w:rPr>
        <w:t xml:space="preserve">The </w:t>
      </w:r>
      <w:r w:rsidR="00AF065A" w:rsidRPr="00233B30">
        <w:rPr>
          <w:b/>
        </w:rPr>
        <w:t>Special</w:t>
      </w:r>
      <w:r w:rsidR="00F84571" w:rsidRPr="00233B30">
        <w:rPr>
          <w:b/>
        </w:rPr>
        <w:t xml:space="preserve"> Rapporteur strongly recommends a practice of national benchmarking, including the collection of independent and robust national data on the use of emergency powers and their specific effects on these groups.</w:t>
      </w:r>
    </w:p>
    <w:p w14:paraId="1D3559D0" w14:textId="2EF84D34" w:rsidR="00F84571" w:rsidRPr="00233B30" w:rsidRDefault="00433D3C" w:rsidP="005E6F03">
      <w:pPr>
        <w:pStyle w:val="SingleTxtG"/>
        <w:rPr>
          <w:b/>
        </w:rPr>
      </w:pPr>
      <w:r w:rsidRPr="002E3647">
        <w:rPr>
          <w:bCs/>
        </w:rPr>
        <w:t>81.</w:t>
      </w:r>
      <w:r w:rsidR="00F84571" w:rsidRPr="00233B30">
        <w:rPr>
          <w:b/>
        </w:rPr>
        <w:tab/>
        <w:t xml:space="preserve">International and regional mechanisms for the protection and oversight of human rights must revitalize their interest in contemporary emergency practice, </w:t>
      </w:r>
      <w:r>
        <w:rPr>
          <w:b/>
        </w:rPr>
        <w:t>more</w:t>
      </w:r>
      <w:r w:rsidR="00F84571" w:rsidRPr="00233B30">
        <w:rPr>
          <w:b/>
        </w:rPr>
        <w:t xml:space="preserve"> specifically the emergency effects of extensive counter-terrorism norms. States must be prodded and reminded to derogate and prompted </w:t>
      </w:r>
      <w:r>
        <w:rPr>
          <w:b/>
        </w:rPr>
        <w:t xml:space="preserve">— </w:t>
      </w:r>
      <w:r w:rsidR="00F84571" w:rsidRPr="00233B30">
        <w:rPr>
          <w:b/>
        </w:rPr>
        <w:t>if they fail</w:t>
      </w:r>
      <w:r>
        <w:rPr>
          <w:b/>
        </w:rPr>
        <w:t xml:space="preserve"> —</w:t>
      </w:r>
      <w:r w:rsidR="00F84571" w:rsidRPr="00233B30">
        <w:rPr>
          <w:b/>
        </w:rPr>
        <w:t xml:space="preserve"> to provide adequate information to </w:t>
      </w:r>
      <w:r>
        <w:rPr>
          <w:b/>
        </w:rPr>
        <w:t xml:space="preserve">enable </w:t>
      </w:r>
      <w:r w:rsidR="00F84571" w:rsidRPr="00233B30">
        <w:rPr>
          <w:b/>
        </w:rPr>
        <w:t>assess</w:t>
      </w:r>
      <w:r>
        <w:rPr>
          <w:b/>
        </w:rPr>
        <w:t>ment of</w:t>
      </w:r>
      <w:r w:rsidR="00F84571" w:rsidRPr="00233B30">
        <w:rPr>
          <w:b/>
        </w:rPr>
        <w:t xml:space="preserve"> whether emergences are justified and the measures taken </w:t>
      </w:r>
      <w:r>
        <w:rPr>
          <w:b/>
        </w:rPr>
        <w:t xml:space="preserve">are </w:t>
      </w:r>
      <w:r w:rsidR="00F84571" w:rsidRPr="00233B30">
        <w:rPr>
          <w:b/>
        </w:rPr>
        <w:t xml:space="preserve">proportionate. It is vital to advance a culture of justification whereby officials have a duty to give reasons when they make important decisions affecting the rights of individuals. </w:t>
      </w:r>
    </w:p>
    <w:p w14:paraId="22C34307" w14:textId="48485F55" w:rsidR="00F84571" w:rsidRPr="00233B30" w:rsidRDefault="00433D3C">
      <w:pPr>
        <w:pStyle w:val="SingleTxtG"/>
        <w:rPr>
          <w:b/>
        </w:rPr>
      </w:pPr>
      <w:r w:rsidRPr="002E3647">
        <w:rPr>
          <w:bCs/>
        </w:rPr>
        <w:t>82</w:t>
      </w:r>
      <w:r w:rsidR="00F84571" w:rsidRPr="002E3647">
        <w:rPr>
          <w:bCs/>
        </w:rPr>
        <w:t>.</w:t>
      </w:r>
      <w:r w:rsidR="00F84571" w:rsidRPr="00233B30">
        <w:rPr>
          <w:b/>
        </w:rPr>
        <w:tab/>
        <w:t xml:space="preserve">Emergency powers </w:t>
      </w:r>
      <w:r>
        <w:rPr>
          <w:b/>
        </w:rPr>
        <w:t xml:space="preserve">that are </w:t>
      </w:r>
      <w:r w:rsidR="00F84571" w:rsidRPr="00233B30">
        <w:rPr>
          <w:b/>
        </w:rPr>
        <w:t>created and perpetuated by counter-terrorism laws and practices should hasten their own demise by contributing to defeating the crisis that necessitates their enactment.</w:t>
      </w:r>
      <w:r w:rsidR="00F84571" w:rsidRPr="00233B30">
        <w:rPr>
          <w:b/>
          <w:vertAlign w:val="superscript"/>
        </w:rPr>
        <w:footnoteReference w:id="60"/>
      </w:r>
      <w:r w:rsidR="00F84571" w:rsidRPr="00233B30">
        <w:rPr>
          <w:b/>
        </w:rPr>
        <w:t xml:space="preserve"> When States sustain </w:t>
      </w:r>
      <w:r w:rsidR="00F84571" w:rsidRPr="002E3647">
        <w:rPr>
          <w:b/>
          <w:iCs/>
        </w:rPr>
        <w:t>de facto</w:t>
      </w:r>
      <w:r w:rsidR="00F84571" w:rsidRPr="00233B30">
        <w:rPr>
          <w:b/>
          <w:i/>
        </w:rPr>
        <w:t xml:space="preserve"> </w:t>
      </w:r>
      <w:r w:rsidR="00F84571" w:rsidRPr="00233B30">
        <w:rPr>
          <w:b/>
        </w:rPr>
        <w:t>and permanent emergencies</w:t>
      </w:r>
      <w:r>
        <w:rPr>
          <w:b/>
        </w:rPr>
        <w:t xml:space="preserve"> — </w:t>
      </w:r>
      <w:r w:rsidR="00F84571" w:rsidRPr="00233B30">
        <w:rPr>
          <w:b/>
        </w:rPr>
        <w:t>including</w:t>
      </w:r>
      <w:r>
        <w:rPr>
          <w:b/>
        </w:rPr>
        <w:t>,</w:t>
      </w:r>
      <w:r w:rsidR="00F84571" w:rsidRPr="00233B30">
        <w:rPr>
          <w:b/>
        </w:rPr>
        <w:t xml:space="preserve"> in some cases</w:t>
      </w:r>
      <w:r>
        <w:rPr>
          <w:b/>
        </w:rPr>
        <w:t>,</w:t>
      </w:r>
      <w:r w:rsidR="00F84571" w:rsidRPr="00233B30">
        <w:rPr>
          <w:b/>
        </w:rPr>
        <w:t xml:space="preserve"> decades of unrelenting suspension of rights and freedoms</w:t>
      </w:r>
      <w:r>
        <w:rPr>
          <w:b/>
        </w:rPr>
        <w:t xml:space="preserve"> —</w:t>
      </w:r>
      <w:r w:rsidR="00F84571" w:rsidRPr="00233B30">
        <w:rPr>
          <w:b/>
        </w:rPr>
        <w:t xml:space="preserve">, courts and oversight bodies should take a more sceptical view of the necessity and efficacy of State approaches and deference to </w:t>
      </w:r>
      <w:r w:rsidR="002E55CC" w:rsidRPr="00233B30">
        <w:rPr>
          <w:b/>
        </w:rPr>
        <w:t xml:space="preserve">the </w:t>
      </w:r>
      <w:r w:rsidR="00F84571" w:rsidRPr="00233B30">
        <w:rPr>
          <w:b/>
        </w:rPr>
        <w:t>State should be limited. The longer the emergency</w:t>
      </w:r>
      <w:r>
        <w:rPr>
          <w:b/>
        </w:rPr>
        <w:t>,</w:t>
      </w:r>
      <w:r w:rsidR="00F84571" w:rsidRPr="00233B30">
        <w:rPr>
          <w:b/>
        </w:rPr>
        <w:t xml:space="preserve"> the higher the burden of justification for</w:t>
      </w:r>
      <w:r w:rsidR="002E55CC" w:rsidRPr="00233B30">
        <w:rPr>
          <w:b/>
        </w:rPr>
        <w:t xml:space="preserve"> the</w:t>
      </w:r>
      <w:r w:rsidR="00F84571" w:rsidRPr="00233B30">
        <w:rPr>
          <w:b/>
        </w:rPr>
        <w:t xml:space="preserve"> </w:t>
      </w:r>
      <w:r w:rsidR="00485E08" w:rsidRPr="00233B30">
        <w:rPr>
          <w:b/>
        </w:rPr>
        <w:t>S</w:t>
      </w:r>
      <w:r w:rsidR="00F84571" w:rsidRPr="00233B30">
        <w:rPr>
          <w:b/>
        </w:rPr>
        <w:t>tate and the greater the emphasis should be on the costs of sustained rights limitations for individuals and groups.</w:t>
      </w:r>
    </w:p>
    <w:p w14:paraId="6AFC84DB" w14:textId="0868EE7B" w:rsidR="003748EF" w:rsidRPr="00AB2533" w:rsidRDefault="00AB2533" w:rsidP="00AB2533">
      <w:pPr>
        <w:suppressAutoHyphens/>
        <w:spacing w:before="240"/>
        <w:ind w:left="1134" w:right="1134"/>
        <w:jc w:val="center"/>
        <w:rPr>
          <w:u w:val="single"/>
        </w:rPr>
      </w:pPr>
      <w:r>
        <w:rPr>
          <w:u w:val="single"/>
        </w:rPr>
        <w:tab/>
      </w:r>
      <w:r>
        <w:rPr>
          <w:u w:val="single"/>
        </w:rPr>
        <w:tab/>
      </w:r>
      <w:r>
        <w:rPr>
          <w:u w:val="single"/>
        </w:rPr>
        <w:tab/>
      </w:r>
      <w:r>
        <w:rPr>
          <w:u w:val="single"/>
        </w:rPr>
        <w:tab/>
      </w:r>
    </w:p>
    <w:sectPr w:rsidR="003748EF" w:rsidRPr="00AB2533" w:rsidSect="00377D14">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B8310" w14:textId="77777777" w:rsidR="00C3555C" w:rsidRDefault="00C3555C" w:rsidP="00F84571">
      <w:pPr>
        <w:spacing w:line="240" w:lineRule="auto"/>
      </w:pPr>
      <w:r>
        <w:separator/>
      </w:r>
    </w:p>
  </w:endnote>
  <w:endnote w:type="continuationSeparator" w:id="0">
    <w:p w14:paraId="4DF6C3DD" w14:textId="77777777" w:rsidR="00C3555C" w:rsidRDefault="00C3555C" w:rsidP="00F845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46A55" w14:textId="4EC1FD97" w:rsidR="00102747" w:rsidRPr="00F04E3F" w:rsidRDefault="00102747" w:rsidP="003748EF">
    <w:pPr>
      <w:pStyle w:val="Footer"/>
      <w:tabs>
        <w:tab w:val="right" w:pos="9638"/>
      </w:tabs>
    </w:pPr>
    <w:r w:rsidRPr="00F04E3F">
      <w:rPr>
        <w:b/>
        <w:sz w:val="18"/>
      </w:rPr>
      <w:fldChar w:fldCharType="begin"/>
    </w:r>
    <w:r w:rsidRPr="00F04E3F">
      <w:rPr>
        <w:b/>
        <w:sz w:val="18"/>
      </w:rPr>
      <w:instrText xml:space="preserve"> PAGE  \* MERGEFORMAT </w:instrText>
    </w:r>
    <w:r w:rsidRPr="00F04E3F">
      <w:rPr>
        <w:b/>
        <w:sz w:val="18"/>
      </w:rPr>
      <w:fldChar w:fldCharType="separate"/>
    </w:r>
    <w:r w:rsidR="00062800">
      <w:rPr>
        <w:b/>
        <w:noProof/>
        <w:sz w:val="18"/>
      </w:rPr>
      <w:t>18</w:t>
    </w:r>
    <w:r w:rsidRPr="00F04E3F">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90E17" w14:textId="0AAA2793" w:rsidR="00102747" w:rsidRPr="00F04E3F" w:rsidRDefault="00102747" w:rsidP="003748EF">
    <w:pPr>
      <w:pStyle w:val="Footer"/>
      <w:tabs>
        <w:tab w:val="right" w:pos="9638"/>
      </w:tabs>
      <w:rPr>
        <w:b/>
        <w:sz w:val="18"/>
      </w:rPr>
    </w:pPr>
    <w:r>
      <w:tab/>
    </w:r>
    <w:r w:rsidRPr="00F04E3F">
      <w:rPr>
        <w:b/>
        <w:sz w:val="18"/>
      </w:rPr>
      <w:fldChar w:fldCharType="begin"/>
    </w:r>
    <w:r w:rsidRPr="00F04E3F">
      <w:rPr>
        <w:b/>
        <w:sz w:val="18"/>
      </w:rPr>
      <w:instrText xml:space="preserve"> PAGE  \* MERGEFORMAT </w:instrText>
    </w:r>
    <w:r w:rsidRPr="00F04E3F">
      <w:rPr>
        <w:b/>
        <w:sz w:val="18"/>
      </w:rPr>
      <w:fldChar w:fldCharType="separate"/>
    </w:r>
    <w:r w:rsidR="00062800">
      <w:rPr>
        <w:b/>
        <w:noProof/>
        <w:sz w:val="18"/>
      </w:rPr>
      <w:t>19</w:t>
    </w:r>
    <w:r w:rsidRPr="00F04E3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EFFD" w14:textId="6BC5596C" w:rsidR="00102747" w:rsidRPr="00F04E3F" w:rsidRDefault="00102747" w:rsidP="003748EF">
    <w:pPr>
      <w:pStyle w:val="Footer"/>
      <w:spacing w:before="120" w:line="240"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23908" w14:textId="77777777" w:rsidR="00C3555C" w:rsidRDefault="00C3555C" w:rsidP="00F84571">
      <w:pPr>
        <w:spacing w:line="240" w:lineRule="auto"/>
      </w:pPr>
      <w:r>
        <w:separator/>
      </w:r>
    </w:p>
  </w:footnote>
  <w:footnote w:type="continuationSeparator" w:id="0">
    <w:p w14:paraId="5A52C0B3" w14:textId="77777777" w:rsidR="00C3555C" w:rsidRDefault="00C3555C" w:rsidP="00F84571">
      <w:pPr>
        <w:spacing w:line="240" w:lineRule="auto"/>
      </w:pPr>
      <w:r>
        <w:continuationSeparator/>
      </w:r>
    </w:p>
  </w:footnote>
  <w:footnote w:id="1">
    <w:p w14:paraId="72C450AC" w14:textId="656C0401" w:rsidR="00102747" w:rsidRPr="00233B30" w:rsidRDefault="00102747">
      <w:pPr>
        <w:pStyle w:val="FootnoteText"/>
      </w:pPr>
      <w:r>
        <w:rPr>
          <w:rStyle w:val="FootnoteReference"/>
        </w:rPr>
        <w:tab/>
      </w:r>
      <w:r w:rsidRPr="00233B30">
        <w:rPr>
          <w:rStyle w:val="FootnoteReference"/>
          <w:sz w:val="20"/>
          <w:vertAlign w:val="baseline"/>
        </w:rPr>
        <w:t>*</w:t>
      </w:r>
      <w:r>
        <w:rPr>
          <w:rStyle w:val="FootnoteReference"/>
          <w:sz w:val="20"/>
          <w:vertAlign w:val="baseline"/>
        </w:rPr>
        <w:tab/>
      </w:r>
      <w:r w:rsidRPr="00233B30">
        <w:rPr>
          <w:rStyle w:val="FootnoteReference"/>
          <w:szCs w:val="18"/>
          <w:vertAlign w:val="baseline"/>
        </w:rPr>
        <w:t>The present report was submitted after the deadline in order to reflect the most recent developments.</w:t>
      </w:r>
    </w:p>
  </w:footnote>
  <w:footnote w:id="2">
    <w:p w14:paraId="5863D190" w14:textId="541EFF06" w:rsidR="00102747" w:rsidRPr="00127799" w:rsidRDefault="00102747" w:rsidP="00527067">
      <w:pPr>
        <w:pStyle w:val="FootnoteText"/>
        <w:rPr>
          <w:szCs w:val="18"/>
        </w:rPr>
      </w:pPr>
      <w:r w:rsidRPr="00127799">
        <w:rPr>
          <w:szCs w:val="18"/>
        </w:rPr>
        <w:tab/>
      </w:r>
      <w:r w:rsidRPr="00127799">
        <w:rPr>
          <w:rStyle w:val="FootnoteReference"/>
          <w:rFonts w:eastAsiaTheme="majorEastAsia"/>
          <w:szCs w:val="18"/>
        </w:rPr>
        <w:footnoteRef/>
      </w:r>
      <w:r>
        <w:rPr>
          <w:szCs w:val="18"/>
        </w:rPr>
        <w:tab/>
      </w:r>
      <w:r w:rsidRPr="00127799">
        <w:rPr>
          <w:szCs w:val="18"/>
        </w:rPr>
        <w:t xml:space="preserve">See </w:t>
      </w:r>
      <w:r w:rsidRPr="00062800">
        <w:rPr>
          <w:szCs w:val="18"/>
        </w:rPr>
        <w:t>www.un.org/counterterrorism/ctitf/en/international-legal-instruments.</w:t>
      </w:r>
    </w:p>
  </w:footnote>
  <w:footnote w:id="3">
    <w:p w14:paraId="3705C104" w14:textId="443A281F" w:rsidR="00102747" w:rsidRPr="002137B1" w:rsidRDefault="00102747" w:rsidP="002137B1">
      <w:pPr>
        <w:pStyle w:val="FootnoteText"/>
        <w:ind w:hanging="567"/>
        <w:rPr>
          <w:lang w:val="en-US"/>
        </w:rPr>
      </w:pPr>
      <w:r>
        <w:tab/>
      </w:r>
      <w:r>
        <w:rPr>
          <w:rStyle w:val="FootnoteReference"/>
        </w:rPr>
        <w:footnoteRef/>
      </w:r>
      <w:r>
        <w:tab/>
        <w:t xml:space="preserve">See International Covenant on Civil and Political Rights, art. 6.  </w:t>
      </w:r>
    </w:p>
  </w:footnote>
  <w:footnote w:id="4">
    <w:p w14:paraId="7B3E3113" w14:textId="7800CEE8" w:rsidR="00102747" w:rsidRPr="002137B1" w:rsidRDefault="00102747">
      <w:pPr>
        <w:pStyle w:val="FootnoteText"/>
        <w:rPr>
          <w:lang w:val="en-US"/>
        </w:rPr>
      </w:pPr>
      <w:r>
        <w:tab/>
      </w:r>
      <w:r>
        <w:rPr>
          <w:rStyle w:val="FootnoteReference"/>
        </w:rPr>
        <w:footnoteRef/>
      </w:r>
      <w:r>
        <w:tab/>
        <w:t xml:space="preserve">Ibid., art. 9. </w:t>
      </w:r>
    </w:p>
  </w:footnote>
  <w:footnote w:id="5">
    <w:p w14:paraId="086B6532" w14:textId="04F221B1" w:rsidR="00102747" w:rsidRPr="00127799" w:rsidRDefault="00102747" w:rsidP="00880672">
      <w:pPr>
        <w:pStyle w:val="FootnoteText"/>
        <w:rPr>
          <w:szCs w:val="18"/>
        </w:rPr>
      </w:pPr>
      <w:r w:rsidRPr="00127799">
        <w:rPr>
          <w:szCs w:val="18"/>
        </w:rPr>
        <w:tab/>
      </w:r>
      <w:r w:rsidRPr="003B184C">
        <w:rPr>
          <w:rStyle w:val="FootnoteReference"/>
          <w:rFonts w:eastAsiaTheme="majorEastAsia"/>
          <w:szCs w:val="18"/>
        </w:rPr>
        <w:footnoteRef/>
      </w:r>
      <w:r>
        <w:rPr>
          <w:szCs w:val="18"/>
        </w:rPr>
        <w:tab/>
      </w:r>
      <w:r w:rsidRPr="00127799">
        <w:rPr>
          <w:szCs w:val="18"/>
        </w:rPr>
        <w:t xml:space="preserve">See </w:t>
      </w:r>
      <w:hyperlink r:id="rId1" w:history="1">
        <w:r w:rsidRPr="00062800">
          <w:rPr>
            <w:rStyle w:val="Hyperlink"/>
            <w:szCs w:val="18"/>
          </w:rPr>
          <w:t>www.un.org/counterterrorism/ctitf/en/international-legal-instruments</w:t>
        </w:r>
      </w:hyperlink>
      <w:r w:rsidRPr="00062800">
        <w:rPr>
          <w:szCs w:val="18"/>
        </w:rPr>
        <w:t>.</w:t>
      </w:r>
      <w:r>
        <w:rPr>
          <w:szCs w:val="18"/>
        </w:rPr>
        <w:t xml:space="preserve"> See also</w:t>
      </w:r>
      <w:r w:rsidRPr="00127799">
        <w:rPr>
          <w:szCs w:val="18"/>
        </w:rPr>
        <w:t xml:space="preserve"> </w:t>
      </w:r>
      <w:r>
        <w:rPr>
          <w:szCs w:val="18"/>
        </w:rPr>
        <w:t>Human Rights Council</w:t>
      </w:r>
      <w:r w:rsidRPr="00127799">
        <w:rPr>
          <w:szCs w:val="18"/>
        </w:rPr>
        <w:t xml:space="preserve"> resolution 35/34 and </w:t>
      </w:r>
      <w:r>
        <w:rPr>
          <w:szCs w:val="18"/>
        </w:rPr>
        <w:t>General Assembly</w:t>
      </w:r>
      <w:r w:rsidRPr="00127799">
        <w:rPr>
          <w:szCs w:val="18"/>
        </w:rPr>
        <w:t xml:space="preserve"> resolutions 49/60, 51/210, 72/123 and 72/180.</w:t>
      </w:r>
    </w:p>
  </w:footnote>
  <w:footnote w:id="6">
    <w:p w14:paraId="1B15E783" w14:textId="7FCFAD4C" w:rsidR="00102747" w:rsidRPr="00127799" w:rsidRDefault="00102747" w:rsidP="00B73283">
      <w:pPr>
        <w:pStyle w:val="FootnoteText"/>
        <w:rPr>
          <w:szCs w:val="18"/>
        </w:rPr>
      </w:pPr>
      <w:r w:rsidRPr="00127799">
        <w:rPr>
          <w:szCs w:val="18"/>
        </w:rPr>
        <w:tab/>
      </w:r>
      <w:r w:rsidRPr="003B184C">
        <w:rPr>
          <w:rStyle w:val="FootnoteReference"/>
          <w:rFonts w:eastAsiaTheme="majorEastAsia"/>
          <w:szCs w:val="18"/>
        </w:rPr>
        <w:footnoteRef/>
      </w:r>
      <w:r w:rsidRPr="00127799">
        <w:rPr>
          <w:szCs w:val="18"/>
        </w:rPr>
        <w:tab/>
      </w:r>
      <w:r>
        <w:rPr>
          <w:szCs w:val="18"/>
        </w:rPr>
        <w:t xml:space="preserve">See </w:t>
      </w:r>
      <w:r w:rsidRPr="00127799">
        <w:rPr>
          <w:szCs w:val="18"/>
        </w:rPr>
        <w:t xml:space="preserve">Emilie M. Hafner-Burton, Laurence R. Helfer and Christopher J. Fariss, </w:t>
      </w:r>
      <w:r>
        <w:rPr>
          <w:szCs w:val="18"/>
        </w:rPr>
        <w:t>“</w:t>
      </w:r>
      <w:r w:rsidRPr="00127799">
        <w:rPr>
          <w:szCs w:val="18"/>
        </w:rPr>
        <w:t xml:space="preserve">Emergency and </w:t>
      </w:r>
      <w:r>
        <w:rPr>
          <w:szCs w:val="18"/>
        </w:rPr>
        <w:t>e</w:t>
      </w:r>
      <w:r w:rsidRPr="00127799">
        <w:rPr>
          <w:szCs w:val="18"/>
        </w:rPr>
        <w:t xml:space="preserve">scape: </w:t>
      </w:r>
      <w:r>
        <w:rPr>
          <w:szCs w:val="18"/>
        </w:rPr>
        <w:t>e</w:t>
      </w:r>
      <w:r w:rsidRPr="00127799">
        <w:rPr>
          <w:szCs w:val="18"/>
        </w:rPr>
        <w:t xml:space="preserve">xplaining </w:t>
      </w:r>
      <w:r>
        <w:rPr>
          <w:szCs w:val="18"/>
        </w:rPr>
        <w:t>d</w:t>
      </w:r>
      <w:r w:rsidRPr="00127799">
        <w:rPr>
          <w:szCs w:val="18"/>
        </w:rPr>
        <w:t xml:space="preserve">erogations from </w:t>
      </w:r>
      <w:r>
        <w:rPr>
          <w:szCs w:val="18"/>
        </w:rPr>
        <w:t>h</w:t>
      </w:r>
      <w:r w:rsidRPr="00127799">
        <w:rPr>
          <w:szCs w:val="18"/>
        </w:rPr>
        <w:t xml:space="preserve">uman </w:t>
      </w:r>
      <w:r>
        <w:rPr>
          <w:szCs w:val="18"/>
        </w:rPr>
        <w:t>r</w:t>
      </w:r>
      <w:r w:rsidRPr="00127799">
        <w:rPr>
          <w:szCs w:val="18"/>
        </w:rPr>
        <w:t xml:space="preserve">ights </w:t>
      </w:r>
      <w:r>
        <w:rPr>
          <w:szCs w:val="18"/>
        </w:rPr>
        <w:t>t</w:t>
      </w:r>
      <w:r w:rsidRPr="00127799">
        <w:rPr>
          <w:szCs w:val="18"/>
        </w:rPr>
        <w:t>reaties</w:t>
      </w:r>
      <w:r>
        <w:rPr>
          <w:szCs w:val="18"/>
        </w:rPr>
        <w:t>”,</w:t>
      </w:r>
      <w:r w:rsidRPr="00127799">
        <w:rPr>
          <w:szCs w:val="18"/>
        </w:rPr>
        <w:t xml:space="preserve"> </w:t>
      </w:r>
      <w:r>
        <w:rPr>
          <w:szCs w:val="18"/>
        </w:rPr>
        <w:t xml:space="preserve">International Organization, vol. 65, No. 4 </w:t>
      </w:r>
      <w:r w:rsidRPr="00127799">
        <w:rPr>
          <w:szCs w:val="18"/>
        </w:rPr>
        <w:t>(</w:t>
      </w:r>
      <w:r>
        <w:rPr>
          <w:szCs w:val="18"/>
        </w:rPr>
        <w:t xml:space="preserve">Fall </w:t>
      </w:r>
      <w:r w:rsidRPr="00127799">
        <w:rPr>
          <w:szCs w:val="18"/>
        </w:rPr>
        <w:t>2011)</w:t>
      </w:r>
      <w:r>
        <w:rPr>
          <w:szCs w:val="18"/>
        </w:rPr>
        <w:t>, pp. 673-707.</w:t>
      </w:r>
    </w:p>
  </w:footnote>
  <w:footnote w:id="7">
    <w:p w14:paraId="325F56D8" w14:textId="2B65BABD" w:rsidR="00102747" w:rsidRPr="00127799" w:rsidRDefault="00102747">
      <w:pPr>
        <w:pStyle w:val="FootnoteText"/>
        <w:rPr>
          <w:szCs w:val="18"/>
        </w:rPr>
      </w:pPr>
      <w:r>
        <w:rPr>
          <w:szCs w:val="18"/>
        </w:rPr>
        <w:tab/>
      </w:r>
      <w:r w:rsidRPr="00127799">
        <w:rPr>
          <w:rStyle w:val="FootnoteReference"/>
          <w:rFonts w:eastAsiaTheme="majorEastAsia"/>
          <w:szCs w:val="18"/>
        </w:rPr>
        <w:footnoteRef/>
      </w:r>
      <w:r>
        <w:rPr>
          <w:szCs w:val="18"/>
        </w:rPr>
        <w:tab/>
        <w:t xml:space="preserve">See </w:t>
      </w:r>
      <w:r w:rsidRPr="00127799">
        <w:rPr>
          <w:szCs w:val="18"/>
        </w:rPr>
        <w:t xml:space="preserve">Alexandre Kiss, </w:t>
      </w:r>
      <w:r>
        <w:rPr>
          <w:szCs w:val="18"/>
        </w:rPr>
        <w:t>“</w:t>
      </w:r>
      <w:r w:rsidRPr="00127799">
        <w:rPr>
          <w:szCs w:val="18"/>
        </w:rPr>
        <w:t xml:space="preserve">Permissible </w:t>
      </w:r>
      <w:r>
        <w:rPr>
          <w:szCs w:val="18"/>
        </w:rPr>
        <w:t>l</w:t>
      </w:r>
      <w:r w:rsidRPr="00127799">
        <w:rPr>
          <w:szCs w:val="18"/>
        </w:rPr>
        <w:t xml:space="preserve">imitations on </w:t>
      </w:r>
      <w:r>
        <w:rPr>
          <w:szCs w:val="18"/>
        </w:rPr>
        <w:t>r</w:t>
      </w:r>
      <w:r w:rsidRPr="00127799">
        <w:rPr>
          <w:szCs w:val="18"/>
        </w:rPr>
        <w:t>ights</w:t>
      </w:r>
      <w:r>
        <w:rPr>
          <w:szCs w:val="18"/>
        </w:rPr>
        <w:t>”</w:t>
      </w:r>
      <w:r w:rsidRPr="00127799">
        <w:rPr>
          <w:szCs w:val="18"/>
        </w:rPr>
        <w:t xml:space="preserve">, in </w:t>
      </w:r>
      <w:r w:rsidRPr="002137B1">
        <w:rPr>
          <w:i/>
          <w:iCs/>
          <w:szCs w:val="18"/>
        </w:rPr>
        <w:t xml:space="preserve">The International Bill </w:t>
      </w:r>
      <w:r>
        <w:rPr>
          <w:i/>
          <w:iCs/>
          <w:szCs w:val="18"/>
        </w:rPr>
        <w:t>o</w:t>
      </w:r>
      <w:r w:rsidRPr="002137B1">
        <w:rPr>
          <w:i/>
          <w:iCs/>
          <w:szCs w:val="18"/>
        </w:rPr>
        <w:t xml:space="preserve">f Rights: The Covenant </w:t>
      </w:r>
      <w:r>
        <w:rPr>
          <w:i/>
          <w:iCs/>
          <w:szCs w:val="18"/>
        </w:rPr>
        <w:t>o</w:t>
      </w:r>
      <w:r w:rsidRPr="002137B1">
        <w:rPr>
          <w:i/>
          <w:iCs/>
          <w:szCs w:val="18"/>
        </w:rPr>
        <w:t xml:space="preserve">n Civil </w:t>
      </w:r>
      <w:r>
        <w:rPr>
          <w:i/>
          <w:iCs/>
          <w:szCs w:val="18"/>
        </w:rPr>
        <w:t>a</w:t>
      </w:r>
      <w:r w:rsidRPr="002137B1">
        <w:rPr>
          <w:i/>
          <w:iCs/>
          <w:szCs w:val="18"/>
        </w:rPr>
        <w:t>nd Political Rights</w:t>
      </w:r>
      <w:r>
        <w:rPr>
          <w:szCs w:val="18"/>
        </w:rPr>
        <w:t xml:space="preserve">, </w:t>
      </w:r>
      <w:r w:rsidRPr="00127799">
        <w:rPr>
          <w:szCs w:val="18"/>
        </w:rPr>
        <w:t>Louis H</w:t>
      </w:r>
      <w:r>
        <w:rPr>
          <w:szCs w:val="18"/>
        </w:rPr>
        <w:t xml:space="preserve">enkin, ed. (Columbia University Press, </w:t>
      </w:r>
      <w:r w:rsidRPr="00127799">
        <w:rPr>
          <w:szCs w:val="18"/>
        </w:rPr>
        <w:t>198</w:t>
      </w:r>
      <w:r>
        <w:rPr>
          <w:szCs w:val="18"/>
        </w:rPr>
        <w:t>1</w:t>
      </w:r>
      <w:r w:rsidRPr="00127799">
        <w:rPr>
          <w:szCs w:val="18"/>
        </w:rPr>
        <w:t>)</w:t>
      </w:r>
      <w:r>
        <w:rPr>
          <w:szCs w:val="18"/>
        </w:rPr>
        <w:t>.</w:t>
      </w:r>
    </w:p>
  </w:footnote>
  <w:footnote w:id="8">
    <w:p w14:paraId="0E937689" w14:textId="3CC18C1E" w:rsidR="00102747" w:rsidRPr="003B184C" w:rsidRDefault="00102747" w:rsidP="00B73283">
      <w:pPr>
        <w:pStyle w:val="FootnoteText"/>
        <w:rPr>
          <w:szCs w:val="18"/>
        </w:rPr>
      </w:pPr>
      <w:r>
        <w:rPr>
          <w:szCs w:val="18"/>
        </w:rPr>
        <w:tab/>
      </w:r>
      <w:r w:rsidRPr="00127799">
        <w:rPr>
          <w:rStyle w:val="FootnoteReference"/>
          <w:rFonts w:eastAsiaTheme="majorEastAsia"/>
          <w:szCs w:val="18"/>
        </w:rPr>
        <w:footnoteRef/>
      </w:r>
      <w:r w:rsidRPr="003B184C">
        <w:rPr>
          <w:szCs w:val="18"/>
        </w:rPr>
        <w:tab/>
      </w:r>
      <w:r>
        <w:rPr>
          <w:szCs w:val="18"/>
        </w:rPr>
        <w:t>See A/36/40, a</w:t>
      </w:r>
      <w:r w:rsidRPr="003B184C">
        <w:rPr>
          <w:szCs w:val="18"/>
        </w:rPr>
        <w:t xml:space="preserve">nnex VII, </w:t>
      </w:r>
      <w:r>
        <w:rPr>
          <w:szCs w:val="18"/>
        </w:rPr>
        <w:t>g</w:t>
      </w:r>
      <w:r w:rsidRPr="003B184C">
        <w:rPr>
          <w:szCs w:val="18"/>
        </w:rPr>
        <w:t xml:space="preserve">eneral </w:t>
      </w:r>
      <w:r>
        <w:rPr>
          <w:szCs w:val="18"/>
        </w:rPr>
        <w:t>c</w:t>
      </w:r>
      <w:r w:rsidRPr="003B184C">
        <w:rPr>
          <w:szCs w:val="18"/>
        </w:rPr>
        <w:t>ommen</w:t>
      </w:r>
      <w:r>
        <w:rPr>
          <w:szCs w:val="18"/>
        </w:rPr>
        <w:t>t 5/13</w:t>
      </w:r>
      <w:r w:rsidRPr="003B184C">
        <w:rPr>
          <w:szCs w:val="18"/>
        </w:rPr>
        <w:t>.</w:t>
      </w:r>
    </w:p>
  </w:footnote>
  <w:footnote w:id="9">
    <w:p w14:paraId="4A3725FC" w14:textId="790230B6" w:rsidR="00102747" w:rsidRPr="00127799" w:rsidRDefault="00102747">
      <w:pPr>
        <w:pStyle w:val="FootnoteText"/>
        <w:rPr>
          <w:szCs w:val="18"/>
        </w:rPr>
      </w:pPr>
      <w:r w:rsidRPr="003B184C">
        <w:rPr>
          <w:i/>
          <w:szCs w:val="18"/>
        </w:rPr>
        <w:tab/>
      </w:r>
      <w:r w:rsidRPr="003B184C">
        <w:rPr>
          <w:rStyle w:val="FootnoteReference"/>
          <w:rFonts w:eastAsiaTheme="majorEastAsia"/>
          <w:szCs w:val="18"/>
        </w:rPr>
        <w:footnoteRef/>
      </w:r>
      <w:r w:rsidRPr="003B184C">
        <w:rPr>
          <w:i/>
          <w:szCs w:val="18"/>
        </w:rPr>
        <w:tab/>
      </w:r>
      <w:r>
        <w:rPr>
          <w:iCs/>
          <w:szCs w:val="18"/>
        </w:rPr>
        <w:t xml:space="preserve">See European Court of Human Rights, </w:t>
      </w:r>
      <w:r w:rsidRPr="003B184C">
        <w:rPr>
          <w:i/>
          <w:szCs w:val="18"/>
        </w:rPr>
        <w:t>Lawless v. Ireland</w:t>
      </w:r>
      <w:r w:rsidRPr="003B184C">
        <w:rPr>
          <w:szCs w:val="18"/>
        </w:rPr>
        <w:t xml:space="preserve">, </w:t>
      </w:r>
      <w:r>
        <w:rPr>
          <w:szCs w:val="18"/>
        </w:rPr>
        <w:t>application No. 332/57 (A/3), judgment of 1 July 1961,</w:t>
      </w:r>
      <w:r w:rsidRPr="003B184C">
        <w:rPr>
          <w:szCs w:val="18"/>
        </w:rPr>
        <w:t xml:space="preserve"> affirmed </w:t>
      </w:r>
      <w:r>
        <w:rPr>
          <w:szCs w:val="18"/>
        </w:rPr>
        <w:t>in</w:t>
      </w:r>
      <w:r w:rsidRPr="003B184C">
        <w:rPr>
          <w:szCs w:val="18"/>
        </w:rPr>
        <w:t xml:space="preserve"> </w:t>
      </w:r>
      <w:r w:rsidRPr="002137B1">
        <w:rPr>
          <w:i/>
          <w:iCs/>
          <w:szCs w:val="18"/>
        </w:rPr>
        <w:t>A</w:t>
      </w:r>
      <w:r>
        <w:rPr>
          <w:i/>
          <w:iCs/>
          <w:szCs w:val="18"/>
        </w:rPr>
        <w:t>.</w:t>
      </w:r>
      <w:r w:rsidRPr="002137B1">
        <w:rPr>
          <w:i/>
          <w:iCs/>
          <w:szCs w:val="18"/>
        </w:rPr>
        <w:t xml:space="preserve"> and Others v</w:t>
      </w:r>
      <w:r>
        <w:rPr>
          <w:i/>
          <w:iCs/>
          <w:szCs w:val="18"/>
        </w:rPr>
        <w:t>.</w:t>
      </w:r>
      <w:r w:rsidRPr="002137B1">
        <w:rPr>
          <w:i/>
          <w:iCs/>
          <w:szCs w:val="18"/>
        </w:rPr>
        <w:t xml:space="preserve"> </w:t>
      </w:r>
      <w:r>
        <w:rPr>
          <w:i/>
          <w:iCs/>
          <w:szCs w:val="18"/>
        </w:rPr>
        <w:t xml:space="preserve">the </w:t>
      </w:r>
      <w:r w:rsidRPr="002137B1">
        <w:rPr>
          <w:i/>
          <w:iCs/>
          <w:szCs w:val="18"/>
        </w:rPr>
        <w:t>U</w:t>
      </w:r>
      <w:r>
        <w:rPr>
          <w:i/>
          <w:iCs/>
          <w:szCs w:val="18"/>
        </w:rPr>
        <w:t xml:space="preserve">nited </w:t>
      </w:r>
      <w:r w:rsidRPr="002137B1">
        <w:rPr>
          <w:i/>
          <w:iCs/>
          <w:szCs w:val="18"/>
        </w:rPr>
        <w:t>K</w:t>
      </w:r>
      <w:r>
        <w:rPr>
          <w:i/>
          <w:iCs/>
          <w:szCs w:val="18"/>
        </w:rPr>
        <w:t>ingdom</w:t>
      </w:r>
      <w:r>
        <w:rPr>
          <w:szCs w:val="18"/>
        </w:rPr>
        <w:t xml:space="preserve">, application No. </w:t>
      </w:r>
      <w:r w:rsidRPr="003B184C">
        <w:rPr>
          <w:szCs w:val="18"/>
        </w:rPr>
        <w:t xml:space="preserve">3455/05, </w:t>
      </w:r>
      <w:r>
        <w:rPr>
          <w:szCs w:val="18"/>
        </w:rPr>
        <w:t xml:space="preserve">judgment of </w:t>
      </w:r>
      <w:r w:rsidRPr="00127799">
        <w:rPr>
          <w:szCs w:val="18"/>
        </w:rPr>
        <w:t>19 February 2009, para. 176.</w:t>
      </w:r>
    </w:p>
  </w:footnote>
  <w:footnote w:id="10">
    <w:p w14:paraId="40B90193" w14:textId="425FAE58" w:rsidR="00102747" w:rsidRPr="00127799" w:rsidRDefault="00102747">
      <w:pPr>
        <w:pStyle w:val="FootnoteText"/>
        <w:rPr>
          <w:szCs w:val="18"/>
        </w:rPr>
      </w:pPr>
      <w:r w:rsidRPr="00127799">
        <w:rPr>
          <w:szCs w:val="18"/>
        </w:rPr>
        <w:tab/>
      </w:r>
      <w:r w:rsidRPr="003B184C">
        <w:rPr>
          <w:rStyle w:val="FootnoteReference"/>
          <w:rFonts w:eastAsiaTheme="majorEastAsia"/>
          <w:szCs w:val="18"/>
        </w:rPr>
        <w:footnoteRef/>
      </w:r>
      <w:r w:rsidRPr="00127799">
        <w:rPr>
          <w:szCs w:val="18"/>
        </w:rPr>
        <w:tab/>
      </w:r>
      <w:r>
        <w:rPr>
          <w:szCs w:val="18"/>
        </w:rPr>
        <w:t xml:space="preserve">See </w:t>
      </w:r>
      <w:r w:rsidRPr="00127799">
        <w:rPr>
          <w:i/>
          <w:szCs w:val="18"/>
        </w:rPr>
        <w:t>Lawless</w:t>
      </w:r>
      <w:r>
        <w:rPr>
          <w:i/>
          <w:szCs w:val="18"/>
        </w:rPr>
        <w:t xml:space="preserve"> v. Ireland</w:t>
      </w:r>
      <w:r w:rsidRPr="00127799">
        <w:rPr>
          <w:szCs w:val="18"/>
        </w:rPr>
        <w:t>, para. 90.</w:t>
      </w:r>
    </w:p>
  </w:footnote>
  <w:footnote w:id="11">
    <w:p w14:paraId="147E33C1" w14:textId="58235765" w:rsidR="00102747" w:rsidRPr="00127799" w:rsidRDefault="00102747">
      <w:pPr>
        <w:pStyle w:val="FootnoteText"/>
        <w:rPr>
          <w:szCs w:val="18"/>
        </w:rPr>
      </w:pPr>
      <w:r w:rsidRPr="00127799">
        <w:rPr>
          <w:szCs w:val="18"/>
        </w:rPr>
        <w:tab/>
      </w:r>
      <w:r w:rsidRPr="003B184C">
        <w:rPr>
          <w:rStyle w:val="FootnoteReference"/>
          <w:rFonts w:eastAsiaTheme="majorEastAsia"/>
          <w:szCs w:val="18"/>
        </w:rPr>
        <w:footnoteRef/>
      </w:r>
      <w:r w:rsidRPr="00127799">
        <w:rPr>
          <w:szCs w:val="18"/>
        </w:rPr>
        <w:tab/>
      </w:r>
      <w:r>
        <w:rPr>
          <w:szCs w:val="18"/>
        </w:rPr>
        <w:t>See</w:t>
      </w:r>
      <w:r w:rsidRPr="00127799">
        <w:rPr>
          <w:szCs w:val="18"/>
        </w:rPr>
        <w:t xml:space="preserve"> E</w:t>
      </w:r>
      <w:r>
        <w:rPr>
          <w:szCs w:val="18"/>
        </w:rPr>
        <w:t xml:space="preserve">uropean </w:t>
      </w:r>
      <w:r w:rsidRPr="00127799">
        <w:rPr>
          <w:szCs w:val="18"/>
        </w:rPr>
        <w:t>C</w:t>
      </w:r>
      <w:r>
        <w:rPr>
          <w:szCs w:val="18"/>
        </w:rPr>
        <w:t>ommission of Human Rights</w:t>
      </w:r>
      <w:r w:rsidRPr="00127799">
        <w:rPr>
          <w:szCs w:val="18"/>
        </w:rPr>
        <w:t xml:space="preserve">, </w:t>
      </w:r>
      <w:r w:rsidRPr="00127799">
        <w:rPr>
          <w:i/>
          <w:szCs w:val="18"/>
        </w:rPr>
        <w:t>The Greek Case</w:t>
      </w:r>
      <w:r>
        <w:rPr>
          <w:szCs w:val="18"/>
        </w:rPr>
        <w:t>, application Nos. 3321–3323 and 3344/67,</w:t>
      </w:r>
      <w:r w:rsidRPr="00127799">
        <w:rPr>
          <w:szCs w:val="18"/>
        </w:rPr>
        <w:t xml:space="preserve"> Report of the Commission</w:t>
      </w:r>
      <w:r>
        <w:rPr>
          <w:szCs w:val="18"/>
        </w:rPr>
        <w:t xml:space="preserve"> </w:t>
      </w:r>
      <w:r w:rsidRPr="00127799">
        <w:rPr>
          <w:szCs w:val="18"/>
        </w:rPr>
        <w:t>(1969)</w:t>
      </w:r>
      <w:r>
        <w:rPr>
          <w:szCs w:val="18"/>
        </w:rPr>
        <w:t xml:space="preserve">. </w:t>
      </w:r>
    </w:p>
  </w:footnote>
  <w:footnote w:id="12">
    <w:p w14:paraId="4894344D" w14:textId="703DE37C" w:rsidR="00102747" w:rsidRPr="00127799" w:rsidRDefault="00102747">
      <w:pPr>
        <w:pStyle w:val="FootnoteText"/>
        <w:rPr>
          <w:szCs w:val="18"/>
        </w:rPr>
      </w:pPr>
      <w:r w:rsidRPr="00127799">
        <w:rPr>
          <w:szCs w:val="18"/>
        </w:rPr>
        <w:tab/>
      </w:r>
      <w:r w:rsidRPr="003B184C">
        <w:rPr>
          <w:rStyle w:val="FootnoteReference"/>
          <w:rFonts w:eastAsiaTheme="majorEastAsia"/>
          <w:szCs w:val="18"/>
        </w:rPr>
        <w:footnoteRef/>
      </w:r>
      <w:r w:rsidRPr="00127799">
        <w:rPr>
          <w:szCs w:val="18"/>
        </w:rPr>
        <w:tab/>
      </w:r>
      <w:r>
        <w:rPr>
          <w:szCs w:val="18"/>
        </w:rPr>
        <w:t>Ibid.</w:t>
      </w:r>
      <w:r w:rsidRPr="00127799">
        <w:rPr>
          <w:szCs w:val="18"/>
        </w:rPr>
        <w:t xml:space="preserve"> para. 153.</w:t>
      </w:r>
    </w:p>
  </w:footnote>
  <w:footnote w:id="13">
    <w:p w14:paraId="78A748DC" w14:textId="51B0FE08" w:rsidR="00102747" w:rsidRPr="00127799" w:rsidRDefault="00102747">
      <w:pPr>
        <w:pStyle w:val="FootnoteText"/>
        <w:rPr>
          <w:szCs w:val="18"/>
        </w:rPr>
      </w:pPr>
      <w:r w:rsidRPr="00127799">
        <w:rPr>
          <w:szCs w:val="18"/>
        </w:rPr>
        <w:tab/>
      </w:r>
      <w:r w:rsidRPr="003B184C">
        <w:rPr>
          <w:rStyle w:val="FootnoteReference"/>
          <w:rFonts w:eastAsiaTheme="majorEastAsia"/>
          <w:szCs w:val="18"/>
        </w:rPr>
        <w:footnoteRef/>
      </w:r>
      <w:r w:rsidRPr="00127799">
        <w:rPr>
          <w:szCs w:val="18"/>
        </w:rPr>
        <w:tab/>
      </w:r>
      <w:r>
        <w:rPr>
          <w:szCs w:val="18"/>
        </w:rPr>
        <w:t xml:space="preserve">See </w:t>
      </w:r>
      <w:r w:rsidRPr="00127799">
        <w:rPr>
          <w:szCs w:val="18"/>
        </w:rPr>
        <w:t>A/36/40</w:t>
      </w:r>
      <w:r>
        <w:rPr>
          <w:szCs w:val="18"/>
        </w:rPr>
        <w:t>, annex VII, general comment 5/13.</w:t>
      </w:r>
    </w:p>
  </w:footnote>
  <w:footnote w:id="14">
    <w:p w14:paraId="44A3066C" w14:textId="0E0E55F8" w:rsidR="00102747" w:rsidRPr="00127799" w:rsidRDefault="00102747">
      <w:pPr>
        <w:pStyle w:val="FootnoteText"/>
        <w:rPr>
          <w:szCs w:val="18"/>
        </w:rPr>
      </w:pPr>
      <w:r w:rsidRPr="00127799">
        <w:rPr>
          <w:szCs w:val="18"/>
        </w:rPr>
        <w:tab/>
      </w:r>
      <w:r w:rsidRPr="00127799">
        <w:rPr>
          <w:rStyle w:val="FootnoteReference"/>
          <w:rFonts w:eastAsiaTheme="majorEastAsia"/>
          <w:szCs w:val="18"/>
        </w:rPr>
        <w:footnoteRef/>
      </w:r>
      <w:r w:rsidRPr="00127799">
        <w:rPr>
          <w:szCs w:val="18"/>
        </w:rPr>
        <w:tab/>
      </w:r>
      <w:r>
        <w:rPr>
          <w:szCs w:val="18"/>
        </w:rPr>
        <w:t xml:space="preserve">See </w:t>
      </w:r>
      <w:r w:rsidRPr="00127799">
        <w:rPr>
          <w:szCs w:val="18"/>
        </w:rPr>
        <w:t xml:space="preserve">Jaime Oraá, </w:t>
      </w:r>
      <w:r w:rsidRPr="00127799">
        <w:rPr>
          <w:i/>
          <w:szCs w:val="18"/>
        </w:rPr>
        <w:t>Human Rights in States of Emergency in International Law</w:t>
      </w:r>
      <w:r w:rsidRPr="00127799">
        <w:rPr>
          <w:szCs w:val="18"/>
        </w:rPr>
        <w:t xml:space="preserve"> (Oxford</w:t>
      </w:r>
      <w:r>
        <w:rPr>
          <w:szCs w:val="18"/>
        </w:rPr>
        <w:t>,</w:t>
      </w:r>
      <w:r w:rsidRPr="00127799">
        <w:rPr>
          <w:szCs w:val="18"/>
        </w:rPr>
        <w:t xml:space="preserve"> Clarendon Press, 1992), p.</w:t>
      </w:r>
      <w:r>
        <w:rPr>
          <w:szCs w:val="18"/>
        </w:rPr>
        <w:t xml:space="preserve"> </w:t>
      </w:r>
      <w:r w:rsidRPr="00127799">
        <w:rPr>
          <w:szCs w:val="18"/>
        </w:rPr>
        <w:t>21.</w:t>
      </w:r>
    </w:p>
  </w:footnote>
  <w:footnote w:id="15">
    <w:p w14:paraId="3D3A49A8" w14:textId="5704D57F" w:rsidR="00102747" w:rsidRPr="00127799" w:rsidRDefault="00102747">
      <w:pPr>
        <w:pStyle w:val="FootnoteText"/>
        <w:rPr>
          <w:szCs w:val="18"/>
        </w:rPr>
      </w:pPr>
      <w:r w:rsidRPr="00127799">
        <w:rPr>
          <w:szCs w:val="18"/>
        </w:rPr>
        <w:tab/>
      </w:r>
      <w:r w:rsidRPr="00127799">
        <w:rPr>
          <w:rStyle w:val="FootnoteReference"/>
          <w:rFonts w:eastAsiaTheme="majorEastAsia"/>
          <w:szCs w:val="18"/>
        </w:rPr>
        <w:footnoteRef/>
      </w:r>
      <w:r w:rsidRPr="00127799">
        <w:rPr>
          <w:szCs w:val="18"/>
        </w:rPr>
        <w:tab/>
      </w:r>
      <w:r>
        <w:rPr>
          <w:szCs w:val="18"/>
        </w:rPr>
        <w:t>See Human Rights Committee general comment No. 29 (2001) on states of emergency, para. 2</w:t>
      </w:r>
      <w:r w:rsidRPr="00127799">
        <w:rPr>
          <w:szCs w:val="18"/>
        </w:rPr>
        <w:t>.</w:t>
      </w:r>
    </w:p>
  </w:footnote>
  <w:footnote w:id="16">
    <w:p w14:paraId="00288581" w14:textId="5553EBC4" w:rsidR="00102747" w:rsidRPr="00127799" w:rsidRDefault="00102747">
      <w:pPr>
        <w:pStyle w:val="FootnoteText"/>
        <w:rPr>
          <w:szCs w:val="18"/>
        </w:rPr>
      </w:pPr>
      <w:r w:rsidRPr="00127799">
        <w:rPr>
          <w:szCs w:val="18"/>
        </w:rPr>
        <w:tab/>
      </w:r>
      <w:r w:rsidRPr="00127799">
        <w:rPr>
          <w:rStyle w:val="FootnoteReference"/>
          <w:rFonts w:eastAsiaTheme="majorEastAsia"/>
          <w:szCs w:val="18"/>
        </w:rPr>
        <w:footnoteRef/>
      </w:r>
      <w:r w:rsidRPr="00127799">
        <w:rPr>
          <w:szCs w:val="18"/>
        </w:rPr>
        <w:tab/>
      </w:r>
      <w:r>
        <w:rPr>
          <w:szCs w:val="18"/>
        </w:rPr>
        <w:t xml:space="preserve">See, for example, Inter-American Commission on Human Rights, </w:t>
      </w:r>
      <w:r w:rsidRPr="00B73283">
        <w:rPr>
          <w:i/>
          <w:szCs w:val="18"/>
        </w:rPr>
        <w:t>Report on the Situation of Human Rights in Argentina</w:t>
      </w:r>
      <w:r w:rsidRPr="002137B1">
        <w:rPr>
          <w:szCs w:val="18"/>
          <w:lang w:val="en-US"/>
        </w:rPr>
        <w:t xml:space="preserve"> </w:t>
      </w:r>
      <w:r>
        <w:rPr>
          <w:szCs w:val="18"/>
          <w:lang w:val="en-US"/>
        </w:rPr>
        <w:t>(</w:t>
      </w:r>
      <w:r w:rsidRPr="002137B1">
        <w:rPr>
          <w:szCs w:val="18"/>
          <w:lang w:val="en-US"/>
        </w:rPr>
        <w:t>OEA/</w:t>
      </w:r>
      <w:r>
        <w:rPr>
          <w:szCs w:val="18"/>
          <w:lang w:val="en-US"/>
        </w:rPr>
        <w:t>S</w:t>
      </w:r>
      <w:r w:rsidRPr="002137B1">
        <w:rPr>
          <w:szCs w:val="18"/>
          <w:lang w:val="en-US"/>
        </w:rPr>
        <w:t xml:space="preserve">er. L/V/II.49, Doc. 19 corr. </w:t>
      </w:r>
      <w:r>
        <w:rPr>
          <w:szCs w:val="18"/>
        </w:rPr>
        <w:t xml:space="preserve">1) </w:t>
      </w:r>
      <w:r w:rsidRPr="00127799">
        <w:rPr>
          <w:szCs w:val="18"/>
        </w:rPr>
        <w:t>(</w:t>
      </w:r>
      <w:r>
        <w:rPr>
          <w:szCs w:val="18"/>
        </w:rPr>
        <w:t xml:space="preserve">April </w:t>
      </w:r>
      <w:r w:rsidRPr="00127799">
        <w:rPr>
          <w:szCs w:val="18"/>
        </w:rPr>
        <w:t>1980).</w:t>
      </w:r>
    </w:p>
  </w:footnote>
  <w:footnote w:id="17">
    <w:p w14:paraId="7DEDD941" w14:textId="5F319332" w:rsidR="00102747" w:rsidRPr="00127799" w:rsidRDefault="00102747" w:rsidP="00CA0135">
      <w:pPr>
        <w:pStyle w:val="FootnoteText"/>
        <w:rPr>
          <w:szCs w:val="18"/>
        </w:rPr>
      </w:pPr>
      <w:r w:rsidRPr="00127799">
        <w:rPr>
          <w:szCs w:val="18"/>
        </w:rPr>
        <w:tab/>
      </w:r>
      <w:r w:rsidRPr="00127799">
        <w:rPr>
          <w:rStyle w:val="FootnoteReference"/>
          <w:rFonts w:eastAsiaTheme="majorEastAsia"/>
          <w:szCs w:val="18"/>
        </w:rPr>
        <w:footnoteRef/>
      </w:r>
      <w:r w:rsidRPr="00127799">
        <w:rPr>
          <w:szCs w:val="18"/>
        </w:rPr>
        <w:tab/>
      </w:r>
      <w:r>
        <w:rPr>
          <w:szCs w:val="18"/>
        </w:rPr>
        <w:t xml:space="preserve">See Inter-American Court of Human rights, </w:t>
      </w:r>
      <w:r w:rsidRPr="00127799">
        <w:rPr>
          <w:i/>
          <w:szCs w:val="18"/>
        </w:rPr>
        <w:t>Habeas Corpus in Emergency Situations</w:t>
      </w:r>
      <w:r w:rsidRPr="00127799">
        <w:rPr>
          <w:szCs w:val="18"/>
        </w:rPr>
        <w:t>, Advisory Opinion</w:t>
      </w:r>
      <w:r>
        <w:rPr>
          <w:szCs w:val="18"/>
        </w:rPr>
        <w:t xml:space="preserve"> OC-8/87</w:t>
      </w:r>
      <w:r w:rsidRPr="00127799">
        <w:rPr>
          <w:szCs w:val="18"/>
        </w:rPr>
        <w:t xml:space="preserve"> </w:t>
      </w:r>
      <w:r>
        <w:rPr>
          <w:szCs w:val="18"/>
        </w:rPr>
        <w:t xml:space="preserve">(OEA/Ser.L/V/111.17, Doc. 13) </w:t>
      </w:r>
      <w:r w:rsidRPr="00127799">
        <w:rPr>
          <w:szCs w:val="18"/>
        </w:rPr>
        <w:t>(</w:t>
      </w:r>
      <w:r>
        <w:rPr>
          <w:szCs w:val="18"/>
        </w:rPr>
        <w:t xml:space="preserve">January </w:t>
      </w:r>
      <w:r w:rsidRPr="00127799">
        <w:rPr>
          <w:szCs w:val="18"/>
        </w:rPr>
        <w:t>1987)</w:t>
      </w:r>
      <w:r>
        <w:rPr>
          <w:szCs w:val="18"/>
        </w:rPr>
        <w:t>, para. 19</w:t>
      </w:r>
      <w:r w:rsidRPr="00127799">
        <w:rPr>
          <w:szCs w:val="18"/>
        </w:rPr>
        <w:t>.</w:t>
      </w:r>
    </w:p>
  </w:footnote>
  <w:footnote w:id="18">
    <w:p w14:paraId="28B49C1C" w14:textId="4D21857D" w:rsidR="00102747" w:rsidRPr="00127799" w:rsidRDefault="00102747" w:rsidP="00B73283">
      <w:pPr>
        <w:pStyle w:val="FootnoteText"/>
        <w:rPr>
          <w:szCs w:val="18"/>
        </w:rPr>
      </w:pPr>
      <w:r w:rsidRPr="00127799">
        <w:rPr>
          <w:szCs w:val="18"/>
        </w:rPr>
        <w:tab/>
      </w:r>
      <w:r w:rsidRPr="00127799">
        <w:rPr>
          <w:rStyle w:val="FootnoteReference"/>
          <w:rFonts w:eastAsiaTheme="majorEastAsia"/>
          <w:szCs w:val="18"/>
        </w:rPr>
        <w:footnoteRef/>
      </w:r>
      <w:r>
        <w:rPr>
          <w:szCs w:val="18"/>
        </w:rPr>
        <w:tab/>
        <w:t>See General Assembly resolution 56/83, annex,</w:t>
      </w:r>
      <w:r w:rsidRPr="00127799">
        <w:rPr>
          <w:szCs w:val="18"/>
        </w:rPr>
        <w:t xml:space="preserve"> Responsibility of States for </w:t>
      </w:r>
      <w:r>
        <w:rPr>
          <w:szCs w:val="18"/>
        </w:rPr>
        <w:t>i</w:t>
      </w:r>
      <w:r w:rsidRPr="00127799">
        <w:rPr>
          <w:szCs w:val="18"/>
        </w:rPr>
        <w:t xml:space="preserve">nternationally </w:t>
      </w:r>
      <w:r>
        <w:rPr>
          <w:szCs w:val="18"/>
        </w:rPr>
        <w:t>w</w:t>
      </w:r>
      <w:r w:rsidRPr="00127799">
        <w:rPr>
          <w:szCs w:val="18"/>
        </w:rPr>
        <w:t>ro</w:t>
      </w:r>
      <w:r>
        <w:rPr>
          <w:szCs w:val="18"/>
        </w:rPr>
        <w:t>ngful acts, art. 32.</w:t>
      </w:r>
    </w:p>
  </w:footnote>
  <w:footnote w:id="19">
    <w:p w14:paraId="33D59DA3" w14:textId="21620934" w:rsidR="00102747" w:rsidRPr="00127799" w:rsidRDefault="00102747">
      <w:pPr>
        <w:pStyle w:val="FootnoteText"/>
        <w:rPr>
          <w:szCs w:val="18"/>
        </w:rPr>
      </w:pPr>
      <w:r w:rsidRPr="00127799">
        <w:rPr>
          <w:szCs w:val="18"/>
        </w:rPr>
        <w:tab/>
      </w:r>
      <w:r w:rsidRPr="007A2617">
        <w:rPr>
          <w:rStyle w:val="FootnoteReference"/>
          <w:rFonts w:eastAsiaTheme="majorEastAsia"/>
          <w:szCs w:val="18"/>
        </w:rPr>
        <w:footnoteRef/>
      </w:r>
      <w:r w:rsidRPr="00127799">
        <w:rPr>
          <w:szCs w:val="18"/>
        </w:rPr>
        <w:tab/>
      </w:r>
      <w:r>
        <w:rPr>
          <w:szCs w:val="18"/>
        </w:rPr>
        <w:t>See, for example,</w:t>
      </w:r>
      <w:r w:rsidRPr="00127799">
        <w:rPr>
          <w:szCs w:val="18"/>
        </w:rPr>
        <w:t xml:space="preserve"> </w:t>
      </w:r>
      <w:r>
        <w:rPr>
          <w:szCs w:val="18"/>
        </w:rPr>
        <w:t>a</w:t>
      </w:r>
      <w:r w:rsidRPr="00127799">
        <w:rPr>
          <w:szCs w:val="18"/>
        </w:rPr>
        <w:t>rticle 141A</w:t>
      </w:r>
      <w:r>
        <w:rPr>
          <w:szCs w:val="18"/>
        </w:rPr>
        <w:t xml:space="preserve"> (Emergency Provisions)</w:t>
      </w:r>
      <w:r w:rsidRPr="00127799">
        <w:rPr>
          <w:szCs w:val="18"/>
        </w:rPr>
        <w:t xml:space="preserve"> of the Constitution of Bangladesh, inserted by the Constitution (Second Amendment) Act 1973</w:t>
      </w:r>
      <w:r>
        <w:rPr>
          <w:szCs w:val="18"/>
        </w:rPr>
        <w:t>, which</w:t>
      </w:r>
      <w:r w:rsidRPr="00127799">
        <w:rPr>
          <w:szCs w:val="18"/>
        </w:rPr>
        <w:t xml:space="preserve"> entrusts the President </w:t>
      </w:r>
      <w:r>
        <w:rPr>
          <w:szCs w:val="18"/>
        </w:rPr>
        <w:t>with the responsibility of proclaiming an emergency if the life of the nation is threatened by</w:t>
      </w:r>
      <w:r w:rsidRPr="00127799">
        <w:rPr>
          <w:szCs w:val="18"/>
        </w:rPr>
        <w:t xml:space="preserve"> </w:t>
      </w:r>
      <w:r>
        <w:rPr>
          <w:szCs w:val="18"/>
        </w:rPr>
        <w:t>“</w:t>
      </w:r>
      <w:r w:rsidRPr="00127799">
        <w:rPr>
          <w:szCs w:val="18"/>
        </w:rPr>
        <w:t>war or external aggression or internal disturbance</w:t>
      </w:r>
      <w:r>
        <w:rPr>
          <w:szCs w:val="18"/>
        </w:rPr>
        <w:t>”</w:t>
      </w:r>
      <w:r w:rsidRPr="00127799">
        <w:rPr>
          <w:szCs w:val="18"/>
        </w:rPr>
        <w:t>.</w:t>
      </w:r>
    </w:p>
  </w:footnote>
  <w:footnote w:id="20">
    <w:p w14:paraId="250D4A49" w14:textId="7E465A17" w:rsidR="00102747" w:rsidRPr="00127799" w:rsidRDefault="00102747">
      <w:pPr>
        <w:pStyle w:val="FootnoteText"/>
        <w:rPr>
          <w:szCs w:val="18"/>
        </w:rPr>
      </w:pPr>
      <w:r w:rsidRPr="00127799">
        <w:rPr>
          <w:szCs w:val="18"/>
        </w:rPr>
        <w:tab/>
      </w:r>
      <w:r w:rsidRPr="00127799">
        <w:rPr>
          <w:rStyle w:val="FootnoteReference"/>
          <w:rFonts w:eastAsiaTheme="majorEastAsia"/>
          <w:szCs w:val="18"/>
        </w:rPr>
        <w:footnoteRef/>
      </w:r>
      <w:r w:rsidRPr="00127799">
        <w:rPr>
          <w:szCs w:val="18"/>
        </w:rPr>
        <w:tab/>
      </w:r>
      <w:r>
        <w:rPr>
          <w:szCs w:val="18"/>
        </w:rPr>
        <w:t xml:space="preserve">See </w:t>
      </w:r>
      <w:r w:rsidRPr="00127799">
        <w:rPr>
          <w:szCs w:val="18"/>
        </w:rPr>
        <w:t>John Ferejohn and P</w:t>
      </w:r>
      <w:r>
        <w:rPr>
          <w:szCs w:val="18"/>
        </w:rPr>
        <w:t>asquale</w:t>
      </w:r>
      <w:r w:rsidRPr="00127799">
        <w:rPr>
          <w:szCs w:val="18"/>
        </w:rPr>
        <w:t xml:space="preserve"> Pasquino, </w:t>
      </w:r>
      <w:r>
        <w:rPr>
          <w:szCs w:val="18"/>
        </w:rPr>
        <w:t>“</w:t>
      </w:r>
      <w:r w:rsidRPr="00127799">
        <w:rPr>
          <w:szCs w:val="18"/>
        </w:rPr>
        <w:t xml:space="preserve">The </w:t>
      </w:r>
      <w:r>
        <w:rPr>
          <w:szCs w:val="18"/>
        </w:rPr>
        <w:t>l</w:t>
      </w:r>
      <w:r w:rsidRPr="00127799">
        <w:rPr>
          <w:szCs w:val="18"/>
        </w:rPr>
        <w:t xml:space="preserve">aw of the </w:t>
      </w:r>
      <w:r>
        <w:rPr>
          <w:szCs w:val="18"/>
        </w:rPr>
        <w:t>e</w:t>
      </w:r>
      <w:r w:rsidRPr="00127799">
        <w:rPr>
          <w:szCs w:val="18"/>
        </w:rPr>
        <w:t xml:space="preserve">xception: </w:t>
      </w:r>
      <w:r>
        <w:rPr>
          <w:szCs w:val="18"/>
        </w:rPr>
        <w:t>a</w:t>
      </w:r>
      <w:r w:rsidRPr="00127799">
        <w:rPr>
          <w:szCs w:val="18"/>
        </w:rPr>
        <w:t xml:space="preserve"> </w:t>
      </w:r>
      <w:r>
        <w:rPr>
          <w:szCs w:val="18"/>
        </w:rPr>
        <w:t>t</w:t>
      </w:r>
      <w:r w:rsidRPr="00127799">
        <w:rPr>
          <w:szCs w:val="18"/>
        </w:rPr>
        <w:t xml:space="preserve">ypology of </w:t>
      </w:r>
      <w:r>
        <w:rPr>
          <w:szCs w:val="18"/>
        </w:rPr>
        <w:t>e</w:t>
      </w:r>
      <w:r w:rsidRPr="00127799">
        <w:rPr>
          <w:szCs w:val="18"/>
        </w:rPr>
        <w:t xml:space="preserve">mergency </w:t>
      </w:r>
      <w:r>
        <w:rPr>
          <w:szCs w:val="18"/>
        </w:rPr>
        <w:t>p</w:t>
      </w:r>
      <w:r w:rsidRPr="00127799">
        <w:rPr>
          <w:szCs w:val="18"/>
        </w:rPr>
        <w:t>owers</w:t>
      </w:r>
      <w:r>
        <w:rPr>
          <w:szCs w:val="18"/>
        </w:rPr>
        <w:t>”,</w:t>
      </w:r>
      <w:r w:rsidRPr="00127799">
        <w:rPr>
          <w:szCs w:val="18"/>
        </w:rPr>
        <w:t xml:space="preserve"> </w:t>
      </w:r>
      <w:r w:rsidRPr="002137B1">
        <w:rPr>
          <w:i/>
          <w:iCs/>
          <w:szCs w:val="18"/>
        </w:rPr>
        <w:t>International Journal of Constitutional Law</w:t>
      </w:r>
      <w:r>
        <w:rPr>
          <w:szCs w:val="18"/>
        </w:rPr>
        <w:t xml:space="preserve">, vol. 2, No. 2 (April </w:t>
      </w:r>
      <w:r w:rsidRPr="00127799">
        <w:rPr>
          <w:szCs w:val="18"/>
        </w:rPr>
        <w:t>2004)</w:t>
      </w:r>
      <w:r>
        <w:rPr>
          <w:szCs w:val="18"/>
        </w:rPr>
        <w:t>, pp. 210–239</w:t>
      </w:r>
      <w:r w:rsidRPr="00127799">
        <w:rPr>
          <w:szCs w:val="18"/>
        </w:rPr>
        <w:t>.</w:t>
      </w:r>
    </w:p>
  </w:footnote>
  <w:footnote w:id="21">
    <w:p w14:paraId="25BA2464" w14:textId="3E72E66A" w:rsidR="00102747" w:rsidRPr="00127799" w:rsidRDefault="00102747" w:rsidP="00B73283">
      <w:pPr>
        <w:pStyle w:val="FootnoteText"/>
        <w:rPr>
          <w:szCs w:val="18"/>
        </w:rPr>
      </w:pPr>
      <w:r w:rsidRPr="00127799">
        <w:rPr>
          <w:szCs w:val="18"/>
        </w:rPr>
        <w:tab/>
      </w:r>
      <w:r w:rsidRPr="00127799">
        <w:rPr>
          <w:rStyle w:val="FootnoteReference"/>
          <w:rFonts w:eastAsiaTheme="majorEastAsia"/>
          <w:szCs w:val="18"/>
        </w:rPr>
        <w:footnoteRef/>
      </w:r>
      <w:r w:rsidRPr="00127799">
        <w:rPr>
          <w:szCs w:val="18"/>
        </w:rPr>
        <w:tab/>
      </w:r>
      <w:r>
        <w:rPr>
          <w:szCs w:val="18"/>
        </w:rPr>
        <w:t xml:space="preserve">See </w:t>
      </w:r>
      <w:r w:rsidRPr="00127799">
        <w:rPr>
          <w:szCs w:val="18"/>
        </w:rPr>
        <w:t>Kim Lane Scheppele,</w:t>
      </w:r>
      <w:r w:rsidRPr="00127799">
        <w:rPr>
          <w:i/>
          <w:szCs w:val="18"/>
        </w:rPr>
        <w:t xml:space="preserve"> </w:t>
      </w:r>
      <w:r>
        <w:rPr>
          <w:iCs/>
          <w:szCs w:val="18"/>
        </w:rPr>
        <w:t>“</w:t>
      </w:r>
      <w:r w:rsidRPr="00127799">
        <w:rPr>
          <w:szCs w:val="18"/>
        </w:rPr>
        <w:t xml:space="preserve">The </w:t>
      </w:r>
      <w:r>
        <w:rPr>
          <w:szCs w:val="18"/>
        </w:rPr>
        <w:t>m</w:t>
      </w:r>
      <w:r w:rsidRPr="00127799">
        <w:rPr>
          <w:szCs w:val="18"/>
        </w:rPr>
        <w:t xml:space="preserve">igration of </w:t>
      </w:r>
      <w:r>
        <w:rPr>
          <w:szCs w:val="18"/>
        </w:rPr>
        <w:t>a</w:t>
      </w:r>
      <w:r w:rsidRPr="00127799">
        <w:rPr>
          <w:szCs w:val="18"/>
        </w:rPr>
        <w:t>nti-</w:t>
      </w:r>
      <w:r>
        <w:rPr>
          <w:szCs w:val="18"/>
        </w:rPr>
        <w:t>c</w:t>
      </w:r>
      <w:r w:rsidRPr="00127799">
        <w:rPr>
          <w:szCs w:val="18"/>
        </w:rPr>
        <w:t xml:space="preserve">onstitutional </w:t>
      </w:r>
      <w:r>
        <w:rPr>
          <w:szCs w:val="18"/>
        </w:rPr>
        <w:t>i</w:t>
      </w:r>
      <w:r w:rsidRPr="00127799">
        <w:rPr>
          <w:szCs w:val="18"/>
        </w:rPr>
        <w:t xml:space="preserve">deas: </w:t>
      </w:r>
      <w:r>
        <w:rPr>
          <w:szCs w:val="18"/>
        </w:rPr>
        <w:t>t</w:t>
      </w:r>
      <w:r w:rsidRPr="00127799">
        <w:rPr>
          <w:szCs w:val="18"/>
        </w:rPr>
        <w:t xml:space="preserve">he </w:t>
      </w:r>
      <w:r>
        <w:rPr>
          <w:szCs w:val="18"/>
        </w:rPr>
        <w:t>p</w:t>
      </w:r>
      <w:r w:rsidRPr="00127799">
        <w:rPr>
          <w:szCs w:val="18"/>
        </w:rPr>
        <w:t>ost</w:t>
      </w:r>
      <w:r>
        <w:rPr>
          <w:szCs w:val="18"/>
        </w:rPr>
        <w:t>-</w:t>
      </w:r>
      <w:r w:rsidRPr="00127799">
        <w:rPr>
          <w:szCs w:val="18"/>
        </w:rPr>
        <w:t xml:space="preserve">9/11 </w:t>
      </w:r>
      <w:r>
        <w:rPr>
          <w:szCs w:val="18"/>
        </w:rPr>
        <w:t>g</w:t>
      </w:r>
      <w:r w:rsidRPr="00127799">
        <w:rPr>
          <w:szCs w:val="18"/>
        </w:rPr>
        <w:t xml:space="preserve">lobalization of </w:t>
      </w:r>
      <w:r>
        <w:rPr>
          <w:szCs w:val="18"/>
        </w:rPr>
        <w:t>p</w:t>
      </w:r>
      <w:r w:rsidRPr="00127799">
        <w:rPr>
          <w:szCs w:val="18"/>
        </w:rPr>
        <w:t xml:space="preserve">ublic </w:t>
      </w:r>
      <w:r>
        <w:rPr>
          <w:szCs w:val="18"/>
        </w:rPr>
        <w:t>l</w:t>
      </w:r>
      <w:r w:rsidRPr="00127799">
        <w:rPr>
          <w:szCs w:val="18"/>
        </w:rPr>
        <w:t xml:space="preserve">aw and the </w:t>
      </w:r>
      <w:r>
        <w:rPr>
          <w:szCs w:val="18"/>
        </w:rPr>
        <w:t>i</w:t>
      </w:r>
      <w:r w:rsidRPr="00127799">
        <w:rPr>
          <w:szCs w:val="18"/>
        </w:rPr>
        <w:t xml:space="preserve">nternational </w:t>
      </w:r>
      <w:r>
        <w:rPr>
          <w:szCs w:val="18"/>
        </w:rPr>
        <w:t>s</w:t>
      </w:r>
      <w:r w:rsidRPr="00127799">
        <w:rPr>
          <w:szCs w:val="18"/>
        </w:rPr>
        <w:t xml:space="preserve">tate of </w:t>
      </w:r>
      <w:r>
        <w:rPr>
          <w:szCs w:val="18"/>
        </w:rPr>
        <w:t>e</w:t>
      </w:r>
      <w:r w:rsidRPr="00127799">
        <w:rPr>
          <w:szCs w:val="18"/>
        </w:rPr>
        <w:t>mergency</w:t>
      </w:r>
      <w:r>
        <w:rPr>
          <w:szCs w:val="18"/>
        </w:rPr>
        <w:t>”</w:t>
      </w:r>
      <w:r w:rsidRPr="00127799">
        <w:rPr>
          <w:szCs w:val="18"/>
        </w:rPr>
        <w:t xml:space="preserve"> in </w:t>
      </w:r>
      <w:r w:rsidRPr="002137B1">
        <w:rPr>
          <w:i/>
          <w:iCs/>
          <w:szCs w:val="18"/>
        </w:rPr>
        <w:t>The Migration of Constitutional Ideas</w:t>
      </w:r>
      <w:r>
        <w:rPr>
          <w:i/>
          <w:iCs/>
          <w:szCs w:val="18"/>
        </w:rPr>
        <w:t>,</w:t>
      </w:r>
      <w:r w:rsidRPr="00127799">
        <w:rPr>
          <w:szCs w:val="18"/>
        </w:rPr>
        <w:t xml:space="preserve"> Sujit Cho</w:t>
      </w:r>
      <w:r>
        <w:rPr>
          <w:szCs w:val="18"/>
        </w:rPr>
        <w:t>u</w:t>
      </w:r>
      <w:r w:rsidRPr="00127799">
        <w:rPr>
          <w:szCs w:val="18"/>
        </w:rPr>
        <w:t>dhry</w:t>
      </w:r>
      <w:r>
        <w:rPr>
          <w:szCs w:val="18"/>
        </w:rPr>
        <w:t>,</w:t>
      </w:r>
      <w:r w:rsidRPr="00127799">
        <w:rPr>
          <w:szCs w:val="18"/>
        </w:rPr>
        <w:t xml:space="preserve"> ed. (Cambridge University Press</w:t>
      </w:r>
      <w:r>
        <w:rPr>
          <w:szCs w:val="18"/>
        </w:rPr>
        <w:t>, 2006).</w:t>
      </w:r>
    </w:p>
  </w:footnote>
  <w:footnote w:id="22">
    <w:p w14:paraId="16A6E44A" w14:textId="727CBCC4" w:rsidR="00102747" w:rsidRPr="00127799" w:rsidRDefault="00102747" w:rsidP="00B73283">
      <w:pPr>
        <w:pStyle w:val="FootnoteText"/>
        <w:rPr>
          <w:szCs w:val="18"/>
        </w:rPr>
      </w:pPr>
      <w:r w:rsidRPr="00127799">
        <w:rPr>
          <w:szCs w:val="18"/>
        </w:rPr>
        <w:tab/>
      </w:r>
      <w:r w:rsidRPr="00127799">
        <w:rPr>
          <w:rStyle w:val="FootnoteReference"/>
          <w:rFonts w:eastAsiaTheme="majorEastAsia"/>
          <w:szCs w:val="18"/>
        </w:rPr>
        <w:footnoteRef/>
      </w:r>
      <w:r w:rsidRPr="00127799">
        <w:rPr>
          <w:szCs w:val="18"/>
        </w:rPr>
        <w:tab/>
        <w:t>For example, in 2016</w:t>
      </w:r>
      <w:r>
        <w:rPr>
          <w:szCs w:val="18"/>
        </w:rPr>
        <w:t>,</w:t>
      </w:r>
      <w:r w:rsidRPr="00127799">
        <w:rPr>
          <w:szCs w:val="18"/>
        </w:rPr>
        <w:t xml:space="preserve"> </w:t>
      </w:r>
      <w:r>
        <w:rPr>
          <w:szCs w:val="18"/>
        </w:rPr>
        <w:t xml:space="preserve">the president of </w:t>
      </w:r>
      <w:r w:rsidRPr="00127799">
        <w:rPr>
          <w:szCs w:val="18"/>
        </w:rPr>
        <w:t xml:space="preserve">Hungary </w:t>
      </w:r>
      <w:r>
        <w:rPr>
          <w:szCs w:val="18"/>
        </w:rPr>
        <w:t>endorsed</w:t>
      </w:r>
      <w:r w:rsidRPr="00127799">
        <w:rPr>
          <w:szCs w:val="18"/>
        </w:rPr>
        <w:t xml:space="preserve"> a package of counter-terrorism measures, including a </w:t>
      </w:r>
      <w:r>
        <w:rPr>
          <w:szCs w:val="18"/>
        </w:rPr>
        <w:t>sixth</w:t>
      </w:r>
      <w:r w:rsidRPr="00127799">
        <w:rPr>
          <w:szCs w:val="18"/>
        </w:rPr>
        <w:t xml:space="preserve"> </w:t>
      </w:r>
      <w:r>
        <w:rPr>
          <w:szCs w:val="18"/>
        </w:rPr>
        <w:t>a</w:t>
      </w:r>
      <w:r w:rsidRPr="00127799">
        <w:rPr>
          <w:szCs w:val="18"/>
        </w:rPr>
        <w:t>mendment to the Constitution and amendments to laws governing the police, national security services and the defence forces. The law is premised on the concept of “terror threat situation” which is ill-defined in the legislation.</w:t>
      </w:r>
    </w:p>
  </w:footnote>
  <w:footnote w:id="23">
    <w:p w14:paraId="1B909C43" w14:textId="0EB57ECE" w:rsidR="00102747" w:rsidRPr="00127799" w:rsidRDefault="00102747" w:rsidP="00B73283">
      <w:pPr>
        <w:pStyle w:val="FootnoteText"/>
        <w:rPr>
          <w:szCs w:val="18"/>
        </w:rPr>
      </w:pPr>
      <w:r w:rsidRPr="00127799">
        <w:rPr>
          <w:szCs w:val="18"/>
        </w:rPr>
        <w:tab/>
      </w:r>
      <w:r w:rsidRPr="00127799">
        <w:rPr>
          <w:rStyle w:val="FootnoteReference"/>
          <w:rFonts w:eastAsiaTheme="majorEastAsia"/>
          <w:szCs w:val="18"/>
        </w:rPr>
        <w:footnoteRef/>
      </w:r>
      <w:r w:rsidRPr="00127799">
        <w:rPr>
          <w:szCs w:val="18"/>
        </w:rPr>
        <w:tab/>
      </w:r>
      <w:r>
        <w:rPr>
          <w:szCs w:val="18"/>
        </w:rPr>
        <w:t>See</w:t>
      </w:r>
      <w:r w:rsidRPr="00127799">
        <w:rPr>
          <w:szCs w:val="18"/>
        </w:rPr>
        <w:t xml:space="preserve"> </w:t>
      </w:r>
      <w:hyperlink r:id="rId2" w:history="1">
        <w:r w:rsidRPr="00112093">
          <w:rPr>
            <w:rStyle w:val="Hyperlink"/>
            <w:szCs w:val="18"/>
          </w:rPr>
          <w:t>A/71/384</w:t>
        </w:r>
      </w:hyperlink>
      <w:r>
        <w:rPr>
          <w:szCs w:val="18"/>
        </w:rPr>
        <w:t>.</w:t>
      </w:r>
    </w:p>
  </w:footnote>
  <w:footnote w:id="24">
    <w:p w14:paraId="15C784B8" w14:textId="63CE5EC1" w:rsidR="00102747" w:rsidRPr="00127799" w:rsidRDefault="00102747">
      <w:pPr>
        <w:pStyle w:val="FootnoteText"/>
        <w:rPr>
          <w:szCs w:val="18"/>
        </w:rPr>
      </w:pPr>
      <w:r w:rsidRPr="00127799">
        <w:rPr>
          <w:szCs w:val="18"/>
        </w:rPr>
        <w:tab/>
      </w:r>
      <w:r w:rsidRPr="00127799">
        <w:rPr>
          <w:rStyle w:val="FootnoteReference"/>
          <w:rFonts w:eastAsiaTheme="majorEastAsia"/>
          <w:szCs w:val="18"/>
        </w:rPr>
        <w:footnoteRef/>
      </w:r>
      <w:r w:rsidRPr="00127799">
        <w:rPr>
          <w:szCs w:val="18"/>
        </w:rPr>
        <w:tab/>
      </w:r>
      <w:r w:rsidRPr="002137B1">
        <w:rPr>
          <w:iCs/>
          <w:szCs w:val="18"/>
        </w:rPr>
        <w:t xml:space="preserve">See </w:t>
      </w:r>
      <w:r w:rsidRPr="00127799">
        <w:rPr>
          <w:szCs w:val="18"/>
        </w:rPr>
        <w:t xml:space="preserve">Oren Gross </w:t>
      </w:r>
      <w:r>
        <w:rPr>
          <w:szCs w:val="18"/>
        </w:rPr>
        <w:t>and</w:t>
      </w:r>
      <w:r w:rsidRPr="00127799">
        <w:rPr>
          <w:szCs w:val="18"/>
        </w:rPr>
        <w:t xml:space="preserve"> Fionnuala Ní Aoláin, </w:t>
      </w:r>
      <w:r w:rsidRPr="002137B1">
        <w:rPr>
          <w:i/>
          <w:iCs/>
          <w:szCs w:val="18"/>
        </w:rPr>
        <w:t>Law in Times of Crisis: Emergency Powers in T</w:t>
      </w:r>
      <w:r>
        <w:rPr>
          <w:i/>
          <w:iCs/>
          <w:szCs w:val="18"/>
        </w:rPr>
        <w:t>heory and P</w:t>
      </w:r>
      <w:r w:rsidRPr="002137B1">
        <w:rPr>
          <w:i/>
          <w:iCs/>
          <w:szCs w:val="18"/>
        </w:rPr>
        <w:t>ractice</w:t>
      </w:r>
      <w:r>
        <w:rPr>
          <w:szCs w:val="18"/>
        </w:rPr>
        <w:t xml:space="preserve"> (Cambridge University Press, </w:t>
      </w:r>
      <w:r w:rsidRPr="00127799">
        <w:rPr>
          <w:szCs w:val="18"/>
        </w:rPr>
        <w:t>200</w:t>
      </w:r>
      <w:r>
        <w:rPr>
          <w:szCs w:val="18"/>
        </w:rPr>
        <w:t>6</w:t>
      </w:r>
      <w:r w:rsidRPr="00127799">
        <w:rPr>
          <w:szCs w:val="18"/>
        </w:rPr>
        <w:t xml:space="preserve">). </w:t>
      </w:r>
    </w:p>
  </w:footnote>
  <w:footnote w:id="25">
    <w:p w14:paraId="223B3A2C" w14:textId="3002D3C7" w:rsidR="00102747" w:rsidRPr="00127799" w:rsidRDefault="00102747">
      <w:pPr>
        <w:pStyle w:val="FootnoteText"/>
        <w:rPr>
          <w:szCs w:val="18"/>
        </w:rPr>
      </w:pPr>
      <w:r w:rsidRPr="00127799">
        <w:rPr>
          <w:szCs w:val="18"/>
        </w:rPr>
        <w:tab/>
      </w:r>
      <w:r w:rsidRPr="00127799">
        <w:rPr>
          <w:rStyle w:val="FootnoteReference"/>
          <w:rFonts w:eastAsiaTheme="majorEastAsia"/>
          <w:szCs w:val="18"/>
        </w:rPr>
        <w:footnoteRef/>
      </w:r>
      <w:r w:rsidRPr="00127799">
        <w:rPr>
          <w:szCs w:val="18"/>
        </w:rPr>
        <w:tab/>
      </w:r>
      <w:r>
        <w:rPr>
          <w:szCs w:val="18"/>
        </w:rPr>
        <w:t xml:space="preserve">See </w:t>
      </w:r>
      <w:r w:rsidRPr="00127799">
        <w:rPr>
          <w:szCs w:val="18"/>
        </w:rPr>
        <w:t xml:space="preserve">International Commission of Jurists, </w:t>
      </w:r>
      <w:r w:rsidRPr="00127799">
        <w:rPr>
          <w:i/>
          <w:szCs w:val="18"/>
        </w:rPr>
        <w:t>States of Emergency</w:t>
      </w:r>
      <w:r>
        <w:rPr>
          <w:i/>
          <w:szCs w:val="18"/>
        </w:rPr>
        <w:t>–Their Impact on Human Rights: A Comparative Study by the International Commission of Jurists</w:t>
      </w:r>
      <w:r>
        <w:rPr>
          <w:szCs w:val="18"/>
        </w:rPr>
        <w:t xml:space="preserve"> (Geneva, 1983),</w:t>
      </w:r>
      <w:r w:rsidRPr="00127799">
        <w:rPr>
          <w:szCs w:val="18"/>
        </w:rPr>
        <w:t xml:space="preserve"> p. 413.</w:t>
      </w:r>
      <w:r>
        <w:rPr>
          <w:szCs w:val="18"/>
        </w:rPr>
        <w:t xml:space="preserve"> </w:t>
      </w:r>
      <w:r w:rsidRPr="00127799">
        <w:rPr>
          <w:szCs w:val="18"/>
        </w:rPr>
        <w:t xml:space="preserve">More recently a number of </w:t>
      </w:r>
      <w:r>
        <w:rPr>
          <w:szCs w:val="18"/>
        </w:rPr>
        <w:t>S</w:t>
      </w:r>
      <w:r w:rsidRPr="00127799">
        <w:rPr>
          <w:szCs w:val="18"/>
        </w:rPr>
        <w:t xml:space="preserve">tates have not </w:t>
      </w:r>
      <w:r>
        <w:rPr>
          <w:szCs w:val="18"/>
        </w:rPr>
        <w:t>submitted</w:t>
      </w:r>
      <w:r w:rsidRPr="00127799">
        <w:rPr>
          <w:szCs w:val="18"/>
        </w:rPr>
        <w:t xml:space="preserve"> derogation</w:t>
      </w:r>
      <w:r>
        <w:rPr>
          <w:szCs w:val="18"/>
        </w:rPr>
        <w:t>s</w:t>
      </w:r>
      <w:r w:rsidRPr="00127799">
        <w:rPr>
          <w:szCs w:val="18"/>
        </w:rPr>
        <w:t xml:space="preserve"> despite evidence of </w:t>
      </w:r>
      <w:r>
        <w:rPr>
          <w:szCs w:val="18"/>
        </w:rPr>
        <w:t>breach of the International Covenant on Civil and Political Rights. See Fionnuala Ní Aolá</w:t>
      </w:r>
      <w:r w:rsidRPr="00127799">
        <w:rPr>
          <w:szCs w:val="18"/>
        </w:rPr>
        <w:t xml:space="preserve">in, “The </w:t>
      </w:r>
      <w:r>
        <w:rPr>
          <w:szCs w:val="18"/>
        </w:rPr>
        <w:t>c</w:t>
      </w:r>
      <w:r w:rsidRPr="00127799">
        <w:rPr>
          <w:szCs w:val="18"/>
        </w:rPr>
        <w:t xml:space="preserve">loak and </w:t>
      </w:r>
      <w:r>
        <w:rPr>
          <w:szCs w:val="18"/>
        </w:rPr>
        <w:t>d</w:t>
      </w:r>
      <w:r w:rsidRPr="00127799">
        <w:rPr>
          <w:szCs w:val="18"/>
        </w:rPr>
        <w:t xml:space="preserve">agger </w:t>
      </w:r>
      <w:r>
        <w:rPr>
          <w:szCs w:val="18"/>
        </w:rPr>
        <w:t>g</w:t>
      </w:r>
      <w:r w:rsidRPr="00127799">
        <w:rPr>
          <w:szCs w:val="18"/>
        </w:rPr>
        <w:t xml:space="preserve">ame of </w:t>
      </w:r>
      <w:r>
        <w:rPr>
          <w:szCs w:val="18"/>
        </w:rPr>
        <w:t>e</w:t>
      </w:r>
      <w:r w:rsidRPr="00127799">
        <w:rPr>
          <w:szCs w:val="18"/>
        </w:rPr>
        <w:t xml:space="preserve">mergency and </w:t>
      </w:r>
      <w:r>
        <w:rPr>
          <w:szCs w:val="18"/>
        </w:rPr>
        <w:t>w</w:t>
      </w:r>
      <w:r w:rsidRPr="00127799">
        <w:rPr>
          <w:szCs w:val="18"/>
        </w:rPr>
        <w:t xml:space="preserve">ar” in </w:t>
      </w:r>
      <w:r w:rsidRPr="002137B1">
        <w:rPr>
          <w:i/>
          <w:iCs/>
          <w:szCs w:val="18"/>
        </w:rPr>
        <w:t>Human Rights in Emergencies</w:t>
      </w:r>
      <w:r>
        <w:rPr>
          <w:szCs w:val="18"/>
        </w:rPr>
        <w:t>,</w:t>
      </w:r>
      <w:r w:rsidRPr="00127799">
        <w:rPr>
          <w:szCs w:val="18"/>
        </w:rPr>
        <w:t xml:space="preserve"> Evan J. Criddle</w:t>
      </w:r>
      <w:r>
        <w:rPr>
          <w:szCs w:val="18"/>
        </w:rPr>
        <w:t>,</w:t>
      </w:r>
      <w:r w:rsidRPr="00127799">
        <w:rPr>
          <w:szCs w:val="18"/>
        </w:rPr>
        <w:t xml:space="preserve"> ed. (Cambridge University Press, 2016)</w:t>
      </w:r>
      <w:r>
        <w:rPr>
          <w:szCs w:val="18"/>
        </w:rPr>
        <w:t>.</w:t>
      </w:r>
    </w:p>
  </w:footnote>
  <w:footnote w:id="26">
    <w:p w14:paraId="55336DB8" w14:textId="649184D1" w:rsidR="00102747" w:rsidRPr="00127799" w:rsidRDefault="00102747" w:rsidP="00A31265">
      <w:pPr>
        <w:pStyle w:val="FootnoteText"/>
        <w:rPr>
          <w:szCs w:val="18"/>
        </w:rPr>
      </w:pPr>
      <w:r w:rsidRPr="00127799">
        <w:rPr>
          <w:szCs w:val="18"/>
        </w:rPr>
        <w:tab/>
      </w:r>
      <w:r w:rsidRPr="00127799">
        <w:rPr>
          <w:rStyle w:val="FootnoteReference"/>
          <w:rFonts w:eastAsiaTheme="majorEastAsia"/>
          <w:szCs w:val="18"/>
        </w:rPr>
        <w:footnoteRef/>
      </w:r>
      <w:r w:rsidRPr="00127799">
        <w:rPr>
          <w:szCs w:val="18"/>
        </w:rPr>
        <w:tab/>
      </w:r>
      <w:r>
        <w:rPr>
          <w:szCs w:val="18"/>
        </w:rPr>
        <w:t xml:space="preserve">See </w:t>
      </w:r>
      <w:r w:rsidRPr="00127799">
        <w:rPr>
          <w:szCs w:val="18"/>
        </w:rPr>
        <w:t xml:space="preserve">Amnesty International, </w:t>
      </w:r>
      <w:r>
        <w:rPr>
          <w:szCs w:val="18"/>
        </w:rPr>
        <w:t>“</w:t>
      </w:r>
      <w:r w:rsidRPr="00127799">
        <w:rPr>
          <w:szCs w:val="18"/>
        </w:rPr>
        <w:t xml:space="preserve">Dangerously </w:t>
      </w:r>
      <w:r>
        <w:rPr>
          <w:szCs w:val="18"/>
        </w:rPr>
        <w:t>d</w:t>
      </w:r>
      <w:r w:rsidRPr="00127799">
        <w:rPr>
          <w:szCs w:val="18"/>
        </w:rPr>
        <w:t xml:space="preserve">isproportionate: </w:t>
      </w:r>
      <w:r>
        <w:rPr>
          <w:szCs w:val="18"/>
        </w:rPr>
        <w:t>t</w:t>
      </w:r>
      <w:r w:rsidRPr="00127799">
        <w:rPr>
          <w:szCs w:val="18"/>
        </w:rPr>
        <w:t xml:space="preserve">he </w:t>
      </w:r>
      <w:r>
        <w:rPr>
          <w:szCs w:val="18"/>
        </w:rPr>
        <w:t>e</w:t>
      </w:r>
      <w:r w:rsidRPr="00127799">
        <w:rPr>
          <w:szCs w:val="18"/>
        </w:rPr>
        <w:t>ver-</w:t>
      </w:r>
      <w:r>
        <w:rPr>
          <w:szCs w:val="18"/>
        </w:rPr>
        <w:t>e</w:t>
      </w:r>
      <w:r w:rsidRPr="00127799">
        <w:rPr>
          <w:szCs w:val="18"/>
        </w:rPr>
        <w:t xml:space="preserve">xpanding </w:t>
      </w:r>
      <w:r>
        <w:rPr>
          <w:szCs w:val="18"/>
        </w:rPr>
        <w:t>s</w:t>
      </w:r>
      <w:r w:rsidRPr="00127799">
        <w:rPr>
          <w:szCs w:val="18"/>
        </w:rPr>
        <w:t xml:space="preserve">ecurity </w:t>
      </w:r>
      <w:r>
        <w:rPr>
          <w:szCs w:val="18"/>
        </w:rPr>
        <w:t>s</w:t>
      </w:r>
      <w:r w:rsidRPr="00127799">
        <w:rPr>
          <w:szCs w:val="18"/>
        </w:rPr>
        <w:t>tate in Europe</w:t>
      </w:r>
      <w:r>
        <w:rPr>
          <w:szCs w:val="18"/>
        </w:rPr>
        <w:t xml:space="preserve">” </w:t>
      </w:r>
      <w:r w:rsidRPr="00127799">
        <w:rPr>
          <w:szCs w:val="18"/>
        </w:rPr>
        <w:t>(</w:t>
      </w:r>
      <w:r>
        <w:rPr>
          <w:szCs w:val="18"/>
        </w:rPr>
        <w:t xml:space="preserve">January </w:t>
      </w:r>
      <w:r w:rsidRPr="00127799">
        <w:rPr>
          <w:szCs w:val="18"/>
        </w:rPr>
        <w:t>2017)</w:t>
      </w:r>
      <w:r>
        <w:rPr>
          <w:szCs w:val="18"/>
        </w:rPr>
        <w:t>, p.</w:t>
      </w:r>
      <w:r w:rsidRPr="00127799">
        <w:rPr>
          <w:szCs w:val="18"/>
        </w:rPr>
        <w:t xml:space="preserve"> 13</w:t>
      </w:r>
      <w:r>
        <w:rPr>
          <w:szCs w:val="18"/>
        </w:rPr>
        <w:t>.</w:t>
      </w:r>
    </w:p>
  </w:footnote>
  <w:footnote w:id="27">
    <w:p w14:paraId="31050D7A" w14:textId="6487A15F" w:rsidR="00102747" w:rsidRPr="003B184C" w:rsidRDefault="00102747" w:rsidP="00A31265">
      <w:pPr>
        <w:pStyle w:val="FootnoteText"/>
        <w:jc w:val="both"/>
        <w:rPr>
          <w:szCs w:val="18"/>
        </w:rPr>
      </w:pPr>
      <w:r w:rsidRPr="003B184C">
        <w:rPr>
          <w:szCs w:val="18"/>
        </w:rPr>
        <w:tab/>
      </w:r>
      <w:r w:rsidRPr="003B184C">
        <w:rPr>
          <w:rStyle w:val="FootnoteReference"/>
          <w:rFonts w:eastAsiaTheme="majorEastAsia"/>
          <w:szCs w:val="18"/>
        </w:rPr>
        <w:footnoteRef/>
      </w:r>
      <w:r>
        <w:rPr>
          <w:szCs w:val="18"/>
        </w:rPr>
        <w:tab/>
        <w:t xml:space="preserve">See </w:t>
      </w:r>
      <w:r w:rsidRPr="003B184C">
        <w:rPr>
          <w:szCs w:val="18"/>
        </w:rPr>
        <w:t xml:space="preserve">Helen Fenwick </w:t>
      </w:r>
      <w:r>
        <w:rPr>
          <w:szCs w:val="18"/>
        </w:rPr>
        <w:t>and</w:t>
      </w:r>
      <w:r w:rsidRPr="003B184C">
        <w:rPr>
          <w:szCs w:val="18"/>
        </w:rPr>
        <w:t xml:space="preserve"> Gavin Phillipson, </w:t>
      </w:r>
      <w:r>
        <w:rPr>
          <w:szCs w:val="18"/>
        </w:rPr>
        <w:t>“</w:t>
      </w:r>
      <w:r w:rsidRPr="003B184C">
        <w:rPr>
          <w:szCs w:val="18"/>
        </w:rPr>
        <w:t xml:space="preserve">Covert </w:t>
      </w:r>
      <w:r>
        <w:rPr>
          <w:szCs w:val="18"/>
        </w:rPr>
        <w:t>d</w:t>
      </w:r>
      <w:r w:rsidRPr="003B184C">
        <w:rPr>
          <w:szCs w:val="18"/>
        </w:rPr>
        <w:t xml:space="preserve">erogations and </w:t>
      </w:r>
      <w:r>
        <w:rPr>
          <w:szCs w:val="18"/>
        </w:rPr>
        <w:t>j</w:t>
      </w:r>
      <w:r w:rsidRPr="003B184C">
        <w:rPr>
          <w:szCs w:val="18"/>
        </w:rPr>
        <w:t xml:space="preserve">udicial </w:t>
      </w:r>
      <w:r>
        <w:rPr>
          <w:szCs w:val="18"/>
        </w:rPr>
        <w:t>d</w:t>
      </w:r>
      <w:r w:rsidRPr="003B184C">
        <w:rPr>
          <w:szCs w:val="18"/>
        </w:rPr>
        <w:t xml:space="preserve">eference: </w:t>
      </w:r>
      <w:r>
        <w:rPr>
          <w:szCs w:val="18"/>
        </w:rPr>
        <w:t>r</w:t>
      </w:r>
      <w:r w:rsidRPr="003B184C">
        <w:rPr>
          <w:szCs w:val="18"/>
        </w:rPr>
        <w:t xml:space="preserve">edefining </w:t>
      </w:r>
      <w:r>
        <w:rPr>
          <w:szCs w:val="18"/>
        </w:rPr>
        <w:t>l</w:t>
      </w:r>
      <w:r w:rsidRPr="003B184C">
        <w:rPr>
          <w:szCs w:val="18"/>
        </w:rPr>
        <w:t xml:space="preserve">iberty and </w:t>
      </w:r>
      <w:r>
        <w:rPr>
          <w:szCs w:val="18"/>
        </w:rPr>
        <w:t>d</w:t>
      </w:r>
      <w:r w:rsidRPr="003B184C">
        <w:rPr>
          <w:szCs w:val="18"/>
        </w:rPr>
        <w:t xml:space="preserve">ue </w:t>
      </w:r>
      <w:r>
        <w:rPr>
          <w:szCs w:val="18"/>
        </w:rPr>
        <w:t>p</w:t>
      </w:r>
      <w:r w:rsidRPr="003B184C">
        <w:rPr>
          <w:szCs w:val="18"/>
        </w:rPr>
        <w:t xml:space="preserve">rocess </w:t>
      </w:r>
      <w:r>
        <w:rPr>
          <w:szCs w:val="18"/>
        </w:rPr>
        <w:t>r</w:t>
      </w:r>
      <w:r w:rsidRPr="003B184C">
        <w:rPr>
          <w:szCs w:val="18"/>
        </w:rPr>
        <w:t xml:space="preserve">ights in </w:t>
      </w:r>
      <w:r>
        <w:rPr>
          <w:szCs w:val="18"/>
        </w:rPr>
        <w:t>c</w:t>
      </w:r>
      <w:r w:rsidRPr="003B184C">
        <w:rPr>
          <w:szCs w:val="18"/>
        </w:rPr>
        <w:t xml:space="preserve">ounterterrorism </w:t>
      </w:r>
      <w:r>
        <w:rPr>
          <w:szCs w:val="18"/>
        </w:rPr>
        <w:t>l</w:t>
      </w:r>
      <w:r w:rsidRPr="003B184C">
        <w:rPr>
          <w:szCs w:val="18"/>
        </w:rPr>
        <w:t xml:space="preserve">aw and </w:t>
      </w:r>
      <w:r>
        <w:rPr>
          <w:szCs w:val="18"/>
        </w:rPr>
        <w:t>b</w:t>
      </w:r>
      <w:r w:rsidRPr="003B184C">
        <w:rPr>
          <w:szCs w:val="18"/>
        </w:rPr>
        <w:t>eyond</w:t>
      </w:r>
      <w:r>
        <w:rPr>
          <w:szCs w:val="18"/>
        </w:rPr>
        <w:t>”</w:t>
      </w:r>
      <w:r w:rsidRPr="003B184C">
        <w:rPr>
          <w:szCs w:val="18"/>
        </w:rPr>
        <w:t xml:space="preserve">, </w:t>
      </w:r>
      <w:r w:rsidRPr="002137B1">
        <w:rPr>
          <w:i/>
          <w:iCs/>
          <w:szCs w:val="18"/>
        </w:rPr>
        <w:t>Mc</w:t>
      </w:r>
      <w:r w:rsidRPr="002137B1">
        <w:rPr>
          <w:i/>
          <w:iCs/>
          <w:smallCaps/>
          <w:szCs w:val="18"/>
        </w:rPr>
        <w:t>G</w:t>
      </w:r>
      <w:r w:rsidRPr="002137B1">
        <w:rPr>
          <w:i/>
          <w:iCs/>
          <w:szCs w:val="18"/>
        </w:rPr>
        <w:t>ill Law Journal</w:t>
      </w:r>
      <w:r>
        <w:rPr>
          <w:i/>
          <w:iCs/>
          <w:szCs w:val="18"/>
        </w:rPr>
        <w:t>,</w:t>
      </w:r>
      <w:r>
        <w:rPr>
          <w:szCs w:val="18"/>
        </w:rPr>
        <w:t xml:space="preserve"> vol. 56, No. 4 </w:t>
      </w:r>
      <w:r w:rsidRPr="003B184C">
        <w:rPr>
          <w:szCs w:val="18"/>
        </w:rPr>
        <w:t>(</w:t>
      </w:r>
      <w:r>
        <w:rPr>
          <w:szCs w:val="18"/>
        </w:rPr>
        <w:t xml:space="preserve">June </w:t>
      </w:r>
      <w:r w:rsidRPr="003B184C">
        <w:rPr>
          <w:szCs w:val="18"/>
        </w:rPr>
        <w:t>2011)</w:t>
      </w:r>
      <w:r>
        <w:rPr>
          <w:szCs w:val="18"/>
        </w:rPr>
        <w:t>, p. 863</w:t>
      </w:r>
      <w:r w:rsidRPr="003B184C">
        <w:rPr>
          <w:szCs w:val="18"/>
        </w:rPr>
        <w:t xml:space="preserve">. </w:t>
      </w:r>
    </w:p>
  </w:footnote>
  <w:footnote w:id="28">
    <w:p w14:paraId="29E2CECC" w14:textId="4182D0DB" w:rsidR="00102747" w:rsidRPr="003B184C" w:rsidRDefault="00102747" w:rsidP="00A31265">
      <w:pPr>
        <w:pStyle w:val="FootnoteText"/>
        <w:jc w:val="both"/>
        <w:rPr>
          <w:szCs w:val="18"/>
        </w:rPr>
      </w:pPr>
      <w:r w:rsidRPr="003B184C">
        <w:rPr>
          <w:szCs w:val="18"/>
        </w:rPr>
        <w:tab/>
      </w:r>
      <w:r w:rsidRPr="003B184C">
        <w:rPr>
          <w:rStyle w:val="FootnoteReference"/>
          <w:rFonts w:eastAsiaTheme="majorEastAsia"/>
          <w:szCs w:val="18"/>
        </w:rPr>
        <w:footnoteRef/>
      </w:r>
      <w:r>
        <w:rPr>
          <w:szCs w:val="18"/>
        </w:rPr>
        <w:tab/>
        <w:t>I</w:t>
      </w:r>
      <w:r w:rsidRPr="002137B1">
        <w:rPr>
          <w:iCs/>
          <w:szCs w:val="18"/>
        </w:rPr>
        <w:t>bid</w:t>
      </w:r>
      <w:r w:rsidRPr="003B184C">
        <w:rPr>
          <w:szCs w:val="18"/>
        </w:rPr>
        <w:t xml:space="preserve">, </w:t>
      </w:r>
      <w:r>
        <w:rPr>
          <w:szCs w:val="18"/>
        </w:rPr>
        <w:t xml:space="preserve">p. </w:t>
      </w:r>
      <w:r w:rsidRPr="003B184C">
        <w:rPr>
          <w:szCs w:val="18"/>
        </w:rPr>
        <w:t>867.</w:t>
      </w:r>
    </w:p>
  </w:footnote>
  <w:footnote w:id="29">
    <w:p w14:paraId="7D243AE7" w14:textId="6F38A005" w:rsidR="00102747" w:rsidRPr="00127799" w:rsidRDefault="00102747">
      <w:pPr>
        <w:pStyle w:val="FootnoteText"/>
        <w:rPr>
          <w:szCs w:val="18"/>
        </w:rPr>
      </w:pPr>
      <w:r w:rsidRPr="003B184C">
        <w:rPr>
          <w:szCs w:val="18"/>
        </w:rPr>
        <w:tab/>
      </w:r>
      <w:r w:rsidRPr="003B184C">
        <w:rPr>
          <w:rStyle w:val="FootnoteReference"/>
          <w:rFonts w:eastAsiaTheme="majorEastAsia"/>
          <w:szCs w:val="18"/>
        </w:rPr>
        <w:footnoteRef/>
      </w:r>
      <w:r w:rsidRPr="003B184C">
        <w:rPr>
          <w:szCs w:val="18"/>
        </w:rPr>
        <w:tab/>
      </w:r>
      <w:r>
        <w:rPr>
          <w:szCs w:val="18"/>
        </w:rPr>
        <w:t xml:space="preserve">See Kent Roach, ed., </w:t>
      </w:r>
      <w:r w:rsidRPr="002137B1">
        <w:rPr>
          <w:i/>
          <w:iCs/>
          <w:szCs w:val="18"/>
        </w:rPr>
        <w:t>Comparative Counter-Terrorism Law</w:t>
      </w:r>
      <w:r>
        <w:rPr>
          <w:szCs w:val="18"/>
        </w:rPr>
        <w:t xml:space="preserve"> (Cambridge University Press, </w:t>
      </w:r>
      <w:r w:rsidRPr="00127799">
        <w:rPr>
          <w:szCs w:val="18"/>
        </w:rPr>
        <w:t>2015)</w:t>
      </w:r>
      <w:r>
        <w:rPr>
          <w:szCs w:val="18"/>
        </w:rPr>
        <w:t>.</w:t>
      </w:r>
    </w:p>
  </w:footnote>
  <w:footnote w:id="30">
    <w:p w14:paraId="71F4A51A" w14:textId="323AADFE" w:rsidR="00102747" w:rsidRPr="002137B1" w:rsidRDefault="00102747" w:rsidP="00C956BA">
      <w:pPr>
        <w:pStyle w:val="FootnoteText"/>
        <w:rPr>
          <w:szCs w:val="18"/>
          <w:lang w:val="en-US"/>
        </w:rPr>
      </w:pPr>
      <w:r w:rsidRPr="00127799">
        <w:rPr>
          <w:szCs w:val="18"/>
        </w:rPr>
        <w:tab/>
      </w:r>
      <w:r w:rsidRPr="00127799">
        <w:rPr>
          <w:rStyle w:val="FootnoteReference"/>
          <w:rFonts w:eastAsiaTheme="majorEastAsia"/>
          <w:szCs w:val="18"/>
        </w:rPr>
        <w:footnoteRef/>
      </w:r>
      <w:r w:rsidRPr="00127799">
        <w:rPr>
          <w:szCs w:val="18"/>
        </w:rPr>
        <w:tab/>
      </w:r>
      <w:r>
        <w:rPr>
          <w:szCs w:val="18"/>
        </w:rPr>
        <w:t>I</w:t>
      </w:r>
      <w:r w:rsidRPr="00127799">
        <w:rPr>
          <w:szCs w:val="18"/>
        </w:rPr>
        <w:t xml:space="preserve">n examining a </w:t>
      </w:r>
      <w:r>
        <w:rPr>
          <w:szCs w:val="18"/>
        </w:rPr>
        <w:t>21-</w:t>
      </w:r>
      <w:r w:rsidRPr="00127799">
        <w:rPr>
          <w:szCs w:val="18"/>
        </w:rPr>
        <w:t>year emergency in Egypt</w:t>
      </w:r>
      <w:r>
        <w:rPr>
          <w:szCs w:val="18"/>
        </w:rPr>
        <w:t>,</w:t>
      </w:r>
      <w:r w:rsidRPr="00127799">
        <w:rPr>
          <w:szCs w:val="18"/>
        </w:rPr>
        <w:t xml:space="preserve"> </w:t>
      </w:r>
      <w:r>
        <w:rPr>
          <w:szCs w:val="18"/>
        </w:rPr>
        <w:t xml:space="preserve">in 2002, </w:t>
      </w:r>
      <w:r w:rsidRPr="00127799">
        <w:rPr>
          <w:szCs w:val="18"/>
        </w:rPr>
        <w:t>the Human Rights Committee</w:t>
      </w:r>
      <w:r>
        <w:rPr>
          <w:szCs w:val="18"/>
        </w:rPr>
        <w:t xml:space="preserve"> </w:t>
      </w:r>
      <w:r w:rsidRPr="00127799">
        <w:rPr>
          <w:szCs w:val="18"/>
        </w:rPr>
        <w:t xml:space="preserve">urged </w:t>
      </w:r>
      <w:r>
        <w:rPr>
          <w:szCs w:val="18"/>
        </w:rPr>
        <w:t>the S</w:t>
      </w:r>
      <w:r w:rsidRPr="00127799">
        <w:rPr>
          <w:szCs w:val="18"/>
        </w:rPr>
        <w:t xml:space="preserve">tate </w:t>
      </w:r>
      <w:r>
        <w:rPr>
          <w:szCs w:val="18"/>
        </w:rPr>
        <w:t>p</w:t>
      </w:r>
      <w:r w:rsidRPr="00127799">
        <w:rPr>
          <w:szCs w:val="18"/>
        </w:rPr>
        <w:t>arty to consider reviewing the need to maintain the state of emergency</w:t>
      </w:r>
      <w:r>
        <w:rPr>
          <w:szCs w:val="18"/>
        </w:rPr>
        <w:t xml:space="preserve"> (</w:t>
      </w:r>
      <w:r w:rsidRPr="00127799">
        <w:rPr>
          <w:szCs w:val="18"/>
        </w:rPr>
        <w:t>CCPR/CO/76/EGY, para</w:t>
      </w:r>
      <w:r>
        <w:rPr>
          <w:szCs w:val="18"/>
        </w:rPr>
        <w:t>.</w:t>
      </w:r>
      <w:r w:rsidRPr="00127799">
        <w:rPr>
          <w:szCs w:val="18"/>
        </w:rPr>
        <w:t xml:space="preserve"> 6). In considering the </w:t>
      </w:r>
      <w:r>
        <w:rPr>
          <w:szCs w:val="18"/>
        </w:rPr>
        <w:t>38-</w:t>
      </w:r>
      <w:r w:rsidRPr="00127799">
        <w:rPr>
          <w:szCs w:val="18"/>
        </w:rPr>
        <w:t xml:space="preserve">year emergency in </w:t>
      </w:r>
      <w:r>
        <w:rPr>
          <w:szCs w:val="18"/>
        </w:rPr>
        <w:t xml:space="preserve">the </w:t>
      </w:r>
      <w:r w:rsidRPr="00127799">
        <w:rPr>
          <w:szCs w:val="18"/>
        </w:rPr>
        <w:t>Syria</w:t>
      </w:r>
      <w:r>
        <w:rPr>
          <w:szCs w:val="18"/>
        </w:rPr>
        <w:t>n Arab Republic</w:t>
      </w:r>
      <w:r w:rsidRPr="00127799">
        <w:rPr>
          <w:szCs w:val="18"/>
        </w:rPr>
        <w:t xml:space="preserve">, </w:t>
      </w:r>
      <w:r>
        <w:rPr>
          <w:szCs w:val="18"/>
        </w:rPr>
        <w:t xml:space="preserve">in 2001, </w:t>
      </w:r>
      <w:r w:rsidRPr="00127799">
        <w:rPr>
          <w:szCs w:val="18"/>
        </w:rPr>
        <w:t xml:space="preserve">the Committee recommended that the </w:t>
      </w:r>
      <w:r>
        <w:rPr>
          <w:szCs w:val="18"/>
        </w:rPr>
        <w:t>state of</w:t>
      </w:r>
      <w:r w:rsidRPr="00127799">
        <w:rPr>
          <w:szCs w:val="18"/>
        </w:rPr>
        <w:t xml:space="preserve"> emergency be formally lifted as soon as possible</w:t>
      </w:r>
      <w:r>
        <w:rPr>
          <w:szCs w:val="18"/>
        </w:rPr>
        <w:t xml:space="preserve"> (</w:t>
      </w:r>
      <w:r w:rsidRPr="00127799">
        <w:rPr>
          <w:szCs w:val="18"/>
        </w:rPr>
        <w:t>CCPR/CO/71/SYR, para</w:t>
      </w:r>
      <w:r>
        <w:rPr>
          <w:szCs w:val="18"/>
        </w:rPr>
        <w:t>.</w:t>
      </w:r>
      <w:r w:rsidRPr="00127799">
        <w:rPr>
          <w:szCs w:val="18"/>
        </w:rPr>
        <w:t xml:space="preserve"> 6). </w:t>
      </w:r>
      <w:r>
        <w:rPr>
          <w:szCs w:val="18"/>
        </w:rPr>
        <w:t>In relation to India, in 1997, t</w:t>
      </w:r>
      <w:r w:rsidRPr="00127799">
        <w:rPr>
          <w:szCs w:val="18"/>
        </w:rPr>
        <w:t>he Committee regretted that some parts of the country ha</w:t>
      </w:r>
      <w:r>
        <w:rPr>
          <w:szCs w:val="18"/>
        </w:rPr>
        <w:t>d</w:t>
      </w:r>
      <w:r w:rsidRPr="00127799">
        <w:rPr>
          <w:szCs w:val="18"/>
        </w:rPr>
        <w:t xml:space="preserve"> remained subject to declaration as disturbed areas for many years</w:t>
      </w:r>
      <w:r>
        <w:rPr>
          <w:szCs w:val="18"/>
        </w:rPr>
        <w:t>. F</w:t>
      </w:r>
      <w:r w:rsidRPr="00127799">
        <w:rPr>
          <w:szCs w:val="18"/>
        </w:rPr>
        <w:t>or example, the Armed Forces (Special Powers) Act ha</w:t>
      </w:r>
      <w:r>
        <w:rPr>
          <w:szCs w:val="18"/>
        </w:rPr>
        <w:t>d</w:t>
      </w:r>
      <w:r w:rsidRPr="00127799">
        <w:rPr>
          <w:szCs w:val="18"/>
        </w:rPr>
        <w:t xml:space="preserve"> been applied throughout </w:t>
      </w:r>
      <w:r>
        <w:rPr>
          <w:szCs w:val="18"/>
        </w:rPr>
        <w:t>one state for over 17 years (</w:t>
      </w:r>
      <w:r w:rsidRPr="00127799">
        <w:rPr>
          <w:szCs w:val="18"/>
        </w:rPr>
        <w:t>since 1980</w:t>
      </w:r>
      <w:r>
        <w:rPr>
          <w:szCs w:val="18"/>
        </w:rPr>
        <w:t xml:space="preserve">) </w:t>
      </w:r>
      <w:r w:rsidRPr="00127799">
        <w:rPr>
          <w:szCs w:val="18"/>
        </w:rPr>
        <w:t xml:space="preserve">and that in those areas </w:t>
      </w:r>
      <w:r>
        <w:rPr>
          <w:szCs w:val="18"/>
        </w:rPr>
        <w:t>S</w:t>
      </w:r>
      <w:r w:rsidRPr="00127799">
        <w:rPr>
          <w:szCs w:val="18"/>
        </w:rPr>
        <w:t xml:space="preserve">tate </w:t>
      </w:r>
      <w:r>
        <w:rPr>
          <w:szCs w:val="18"/>
        </w:rPr>
        <w:t>p</w:t>
      </w:r>
      <w:r w:rsidRPr="00127799">
        <w:rPr>
          <w:szCs w:val="18"/>
        </w:rPr>
        <w:t xml:space="preserve">arty </w:t>
      </w:r>
      <w:r>
        <w:rPr>
          <w:szCs w:val="18"/>
        </w:rPr>
        <w:t>wa</w:t>
      </w:r>
      <w:r w:rsidRPr="00127799">
        <w:rPr>
          <w:szCs w:val="18"/>
        </w:rPr>
        <w:t>s in effect using emergency powers without resorting to article 4, paragraph 3 of the Covenant</w:t>
      </w:r>
      <w:r>
        <w:rPr>
          <w:szCs w:val="18"/>
        </w:rPr>
        <w:t xml:space="preserve"> (CCPR/C/79/Add.81, para. 19)</w:t>
      </w:r>
      <w:r w:rsidRPr="00127799">
        <w:rPr>
          <w:szCs w:val="18"/>
        </w:rPr>
        <w:t>.</w:t>
      </w:r>
      <w:r>
        <w:rPr>
          <w:szCs w:val="18"/>
        </w:rPr>
        <w:t xml:space="preserve"> </w:t>
      </w:r>
      <w:r w:rsidRPr="00127799">
        <w:rPr>
          <w:szCs w:val="18"/>
        </w:rPr>
        <w:t xml:space="preserve">The Committee has also more generally called out the resort to de facto emergencies by </w:t>
      </w:r>
      <w:r>
        <w:rPr>
          <w:szCs w:val="18"/>
        </w:rPr>
        <w:t>S</w:t>
      </w:r>
      <w:r w:rsidRPr="00127799">
        <w:rPr>
          <w:szCs w:val="18"/>
        </w:rPr>
        <w:t>tates</w:t>
      </w:r>
      <w:r w:rsidR="00C956BA">
        <w:rPr>
          <w:szCs w:val="18"/>
        </w:rPr>
        <w:t>. S</w:t>
      </w:r>
      <w:r w:rsidRPr="002137B1">
        <w:rPr>
          <w:szCs w:val="18"/>
          <w:lang w:val="en-US"/>
        </w:rPr>
        <w:t>ee CCPR/C/79/Add 42, para. 9; CCPR/C/79/Add.62, para. 11</w:t>
      </w:r>
      <w:r w:rsidRPr="0060215C">
        <w:rPr>
          <w:szCs w:val="18"/>
          <w:lang w:val="en-US"/>
        </w:rPr>
        <w:t xml:space="preserve">; </w:t>
      </w:r>
      <w:r w:rsidR="00C956BA">
        <w:rPr>
          <w:szCs w:val="18"/>
          <w:lang w:val="en-US"/>
        </w:rPr>
        <w:t xml:space="preserve">and </w:t>
      </w:r>
      <w:r w:rsidRPr="0060215C">
        <w:rPr>
          <w:szCs w:val="18"/>
          <w:lang w:val="en-US"/>
        </w:rPr>
        <w:t>CCPR/C/79/Add.</w:t>
      </w:r>
      <w:r w:rsidR="0060215C">
        <w:rPr>
          <w:szCs w:val="18"/>
          <w:lang w:val="en-US"/>
        </w:rPr>
        <w:t>1</w:t>
      </w:r>
      <w:r w:rsidRPr="0060215C">
        <w:rPr>
          <w:szCs w:val="18"/>
          <w:lang w:val="en-US"/>
        </w:rPr>
        <w:t>9</w:t>
      </w:r>
      <w:r w:rsidRPr="002137B1">
        <w:rPr>
          <w:szCs w:val="18"/>
          <w:lang w:val="en-US"/>
        </w:rPr>
        <w:t>, para. 8.</w:t>
      </w:r>
    </w:p>
  </w:footnote>
  <w:footnote w:id="31">
    <w:p w14:paraId="516ED9F2" w14:textId="70766ADF" w:rsidR="00102747" w:rsidRPr="002137B1" w:rsidRDefault="00102747" w:rsidP="00A31265">
      <w:pPr>
        <w:pStyle w:val="FootnoteText"/>
        <w:jc w:val="both"/>
        <w:rPr>
          <w:szCs w:val="18"/>
          <w:lang w:val="en-US"/>
        </w:rPr>
      </w:pPr>
      <w:r w:rsidRPr="002137B1">
        <w:rPr>
          <w:szCs w:val="18"/>
          <w:lang w:val="en-US"/>
        </w:rPr>
        <w:tab/>
      </w:r>
      <w:r w:rsidRPr="00127799">
        <w:rPr>
          <w:rStyle w:val="FootnoteReference"/>
          <w:rFonts w:eastAsiaTheme="majorEastAsia"/>
          <w:szCs w:val="18"/>
        </w:rPr>
        <w:footnoteRef/>
      </w:r>
      <w:r w:rsidRPr="002137B1">
        <w:rPr>
          <w:szCs w:val="18"/>
          <w:lang w:val="en-US"/>
        </w:rPr>
        <w:tab/>
        <w:t xml:space="preserve">See the Committee’s general </w:t>
      </w:r>
      <w:r>
        <w:rPr>
          <w:szCs w:val="18"/>
          <w:lang w:val="en-US"/>
        </w:rPr>
        <w:t>c</w:t>
      </w:r>
      <w:r w:rsidRPr="002137B1">
        <w:rPr>
          <w:szCs w:val="18"/>
          <w:lang w:val="en-US"/>
        </w:rPr>
        <w:t>omment</w:t>
      </w:r>
      <w:r>
        <w:rPr>
          <w:szCs w:val="18"/>
          <w:lang w:val="en-US"/>
        </w:rPr>
        <w:t xml:space="preserve"> No. 29</w:t>
      </w:r>
      <w:r w:rsidRPr="002137B1">
        <w:rPr>
          <w:szCs w:val="18"/>
          <w:lang w:val="en-US"/>
        </w:rPr>
        <w:t>, para. 6. See also, general comment No. 35 (2014) on liberty and security of person, para</w:t>
      </w:r>
      <w:r>
        <w:rPr>
          <w:szCs w:val="18"/>
          <w:lang w:val="en-US"/>
        </w:rPr>
        <w:t>s.</w:t>
      </w:r>
      <w:r w:rsidRPr="002137B1">
        <w:rPr>
          <w:szCs w:val="18"/>
          <w:lang w:val="en-US"/>
        </w:rPr>
        <w:t xml:space="preserve"> 65</w:t>
      </w:r>
      <w:r>
        <w:rPr>
          <w:szCs w:val="18"/>
          <w:lang w:val="en-US"/>
        </w:rPr>
        <w:t>–</w:t>
      </w:r>
      <w:r w:rsidRPr="002137B1">
        <w:rPr>
          <w:szCs w:val="18"/>
          <w:lang w:val="en-US"/>
        </w:rPr>
        <w:t>66.</w:t>
      </w:r>
    </w:p>
  </w:footnote>
  <w:footnote w:id="32">
    <w:p w14:paraId="24ABEA5D" w14:textId="35C11875" w:rsidR="00102747" w:rsidRPr="002137B1" w:rsidRDefault="00102747" w:rsidP="00242721">
      <w:pPr>
        <w:pStyle w:val="FootnoteText"/>
        <w:jc w:val="both"/>
        <w:rPr>
          <w:szCs w:val="18"/>
          <w:lang w:val="en-US"/>
        </w:rPr>
      </w:pPr>
      <w:r w:rsidRPr="002137B1">
        <w:rPr>
          <w:szCs w:val="18"/>
          <w:lang w:val="en-US"/>
        </w:rPr>
        <w:tab/>
      </w:r>
      <w:r w:rsidRPr="00127799">
        <w:rPr>
          <w:rStyle w:val="FootnoteReference"/>
          <w:rFonts w:eastAsiaTheme="majorEastAsia"/>
          <w:szCs w:val="18"/>
        </w:rPr>
        <w:footnoteRef/>
      </w:r>
      <w:r w:rsidRPr="002137B1">
        <w:rPr>
          <w:szCs w:val="18"/>
          <w:lang w:val="en-US"/>
        </w:rPr>
        <w:tab/>
        <w:t>See Inter-American Court o</w:t>
      </w:r>
      <w:r>
        <w:rPr>
          <w:szCs w:val="18"/>
          <w:lang w:val="en-US"/>
        </w:rPr>
        <w:t xml:space="preserve">f Human Rights, </w:t>
      </w:r>
      <w:r w:rsidRPr="00062800">
        <w:rPr>
          <w:i/>
          <w:iCs/>
          <w:szCs w:val="18"/>
        </w:rPr>
        <w:t>Judicial Gua</w:t>
      </w:r>
      <w:r w:rsidRPr="007C0616">
        <w:rPr>
          <w:i/>
          <w:iCs/>
          <w:szCs w:val="18"/>
        </w:rPr>
        <w:t>rantees</w:t>
      </w:r>
      <w:r w:rsidRPr="002137B1">
        <w:rPr>
          <w:i/>
          <w:iCs/>
          <w:szCs w:val="18"/>
        </w:rPr>
        <w:t xml:space="preserve"> in States of Emergency</w:t>
      </w:r>
      <w:r>
        <w:rPr>
          <w:i/>
          <w:iCs/>
          <w:szCs w:val="18"/>
        </w:rPr>
        <w:t xml:space="preserve"> (Arts. 27(2), 25 and 8 of the American Convention on Human Rights)</w:t>
      </w:r>
      <w:r w:rsidRPr="00127799">
        <w:rPr>
          <w:szCs w:val="18"/>
        </w:rPr>
        <w:t xml:space="preserve">, </w:t>
      </w:r>
      <w:r w:rsidRPr="002137B1">
        <w:rPr>
          <w:i/>
          <w:iCs/>
          <w:szCs w:val="18"/>
        </w:rPr>
        <w:t>Advisory Opinion OC-9/87</w:t>
      </w:r>
      <w:r>
        <w:rPr>
          <w:i/>
          <w:iCs/>
          <w:szCs w:val="18"/>
        </w:rPr>
        <w:t xml:space="preserve"> </w:t>
      </w:r>
      <w:r>
        <w:rPr>
          <w:szCs w:val="18"/>
        </w:rPr>
        <w:t>(October 1987)</w:t>
      </w:r>
      <w:r w:rsidRPr="002137B1">
        <w:rPr>
          <w:szCs w:val="18"/>
        </w:rPr>
        <w:t xml:space="preserve"> </w:t>
      </w:r>
      <w:r>
        <w:rPr>
          <w:szCs w:val="18"/>
        </w:rPr>
        <w:t>(</w:t>
      </w:r>
      <w:r w:rsidRPr="00127799">
        <w:rPr>
          <w:szCs w:val="18"/>
        </w:rPr>
        <w:t>OEA/</w:t>
      </w:r>
      <w:r>
        <w:rPr>
          <w:szCs w:val="18"/>
        </w:rPr>
        <w:t>S</w:t>
      </w:r>
      <w:r w:rsidRPr="00127799">
        <w:rPr>
          <w:szCs w:val="18"/>
        </w:rPr>
        <w:t>er.L/VI/111.9</w:t>
      </w:r>
      <w:r>
        <w:rPr>
          <w:szCs w:val="18"/>
        </w:rPr>
        <w:t>,</w:t>
      </w:r>
      <w:r w:rsidRPr="00127799">
        <w:rPr>
          <w:szCs w:val="18"/>
        </w:rPr>
        <w:t xml:space="preserve"> doc</w:t>
      </w:r>
      <w:r>
        <w:rPr>
          <w:szCs w:val="18"/>
        </w:rPr>
        <w:t>.</w:t>
      </w:r>
      <w:r w:rsidRPr="00127799">
        <w:rPr>
          <w:szCs w:val="18"/>
        </w:rPr>
        <w:t xml:space="preserve"> 13</w:t>
      </w:r>
      <w:r>
        <w:rPr>
          <w:szCs w:val="18"/>
        </w:rPr>
        <w:t>), p. 40</w:t>
      </w:r>
      <w:r w:rsidRPr="00127799">
        <w:rPr>
          <w:szCs w:val="18"/>
        </w:rPr>
        <w:t>;</w:t>
      </w:r>
      <w:r>
        <w:rPr>
          <w:szCs w:val="18"/>
        </w:rPr>
        <w:t xml:space="preserve"> and</w:t>
      </w:r>
      <w:r w:rsidRPr="00127799">
        <w:rPr>
          <w:szCs w:val="18"/>
        </w:rPr>
        <w:t xml:space="preserve"> </w:t>
      </w:r>
      <w:r w:rsidRPr="002137B1">
        <w:rPr>
          <w:i/>
          <w:iCs/>
          <w:szCs w:val="18"/>
        </w:rPr>
        <w:t>Habeas Corpus in Emergency Situations</w:t>
      </w:r>
      <w:r>
        <w:rPr>
          <w:i/>
          <w:iCs/>
          <w:szCs w:val="18"/>
        </w:rPr>
        <w:t xml:space="preserve"> (Arts. 27(2), 25(1) and 7(6) of the American Convention on Human Rights)</w:t>
      </w:r>
      <w:r w:rsidRPr="00127799">
        <w:rPr>
          <w:szCs w:val="18"/>
        </w:rPr>
        <w:t>,</w:t>
      </w:r>
      <w:r>
        <w:rPr>
          <w:szCs w:val="18"/>
        </w:rPr>
        <w:t xml:space="preserve"> </w:t>
      </w:r>
      <w:r w:rsidRPr="002137B1">
        <w:rPr>
          <w:i/>
          <w:iCs/>
          <w:szCs w:val="18"/>
        </w:rPr>
        <w:t>Advisory Opinion OC-8/87</w:t>
      </w:r>
      <w:r>
        <w:rPr>
          <w:szCs w:val="18"/>
        </w:rPr>
        <w:t xml:space="preserve"> (January 1987)</w:t>
      </w:r>
      <w:r>
        <w:rPr>
          <w:szCs w:val="18"/>
          <w:lang w:val="en-US"/>
        </w:rPr>
        <w:t xml:space="preserve"> (</w:t>
      </w:r>
      <w:r w:rsidRPr="002137B1">
        <w:rPr>
          <w:szCs w:val="18"/>
          <w:lang w:val="en-US"/>
        </w:rPr>
        <w:t>OEA/</w:t>
      </w:r>
      <w:r>
        <w:rPr>
          <w:szCs w:val="18"/>
          <w:lang w:val="en-US"/>
        </w:rPr>
        <w:t>S</w:t>
      </w:r>
      <w:r w:rsidRPr="002137B1">
        <w:rPr>
          <w:szCs w:val="18"/>
          <w:lang w:val="en-US"/>
        </w:rPr>
        <w:t>er.L/V/111.17</w:t>
      </w:r>
      <w:r>
        <w:rPr>
          <w:szCs w:val="18"/>
          <w:lang w:val="en-US"/>
        </w:rPr>
        <w:t>,</w:t>
      </w:r>
      <w:r w:rsidRPr="002137B1">
        <w:rPr>
          <w:szCs w:val="18"/>
          <w:lang w:val="en-US"/>
        </w:rPr>
        <w:t xml:space="preserve"> doc. 13</w:t>
      </w:r>
      <w:r>
        <w:rPr>
          <w:szCs w:val="18"/>
          <w:lang w:val="en-US"/>
        </w:rPr>
        <w:t>), p. 33</w:t>
      </w:r>
      <w:r w:rsidRPr="002137B1">
        <w:rPr>
          <w:szCs w:val="18"/>
          <w:lang w:val="en-US"/>
        </w:rPr>
        <w:t>.</w:t>
      </w:r>
    </w:p>
  </w:footnote>
  <w:footnote w:id="33">
    <w:p w14:paraId="724AB644" w14:textId="677FC40C" w:rsidR="00102747" w:rsidRPr="002137B1" w:rsidRDefault="00102747">
      <w:pPr>
        <w:pStyle w:val="FootnoteText"/>
        <w:rPr>
          <w:szCs w:val="18"/>
          <w:lang w:val="en-US"/>
        </w:rPr>
      </w:pPr>
      <w:r w:rsidRPr="002137B1">
        <w:rPr>
          <w:szCs w:val="18"/>
          <w:lang w:val="en-US"/>
        </w:rPr>
        <w:tab/>
      </w:r>
      <w:r w:rsidRPr="00127799">
        <w:rPr>
          <w:rStyle w:val="FootnoteReference"/>
          <w:rFonts w:eastAsiaTheme="majorEastAsia"/>
          <w:szCs w:val="18"/>
        </w:rPr>
        <w:footnoteRef/>
      </w:r>
      <w:r w:rsidRPr="002137B1">
        <w:rPr>
          <w:szCs w:val="18"/>
          <w:lang w:val="en-US"/>
        </w:rPr>
        <w:tab/>
      </w:r>
      <w:r>
        <w:rPr>
          <w:szCs w:val="18"/>
          <w:lang w:val="en-US"/>
        </w:rPr>
        <w:t>See Human Rights Committee g</w:t>
      </w:r>
      <w:r w:rsidRPr="002137B1">
        <w:rPr>
          <w:szCs w:val="18"/>
          <w:lang w:val="en-US"/>
        </w:rPr>
        <w:t xml:space="preserve">eneral </w:t>
      </w:r>
      <w:r>
        <w:rPr>
          <w:szCs w:val="18"/>
          <w:lang w:val="en-US"/>
        </w:rPr>
        <w:t>c</w:t>
      </w:r>
      <w:r w:rsidRPr="002137B1">
        <w:rPr>
          <w:szCs w:val="18"/>
          <w:lang w:val="en-US"/>
        </w:rPr>
        <w:t xml:space="preserve">omment </w:t>
      </w:r>
      <w:r>
        <w:rPr>
          <w:szCs w:val="18"/>
          <w:lang w:val="en-US"/>
        </w:rPr>
        <w:t xml:space="preserve">No. </w:t>
      </w:r>
      <w:r w:rsidRPr="002137B1">
        <w:rPr>
          <w:szCs w:val="18"/>
          <w:lang w:val="en-US"/>
        </w:rPr>
        <w:t>29, para. 11.</w:t>
      </w:r>
    </w:p>
  </w:footnote>
  <w:footnote w:id="34">
    <w:p w14:paraId="373F4FA8" w14:textId="000374A4" w:rsidR="00102747" w:rsidRPr="002137B1" w:rsidRDefault="00102747" w:rsidP="00E72FBC">
      <w:pPr>
        <w:pStyle w:val="FootnoteText"/>
        <w:jc w:val="both"/>
        <w:rPr>
          <w:szCs w:val="18"/>
          <w:lang w:val="en-US"/>
        </w:rPr>
      </w:pPr>
      <w:r w:rsidRPr="002137B1">
        <w:rPr>
          <w:szCs w:val="18"/>
          <w:lang w:val="en-US"/>
        </w:rPr>
        <w:tab/>
      </w:r>
      <w:r w:rsidRPr="00317169">
        <w:rPr>
          <w:rStyle w:val="FootnoteReference"/>
          <w:rFonts w:eastAsiaTheme="majorEastAsia"/>
          <w:szCs w:val="18"/>
        </w:rPr>
        <w:footnoteRef/>
      </w:r>
      <w:r w:rsidRPr="002137B1">
        <w:rPr>
          <w:szCs w:val="18"/>
          <w:lang w:val="en-US"/>
        </w:rPr>
        <w:tab/>
      </w:r>
      <w:r>
        <w:rPr>
          <w:szCs w:val="18"/>
          <w:lang w:val="en-US"/>
        </w:rPr>
        <w:t xml:space="preserve">See the </w:t>
      </w:r>
      <w:r w:rsidRPr="002137B1">
        <w:rPr>
          <w:szCs w:val="18"/>
          <w:lang w:val="en-US"/>
        </w:rPr>
        <w:t>Siracusa Principles</w:t>
      </w:r>
      <w:r>
        <w:rPr>
          <w:szCs w:val="18"/>
          <w:lang w:val="en-US"/>
        </w:rPr>
        <w:t xml:space="preserve"> on the Limitation and derogation of Provisions in the International Covenant on Civil and Political Rights (E/CN.4/1985/4, annex)</w:t>
      </w:r>
      <w:r w:rsidRPr="002137B1">
        <w:rPr>
          <w:szCs w:val="18"/>
          <w:lang w:val="en-US"/>
        </w:rPr>
        <w:t xml:space="preserve">, </w:t>
      </w:r>
      <w:r>
        <w:rPr>
          <w:szCs w:val="18"/>
          <w:lang w:val="en-US"/>
        </w:rPr>
        <w:t xml:space="preserve">principle </w:t>
      </w:r>
      <w:r w:rsidRPr="002137B1">
        <w:rPr>
          <w:szCs w:val="18"/>
          <w:lang w:val="en-US"/>
        </w:rPr>
        <w:t>9.</w:t>
      </w:r>
    </w:p>
  </w:footnote>
  <w:footnote w:id="35">
    <w:p w14:paraId="12DFAABD" w14:textId="5279DCC3" w:rsidR="00102747" w:rsidRPr="00317169" w:rsidRDefault="00102747">
      <w:pPr>
        <w:pStyle w:val="FootnoteText"/>
        <w:rPr>
          <w:szCs w:val="18"/>
        </w:rPr>
      </w:pPr>
      <w:r w:rsidRPr="002137B1">
        <w:rPr>
          <w:szCs w:val="18"/>
          <w:lang w:val="en-US"/>
        </w:rPr>
        <w:tab/>
      </w:r>
      <w:r w:rsidRPr="00317169">
        <w:rPr>
          <w:rStyle w:val="FootnoteReference"/>
          <w:rFonts w:eastAsiaTheme="majorEastAsia"/>
          <w:szCs w:val="18"/>
        </w:rPr>
        <w:footnoteRef/>
      </w:r>
      <w:r>
        <w:rPr>
          <w:szCs w:val="18"/>
        </w:rPr>
        <w:tab/>
      </w:r>
      <w:r w:rsidRPr="009A3D10">
        <w:rPr>
          <w:szCs w:val="18"/>
        </w:rPr>
        <w:t>Oren Gross</w:t>
      </w:r>
      <w:r w:rsidRPr="00317169">
        <w:rPr>
          <w:szCs w:val="18"/>
        </w:rPr>
        <w:t xml:space="preserve"> and Fionnuala Ní Aoláin, </w:t>
      </w:r>
      <w:r>
        <w:rPr>
          <w:szCs w:val="18"/>
        </w:rPr>
        <w:t>“</w:t>
      </w:r>
      <w:r w:rsidRPr="00317169">
        <w:rPr>
          <w:szCs w:val="18"/>
        </w:rPr>
        <w:t xml:space="preserve">From </w:t>
      </w:r>
      <w:r>
        <w:rPr>
          <w:szCs w:val="18"/>
        </w:rPr>
        <w:t>d</w:t>
      </w:r>
      <w:r w:rsidRPr="00317169">
        <w:rPr>
          <w:szCs w:val="18"/>
        </w:rPr>
        <w:t xml:space="preserve">iscretion to </w:t>
      </w:r>
      <w:r>
        <w:rPr>
          <w:szCs w:val="18"/>
        </w:rPr>
        <w:t>s</w:t>
      </w:r>
      <w:r w:rsidRPr="00317169">
        <w:rPr>
          <w:szCs w:val="18"/>
        </w:rPr>
        <w:t xml:space="preserve">crutiny: </w:t>
      </w:r>
      <w:r>
        <w:rPr>
          <w:szCs w:val="18"/>
        </w:rPr>
        <w:t>r</w:t>
      </w:r>
      <w:r w:rsidRPr="00317169">
        <w:rPr>
          <w:szCs w:val="18"/>
        </w:rPr>
        <w:t xml:space="preserve">evisiting the </w:t>
      </w:r>
      <w:r>
        <w:rPr>
          <w:szCs w:val="18"/>
        </w:rPr>
        <w:t>a</w:t>
      </w:r>
      <w:r w:rsidRPr="00317169">
        <w:rPr>
          <w:szCs w:val="18"/>
        </w:rPr>
        <w:t xml:space="preserve">pplication of the </w:t>
      </w:r>
      <w:r>
        <w:rPr>
          <w:szCs w:val="18"/>
        </w:rPr>
        <w:t>m</w:t>
      </w:r>
      <w:r w:rsidRPr="00317169">
        <w:rPr>
          <w:szCs w:val="18"/>
        </w:rPr>
        <w:t xml:space="preserve">argin of </w:t>
      </w:r>
      <w:r>
        <w:rPr>
          <w:szCs w:val="18"/>
        </w:rPr>
        <w:t>a</w:t>
      </w:r>
      <w:r w:rsidRPr="00317169">
        <w:rPr>
          <w:szCs w:val="18"/>
        </w:rPr>
        <w:t xml:space="preserve">ppreciation </w:t>
      </w:r>
      <w:r>
        <w:rPr>
          <w:szCs w:val="18"/>
        </w:rPr>
        <w:t>d</w:t>
      </w:r>
      <w:r w:rsidRPr="00317169">
        <w:rPr>
          <w:szCs w:val="18"/>
        </w:rPr>
        <w:t xml:space="preserve">octrine in the </w:t>
      </w:r>
      <w:r>
        <w:rPr>
          <w:szCs w:val="18"/>
        </w:rPr>
        <w:t>c</w:t>
      </w:r>
      <w:r w:rsidRPr="00317169">
        <w:rPr>
          <w:szCs w:val="18"/>
        </w:rPr>
        <w:t xml:space="preserve">ontext of </w:t>
      </w:r>
      <w:r>
        <w:rPr>
          <w:szCs w:val="18"/>
        </w:rPr>
        <w:t>a</w:t>
      </w:r>
      <w:r w:rsidRPr="00317169">
        <w:rPr>
          <w:szCs w:val="18"/>
        </w:rPr>
        <w:t>rticle 15 of the European Convention on Human Rights</w:t>
      </w:r>
      <w:r>
        <w:rPr>
          <w:szCs w:val="18"/>
        </w:rPr>
        <w:t>”,</w:t>
      </w:r>
      <w:r w:rsidRPr="00317169">
        <w:rPr>
          <w:szCs w:val="18"/>
        </w:rPr>
        <w:t xml:space="preserve"> </w:t>
      </w:r>
      <w:r w:rsidRPr="00317169">
        <w:rPr>
          <w:i/>
          <w:iCs/>
          <w:szCs w:val="18"/>
        </w:rPr>
        <w:t>Human Rights Quarterly</w:t>
      </w:r>
      <w:r>
        <w:rPr>
          <w:i/>
          <w:iCs/>
          <w:szCs w:val="18"/>
        </w:rPr>
        <w:t>,</w:t>
      </w:r>
      <w:r w:rsidRPr="00317169">
        <w:rPr>
          <w:szCs w:val="18"/>
        </w:rPr>
        <w:t xml:space="preserve"> </w:t>
      </w:r>
      <w:r>
        <w:rPr>
          <w:szCs w:val="18"/>
        </w:rPr>
        <w:t xml:space="preserve">vol. 23, No. 3 (2001), pp. </w:t>
      </w:r>
      <w:r w:rsidRPr="00317169">
        <w:rPr>
          <w:szCs w:val="18"/>
        </w:rPr>
        <w:t>625</w:t>
      </w:r>
      <w:r>
        <w:rPr>
          <w:szCs w:val="18"/>
        </w:rPr>
        <w:t>–</w:t>
      </w:r>
      <w:r w:rsidRPr="00317169">
        <w:rPr>
          <w:bCs/>
          <w:szCs w:val="18"/>
        </w:rPr>
        <w:t>649</w:t>
      </w:r>
      <w:r>
        <w:rPr>
          <w:bCs/>
          <w:szCs w:val="18"/>
        </w:rPr>
        <w:t>.</w:t>
      </w:r>
    </w:p>
  </w:footnote>
  <w:footnote w:id="36">
    <w:p w14:paraId="29A5CBCF" w14:textId="75C3B780" w:rsidR="00102747" w:rsidRPr="002137B1" w:rsidRDefault="00102747">
      <w:pPr>
        <w:pStyle w:val="FootnoteText"/>
        <w:jc w:val="both"/>
        <w:rPr>
          <w:szCs w:val="18"/>
          <w:lang w:val="en-US"/>
        </w:rPr>
      </w:pPr>
      <w:r w:rsidRPr="00317169">
        <w:rPr>
          <w:szCs w:val="18"/>
        </w:rPr>
        <w:tab/>
      </w:r>
      <w:r w:rsidRPr="00317169">
        <w:rPr>
          <w:rStyle w:val="FootnoteReference"/>
          <w:rFonts w:eastAsiaTheme="majorEastAsia"/>
          <w:szCs w:val="18"/>
        </w:rPr>
        <w:footnoteRef/>
      </w:r>
      <w:r>
        <w:rPr>
          <w:szCs w:val="18"/>
        </w:rPr>
        <w:tab/>
        <w:t xml:space="preserve">See European Court of Human Rights, </w:t>
      </w:r>
      <w:r w:rsidRPr="002137B1">
        <w:rPr>
          <w:bCs/>
          <w:i/>
          <w:iCs/>
          <w:szCs w:val="18"/>
        </w:rPr>
        <w:t>James and Others v. the United Kingdom</w:t>
      </w:r>
      <w:r>
        <w:rPr>
          <w:bCs/>
          <w:i/>
          <w:iCs/>
          <w:szCs w:val="18"/>
        </w:rPr>
        <w:t xml:space="preserve"> </w:t>
      </w:r>
      <w:r w:rsidRPr="002137B1">
        <w:rPr>
          <w:bCs/>
          <w:szCs w:val="18"/>
        </w:rPr>
        <w:t>(application No. 8793/79), judgment of</w:t>
      </w:r>
      <w:r w:rsidRPr="000964CD">
        <w:rPr>
          <w:rStyle w:val="documentbody1"/>
          <w:rFonts w:ascii="Times New Roman" w:hAnsi="Times New Roman"/>
          <w:color w:val="000000"/>
          <w:sz w:val="18"/>
          <w:szCs w:val="18"/>
        </w:rPr>
        <w:t xml:space="preserve"> </w:t>
      </w:r>
      <w:r>
        <w:rPr>
          <w:rStyle w:val="documentbody1"/>
          <w:rFonts w:ascii="Times New Roman" w:hAnsi="Times New Roman"/>
          <w:color w:val="000000"/>
          <w:sz w:val="18"/>
          <w:szCs w:val="18"/>
        </w:rPr>
        <w:t xml:space="preserve">21 February </w:t>
      </w:r>
      <w:r w:rsidRPr="00317169">
        <w:rPr>
          <w:rStyle w:val="documentbody1"/>
          <w:rFonts w:ascii="Times New Roman" w:hAnsi="Times New Roman"/>
          <w:bCs/>
          <w:color w:val="000000"/>
          <w:sz w:val="18"/>
          <w:szCs w:val="18"/>
        </w:rPr>
        <w:t>1986</w:t>
      </w:r>
      <w:r>
        <w:rPr>
          <w:rStyle w:val="documentbody1"/>
          <w:rFonts w:ascii="Times New Roman" w:hAnsi="Times New Roman"/>
          <w:bCs/>
          <w:color w:val="000000"/>
          <w:sz w:val="18"/>
          <w:szCs w:val="18"/>
        </w:rPr>
        <w:t>, para. 50</w:t>
      </w:r>
      <w:r w:rsidRPr="00317169">
        <w:rPr>
          <w:szCs w:val="18"/>
        </w:rPr>
        <w:t>;</w:t>
      </w:r>
      <w:r w:rsidRPr="00317169">
        <w:rPr>
          <w:rStyle w:val="documentbody1"/>
          <w:rFonts w:ascii="Times New Roman" w:hAnsi="Times New Roman"/>
          <w:color w:val="000000"/>
          <w:sz w:val="18"/>
          <w:szCs w:val="18"/>
        </w:rPr>
        <w:t xml:space="preserve"> </w:t>
      </w:r>
      <w:r>
        <w:rPr>
          <w:rStyle w:val="documentbody1"/>
          <w:rFonts w:ascii="Times New Roman" w:hAnsi="Times New Roman"/>
          <w:color w:val="000000"/>
          <w:sz w:val="18"/>
          <w:szCs w:val="18"/>
        </w:rPr>
        <w:t xml:space="preserve">and </w:t>
      </w:r>
      <w:r w:rsidRPr="002137B1">
        <w:rPr>
          <w:rStyle w:val="documentbody1"/>
          <w:rFonts w:ascii="Times New Roman" w:hAnsi="Times New Roman"/>
          <w:i/>
          <w:iCs/>
          <w:color w:val="000000"/>
          <w:sz w:val="18"/>
          <w:szCs w:val="18"/>
        </w:rPr>
        <w:t>Refah Partisi (the Welfare Party) and Others v. Turkey</w:t>
      </w:r>
      <w:r>
        <w:rPr>
          <w:rStyle w:val="documentbody1"/>
          <w:rFonts w:ascii="Times New Roman" w:hAnsi="Times New Roman"/>
          <w:color w:val="000000"/>
          <w:sz w:val="18"/>
          <w:szCs w:val="18"/>
        </w:rPr>
        <w:t xml:space="preserve">, judgment of 13 February </w:t>
      </w:r>
      <w:r w:rsidRPr="002137B1">
        <w:rPr>
          <w:rStyle w:val="documentbody1"/>
          <w:rFonts w:ascii="Times New Roman" w:hAnsi="Times New Roman"/>
          <w:color w:val="000000"/>
          <w:sz w:val="18"/>
          <w:szCs w:val="18"/>
          <w:lang w:val="en-US"/>
        </w:rPr>
        <w:t>2003</w:t>
      </w:r>
      <w:r>
        <w:rPr>
          <w:rStyle w:val="documentbody1"/>
          <w:rFonts w:ascii="Times New Roman" w:hAnsi="Times New Roman"/>
          <w:color w:val="000000"/>
          <w:sz w:val="18"/>
          <w:szCs w:val="18"/>
          <w:lang w:val="en-US"/>
        </w:rPr>
        <w:t>, para. 133</w:t>
      </w:r>
      <w:r w:rsidRPr="002137B1">
        <w:rPr>
          <w:rStyle w:val="documentbody1"/>
          <w:rFonts w:ascii="Times New Roman" w:hAnsi="Times New Roman"/>
          <w:color w:val="000000"/>
          <w:sz w:val="18"/>
          <w:szCs w:val="18"/>
          <w:lang w:val="en-US"/>
        </w:rPr>
        <w:t>.</w:t>
      </w:r>
    </w:p>
  </w:footnote>
  <w:footnote w:id="37">
    <w:p w14:paraId="5888920C" w14:textId="362B017D" w:rsidR="00102747" w:rsidRPr="00062800" w:rsidRDefault="00102747">
      <w:pPr>
        <w:pStyle w:val="FootnoteText"/>
        <w:jc w:val="both"/>
        <w:rPr>
          <w:szCs w:val="18"/>
          <w:lang w:val="en-US"/>
        </w:rPr>
      </w:pPr>
      <w:r w:rsidRPr="002137B1">
        <w:rPr>
          <w:szCs w:val="18"/>
          <w:lang w:val="en-US"/>
        </w:rPr>
        <w:tab/>
      </w:r>
      <w:r w:rsidRPr="00127799">
        <w:rPr>
          <w:rStyle w:val="FootnoteReference"/>
          <w:rFonts w:eastAsiaTheme="majorEastAsia"/>
          <w:szCs w:val="18"/>
        </w:rPr>
        <w:footnoteRef/>
      </w:r>
      <w:r w:rsidRPr="002137B1">
        <w:rPr>
          <w:szCs w:val="18"/>
          <w:lang w:val="en-US"/>
        </w:rPr>
        <w:tab/>
      </w:r>
      <w:r>
        <w:rPr>
          <w:szCs w:val="18"/>
          <w:lang w:val="en-US"/>
        </w:rPr>
        <w:t xml:space="preserve">See </w:t>
      </w:r>
      <w:r w:rsidRPr="002137B1">
        <w:rPr>
          <w:szCs w:val="18"/>
          <w:lang w:val="en-US"/>
        </w:rPr>
        <w:t xml:space="preserve">Human Rights Committee general </w:t>
      </w:r>
      <w:r>
        <w:rPr>
          <w:szCs w:val="18"/>
          <w:lang w:val="en-US"/>
        </w:rPr>
        <w:t>c</w:t>
      </w:r>
      <w:r w:rsidRPr="002137B1">
        <w:rPr>
          <w:szCs w:val="18"/>
          <w:lang w:val="en-US"/>
        </w:rPr>
        <w:t xml:space="preserve">omment </w:t>
      </w:r>
      <w:r>
        <w:rPr>
          <w:szCs w:val="18"/>
          <w:lang w:val="en-US"/>
        </w:rPr>
        <w:t xml:space="preserve">No. </w:t>
      </w:r>
      <w:r w:rsidRPr="002137B1">
        <w:rPr>
          <w:szCs w:val="18"/>
          <w:lang w:val="en-US"/>
        </w:rPr>
        <w:t xml:space="preserve">29, para. </w:t>
      </w:r>
      <w:r w:rsidRPr="00062800">
        <w:rPr>
          <w:szCs w:val="18"/>
          <w:lang w:val="en-US"/>
        </w:rPr>
        <w:t>6.</w:t>
      </w:r>
    </w:p>
  </w:footnote>
  <w:footnote w:id="38">
    <w:p w14:paraId="0A57CC00" w14:textId="02F7C95D" w:rsidR="00102747" w:rsidRPr="002137B1" w:rsidRDefault="00102747">
      <w:pPr>
        <w:pStyle w:val="FootnoteText"/>
        <w:rPr>
          <w:szCs w:val="18"/>
          <w:lang w:val="en-US"/>
        </w:rPr>
      </w:pPr>
      <w:r w:rsidRPr="00062800">
        <w:rPr>
          <w:szCs w:val="18"/>
          <w:lang w:val="en-US"/>
        </w:rPr>
        <w:tab/>
      </w:r>
      <w:r w:rsidRPr="00127799">
        <w:rPr>
          <w:rStyle w:val="FootnoteReference"/>
          <w:rFonts w:eastAsiaTheme="majorEastAsia"/>
          <w:szCs w:val="18"/>
        </w:rPr>
        <w:footnoteRef/>
      </w:r>
      <w:r w:rsidRPr="002137B1">
        <w:rPr>
          <w:szCs w:val="18"/>
          <w:lang w:val="en-US"/>
        </w:rPr>
        <w:t xml:space="preserve"> </w:t>
      </w:r>
      <w:r w:rsidRPr="002137B1">
        <w:rPr>
          <w:szCs w:val="18"/>
          <w:lang w:val="en-US"/>
        </w:rPr>
        <w:tab/>
        <w:t>See Universal Declaration of Human Rights, art</w:t>
      </w:r>
      <w:r>
        <w:rPr>
          <w:szCs w:val="18"/>
          <w:lang w:val="en-US"/>
        </w:rPr>
        <w:t>.</w:t>
      </w:r>
      <w:r w:rsidRPr="002137B1">
        <w:rPr>
          <w:szCs w:val="18"/>
          <w:lang w:val="en-US"/>
        </w:rPr>
        <w:t xml:space="preserve"> 29</w:t>
      </w:r>
      <w:r>
        <w:rPr>
          <w:szCs w:val="18"/>
          <w:lang w:val="en-US"/>
        </w:rPr>
        <w:t xml:space="preserve"> </w:t>
      </w:r>
      <w:r w:rsidRPr="002137B1">
        <w:rPr>
          <w:szCs w:val="18"/>
          <w:lang w:val="en-US"/>
        </w:rPr>
        <w:t>(2).</w:t>
      </w:r>
    </w:p>
  </w:footnote>
  <w:footnote w:id="39">
    <w:p w14:paraId="6539D638" w14:textId="76F4AC3B" w:rsidR="00102747" w:rsidRPr="002137B1" w:rsidRDefault="00102747">
      <w:pPr>
        <w:pStyle w:val="FootnoteText"/>
        <w:rPr>
          <w:szCs w:val="18"/>
          <w:lang w:val="en-US"/>
        </w:rPr>
      </w:pPr>
      <w:r w:rsidRPr="002137B1">
        <w:rPr>
          <w:szCs w:val="18"/>
          <w:lang w:val="en-US"/>
        </w:rPr>
        <w:tab/>
      </w:r>
      <w:r w:rsidRPr="00127799">
        <w:rPr>
          <w:rStyle w:val="FootnoteReference"/>
          <w:rFonts w:eastAsiaTheme="majorEastAsia"/>
          <w:szCs w:val="18"/>
        </w:rPr>
        <w:footnoteRef/>
      </w:r>
      <w:r w:rsidRPr="002137B1">
        <w:rPr>
          <w:szCs w:val="18"/>
          <w:lang w:val="en-US"/>
        </w:rPr>
        <w:tab/>
        <w:t>See the Siracusa Principles, principle 9.</w:t>
      </w:r>
    </w:p>
  </w:footnote>
  <w:footnote w:id="40">
    <w:p w14:paraId="76DC015A" w14:textId="7BA6F752" w:rsidR="00102747" w:rsidRPr="00062800" w:rsidRDefault="00102747">
      <w:pPr>
        <w:pStyle w:val="FootnoteText"/>
        <w:rPr>
          <w:szCs w:val="18"/>
          <w:lang w:val="en-US"/>
        </w:rPr>
      </w:pPr>
      <w:r w:rsidRPr="002137B1">
        <w:rPr>
          <w:szCs w:val="18"/>
          <w:lang w:val="en-US"/>
        </w:rPr>
        <w:tab/>
      </w:r>
      <w:r w:rsidRPr="00127799">
        <w:rPr>
          <w:rStyle w:val="FootnoteReference"/>
          <w:rFonts w:eastAsiaTheme="majorEastAsia"/>
          <w:szCs w:val="18"/>
        </w:rPr>
        <w:footnoteRef/>
      </w:r>
      <w:r w:rsidRPr="002137B1">
        <w:rPr>
          <w:szCs w:val="18"/>
          <w:lang w:val="en-US"/>
        </w:rPr>
        <w:tab/>
        <w:t xml:space="preserve">See </w:t>
      </w:r>
      <w:r w:rsidRPr="00DB5512">
        <w:t>E</w:t>
      </w:r>
      <w:r>
        <w:t xml:space="preserve">uropean </w:t>
      </w:r>
      <w:r w:rsidRPr="00DB5512">
        <w:t>C</w:t>
      </w:r>
      <w:r>
        <w:t>our</w:t>
      </w:r>
      <w:r w:rsidRPr="00DB5512">
        <w:t>t</w:t>
      </w:r>
      <w:r>
        <w:t xml:space="preserve"> of </w:t>
      </w:r>
      <w:r w:rsidRPr="00DB5512">
        <w:t>H</w:t>
      </w:r>
      <w:r>
        <w:t xml:space="preserve">uman </w:t>
      </w:r>
      <w:r w:rsidRPr="00DB5512">
        <w:t>R</w:t>
      </w:r>
      <w:r>
        <w:t>ights</w:t>
      </w:r>
      <w:r w:rsidRPr="002137B1">
        <w:rPr>
          <w:szCs w:val="18"/>
          <w:lang w:val="en-US"/>
        </w:rPr>
        <w:t xml:space="preserve"> </w:t>
      </w:r>
      <w:r>
        <w:rPr>
          <w:i/>
          <w:szCs w:val="18"/>
          <w:lang w:val="en-US"/>
        </w:rPr>
        <w:t>Ö</w:t>
      </w:r>
      <w:r w:rsidRPr="002137B1">
        <w:rPr>
          <w:i/>
          <w:szCs w:val="18"/>
          <w:lang w:val="en-US"/>
        </w:rPr>
        <w:t>calan v. Turkey</w:t>
      </w:r>
      <w:r w:rsidRPr="002137B1">
        <w:rPr>
          <w:szCs w:val="18"/>
          <w:lang w:val="en-US"/>
        </w:rPr>
        <w:t>,</w:t>
      </w:r>
      <w:r w:rsidRPr="002137B1">
        <w:rPr>
          <w:color w:val="000000"/>
          <w:szCs w:val="18"/>
          <w:lang w:val="en-US"/>
        </w:rPr>
        <w:t xml:space="preserve"> </w:t>
      </w:r>
      <w:r>
        <w:rPr>
          <w:color w:val="000000"/>
          <w:szCs w:val="18"/>
          <w:lang w:val="en-US"/>
        </w:rPr>
        <w:t xml:space="preserve">application </w:t>
      </w:r>
      <w:r w:rsidRPr="002137B1">
        <w:rPr>
          <w:color w:val="000000"/>
          <w:szCs w:val="18"/>
          <w:lang w:val="en-US"/>
        </w:rPr>
        <w:t>46221/99</w:t>
      </w:r>
      <w:r>
        <w:rPr>
          <w:color w:val="000000"/>
          <w:szCs w:val="18"/>
          <w:lang w:val="en-US"/>
        </w:rPr>
        <w:t xml:space="preserve">, judgment of 12 March </w:t>
      </w:r>
      <w:r w:rsidRPr="002137B1">
        <w:rPr>
          <w:color w:val="000000"/>
          <w:szCs w:val="18"/>
          <w:lang w:val="en-US"/>
        </w:rPr>
        <w:t>2003</w:t>
      </w:r>
      <w:r>
        <w:rPr>
          <w:color w:val="000000"/>
          <w:szCs w:val="18"/>
          <w:lang w:val="en-US"/>
        </w:rPr>
        <w:t>,</w:t>
      </w:r>
      <w:r w:rsidRPr="002137B1">
        <w:rPr>
          <w:color w:val="000000"/>
          <w:szCs w:val="18"/>
          <w:lang w:val="en-US"/>
        </w:rPr>
        <w:t xml:space="preserve"> </w:t>
      </w:r>
      <w:r w:rsidRPr="002137B1">
        <w:rPr>
          <w:szCs w:val="18"/>
          <w:lang w:val="en-US"/>
        </w:rPr>
        <w:t xml:space="preserve">para. </w:t>
      </w:r>
      <w:r w:rsidRPr="00062800">
        <w:rPr>
          <w:szCs w:val="18"/>
          <w:lang w:val="en-US"/>
        </w:rPr>
        <w:t>106.</w:t>
      </w:r>
    </w:p>
  </w:footnote>
  <w:footnote w:id="41">
    <w:p w14:paraId="712CBFD2" w14:textId="20F1F16A" w:rsidR="00102747" w:rsidRPr="002137B1" w:rsidRDefault="00102747">
      <w:pPr>
        <w:pStyle w:val="FootnoteText"/>
        <w:rPr>
          <w:szCs w:val="18"/>
          <w:lang w:val="en-US"/>
        </w:rPr>
      </w:pPr>
      <w:r w:rsidRPr="00062800">
        <w:rPr>
          <w:szCs w:val="18"/>
          <w:lang w:val="en-US"/>
        </w:rPr>
        <w:tab/>
      </w:r>
      <w:r w:rsidRPr="00127799">
        <w:rPr>
          <w:rStyle w:val="FootnoteReference"/>
          <w:rFonts w:eastAsiaTheme="majorEastAsia"/>
          <w:szCs w:val="18"/>
        </w:rPr>
        <w:footnoteRef/>
      </w:r>
      <w:r w:rsidRPr="00062800">
        <w:rPr>
          <w:szCs w:val="18"/>
          <w:lang w:val="en-US"/>
        </w:rPr>
        <w:tab/>
        <w:t xml:space="preserve">Ibid., </w:t>
      </w:r>
      <w:r w:rsidRPr="00062800">
        <w:rPr>
          <w:i/>
          <w:szCs w:val="18"/>
          <w:lang w:val="en-US"/>
        </w:rPr>
        <w:t>Al-Nashif v. Bulgaria</w:t>
      </w:r>
      <w:r w:rsidRPr="00062800">
        <w:rPr>
          <w:szCs w:val="18"/>
          <w:lang w:val="en-US"/>
        </w:rPr>
        <w:t xml:space="preserve">, application No. </w:t>
      </w:r>
      <w:r w:rsidRPr="002137B1">
        <w:rPr>
          <w:color w:val="000000"/>
          <w:szCs w:val="18"/>
          <w:lang w:val="en-US"/>
        </w:rPr>
        <w:t>50963/99, judgment of 20 June 2002</w:t>
      </w:r>
      <w:r>
        <w:rPr>
          <w:color w:val="000000"/>
          <w:szCs w:val="18"/>
          <w:lang w:val="en-US"/>
        </w:rPr>
        <w:t xml:space="preserve">, </w:t>
      </w:r>
      <w:r w:rsidRPr="002137B1">
        <w:rPr>
          <w:szCs w:val="18"/>
          <w:lang w:val="en-US"/>
        </w:rPr>
        <w:t>paras</w:t>
      </w:r>
      <w:r>
        <w:rPr>
          <w:szCs w:val="18"/>
          <w:lang w:val="en-US"/>
        </w:rPr>
        <w:t>.</w:t>
      </w:r>
      <w:r w:rsidRPr="002137B1">
        <w:rPr>
          <w:szCs w:val="18"/>
          <w:lang w:val="en-US"/>
        </w:rPr>
        <w:t xml:space="preserve"> 94</w:t>
      </w:r>
      <w:r>
        <w:rPr>
          <w:szCs w:val="18"/>
          <w:lang w:val="en-US"/>
        </w:rPr>
        <w:t xml:space="preserve"> and</w:t>
      </w:r>
      <w:r w:rsidRPr="002137B1">
        <w:rPr>
          <w:szCs w:val="18"/>
          <w:lang w:val="en-US"/>
        </w:rPr>
        <w:t xml:space="preserve"> 123</w:t>
      </w:r>
      <w:r>
        <w:rPr>
          <w:szCs w:val="18"/>
          <w:lang w:val="en-US"/>
        </w:rPr>
        <w:t>–</w:t>
      </w:r>
      <w:r w:rsidRPr="002137B1">
        <w:rPr>
          <w:szCs w:val="18"/>
          <w:lang w:val="en-US"/>
        </w:rPr>
        <w:t>124.</w:t>
      </w:r>
    </w:p>
  </w:footnote>
  <w:footnote w:id="42">
    <w:p w14:paraId="5CC7CB4E" w14:textId="79C38D83" w:rsidR="00102747" w:rsidRPr="004E5398" w:rsidRDefault="00102747">
      <w:pPr>
        <w:pStyle w:val="FootnoteText"/>
      </w:pPr>
      <w:r w:rsidRPr="002137B1">
        <w:rPr>
          <w:lang w:val="en-US"/>
        </w:rPr>
        <w:tab/>
      </w:r>
      <w:r w:rsidRPr="004E5398">
        <w:rPr>
          <w:rStyle w:val="FootnoteReference"/>
          <w:szCs w:val="18"/>
        </w:rPr>
        <w:footnoteRef/>
      </w:r>
      <w:r>
        <w:tab/>
      </w:r>
      <w:r w:rsidRPr="004E5398">
        <w:rPr>
          <w:rStyle w:val="FootnoteReference"/>
        </w:rPr>
        <w:t xml:space="preserve"> </w:t>
      </w:r>
      <w:r>
        <w:t xml:space="preserve">See </w:t>
      </w:r>
      <w:r w:rsidRPr="004E5398">
        <w:t xml:space="preserve">Eric Neumayer, </w:t>
      </w:r>
      <w:r>
        <w:t>“</w:t>
      </w:r>
      <w:r w:rsidRPr="004E5398">
        <w:t xml:space="preserve">Do </w:t>
      </w:r>
      <w:r>
        <w:t>g</w:t>
      </w:r>
      <w:r w:rsidRPr="004E5398">
        <w:t xml:space="preserve">overnments </w:t>
      </w:r>
      <w:r>
        <w:t>m</w:t>
      </w:r>
      <w:r w:rsidRPr="004E5398">
        <w:t xml:space="preserve">ean </w:t>
      </w:r>
      <w:r>
        <w:t>b</w:t>
      </w:r>
      <w:r w:rsidRPr="004E5398">
        <w:t xml:space="preserve">usiness when they </w:t>
      </w:r>
      <w:r>
        <w:t>d</w:t>
      </w:r>
      <w:r w:rsidRPr="004E5398">
        <w:t xml:space="preserve">erogate? Human </w:t>
      </w:r>
      <w:r>
        <w:t>r</w:t>
      </w:r>
      <w:r w:rsidRPr="004E5398">
        <w:t xml:space="preserve">ights </w:t>
      </w:r>
      <w:r>
        <w:t>v</w:t>
      </w:r>
      <w:r w:rsidRPr="004E5398">
        <w:t xml:space="preserve">iolations during </w:t>
      </w:r>
      <w:r>
        <w:t>n</w:t>
      </w:r>
      <w:r w:rsidRPr="004E5398">
        <w:t xml:space="preserve">otified </w:t>
      </w:r>
      <w:r>
        <w:t>s</w:t>
      </w:r>
      <w:r w:rsidRPr="004E5398">
        <w:t xml:space="preserve">tates of </w:t>
      </w:r>
      <w:r>
        <w:t>e</w:t>
      </w:r>
      <w:r w:rsidRPr="004E5398">
        <w:t>mergency</w:t>
      </w:r>
      <w:r>
        <w:t>”,</w:t>
      </w:r>
      <w:r w:rsidRPr="004E5398">
        <w:t xml:space="preserve"> </w:t>
      </w:r>
      <w:r w:rsidRPr="002137B1">
        <w:rPr>
          <w:i/>
          <w:iCs/>
        </w:rPr>
        <w:t>The Review of International Organizations</w:t>
      </w:r>
      <w:r>
        <w:t xml:space="preserve">, vol. 8, No. 1 </w:t>
      </w:r>
      <w:r w:rsidRPr="004E5398">
        <w:t>(</w:t>
      </w:r>
      <w:r>
        <w:t xml:space="preserve">March </w:t>
      </w:r>
      <w:r w:rsidRPr="004E5398">
        <w:t xml:space="preserve">2013); </w:t>
      </w:r>
      <w:r>
        <w:t xml:space="preserve">and </w:t>
      </w:r>
      <w:r w:rsidRPr="004E5398">
        <w:t xml:space="preserve">David L. Richards </w:t>
      </w:r>
      <w:r>
        <w:t>and</w:t>
      </w:r>
      <w:r w:rsidRPr="004E5398">
        <w:t xml:space="preserve"> K. Chad Clay, </w:t>
      </w:r>
      <w:r>
        <w:t>“</w:t>
      </w:r>
      <w:r w:rsidRPr="004E5398">
        <w:t xml:space="preserve">An </w:t>
      </w:r>
      <w:r>
        <w:t>u</w:t>
      </w:r>
      <w:r w:rsidRPr="004E5398">
        <w:t xml:space="preserve">mbrella with </w:t>
      </w:r>
      <w:r>
        <w:t>h</w:t>
      </w:r>
      <w:r w:rsidRPr="004E5398">
        <w:t xml:space="preserve">oles: </w:t>
      </w:r>
      <w:r>
        <w:t>r</w:t>
      </w:r>
      <w:r w:rsidRPr="004E5398">
        <w:t xml:space="preserve">espect for </w:t>
      </w:r>
      <w:r>
        <w:t>n</w:t>
      </w:r>
      <w:r w:rsidRPr="004E5398">
        <w:t>on-</w:t>
      </w:r>
      <w:r>
        <w:t>d</w:t>
      </w:r>
      <w:r w:rsidRPr="004E5398">
        <w:t xml:space="preserve">erogable </w:t>
      </w:r>
      <w:r>
        <w:t>h</w:t>
      </w:r>
      <w:r w:rsidRPr="004E5398">
        <w:t xml:space="preserve">uman </w:t>
      </w:r>
      <w:r>
        <w:t>r</w:t>
      </w:r>
      <w:r w:rsidRPr="004E5398">
        <w:t xml:space="preserve">ights </w:t>
      </w:r>
      <w:r>
        <w:t>d</w:t>
      </w:r>
      <w:r w:rsidRPr="004E5398">
        <w:t xml:space="preserve">uring </w:t>
      </w:r>
      <w:r>
        <w:t>d</w:t>
      </w:r>
      <w:r w:rsidRPr="004E5398">
        <w:t xml:space="preserve">eclared </w:t>
      </w:r>
      <w:r>
        <w:t>s</w:t>
      </w:r>
      <w:r w:rsidRPr="004E5398">
        <w:t xml:space="preserve">tates of </w:t>
      </w:r>
      <w:r>
        <w:t>e</w:t>
      </w:r>
      <w:r w:rsidRPr="004E5398">
        <w:t>mergency</w:t>
      </w:r>
      <w:r>
        <w:t>, 1996-2004”,</w:t>
      </w:r>
      <w:r w:rsidRPr="004E5398">
        <w:t xml:space="preserve"> </w:t>
      </w:r>
      <w:r w:rsidRPr="002137B1">
        <w:rPr>
          <w:i/>
          <w:iCs/>
        </w:rPr>
        <w:t>Human Rights Review</w:t>
      </w:r>
      <w:r>
        <w:t xml:space="preserve">, vol. 13, No. 4 </w:t>
      </w:r>
      <w:r w:rsidRPr="004E5398">
        <w:t>(</w:t>
      </w:r>
      <w:r>
        <w:t xml:space="preserve">December </w:t>
      </w:r>
      <w:r w:rsidRPr="004E5398">
        <w:t>2012)</w:t>
      </w:r>
      <w:r>
        <w:t>, pp. 443–471</w:t>
      </w:r>
      <w:r w:rsidRPr="004E5398">
        <w:t>.</w:t>
      </w:r>
    </w:p>
  </w:footnote>
  <w:footnote w:id="43">
    <w:p w14:paraId="77CF5E74" w14:textId="5E18D34C" w:rsidR="00102747" w:rsidRPr="005F45E4" w:rsidRDefault="00102747" w:rsidP="00063384">
      <w:pPr>
        <w:pStyle w:val="FootnoteText"/>
      </w:pPr>
      <w:r w:rsidRPr="002753DB">
        <w:tab/>
      </w:r>
      <w:r w:rsidRPr="002753DB">
        <w:rPr>
          <w:rStyle w:val="FootnoteReference"/>
          <w:rFonts w:eastAsiaTheme="majorEastAsia"/>
          <w:szCs w:val="18"/>
        </w:rPr>
        <w:footnoteRef/>
      </w:r>
      <w:r>
        <w:tab/>
        <w:t xml:space="preserve">See </w:t>
      </w:r>
      <w:hyperlink r:id="rId3" w:history="1">
        <w:r w:rsidRPr="004A7654">
          <w:rPr>
            <w:rStyle w:val="Hyperlink"/>
            <w:szCs w:val="18"/>
          </w:rPr>
          <w:t>www.ohchr.org/EN/NewsEvents/Pages/DisplayNews.aspx?NewsID=22390&amp;LangID=E</w:t>
        </w:r>
      </w:hyperlink>
      <w:r w:rsidRPr="005F45E4">
        <w:t>.</w:t>
      </w:r>
    </w:p>
  </w:footnote>
  <w:footnote w:id="44">
    <w:p w14:paraId="6967704A" w14:textId="796EFC6C" w:rsidR="00102747" w:rsidRPr="00127799" w:rsidRDefault="00102747">
      <w:pPr>
        <w:pStyle w:val="FootnoteText"/>
        <w:rPr>
          <w:szCs w:val="18"/>
        </w:rPr>
      </w:pPr>
      <w:r w:rsidRPr="005F45E4">
        <w:rPr>
          <w:szCs w:val="18"/>
        </w:rPr>
        <w:tab/>
      </w:r>
      <w:r w:rsidRPr="00127799">
        <w:rPr>
          <w:rStyle w:val="FootnoteReference"/>
          <w:rFonts w:eastAsiaTheme="majorEastAsia"/>
          <w:szCs w:val="18"/>
        </w:rPr>
        <w:footnoteRef/>
      </w:r>
      <w:r w:rsidRPr="00127799">
        <w:rPr>
          <w:szCs w:val="18"/>
        </w:rPr>
        <w:tab/>
      </w:r>
      <w:r>
        <w:rPr>
          <w:szCs w:val="18"/>
        </w:rPr>
        <w:t xml:space="preserve">See </w:t>
      </w:r>
      <w:r w:rsidRPr="00127799">
        <w:rPr>
          <w:szCs w:val="18"/>
        </w:rPr>
        <w:t xml:space="preserve">Fergal F. Davis, </w:t>
      </w:r>
      <w:r w:rsidRPr="002137B1">
        <w:rPr>
          <w:i/>
          <w:iCs/>
          <w:szCs w:val="18"/>
        </w:rPr>
        <w:t>The History and Development of the Special Criminal Court, 1922-2005</w:t>
      </w:r>
      <w:r>
        <w:rPr>
          <w:szCs w:val="18"/>
        </w:rPr>
        <w:t xml:space="preserve">, (Four Courts Press, </w:t>
      </w:r>
      <w:r w:rsidRPr="00127799">
        <w:rPr>
          <w:szCs w:val="18"/>
        </w:rPr>
        <w:t>2007).</w:t>
      </w:r>
    </w:p>
  </w:footnote>
  <w:footnote w:id="45">
    <w:p w14:paraId="404BB34E" w14:textId="78293490" w:rsidR="00102747" w:rsidRPr="00127799" w:rsidRDefault="00102747">
      <w:pPr>
        <w:pStyle w:val="FootnoteText"/>
        <w:rPr>
          <w:szCs w:val="18"/>
        </w:rPr>
      </w:pPr>
      <w:r w:rsidRPr="00127799">
        <w:rPr>
          <w:szCs w:val="18"/>
        </w:rPr>
        <w:tab/>
      </w:r>
      <w:r w:rsidRPr="00127799">
        <w:rPr>
          <w:rStyle w:val="FootnoteReference"/>
          <w:rFonts w:eastAsiaTheme="majorEastAsia"/>
          <w:szCs w:val="18"/>
        </w:rPr>
        <w:footnoteRef/>
      </w:r>
      <w:r w:rsidRPr="00127799">
        <w:rPr>
          <w:szCs w:val="18"/>
        </w:rPr>
        <w:tab/>
      </w:r>
      <w:r>
        <w:rPr>
          <w:szCs w:val="18"/>
        </w:rPr>
        <w:t xml:space="preserve">See </w:t>
      </w:r>
      <w:r w:rsidRPr="00127799">
        <w:rPr>
          <w:szCs w:val="18"/>
        </w:rPr>
        <w:t xml:space="preserve">Baruch Kimmerling, </w:t>
      </w:r>
      <w:r>
        <w:rPr>
          <w:szCs w:val="18"/>
        </w:rPr>
        <w:t>“</w:t>
      </w:r>
      <w:r w:rsidRPr="00127799">
        <w:rPr>
          <w:szCs w:val="18"/>
        </w:rPr>
        <w:t xml:space="preserve">Boundaries and </w:t>
      </w:r>
      <w:r>
        <w:rPr>
          <w:szCs w:val="18"/>
        </w:rPr>
        <w:t>f</w:t>
      </w:r>
      <w:r w:rsidRPr="00127799">
        <w:rPr>
          <w:szCs w:val="18"/>
        </w:rPr>
        <w:t xml:space="preserve">rontiers of the Israeli </w:t>
      </w:r>
      <w:r>
        <w:rPr>
          <w:szCs w:val="18"/>
        </w:rPr>
        <w:t>c</w:t>
      </w:r>
      <w:r w:rsidRPr="00127799">
        <w:rPr>
          <w:szCs w:val="18"/>
        </w:rPr>
        <w:t xml:space="preserve">ontrol </w:t>
      </w:r>
      <w:r>
        <w:rPr>
          <w:szCs w:val="18"/>
        </w:rPr>
        <w:t>s</w:t>
      </w:r>
      <w:r w:rsidRPr="00127799">
        <w:rPr>
          <w:szCs w:val="18"/>
        </w:rPr>
        <w:t xml:space="preserve">ystem: Analytical </w:t>
      </w:r>
      <w:r>
        <w:rPr>
          <w:szCs w:val="18"/>
        </w:rPr>
        <w:t>c</w:t>
      </w:r>
      <w:r w:rsidRPr="00127799">
        <w:rPr>
          <w:szCs w:val="18"/>
        </w:rPr>
        <w:t>onclusions</w:t>
      </w:r>
      <w:r>
        <w:rPr>
          <w:szCs w:val="18"/>
        </w:rPr>
        <w:t>”</w:t>
      </w:r>
      <w:r w:rsidRPr="00127799">
        <w:rPr>
          <w:szCs w:val="18"/>
        </w:rPr>
        <w:t xml:space="preserve"> in </w:t>
      </w:r>
      <w:r w:rsidRPr="00127799">
        <w:rPr>
          <w:i/>
          <w:szCs w:val="18"/>
        </w:rPr>
        <w:t>The Israeli State and Society</w:t>
      </w:r>
      <w:r>
        <w:rPr>
          <w:i/>
          <w:szCs w:val="18"/>
        </w:rPr>
        <w:t>: Boundaries and Frontiers,</w:t>
      </w:r>
      <w:r w:rsidRPr="00127799">
        <w:rPr>
          <w:szCs w:val="18"/>
        </w:rPr>
        <w:t xml:space="preserve"> Baruch Kimmerling</w:t>
      </w:r>
      <w:r>
        <w:rPr>
          <w:szCs w:val="18"/>
        </w:rPr>
        <w:t>,</w:t>
      </w:r>
      <w:r w:rsidRPr="00127799">
        <w:rPr>
          <w:szCs w:val="18"/>
        </w:rPr>
        <w:t xml:space="preserve"> ed.</w:t>
      </w:r>
      <w:r>
        <w:rPr>
          <w:szCs w:val="18"/>
        </w:rPr>
        <w:t xml:space="preserve"> (</w:t>
      </w:r>
      <w:r w:rsidRPr="00127799">
        <w:rPr>
          <w:szCs w:val="18"/>
        </w:rPr>
        <w:t>State University of New York Press,</w:t>
      </w:r>
      <w:r>
        <w:rPr>
          <w:szCs w:val="18"/>
        </w:rPr>
        <w:t xml:space="preserve"> </w:t>
      </w:r>
      <w:r w:rsidRPr="00127799">
        <w:rPr>
          <w:szCs w:val="18"/>
        </w:rPr>
        <w:t>1989), pp.</w:t>
      </w:r>
      <w:r w:rsidRPr="00127799">
        <w:rPr>
          <w:i/>
          <w:szCs w:val="18"/>
        </w:rPr>
        <w:t xml:space="preserve"> </w:t>
      </w:r>
      <w:r w:rsidRPr="00127799">
        <w:rPr>
          <w:szCs w:val="18"/>
        </w:rPr>
        <w:t>265, 266-67.</w:t>
      </w:r>
    </w:p>
  </w:footnote>
  <w:footnote w:id="46">
    <w:p w14:paraId="31AA7A37" w14:textId="0ABD87BE" w:rsidR="00102747" w:rsidRDefault="00102747">
      <w:pPr>
        <w:pStyle w:val="FootnoteText"/>
      </w:pPr>
      <w:r>
        <w:tab/>
      </w:r>
      <w:r>
        <w:rPr>
          <w:rStyle w:val="FootnoteReference"/>
        </w:rPr>
        <w:footnoteRef/>
      </w:r>
      <w:r>
        <w:tab/>
        <w:t xml:space="preserve">See United Nations Development Programme, </w:t>
      </w:r>
      <w:r w:rsidRPr="002137B1">
        <w:rPr>
          <w:i/>
          <w:iCs/>
        </w:rPr>
        <w:t>Journey to Extremism in Africa: Drivers, Incentives and the Tipping Point</w:t>
      </w:r>
      <w:r>
        <w:t xml:space="preserve"> (2017). Available at </w:t>
      </w:r>
      <w:hyperlink r:id="rId4" w:history="1">
        <w:r w:rsidRPr="001E61A5">
          <w:rPr>
            <w:rStyle w:val="Hyperlink"/>
          </w:rPr>
          <w:t>http://journey-to-extremism.undp.org/content/</w:t>
        </w:r>
        <w:r w:rsidRPr="001E61A5">
          <w:rPr>
            <w:rStyle w:val="Hyperlink"/>
          </w:rPr>
          <w:br/>
          <w:t>downloads/UNDP-JourneyToExtremism-report-2017-english.pdf</w:t>
        </w:r>
      </w:hyperlink>
      <w:r>
        <w:t xml:space="preserve">. See also Paddy Hillyard, </w:t>
      </w:r>
      <w:r w:rsidRPr="002137B1">
        <w:rPr>
          <w:i/>
          <w:iCs/>
        </w:rPr>
        <w:t>Suspect Community</w:t>
      </w:r>
      <w:r>
        <w:rPr>
          <w:i/>
          <w:iCs/>
        </w:rPr>
        <w:t>: People’s Experience of the Prevention of Terrorism Acts in Britain</w:t>
      </w:r>
      <w:r>
        <w:t xml:space="preserve"> (Pluto Press–NCCL/Liberty, 1993).</w:t>
      </w:r>
    </w:p>
  </w:footnote>
  <w:footnote w:id="47">
    <w:p w14:paraId="021BE804" w14:textId="240D2A64" w:rsidR="00102747" w:rsidRPr="00127799" w:rsidRDefault="00102747">
      <w:pPr>
        <w:pStyle w:val="FootnoteText"/>
        <w:rPr>
          <w:szCs w:val="18"/>
        </w:rPr>
      </w:pPr>
      <w:r w:rsidRPr="00127799">
        <w:rPr>
          <w:szCs w:val="18"/>
        </w:rPr>
        <w:tab/>
      </w:r>
      <w:r w:rsidRPr="00127799">
        <w:rPr>
          <w:rStyle w:val="FootnoteReference"/>
          <w:rFonts w:eastAsiaTheme="majorEastAsia"/>
          <w:szCs w:val="18"/>
        </w:rPr>
        <w:footnoteRef/>
      </w:r>
      <w:r w:rsidRPr="00127799">
        <w:rPr>
          <w:szCs w:val="18"/>
        </w:rPr>
        <w:tab/>
      </w:r>
      <w:r>
        <w:rPr>
          <w:szCs w:val="18"/>
        </w:rPr>
        <w:t xml:space="preserve">See </w:t>
      </w:r>
      <w:hyperlink r:id="rId5" w:history="1">
        <w:r w:rsidRPr="001E61A5">
          <w:rPr>
            <w:rStyle w:val="Hyperlink"/>
            <w:szCs w:val="18"/>
          </w:rPr>
          <w:t>www.state.gov/documents/organization/63562.pdf</w:t>
        </w:r>
      </w:hyperlink>
      <w:r w:rsidRPr="0060215C">
        <w:rPr>
          <w:szCs w:val="18"/>
        </w:rPr>
        <w:t>.</w:t>
      </w:r>
    </w:p>
  </w:footnote>
  <w:footnote w:id="48">
    <w:p w14:paraId="03A09981" w14:textId="281FF1CE" w:rsidR="00102747" w:rsidRPr="00127799" w:rsidRDefault="00102747">
      <w:pPr>
        <w:pStyle w:val="FootnoteText"/>
        <w:rPr>
          <w:szCs w:val="18"/>
        </w:rPr>
      </w:pPr>
      <w:r w:rsidRPr="00127799">
        <w:rPr>
          <w:szCs w:val="18"/>
        </w:rPr>
        <w:tab/>
      </w:r>
      <w:r w:rsidRPr="00127799">
        <w:rPr>
          <w:rStyle w:val="FootnoteReference"/>
          <w:rFonts w:eastAsiaTheme="majorEastAsia"/>
          <w:szCs w:val="18"/>
        </w:rPr>
        <w:footnoteRef/>
      </w:r>
      <w:r w:rsidRPr="00127799">
        <w:rPr>
          <w:szCs w:val="18"/>
        </w:rPr>
        <w:tab/>
      </w:r>
      <w:r>
        <w:rPr>
          <w:szCs w:val="18"/>
        </w:rPr>
        <w:t xml:space="preserve">See </w:t>
      </w:r>
      <w:r w:rsidRPr="00127799">
        <w:rPr>
          <w:szCs w:val="18"/>
        </w:rPr>
        <w:t xml:space="preserve">Rosa Brooks, </w:t>
      </w:r>
      <w:r w:rsidRPr="002137B1">
        <w:rPr>
          <w:i/>
          <w:iCs/>
          <w:color w:val="222222"/>
          <w:szCs w:val="18"/>
        </w:rPr>
        <w:t>How Everything Became War and the Military Became Everything</w:t>
      </w:r>
      <w:r w:rsidRPr="00127799">
        <w:rPr>
          <w:color w:val="222222"/>
          <w:szCs w:val="18"/>
          <w:shd w:val="clear" w:color="auto" w:fill="FFFFFF"/>
        </w:rPr>
        <w:t> (</w:t>
      </w:r>
      <w:r>
        <w:rPr>
          <w:color w:val="222222"/>
          <w:szCs w:val="18"/>
          <w:shd w:val="clear" w:color="auto" w:fill="FFFFFF"/>
        </w:rPr>
        <w:t xml:space="preserve">New York, </w:t>
      </w:r>
      <w:r w:rsidRPr="00127799">
        <w:rPr>
          <w:color w:val="222222"/>
          <w:szCs w:val="18"/>
          <w:shd w:val="clear" w:color="auto" w:fill="FFFFFF"/>
        </w:rPr>
        <w:t>Simon &amp; Schuster, 2016)</w:t>
      </w:r>
      <w:r>
        <w:rPr>
          <w:color w:val="222222"/>
          <w:szCs w:val="18"/>
          <w:shd w:val="clear" w:color="auto" w:fill="FFFFFF"/>
        </w:rPr>
        <w:t>.</w:t>
      </w:r>
    </w:p>
  </w:footnote>
  <w:footnote w:id="49">
    <w:p w14:paraId="432D983F" w14:textId="1D124A9B" w:rsidR="00102747" w:rsidRPr="00127799" w:rsidRDefault="00102747">
      <w:pPr>
        <w:pStyle w:val="FootnoteText"/>
        <w:rPr>
          <w:szCs w:val="18"/>
        </w:rPr>
      </w:pPr>
      <w:r w:rsidRPr="00127799">
        <w:rPr>
          <w:szCs w:val="18"/>
        </w:rPr>
        <w:tab/>
      </w:r>
      <w:r w:rsidRPr="00127799">
        <w:rPr>
          <w:rStyle w:val="FootnoteReference"/>
          <w:rFonts w:eastAsiaTheme="majorEastAsia"/>
          <w:szCs w:val="18"/>
        </w:rPr>
        <w:footnoteRef/>
      </w:r>
      <w:r>
        <w:rPr>
          <w:szCs w:val="18"/>
        </w:rPr>
        <w:tab/>
      </w:r>
      <w:r w:rsidRPr="002137B1">
        <w:rPr>
          <w:iCs/>
          <w:szCs w:val="18"/>
        </w:rPr>
        <w:t>See</w:t>
      </w:r>
      <w:r>
        <w:rPr>
          <w:iCs/>
          <w:szCs w:val="18"/>
        </w:rPr>
        <w:t>,</w:t>
      </w:r>
      <w:r w:rsidRPr="002137B1">
        <w:rPr>
          <w:iCs/>
          <w:szCs w:val="18"/>
        </w:rPr>
        <w:t xml:space="preserve"> </w:t>
      </w:r>
      <w:r>
        <w:rPr>
          <w:iCs/>
          <w:szCs w:val="18"/>
        </w:rPr>
        <w:t xml:space="preserve">for example, United States of America, </w:t>
      </w:r>
      <w:r w:rsidRPr="00127799">
        <w:rPr>
          <w:color w:val="222222"/>
          <w:szCs w:val="18"/>
          <w:shd w:val="clear" w:color="auto" w:fill="FFFFFF"/>
        </w:rPr>
        <w:t>Pub</w:t>
      </w:r>
      <w:r>
        <w:rPr>
          <w:color w:val="222222"/>
          <w:szCs w:val="18"/>
          <w:shd w:val="clear" w:color="auto" w:fill="FFFFFF"/>
        </w:rPr>
        <w:t>lic</w:t>
      </w:r>
      <w:r w:rsidRPr="00127799">
        <w:rPr>
          <w:color w:val="222222"/>
          <w:szCs w:val="18"/>
          <w:shd w:val="clear" w:color="auto" w:fill="FFFFFF"/>
        </w:rPr>
        <w:t xml:space="preserve"> L</w:t>
      </w:r>
      <w:r>
        <w:rPr>
          <w:color w:val="222222"/>
          <w:szCs w:val="18"/>
          <w:shd w:val="clear" w:color="auto" w:fill="FFFFFF"/>
        </w:rPr>
        <w:t>aw</w:t>
      </w:r>
      <w:r w:rsidRPr="00127799">
        <w:rPr>
          <w:color w:val="222222"/>
          <w:szCs w:val="18"/>
          <w:shd w:val="clear" w:color="auto" w:fill="FFFFFF"/>
        </w:rPr>
        <w:t xml:space="preserve"> 107-40</w:t>
      </w:r>
      <w:r>
        <w:rPr>
          <w:color w:val="222222"/>
          <w:szCs w:val="18"/>
          <w:shd w:val="clear" w:color="auto" w:fill="FFFFFF"/>
        </w:rPr>
        <w:t xml:space="preserve"> of 18 September 2001 (</w:t>
      </w:r>
      <w:r w:rsidRPr="00127799">
        <w:rPr>
          <w:color w:val="222222"/>
          <w:szCs w:val="18"/>
          <w:shd w:val="clear" w:color="auto" w:fill="FFFFFF"/>
        </w:rPr>
        <w:t>115 Stat. 224</w:t>
      </w:r>
      <w:r>
        <w:rPr>
          <w:color w:val="222222"/>
          <w:szCs w:val="18"/>
          <w:shd w:val="clear" w:color="auto" w:fill="FFFFFF"/>
        </w:rPr>
        <w:t>),</w:t>
      </w:r>
      <w:r w:rsidRPr="00127799">
        <w:rPr>
          <w:color w:val="222222"/>
          <w:szCs w:val="18"/>
          <w:shd w:val="clear" w:color="auto" w:fill="FFFFFF"/>
        </w:rPr>
        <w:t xml:space="preserve"> </w:t>
      </w:r>
      <w:r>
        <w:rPr>
          <w:color w:val="222222"/>
          <w:szCs w:val="18"/>
          <w:shd w:val="clear" w:color="auto" w:fill="FFFFFF"/>
        </w:rPr>
        <w:t xml:space="preserve">passed as Senate Joint Resolution 23 on 14 </w:t>
      </w:r>
      <w:r w:rsidRPr="00127799">
        <w:rPr>
          <w:color w:val="222222"/>
          <w:szCs w:val="18"/>
          <w:shd w:val="clear" w:color="auto" w:fill="FFFFFF"/>
        </w:rPr>
        <w:t xml:space="preserve">September 2001, </w:t>
      </w:r>
      <w:r>
        <w:rPr>
          <w:color w:val="222222"/>
          <w:szCs w:val="18"/>
          <w:shd w:val="clear" w:color="auto" w:fill="FFFFFF"/>
        </w:rPr>
        <w:t xml:space="preserve">which </w:t>
      </w:r>
      <w:r w:rsidRPr="00127799">
        <w:rPr>
          <w:color w:val="222222"/>
          <w:szCs w:val="18"/>
          <w:shd w:val="clear" w:color="auto" w:fill="FFFFFF"/>
        </w:rPr>
        <w:t xml:space="preserve">authorizes the use of </w:t>
      </w:r>
      <w:r>
        <w:rPr>
          <w:color w:val="222222"/>
          <w:szCs w:val="18"/>
          <w:shd w:val="clear" w:color="auto" w:fill="FFFFFF"/>
        </w:rPr>
        <w:t>United States</w:t>
      </w:r>
      <w:r w:rsidRPr="00127799">
        <w:rPr>
          <w:color w:val="222222"/>
          <w:szCs w:val="18"/>
          <w:shd w:val="clear" w:color="auto" w:fill="FFFFFF"/>
        </w:rPr>
        <w:t xml:space="preserve"> Armed Forces against those responsible for the attacks on September 11, 2001 and any </w:t>
      </w:r>
      <w:r>
        <w:rPr>
          <w:color w:val="222222"/>
          <w:szCs w:val="18"/>
          <w:shd w:val="clear" w:color="auto" w:fill="FFFFFF"/>
        </w:rPr>
        <w:t>“</w:t>
      </w:r>
      <w:r w:rsidRPr="00127799">
        <w:rPr>
          <w:color w:val="222222"/>
          <w:szCs w:val="18"/>
          <w:shd w:val="clear" w:color="auto" w:fill="FFFFFF"/>
        </w:rPr>
        <w:t>associated forces</w:t>
      </w:r>
      <w:r>
        <w:rPr>
          <w:color w:val="222222"/>
          <w:szCs w:val="18"/>
          <w:shd w:val="clear" w:color="auto" w:fill="FFFFFF"/>
        </w:rPr>
        <w:t>”</w:t>
      </w:r>
      <w:r w:rsidRPr="00127799">
        <w:rPr>
          <w:color w:val="222222"/>
          <w:szCs w:val="18"/>
          <w:shd w:val="clear" w:color="auto" w:fill="FFFFFF"/>
        </w:rPr>
        <w:t>. See</w:t>
      </w:r>
      <w:r>
        <w:rPr>
          <w:color w:val="222222"/>
          <w:szCs w:val="18"/>
          <w:shd w:val="clear" w:color="auto" w:fill="FFFFFF"/>
        </w:rPr>
        <w:t xml:space="preserve"> also </w:t>
      </w:r>
      <w:r w:rsidRPr="00127799">
        <w:rPr>
          <w:color w:val="222222"/>
          <w:szCs w:val="18"/>
          <w:shd w:val="clear" w:color="auto" w:fill="FFFFFF"/>
        </w:rPr>
        <w:t>U</w:t>
      </w:r>
      <w:r>
        <w:rPr>
          <w:color w:val="222222"/>
          <w:szCs w:val="18"/>
          <w:shd w:val="clear" w:color="auto" w:fill="FFFFFF"/>
        </w:rPr>
        <w:t xml:space="preserve">nited </w:t>
      </w:r>
      <w:r w:rsidRPr="00127799">
        <w:rPr>
          <w:color w:val="222222"/>
          <w:szCs w:val="18"/>
          <w:shd w:val="clear" w:color="auto" w:fill="FFFFFF"/>
        </w:rPr>
        <w:t>S</w:t>
      </w:r>
      <w:r>
        <w:rPr>
          <w:color w:val="222222"/>
          <w:szCs w:val="18"/>
          <w:shd w:val="clear" w:color="auto" w:fill="FFFFFF"/>
        </w:rPr>
        <w:t>tates</w:t>
      </w:r>
      <w:r w:rsidRPr="00127799">
        <w:rPr>
          <w:color w:val="222222"/>
          <w:szCs w:val="18"/>
          <w:shd w:val="clear" w:color="auto" w:fill="FFFFFF"/>
        </w:rPr>
        <w:t xml:space="preserve"> Court of Appeals, </w:t>
      </w:r>
      <w:r w:rsidRPr="002137B1">
        <w:rPr>
          <w:i/>
          <w:iCs/>
          <w:color w:val="222222"/>
          <w:szCs w:val="18"/>
          <w:shd w:val="clear" w:color="auto" w:fill="FFFFFF"/>
        </w:rPr>
        <w:t>Barhoumi v. Obama</w:t>
      </w:r>
      <w:r>
        <w:rPr>
          <w:color w:val="222222"/>
          <w:szCs w:val="18"/>
          <w:shd w:val="clear" w:color="auto" w:fill="FFFFFF"/>
        </w:rPr>
        <w:t xml:space="preserve">, decision of 11 </w:t>
      </w:r>
      <w:r w:rsidRPr="00127799">
        <w:rPr>
          <w:color w:val="222222"/>
          <w:szCs w:val="18"/>
          <w:shd w:val="clear" w:color="auto" w:fill="FFFFFF"/>
        </w:rPr>
        <w:t>June 2010</w:t>
      </w:r>
      <w:r>
        <w:rPr>
          <w:color w:val="222222"/>
          <w:szCs w:val="18"/>
          <w:shd w:val="clear" w:color="auto" w:fill="FFFFFF"/>
        </w:rPr>
        <w:t>.</w:t>
      </w:r>
    </w:p>
  </w:footnote>
  <w:footnote w:id="50">
    <w:p w14:paraId="47368411" w14:textId="5E332308" w:rsidR="00102747" w:rsidRPr="00FA3D47" w:rsidRDefault="00102747">
      <w:pPr>
        <w:pStyle w:val="FootnoteText"/>
        <w:rPr>
          <w:b/>
        </w:rPr>
      </w:pPr>
      <w:r w:rsidRPr="00127799">
        <w:tab/>
      </w:r>
      <w:r w:rsidRPr="00127799">
        <w:rPr>
          <w:rStyle w:val="FootnoteReference"/>
          <w:rFonts w:eastAsiaTheme="majorEastAsia"/>
          <w:szCs w:val="18"/>
        </w:rPr>
        <w:footnoteRef/>
      </w:r>
      <w:r>
        <w:tab/>
        <w:t>See</w:t>
      </w:r>
      <w:r w:rsidRPr="00127799">
        <w:t xml:space="preserve"> </w:t>
      </w:r>
      <w:r w:rsidRPr="00FA3D47">
        <w:t xml:space="preserve">Clive Walker, </w:t>
      </w:r>
      <w:r>
        <w:t>“</w:t>
      </w:r>
      <w:r w:rsidRPr="00FA3D47">
        <w:t>Prisoners of ‘</w:t>
      </w:r>
      <w:r>
        <w:t>w</w:t>
      </w:r>
      <w:r w:rsidRPr="00FA3D47">
        <w:t xml:space="preserve">ar all the </w:t>
      </w:r>
      <w:r>
        <w:t>t</w:t>
      </w:r>
      <w:r w:rsidRPr="00FA3D47">
        <w:t>ime’</w:t>
      </w:r>
      <w:r>
        <w:t>”,</w:t>
      </w:r>
      <w:r w:rsidRPr="00FA3D47">
        <w:t xml:space="preserve"> </w:t>
      </w:r>
      <w:r w:rsidRPr="002137B1">
        <w:rPr>
          <w:i/>
          <w:iCs/>
        </w:rPr>
        <w:t>Eur</w:t>
      </w:r>
      <w:r>
        <w:rPr>
          <w:i/>
          <w:iCs/>
        </w:rPr>
        <w:t>opean</w:t>
      </w:r>
      <w:r w:rsidRPr="002137B1">
        <w:rPr>
          <w:i/>
          <w:iCs/>
        </w:rPr>
        <w:t xml:space="preserve"> Hum</w:t>
      </w:r>
      <w:r>
        <w:rPr>
          <w:i/>
          <w:iCs/>
        </w:rPr>
        <w:t>an</w:t>
      </w:r>
      <w:r w:rsidRPr="002137B1">
        <w:rPr>
          <w:i/>
          <w:iCs/>
        </w:rPr>
        <w:t xml:space="preserve"> R</w:t>
      </w:r>
      <w:r>
        <w:rPr>
          <w:i/>
          <w:iCs/>
        </w:rPr>
        <w:t>igh</w:t>
      </w:r>
      <w:r w:rsidRPr="002137B1">
        <w:rPr>
          <w:i/>
          <w:iCs/>
        </w:rPr>
        <w:t>ts L</w:t>
      </w:r>
      <w:r>
        <w:rPr>
          <w:i/>
          <w:iCs/>
        </w:rPr>
        <w:t>aw</w:t>
      </w:r>
      <w:r w:rsidRPr="002137B1">
        <w:rPr>
          <w:i/>
          <w:iCs/>
        </w:rPr>
        <w:t xml:space="preserve"> Rev</w:t>
      </w:r>
      <w:r>
        <w:rPr>
          <w:i/>
          <w:iCs/>
        </w:rPr>
        <w:t>iew</w:t>
      </w:r>
      <w:r w:rsidRPr="00FA3D47">
        <w:rPr>
          <w:smallCaps/>
        </w:rPr>
        <w:t xml:space="preserve"> </w:t>
      </w:r>
      <w:r w:rsidRPr="00FA3D47">
        <w:t>(2005)</w:t>
      </w:r>
      <w:r>
        <w:t>.</w:t>
      </w:r>
    </w:p>
  </w:footnote>
  <w:footnote w:id="51">
    <w:p w14:paraId="11754CE8" w14:textId="367B7A81" w:rsidR="00102747" w:rsidRPr="00127799" w:rsidRDefault="00102747">
      <w:pPr>
        <w:pStyle w:val="FootnoteText"/>
        <w:rPr>
          <w:szCs w:val="18"/>
        </w:rPr>
      </w:pPr>
      <w:r w:rsidRPr="00127799">
        <w:rPr>
          <w:szCs w:val="18"/>
        </w:rPr>
        <w:tab/>
      </w:r>
      <w:r w:rsidRPr="0060215C">
        <w:rPr>
          <w:rStyle w:val="FootnoteReference"/>
          <w:rFonts w:eastAsiaTheme="majorEastAsia"/>
          <w:szCs w:val="18"/>
        </w:rPr>
        <w:footnoteRef/>
      </w:r>
      <w:r w:rsidRPr="0060215C">
        <w:rPr>
          <w:szCs w:val="18"/>
        </w:rPr>
        <w:tab/>
        <w:t>See</w:t>
      </w:r>
      <w:r>
        <w:rPr>
          <w:szCs w:val="18"/>
        </w:rPr>
        <w:t xml:space="preserve"> </w:t>
      </w:r>
      <w:r w:rsidR="002B78E4">
        <w:t>Security Council resolutions 1373 (2001), 1456 (2003), 1566 (2004), 1624 (2005), 2178 (2014), 2341 (2017), 2354 (2017), 2368 (2017), 2370 (2017), 2395 (2017) and 2396 (2017)</w:t>
      </w:r>
      <w:r w:rsidRPr="00062800">
        <w:rPr>
          <w:szCs w:val="18"/>
        </w:rPr>
        <w:t>.</w:t>
      </w:r>
    </w:p>
  </w:footnote>
  <w:footnote w:id="52">
    <w:p w14:paraId="5C1413C1" w14:textId="7BCFD333" w:rsidR="00102747" w:rsidRPr="00127799" w:rsidRDefault="00102747">
      <w:pPr>
        <w:pStyle w:val="FootnoteText"/>
        <w:rPr>
          <w:szCs w:val="18"/>
        </w:rPr>
      </w:pPr>
      <w:r w:rsidRPr="00127799">
        <w:rPr>
          <w:szCs w:val="18"/>
        </w:rPr>
        <w:tab/>
      </w:r>
      <w:r w:rsidRPr="00127799">
        <w:rPr>
          <w:rStyle w:val="FootnoteReference"/>
          <w:rFonts w:eastAsiaTheme="majorEastAsia"/>
          <w:szCs w:val="18"/>
        </w:rPr>
        <w:footnoteRef/>
      </w:r>
      <w:r w:rsidRPr="00127799">
        <w:rPr>
          <w:szCs w:val="18"/>
        </w:rPr>
        <w:tab/>
      </w:r>
      <w:r>
        <w:rPr>
          <w:szCs w:val="18"/>
        </w:rPr>
        <w:t xml:space="preserve">See </w:t>
      </w:r>
      <w:r w:rsidRPr="00127799">
        <w:rPr>
          <w:szCs w:val="18"/>
        </w:rPr>
        <w:t xml:space="preserve">Marko Milanovic, </w:t>
      </w:r>
      <w:r>
        <w:rPr>
          <w:szCs w:val="18"/>
        </w:rPr>
        <w:t>“</w:t>
      </w:r>
      <w:r w:rsidRPr="00127799">
        <w:rPr>
          <w:szCs w:val="18"/>
        </w:rPr>
        <w:t xml:space="preserve">Extraterritorial </w:t>
      </w:r>
      <w:r>
        <w:rPr>
          <w:szCs w:val="18"/>
        </w:rPr>
        <w:t>d</w:t>
      </w:r>
      <w:r w:rsidRPr="00127799">
        <w:rPr>
          <w:szCs w:val="18"/>
        </w:rPr>
        <w:t xml:space="preserve">erogations from </w:t>
      </w:r>
      <w:r>
        <w:rPr>
          <w:szCs w:val="18"/>
        </w:rPr>
        <w:t>h</w:t>
      </w:r>
      <w:r w:rsidRPr="00127799">
        <w:rPr>
          <w:szCs w:val="18"/>
        </w:rPr>
        <w:t xml:space="preserve">uman </w:t>
      </w:r>
      <w:r>
        <w:rPr>
          <w:szCs w:val="18"/>
        </w:rPr>
        <w:t>r</w:t>
      </w:r>
      <w:r w:rsidRPr="00127799">
        <w:rPr>
          <w:szCs w:val="18"/>
        </w:rPr>
        <w:t xml:space="preserve">ights </w:t>
      </w:r>
      <w:r>
        <w:rPr>
          <w:szCs w:val="18"/>
        </w:rPr>
        <w:t>t</w:t>
      </w:r>
      <w:r w:rsidRPr="00127799">
        <w:rPr>
          <w:szCs w:val="18"/>
        </w:rPr>
        <w:t xml:space="preserve">reaties in </w:t>
      </w:r>
      <w:r>
        <w:rPr>
          <w:szCs w:val="18"/>
        </w:rPr>
        <w:t>a</w:t>
      </w:r>
      <w:r w:rsidRPr="00127799">
        <w:rPr>
          <w:szCs w:val="18"/>
        </w:rPr>
        <w:t xml:space="preserve">rmed </w:t>
      </w:r>
      <w:r>
        <w:rPr>
          <w:szCs w:val="18"/>
        </w:rPr>
        <w:t>c</w:t>
      </w:r>
      <w:r w:rsidRPr="00127799">
        <w:rPr>
          <w:szCs w:val="18"/>
        </w:rPr>
        <w:t>onflict</w:t>
      </w:r>
      <w:r>
        <w:rPr>
          <w:szCs w:val="18"/>
        </w:rPr>
        <w:t>”,</w:t>
      </w:r>
      <w:r w:rsidRPr="00127799">
        <w:rPr>
          <w:szCs w:val="18"/>
        </w:rPr>
        <w:t xml:space="preserve"> in </w:t>
      </w:r>
      <w:r w:rsidRPr="002137B1">
        <w:rPr>
          <w:i/>
          <w:iCs/>
          <w:szCs w:val="18"/>
        </w:rPr>
        <w:t>The Frontiers of Human Rights: Extraterritoriality and its Challenges</w:t>
      </w:r>
      <w:r>
        <w:rPr>
          <w:szCs w:val="18"/>
        </w:rPr>
        <w:t xml:space="preserve">, </w:t>
      </w:r>
      <w:r w:rsidRPr="00127799">
        <w:rPr>
          <w:szCs w:val="18"/>
        </w:rPr>
        <w:t>Nehal Bhuta</w:t>
      </w:r>
      <w:r>
        <w:rPr>
          <w:szCs w:val="18"/>
        </w:rPr>
        <w:t>,</w:t>
      </w:r>
      <w:r w:rsidRPr="00127799">
        <w:rPr>
          <w:szCs w:val="18"/>
        </w:rPr>
        <w:t xml:space="preserve"> ed</w:t>
      </w:r>
      <w:r>
        <w:rPr>
          <w:szCs w:val="18"/>
        </w:rPr>
        <w:t>.</w:t>
      </w:r>
      <w:r w:rsidRPr="00127799">
        <w:rPr>
          <w:szCs w:val="18"/>
        </w:rPr>
        <w:t xml:space="preserve"> </w:t>
      </w:r>
      <w:r>
        <w:rPr>
          <w:szCs w:val="18"/>
        </w:rPr>
        <w:t xml:space="preserve">(Oxford University Press, </w:t>
      </w:r>
      <w:r w:rsidRPr="00127799">
        <w:rPr>
          <w:szCs w:val="18"/>
        </w:rPr>
        <w:t>2014).</w:t>
      </w:r>
    </w:p>
  </w:footnote>
  <w:footnote w:id="53">
    <w:p w14:paraId="0946CB27" w14:textId="315764C7" w:rsidR="00102747" w:rsidRPr="00127799" w:rsidRDefault="00102747" w:rsidP="003E7F3E">
      <w:pPr>
        <w:pStyle w:val="FootnoteText"/>
        <w:rPr>
          <w:szCs w:val="18"/>
        </w:rPr>
      </w:pPr>
      <w:r w:rsidRPr="00127799">
        <w:rPr>
          <w:szCs w:val="18"/>
        </w:rPr>
        <w:tab/>
      </w:r>
      <w:r w:rsidRPr="003E7F3E">
        <w:rPr>
          <w:rStyle w:val="FootnoteReference"/>
          <w:rFonts w:eastAsiaTheme="majorEastAsia"/>
          <w:szCs w:val="18"/>
        </w:rPr>
        <w:footnoteRef/>
      </w:r>
      <w:r w:rsidRPr="003E7F3E">
        <w:rPr>
          <w:szCs w:val="18"/>
        </w:rPr>
        <w:tab/>
      </w:r>
      <w:r w:rsidR="003E7F3E" w:rsidRPr="0060215C">
        <w:rPr>
          <w:szCs w:val="18"/>
        </w:rPr>
        <w:t>See</w:t>
      </w:r>
      <w:r w:rsidR="003E7F3E">
        <w:rPr>
          <w:szCs w:val="18"/>
        </w:rPr>
        <w:t xml:space="preserve"> </w:t>
      </w:r>
      <w:r w:rsidR="003E7F3E">
        <w:t>Security Council resolutions 1373 (2001), 1456 (2003), 1566 (2004), 1624 (2005), 2178 (2014), 2341 (2017), 2354 (2017), 2368 (2017), 2370 (2017), 2395 (2017) and 2396 (2017); General Assembly resolutions 49/60</w:t>
      </w:r>
      <w:r w:rsidR="003E7F3E" w:rsidRPr="003E7F3E">
        <w:t>, 51/210, 72/123 and 72/180</w:t>
      </w:r>
      <w:r w:rsidR="003E7F3E">
        <w:t>; and Human Rights Council resolution 35/34</w:t>
      </w:r>
      <w:r w:rsidRPr="00062800">
        <w:rPr>
          <w:szCs w:val="18"/>
        </w:rPr>
        <w:t>.</w:t>
      </w:r>
    </w:p>
  </w:footnote>
  <w:footnote w:id="54">
    <w:p w14:paraId="7BEC4A31" w14:textId="610AAC2C" w:rsidR="00102747" w:rsidRPr="00127799" w:rsidRDefault="00102747">
      <w:pPr>
        <w:pStyle w:val="FootnoteText"/>
        <w:rPr>
          <w:szCs w:val="18"/>
        </w:rPr>
      </w:pPr>
      <w:r w:rsidRPr="00127799">
        <w:rPr>
          <w:szCs w:val="18"/>
        </w:rPr>
        <w:tab/>
      </w:r>
      <w:r w:rsidRPr="00127799">
        <w:rPr>
          <w:rStyle w:val="FootnoteReference"/>
          <w:rFonts w:eastAsiaTheme="majorEastAsia"/>
          <w:szCs w:val="18"/>
        </w:rPr>
        <w:footnoteRef/>
      </w:r>
      <w:r w:rsidRPr="00127799">
        <w:rPr>
          <w:szCs w:val="18"/>
        </w:rPr>
        <w:tab/>
        <w:t>See</w:t>
      </w:r>
      <w:r>
        <w:rPr>
          <w:szCs w:val="18"/>
        </w:rPr>
        <w:t>, for example, United Kingdom,</w:t>
      </w:r>
      <w:r w:rsidRPr="00127799">
        <w:rPr>
          <w:szCs w:val="18"/>
        </w:rPr>
        <w:t xml:space="preserve"> Ministry of Defence, “Government to Protect Armed Forces from </w:t>
      </w:r>
      <w:r>
        <w:rPr>
          <w:szCs w:val="18"/>
        </w:rPr>
        <w:t>p</w:t>
      </w:r>
      <w:r w:rsidRPr="00127799">
        <w:rPr>
          <w:szCs w:val="18"/>
        </w:rPr>
        <w:t xml:space="preserve">ersistent </w:t>
      </w:r>
      <w:r>
        <w:rPr>
          <w:szCs w:val="18"/>
        </w:rPr>
        <w:t>l</w:t>
      </w:r>
      <w:r w:rsidRPr="00127799">
        <w:rPr>
          <w:szCs w:val="18"/>
        </w:rPr>
        <w:t xml:space="preserve">egal </w:t>
      </w:r>
      <w:r>
        <w:rPr>
          <w:szCs w:val="18"/>
        </w:rPr>
        <w:t>c</w:t>
      </w:r>
      <w:r w:rsidRPr="00127799">
        <w:rPr>
          <w:szCs w:val="18"/>
        </w:rPr>
        <w:t xml:space="preserve">laims in </w:t>
      </w:r>
      <w:r>
        <w:rPr>
          <w:szCs w:val="18"/>
        </w:rPr>
        <w:t>f</w:t>
      </w:r>
      <w:r w:rsidRPr="00127799">
        <w:rPr>
          <w:szCs w:val="18"/>
        </w:rPr>
        <w:t xml:space="preserve">uture </w:t>
      </w:r>
      <w:r>
        <w:rPr>
          <w:szCs w:val="18"/>
        </w:rPr>
        <w:t>o</w:t>
      </w:r>
      <w:r w:rsidRPr="00127799">
        <w:rPr>
          <w:szCs w:val="18"/>
        </w:rPr>
        <w:t xml:space="preserve">verseas </w:t>
      </w:r>
      <w:r>
        <w:rPr>
          <w:szCs w:val="18"/>
        </w:rPr>
        <w:t>o</w:t>
      </w:r>
      <w:r w:rsidRPr="00127799">
        <w:rPr>
          <w:szCs w:val="18"/>
        </w:rPr>
        <w:t>perations</w:t>
      </w:r>
      <w:r>
        <w:rPr>
          <w:szCs w:val="18"/>
        </w:rPr>
        <w:t>”</w:t>
      </w:r>
      <w:r w:rsidRPr="00127799">
        <w:rPr>
          <w:szCs w:val="18"/>
        </w:rPr>
        <w:t xml:space="preserve"> (4 October 2016).</w:t>
      </w:r>
    </w:p>
  </w:footnote>
  <w:footnote w:id="55">
    <w:p w14:paraId="32E72E64" w14:textId="717BF371" w:rsidR="00102747" w:rsidRPr="00127799" w:rsidRDefault="00102747">
      <w:pPr>
        <w:pStyle w:val="FootnoteText"/>
        <w:rPr>
          <w:szCs w:val="18"/>
        </w:rPr>
      </w:pPr>
      <w:r w:rsidRPr="00127799">
        <w:rPr>
          <w:szCs w:val="18"/>
        </w:rPr>
        <w:tab/>
      </w:r>
      <w:r w:rsidRPr="00127799">
        <w:rPr>
          <w:rStyle w:val="FootnoteReference"/>
          <w:rFonts w:eastAsiaTheme="majorEastAsia"/>
          <w:szCs w:val="18"/>
        </w:rPr>
        <w:footnoteRef/>
      </w:r>
      <w:r w:rsidRPr="00127799">
        <w:rPr>
          <w:szCs w:val="18"/>
        </w:rPr>
        <w:tab/>
      </w:r>
      <w:r>
        <w:rPr>
          <w:szCs w:val="18"/>
        </w:rPr>
        <w:t xml:space="preserve">See </w:t>
      </w:r>
      <w:r w:rsidRPr="002137B1">
        <w:rPr>
          <w:i/>
          <w:iCs/>
          <w:szCs w:val="18"/>
        </w:rPr>
        <w:t>Lawless v. Ireland</w:t>
      </w:r>
      <w:r>
        <w:rPr>
          <w:szCs w:val="18"/>
        </w:rPr>
        <w:t>,</w:t>
      </w:r>
      <w:r w:rsidRPr="00127799">
        <w:rPr>
          <w:szCs w:val="18"/>
        </w:rPr>
        <w:t xml:space="preserve"> para</w:t>
      </w:r>
      <w:r>
        <w:rPr>
          <w:szCs w:val="18"/>
        </w:rPr>
        <w:t>.</w:t>
      </w:r>
      <w:r w:rsidRPr="00127799">
        <w:rPr>
          <w:szCs w:val="18"/>
        </w:rPr>
        <w:t xml:space="preserve"> 28.</w:t>
      </w:r>
    </w:p>
  </w:footnote>
  <w:footnote w:id="56">
    <w:p w14:paraId="0A50B79C" w14:textId="63F6B95E" w:rsidR="00102747" w:rsidRPr="00127799" w:rsidRDefault="00102747">
      <w:pPr>
        <w:pStyle w:val="FootnoteText"/>
        <w:rPr>
          <w:szCs w:val="18"/>
        </w:rPr>
      </w:pPr>
      <w:r w:rsidRPr="00127799">
        <w:rPr>
          <w:szCs w:val="18"/>
        </w:rPr>
        <w:tab/>
      </w:r>
      <w:r w:rsidRPr="00127799">
        <w:rPr>
          <w:rStyle w:val="FootnoteReference"/>
          <w:rFonts w:eastAsiaTheme="majorEastAsia"/>
          <w:szCs w:val="18"/>
        </w:rPr>
        <w:footnoteRef/>
      </w:r>
      <w:r w:rsidRPr="00127799">
        <w:rPr>
          <w:szCs w:val="18"/>
        </w:rPr>
        <w:tab/>
        <w:t xml:space="preserve">Thus, </w:t>
      </w:r>
      <w:r>
        <w:rPr>
          <w:szCs w:val="18"/>
        </w:rPr>
        <w:t>for example</w:t>
      </w:r>
      <w:r w:rsidRPr="00127799">
        <w:rPr>
          <w:szCs w:val="18"/>
        </w:rPr>
        <w:t xml:space="preserve">, derogations that might relate to non-international armed conflicts are not exempt from the requirement that the conflict elsewhere </w:t>
      </w:r>
      <w:r>
        <w:rPr>
          <w:szCs w:val="18"/>
        </w:rPr>
        <w:t xml:space="preserve">must </w:t>
      </w:r>
      <w:r w:rsidRPr="00127799">
        <w:rPr>
          <w:szCs w:val="18"/>
        </w:rPr>
        <w:t xml:space="preserve">pose a </w:t>
      </w:r>
      <w:r>
        <w:rPr>
          <w:szCs w:val="18"/>
        </w:rPr>
        <w:t>“</w:t>
      </w:r>
      <w:r w:rsidRPr="00127799">
        <w:rPr>
          <w:szCs w:val="18"/>
        </w:rPr>
        <w:t xml:space="preserve">threat to the </w:t>
      </w:r>
      <w:r w:rsidRPr="00127799">
        <w:rPr>
          <w:szCs w:val="18"/>
          <w:u w:val="single"/>
        </w:rPr>
        <w:t>life</w:t>
      </w:r>
      <w:r w:rsidRPr="00127799">
        <w:rPr>
          <w:szCs w:val="18"/>
        </w:rPr>
        <w:t xml:space="preserve"> of the nation</w:t>
      </w:r>
      <w:r>
        <w:rPr>
          <w:szCs w:val="18"/>
        </w:rPr>
        <w:t>”</w:t>
      </w:r>
      <w:r w:rsidRPr="00127799">
        <w:rPr>
          <w:szCs w:val="18"/>
        </w:rPr>
        <w:t xml:space="preserve"> (emphasis</w:t>
      </w:r>
      <w:r>
        <w:rPr>
          <w:szCs w:val="18"/>
        </w:rPr>
        <w:t xml:space="preserve"> added</w:t>
      </w:r>
      <w:r w:rsidRPr="00127799">
        <w:rPr>
          <w:szCs w:val="18"/>
        </w:rPr>
        <w:t xml:space="preserve">). </w:t>
      </w:r>
      <w:r>
        <w:rPr>
          <w:szCs w:val="18"/>
        </w:rPr>
        <w:t xml:space="preserve">See </w:t>
      </w:r>
      <w:r w:rsidRPr="00127799">
        <w:rPr>
          <w:szCs w:val="18"/>
        </w:rPr>
        <w:t xml:space="preserve">Alan Greene, </w:t>
      </w:r>
      <w:r>
        <w:rPr>
          <w:szCs w:val="18"/>
        </w:rPr>
        <w:t>“</w:t>
      </w:r>
      <w:r w:rsidRPr="00127799">
        <w:rPr>
          <w:szCs w:val="18"/>
        </w:rPr>
        <w:t xml:space="preserve">Separating </w:t>
      </w:r>
      <w:r>
        <w:rPr>
          <w:szCs w:val="18"/>
        </w:rPr>
        <w:t>n</w:t>
      </w:r>
      <w:r w:rsidRPr="00127799">
        <w:rPr>
          <w:szCs w:val="18"/>
        </w:rPr>
        <w:t xml:space="preserve">ormalcy from </w:t>
      </w:r>
      <w:r>
        <w:rPr>
          <w:szCs w:val="18"/>
        </w:rPr>
        <w:t>e</w:t>
      </w:r>
      <w:r w:rsidRPr="00127799">
        <w:rPr>
          <w:szCs w:val="18"/>
        </w:rPr>
        <w:t xml:space="preserve">mergency: </w:t>
      </w:r>
      <w:r>
        <w:rPr>
          <w:szCs w:val="18"/>
        </w:rPr>
        <w:t>t</w:t>
      </w:r>
      <w:r w:rsidRPr="00127799">
        <w:rPr>
          <w:szCs w:val="18"/>
        </w:rPr>
        <w:t xml:space="preserve">he </w:t>
      </w:r>
      <w:r>
        <w:rPr>
          <w:szCs w:val="18"/>
        </w:rPr>
        <w:t>j</w:t>
      </w:r>
      <w:r w:rsidRPr="00127799">
        <w:rPr>
          <w:szCs w:val="18"/>
        </w:rPr>
        <w:t xml:space="preserve">urisprudence of </w:t>
      </w:r>
      <w:r>
        <w:rPr>
          <w:szCs w:val="18"/>
        </w:rPr>
        <w:t>a</w:t>
      </w:r>
      <w:r w:rsidRPr="00127799">
        <w:rPr>
          <w:szCs w:val="18"/>
        </w:rPr>
        <w:t>rticle 15 of the European Convention on Human Rights</w:t>
      </w:r>
      <w:r>
        <w:rPr>
          <w:szCs w:val="18"/>
        </w:rPr>
        <w:t xml:space="preserve">”, </w:t>
      </w:r>
      <w:r w:rsidRPr="002137B1">
        <w:rPr>
          <w:i/>
          <w:iCs/>
          <w:szCs w:val="18"/>
        </w:rPr>
        <w:t>German Law Journal</w:t>
      </w:r>
      <w:r w:rsidRPr="002137B1">
        <w:rPr>
          <w:szCs w:val="18"/>
        </w:rPr>
        <w:t>, vol</w:t>
      </w:r>
      <w:r w:rsidR="00011B1E">
        <w:rPr>
          <w:szCs w:val="18"/>
        </w:rPr>
        <w:t>.</w:t>
      </w:r>
      <w:r w:rsidRPr="002137B1">
        <w:rPr>
          <w:szCs w:val="18"/>
        </w:rPr>
        <w:t xml:space="preserve"> 12, No. 10 (2011), pp.</w:t>
      </w:r>
      <w:r w:rsidRPr="00127799">
        <w:rPr>
          <w:szCs w:val="18"/>
        </w:rPr>
        <w:t xml:space="preserve"> 1764</w:t>
      </w:r>
      <w:r>
        <w:rPr>
          <w:szCs w:val="18"/>
        </w:rPr>
        <w:t>–1785</w:t>
      </w:r>
      <w:r w:rsidRPr="00127799">
        <w:rPr>
          <w:szCs w:val="18"/>
        </w:rPr>
        <w:t>.</w:t>
      </w:r>
    </w:p>
  </w:footnote>
  <w:footnote w:id="57">
    <w:p w14:paraId="55A09631" w14:textId="109D4C1E" w:rsidR="00102747" w:rsidRPr="00127799" w:rsidRDefault="00102747">
      <w:pPr>
        <w:pStyle w:val="FootnoteText"/>
        <w:rPr>
          <w:szCs w:val="18"/>
        </w:rPr>
      </w:pPr>
      <w:r w:rsidRPr="00127799">
        <w:rPr>
          <w:szCs w:val="18"/>
        </w:rPr>
        <w:tab/>
      </w:r>
      <w:r w:rsidRPr="00127799">
        <w:rPr>
          <w:rStyle w:val="FootnoteReference"/>
          <w:rFonts w:eastAsiaTheme="majorEastAsia"/>
          <w:szCs w:val="18"/>
        </w:rPr>
        <w:footnoteRef/>
      </w:r>
      <w:r w:rsidRPr="00127799">
        <w:rPr>
          <w:szCs w:val="18"/>
        </w:rPr>
        <w:tab/>
      </w:r>
      <w:r>
        <w:rPr>
          <w:szCs w:val="18"/>
        </w:rPr>
        <w:t xml:space="preserve">See European Court of Human Rights, </w:t>
      </w:r>
      <w:r w:rsidRPr="002137B1">
        <w:rPr>
          <w:i/>
          <w:iCs/>
          <w:szCs w:val="18"/>
        </w:rPr>
        <w:t>Al-Jedda v. the United Kingdom</w:t>
      </w:r>
      <w:r>
        <w:rPr>
          <w:i/>
          <w:iCs/>
          <w:szCs w:val="18"/>
        </w:rPr>
        <w:t>,</w:t>
      </w:r>
      <w:r>
        <w:rPr>
          <w:szCs w:val="18"/>
        </w:rPr>
        <w:t xml:space="preserve"> judgment of 7 July </w:t>
      </w:r>
      <w:r w:rsidRPr="00127799">
        <w:rPr>
          <w:szCs w:val="18"/>
        </w:rPr>
        <w:t>2011</w:t>
      </w:r>
      <w:r>
        <w:rPr>
          <w:szCs w:val="18"/>
        </w:rPr>
        <w:t>; and</w:t>
      </w:r>
      <w:r w:rsidRPr="00127799">
        <w:rPr>
          <w:szCs w:val="18"/>
        </w:rPr>
        <w:t xml:space="preserve"> </w:t>
      </w:r>
      <w:r w:rsidRPr="002137B1">
        <w:rPr>
          <w:i/>
          <w:iCs/>
          <w:szCs w:val="18"/>
        </w:rPr>
        <w:t>Al-Skeini and Others v. the United Kingdom</w:t>
      </w:r>
      <w:r>
        <w:rPr>
          <w:szCs w:val="18"/>
        </w:rPr>
        <w:t>, judgment of 7 July 2011.</w:t>
      </w:r>
    </w:p>
  </w:footnote>
  <w:footnote w:id="58">
    <w:p w14:paraId="0CAEAA53" w14:textId="7D7DDDF5" w:rsidR="00102747" w:rsidRPr="00127799" w:rsidRDefault="00102747">
      <w:pPr>
        <w:pStyle w:val="FootnoteText"/>
        <w:rPr>
          <w:szCs w:val="18"/>
        </w:rPr>
      </w:pPr>
      <w:r w:rsidRPr="00127799">
        <w:rPr>
          <w:szCs w:val="18"/>
        </w:rPr>
        <w:tab/>
      </w:r>
      <w:r w:rsidRPr="00127799">
        <w:rPr>
          <w:rStyle w:val="FootnoteReference"/>
          <w:rFonts w:eastAsiaTheme="majorEastAsia"/>
          <w:szCs w:val="18"/>
        </w:rPr>
        <w:footnoteRef/>
      </w:r>
      <w:r w:rsidRPr="00127799">
        <w:rPr>
          <w:szCs w:val="18"/>
        </w:rPr>
        <w:tab/>
      </w:r>
      <w:r>
        <w:rPr>
          <w:szCs w:val="18"/>
        </w:rPr>
        <w:t xml:space="preserve">See </w:t>
      </w:r>
      <w:hyperlink r:id="rId6" w:history="1">
        <w:r w:rsidRPr="001E61A5">
          <w:rPr>
            <w:rStyle w:val="Hyperlink"/>
            <w:szCs w:val="18"/>
          </w:rPr>
          <w:t>https://terrorismlegislationreviewer.independent.gov.uk</w:t>
        </w:r>
      </w:hyperlink>
      <w:r w:rsidRPr="00127799">
        <w:rPr>
          <w:szCs w:val="18"/>
        </w:rPr>
        <w:t>.</w:t>
      </w:r>
      <w:r>
        <w:rPr>
          <w:szCs w:val="18"/>
        </w:rPr>
        <w:t xml:space="preserve"> </w:t>
      </w:r>
      <w:r w:rsidRPr="00127799">
        <w:rPr>
          <w:szCs w:val="18"/>
        </w:rPr>
        <w:t xml:space="preserve">See also the Independent National Security Legislation </w:t>
      </w:r>
      <w:r>
        <w:rPr>
          <w:szCs w:val="18"/>
        </w:rPr>
        <w:t>M</w:t>
      </w:r>
      <w:r w:rsidRPr="00127799">
        <w:rPr>
          <w:szCs w:val="18"/>
        </w:rPr>
        <w:t>onitor adopted by Australia as a parallel model of good practice.</w:t>
      </w:r>
    </w:p>
  </w:footnote>
  <w:footnote w:id="59">
    <w:p w14:paraId="275A6AAD" w14:textId="157AC12D" w:rsidR="00102747" w:rsidRDefault="00102747">
      <w:pPr>
        <w:pStyle w:val="FootnoteText"/>
      </w:pPr>
      <w:r>
        <w:tab/>
      </w:r>
      <w:r>
        <w:rPr>
          <w:rStyle w:val="FootnoteReference"/>
        </w:rPr>
        <w:footnoteRef/>
      </w:r>
      <w:r>
        <w:tab/>
        <w:t xml:space="preserve">See African Court on Human and Peoples’ Rights, </w:t>
      </w:r>
      <w:r w:rsidRPr="002137B1">
        <w:rPr>
          <w:i/>
          <w:iCs/>
        </w:rPr>
        <w:t>African Commission on Human and Peoples’ Rights v. Libya</w:t>
      </w:r>
      <w:r>
        <w:t>, application No. 002/2013, judgment of 3 June 2016.</w:t>
      </w:r>
    </w:p>
  </w:footnote>
  <w:footnote w:id="60">
    <w:p w14:paraId="23C8E16F" w14:textId="2151A501" w:rsidR="00102747" w:rsidRPr="00127799" w:rsidRDefault="00102747">
      <w:pPr>
        <w:pStyle w:val="FootnoteText"/>
        <w:rPr>
          <w:szCs w:val="18"/>
        </w:rPr>
      </w:pPr>
      <w:r w:rsidRPr="00127799">
        <w:rPr>
          <w:szCs w:val="18"/>
        </w:rPr>
        <w:tab/>
      </w:r>
      <w:r w:rsidRPr="00127799">
        <w:rPr>
          <w:rStyle w:val="FootnoteReference"/>
          <w:rFonts w:eastAsiaTheme="majorEastAsia"/>
          <w:szCs w:val="18"/>
        </w:rPr>
        <w:footnoteRef/>
      </w:r>
      <w:r w:rsidRPr="00127799">
        <w:rPr>
          <w:szCs w:val="18"/>
        </w:rPr>
        <w:tab/>
      </w:r>
      <w:r>
        <w:rPr>
          <w:szCs w:val="18"/>
        </w:rPr>
        <w:t xml:space="preserve">See </w:t>
      </w:r>
      <w:r w:rsidRPr="00127799">
        <w:rPr>
          <w:szCs w:val="18"/>
        </w:rPr>
        <w:t>Alan Green</w:t>
      </w:r>
      <w:r>
        <w:rPr>
          <w:szCs w:val="18"/>
        </w:rPr>
        <w:t>e</w:t>
      </w:r>
      <w:r w:rsidRPr="00127799">
        <w:rPr>
          <w:szCs w:val="18"/>
        </w:rPr>
        <w:t xml:space="preserve">, </w:t>
      </w:r>
      <w:r w:rsidRPr="002137B1">
        <w:rPr>
          <w:i/>
          <w:iCs/>
          <w:szCs w:val="18"/>
        </w:rPr>
        <w:t>Permanent States of Emergency and the Rule of Law: Constitutions in an Age of Crisis</w:t>
      </w:r>
      <w:r w:rsidRPr="00127799">
        <w:rPr>
          <w:szCs w:val="18"/>
        </w:rPr>
        <w:t xml:space="preserve"> (Hart Publishing</w:t>
      </w:r>
      <w:r>
        <w:rPr>
          <w:szCs w:val="18"/>
        </w:rPr>
        <w:t>, 2018</w:t>
      </w:r>
      <w:r w:rsidRPr="00127799">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D082" w14:textId="6FA61D4F" w:rsidR="00102747" w:rsidRPr="00F04E3F" w:rsidRDefault="00102747">
    <w:pPr>
      <w:pStyle w:val="Header"/>
    </w:pPr>
    <w:r>
      <w:t>A</w:t>
    </w:r>
    <w:r>
      <w:fldChar w:fldCharType="begin"/>
    </w:r>
    <w:r>
      <w:instrText xml:space="preserve"> TITLE  \* MERGEFORMAT </w:instrText>
    </w:r>
    <w:r>
      <w:fldChar w:fldCharType="end"/>
    </w:r>
    <w:r>
      <w:t>HRC/37/52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7ADD4" w14:textId="0F091E1F" w:rsidR="00102747" w:rsidRPr="00F04E3F" w:rsidRDefault="00102747" w:rsidP="003748EF">
    <w:pPr>
      <w:pStyle w:val="Header"/>
      <w:jc w:val="right"/>
    </w:pPr>
    <w:r>
      <w:t>A</w:t>
    </w:r>
    <w:r>
      <w:fldChar w:fldCharType="begin"/>
    </w:r>
    <w:r>
      <w:instrText xml:space="preserve"> TITLE  \* MERGEFORMAT </w:instrText>
    </w:r>
    <w:r>
      <w:fldChar w:fldCharType="end"/>
    </w:r>
    <w:r>
      <w:t>HRC/37/52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F4F9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076906"/>
    <w:multiLevelType w:val="hybridMultilevel"/>
    <w:tmpl w:val="F2A08AC6"/>
    <w:lvl w:ilvl="0" w:tplc="776E496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9A54E2"/>
    <w:multiLevelType w:val="hybridMultilevel"/>
    <w:tmpl w:val="FFDADA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E786222"/>
    <w:multiLevelType w:val="hybridMultilevel"/>
    <w:tmpl w:val="F2A08AC6"/>
    <w:lvl w:ilvl="0" w:tplc="776E496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9DC3D89"/>
    <w:multiLevelType w:val="multilevel"/>
    <w:tmpl w:val="0C0A001F"/>
    <w:styleLink w:val="111111"/>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224"/>
        </w:tabs>
        <w:ind w:left="1224" w:hanging="504"/>
      </w:pPr>
    </w:lvl>
    <w:lvl w:ilvl="3">
      <w:start w:val="1"/>
      <w:numFmt w:val="decimal"/>
      <w:pStyle w:val="Heading4"/>
      <w:lvlText w:val="%1.%2.%3.%4."/>
      <w:lvlJc w:val="left"/>
      <w:pPr>
        <w:tabs>
          <w:tab w:val="num" w:pos="1728"/>
        </w:tabs>
        <w:ind w:left="1728" w:hanging="648"/>
      </w:pPr>
    </w:lvl>
    <w:lvl w:ilvl="4">
      <w:start w:val="1"/>
      <w:numFmt w:val="decimal"/>
      <w:pStyle w:val="Heading5"/>
      <w:lvlText w:val="%1.%2.%3.%4.%5."/>
      <w:lvlJc w:val="left"/>
      <w:pPr>
        <w:tabs>
          <w:tab w:val="num" w:pos="2232"/>
        </w:tabs>
        <w:ind w:left="2232" w:hanging="792"/>
      </w:pPr>
    </w:lvl>
    <w:lvl w:ilvl="5">
      <w:start w:val="1"/>
      <w:numFmt w:val="decimal"/>
      <w:pStyle w:val="Heading6"/>
      <w:lvlText w:val="%1.%2.%3.%4.%5.%6."/>
      <w:lvlJc w:val="left"/>
      <w:pPr>
        <w:tabs>
          <w:tab w:val="num" w:pos="2736"/>
        </w:tabs>
        <w:ind w:left="2736" w:hanging="936"/>
      </w:pPr>
    </w:lvl>
    <w:lvl w:ilvl="6">
      <w:start w:val="1"/>
      <w:numFmt w:val="decimal"/>
      <w:pStyle w:val="Heading7"/>
      <w:lvlText w:val="%1.%2.%3.%4.%5.%6.%7."/>
      <w:lvlJc w:val="left"/>
      <w:pPr>
        <w:tabs>
          <w:tab w:val="num" w:pos="3240"/>
        </w:tabs>
        <w:ind w:left="3240" w:hanging="1080"/>
      </w:pPr>
    </w:lvl>
    <w:lvl w:ilvl="7">
      <w:start w:val="1"/>
      <w:numFmt w:val="decimal"/>
      <w:pStyle w:val="Heading8"/>
      <w:lvlText w:val="%1.%2.%3.%4.%5.%6.%7.%8."/>
      <w:lvlJc w:val="left"/>
      <w:pPr>
        <w:tabs>
          <w:tab w:val="num" w:pos="3744"/>
        </w:tabs>
        <w:ind w:left="3744" w:hanging="1224"/>
      </w:pPr>
    </w:lvl>
    <w:lvl w:ilvl="8">
      <w:start w:val="1"/>
      <w:numFmt w:val="decimal"/>
      <w:pStyle w:val="Heading9"/>
      <w:lvlText w:val="%1.%2.%3.%4.%5.%6.%7.%8.%9."/>
      <w:lvlJc w:val="left"/>
      <w:pPr>
        <w:tabs>
          <w:tab w:val="num" w:pos="4320"/>
        </w:tabs>
        <w:ind w:left="4320" w:hanging="1440"/>
      </w:pPr>
    </w:lvl>
  </w:abstractNum>
  <w:abstractNum w:abstractNumId="18" w15:restartNumberingAfterBreak="0">
    <w:nsid w:val="7EA41D7D"/>
    <w:multiLevelType w:val="hybridMultilevel"/>
    <w:tmpl w:val="F2A08AC6"/>
    <w:lvl w:ilvl="0" w:tplc="776E496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17"/>
  </w:num>
  <w:num w:numId="4">
    <w:abstractNumId w:val="16"/>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2"/>
  </w:num>
  <w:num w:numId="17">
    <w:abstractNumId w:val="10"/>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567"/>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71"/>
    <w:rsid w:val="00001033"/>
    <w:rsid w:val="0001041D"/>
    <w:rsid w:val="00011B1E"/>
    <w:rsid w:val="00015D12"/>
    <w:rsid w:val="00022C76"/>
    <w:rsid w:val="00022E88"/>
    <w:rsid w:val="00026F67"/>
    <w:rsid w:val="00060A59"/>
    <w:rsid w:val="000614C2"/>
    <w:rsid w:val="00062800"/>
    <w:rsid w:val="00063384"/>
    <w:rsid w:val="00072A5F"/>
    <w:rsid w:val="00074C3D"/>
    <w:rsid w:val="000762C2"/>
    <w:rsid w:val="000854A1"/>
    <w:rsid w:val="000964CD"/>
    <w:rsid w:val="000971C6"/>
    <w:rsid w:val="000A4494"/>
    <w:rsid w:val="000C239A"/>
    <w:rsid w:val="000E026E"/>
    <w:rsid w:val="000E2623"/>
    <w:rsid w:val="000F002E"/>
    <w:rsid w:val="00102747"/>
    <w:rsid w:val="001054F7"/>
    <w:rsid w:val="00112093"/>
    <w:rsid w:val="00114E2C"/>
    <w:rsid w:val="00132F21"/>
    <w:rsid w:val="00147F66"/>
    <w:rsid w:val="00150903"/>
    <w:rsid w:val="001545F7"/>
    <w:rsid w:val="00156FA4"/>
    <w:rsid w:val="00161AD6"/>
    <w:rsid w:val="00181047"/>
    <w:rsid w:val="00185917"/>
    <w:rsid w:val="0019522C"/>
    <w:rsid w:val="001B0ACF"/>
    <w:rsid w:val="001B4A54"/>
    <w:rsid w:val="001B6AA2"/>
    <w:rsid w:val="001B72B5"/>
    <w:rsid w:val="001C17A8"/>
    <w:rsid w:val="001C29CB"/>
    <w:rsid w:val="001C4F1C"/>
    <w:rsid w:val="001E285C"/>
    <w:rsid w:val="001E61A5"/>
    <w:rsid w:val="002137B1"/>
    <w:rsid w:val="00214F38"/>
    <w:rsid w:val="00217B5E"/>
    <w:rsid w:val="00222DBA"/>
    <w:rsid w:val="00233B30"/>
    <w:rsid w:val="002347AE"/>
    <w:rsid w:val="00242721"/>
    <w:rsid w:val="00250C79"/>
    <w:rsid w:val="00255E48"/>
    <w:rsid w:val="00263163"/>
    <w:rsid w:val="00265DBA"/>
    <w:rsid w:val="00273CEE"/>
    <w:rsid w:val="002753DB"/>
    <w:rsid w:val="00280F56"/>
    <w:rsid w:val="002816F7"/>
    <w:rsid w:val="0028257F"/>
    <w:rsid w:val="00290D64"/>
    <w:rsid w:val="00296485"/>
    <w:rsid w:val="002A0DDE"/>
    <w:rsid w:val="002A147E"/>
    <w:rsid w:val="002A22C0"/>
    <w:rsid w:val="002A36A6"/>
    <w:rsid w:val="002B2330"/>
    <w:rsid w:val="002B78E4"/>
    <w:rsid w:val="002B7BCD"/>
    <w:rsid w:val="002C715B"/>
    <w:rsid w:val="002E2961"/>
    <w:rsid w:val="002E3647"/>
    <w:rsid w:val="002E55CC"/>
    <w:rsid w:val="002F4356"/>
    <w:rsid w:val="002F4EDA"/>
    <w:rsid w:val="00302D95"/>
    <w:rsid w:val="00311E3D"/>
    <w:rsid w:val="003132D2"/>
    <w:rsid w:val="00317169"/>
    <w:rsid w:val="003244B2"/>
    <w:rsid w:val="003257C5"/>
    <w:rsid w:val="00327F76"/>
    <w:rsid w:val="003311D6"/>
    <w:rsid w:val="00335C5D"/>
    <w:rsid w:val="00337D01"/>
    <w:rsid w:val="0034231D"/>
    <w:rsid w:val="00344047"/>
    <w:rsid w:val="00351D40"/>
    <w:rsid w:val="00356ABF"/>
    <w:rsid w:val="003654F2"/>
    <w:rsid w:val="0036555A"/>
    <w:rsid w:val="00374517"/>
    <w:rsid w:val="003748EF"/>
    <w:rsid w:val="00377D14"/>
    <w:rsid w:val="00396283"/>
    <w:rsid w:val="00396AB5"/>
    <w:rsid w:val="003A34A2"/>
    <w:rsid w:val="003B2949"/>
    <w:rsid w:val="003B6F92"/>
    <w:rsid w:val="003E61B8"/>
    <w:rsid w:val="003E7F3E"/>
    <w:rsid w:val="003F0A5B"/>
    <w:rsid w:val="003F19BD"/>
    <w:rsid w:val="003F2407"/>
    <w:rsid w:val="00433D3C"/>
    <w:rsid w:val="0044288C"/>
    <w:rsid w:val="00451790"/>
    <w:rsid w:val="00464C2C"/>
    <w:rsid w:val="00471955"/>
    <w:rsid w:val="00485E08"/>
    <w:rsid w:val="00497580"/>
    <w:rsid w:val="004A19B7"/>
    <w:rsid w:val="004A5A42"/>
    <w:rsid w:val="004A76C2"/>
    <w:rsid w:val="004B14DD"/>
    <w:rsid w:val="004B187E"/>
    <w:rsid w:val="004B384E"/>
    <w:rsid w:val="004B4C5E"/>
    <w:rsid w:val="004B6C7E"/>
    <w:rsid w:val="004C4989"/>
    <w:rsid w:val="004C6EDB"/>
    <w:rsid w:val="004D50E2"/>
    <w:rsid w:val="004D638F"/>
    <w:rsid w:val="004D7CA3"/>
    <w:rsid w:val="004E373B"/>
    <w:rsid w:val="004E5398"/>
    <w:rsid w:val="004E5468"/>
    <w:rsid w:val="004F6090"/>
    <w:rsid w:val="004F63E8"/>
    <w:rsid w:val="005062EC"/>
    <w:rsid w:val="00512205"/>
    <w:rsid w:val="00515DA7"/>
    <w:rsid w:val="00516D28"/>
    <w:rsid w:val="0052259E"/>
    <w:rsid w:val="00527067"/>
    <w:rsid w:val="00530B3A"/>
    <w:rsid w:val="005370EC"/>
    <w:rsid w:val="00537AD4"/>
    <w:rsid w:val="00543776"/>
    <w:rsid w:val="005456E5"/>
    <w:rsid w:val="00555884"/>
    <w:rsid w:val="005732D1"/>
    <w:rsid w:val="00573E85"/>
    <w:rsid w:val="00575CF3"/>
    <w:rsid w:val="005775AB"/>
    <w:rsid w:val="005873A0"/>
    <w:rsid w:val="005875A5"/>
    <w:rsid w:val="005905F2"/>
    <w:rsid w:val="00596282"/>
    <w:rsid w:val="005A247C"/>
    <w:rsid w:val="005C2194"/>
    <w:rsid w:val="005D41D8"/>
    <w:rsid w:val="005E6F03"/>
    <w:rsid w:val="005F45E4"/>
    <w:rsid w:val="0060215C"/>
    <w:rsid w:val="006021AE"/>
    <w:rsid w:val="00644CCF"/>
    <w:rsid w:val="00666488"/>
    <w:rsid w:val="00672460"/>
    <w:rsid w:val="00675578"/>
    <w:rsid w:val="00680BAA"/>
    <w:rsid w:val="00684E71"/>
    <w:rsid w:val="00686B49"/>
    <w:rsid w:val="006A113A"/>
    <w:rsid w:val="006A4386"/>
    <w:rsid w:val="006A77E3"/>
    <w:rsid w:val="006B1E50"/>
    <w:rsid w:val="006B3671"/>
    <w:rsid w:val="006B581E"/>
    <w:rsid w:val="006B7555"/>
    <w:rsid w:val="006D42C0"/>
    <w:rsid w:val="006D5B2C"/>
    <w:rsid w:val="006D65F1"/>
    <w:rsid w:val="007073B0"/>
    <w:rsid w:val="00707DA9"/>
    <w:rsid w:val="007150B8"/>
    <w:rsid w:val="00721CE8"/>
    <w:rsid w:val="0072253F"/>
    <w:rsid w:val="007229ED"/>
    <w:rsid w:val="00731780"/>
    <w:rsid w:val="007339DF"/>
    <w:rsid w:val="007353E5"/>
    <w:rsid w:val="00740C6A"/>
    <w:rsid w:val="00751B6B"/>
    <w:rsid w:val="0075557D"/>
    <w:rsid w:val="007556BB"/>
    <w:rsid w:val="00756AD1"/>
    <w:rsid w:val="00764AEC"/>
    <w:rsid w:val="00777DFC"/>
    <w:rsid w:val="007815E2"/>
    <w:rsid w:val="00782C65"/>
    <w:rsid w:val="00783D6A"/>
    <w:rsid w:val="0079665E"/>
    <w:rsid w:val="007A0967"/>
    <w:rsid w:val="007A2617"/>
    <w:rsid w:val="007A41B5"/>
    <w:rsid w:val="007B1E45"/>
    <w:rsid w:val="007C0616"/>
    <w:rsid w:val="007D7F61"/>
    <w:rsid w:val="007F4364"/>
    <w:rsid w:val="00814EF5"/>
    <w:rsid w:val="00826C23"/>
    <w:rsid w:val="00827F49"/>
    <w:rsid w:val="00840E68"/>
    <w:rsid w:val="00864F68"/>
    <w:rsid w:val="0087638F"/>
    <w:rsid w:val="00880672"/>
    <w:rsid w:val="00882E9E"/>
    <w:rsid w:val="00884647"/>
    <w:rsid w:val="00884976"/>
    <w:rsid w:val="008865C6"/>
    <w:rsid w:val="008908D9"/>
    <w:rsid w:val="00895BCB"/>
    <w:rsid w:val="008A1DF0"/>
    <w:rsid w:val="008B2D06"/>
    <w:rsid w:val="008B5D29"/>
    <w:rsid w:val="008C2E8A"/>
    <w:rsid w:val="008D4557"/>
    <w:rsid w:val="008D6A54"/>
    <w:rsid w:val="008E05C5"/>
    <w:rsid w:val="008E2E77"/>
    <w:rsid w:val="008E638C"/>
    <w:rsid w:val="00905073"/>
    <w:rsid w:val="0090673E"/>
    <w:rsid w:val="00911BCB"/>
    <w:rsid w:val="00934F71"/>
    <w:rsid w:val="00935CAA"/>
    <w:rsid w:val="00936788"/>
    <w:rsid w:val="009418EA"/>
    <w:rsid w:val="00951274"/>
    <w:rsid w:val="00954113"/>
    <w:rsid w:val="00954E8B"/>
    <w:rsid w:val="00961B00"/>
    <w:rsid w:val="009659D6"/>
    <w:rsid w:val="00967B31"/>
    <w:rsid w:val="009773E1"/>
    <w:rsid w:val="00983B63"/>
    <w:rsid w:val="0099266C"/>
    <w:rsid w:val="009A3D10"/>
    <w:rsid w:val="009B4B63"/>
    <w:rsid w:val="009E00E3"/>
    <w:rsid w:val="009E27AD"/>
    <w:rsid w:val="009E6306"/>
    <w:rsid w:val="00A043E1"/>
    <w:rsid w:val="00A045AA"/>
    <w:rsid w:val="00A05A78"/>
    <w:rsid w:val="00A05C81"/>
    <w:rsid w:val="00A11E6E"/>
    <w:rsid w:val="00A12E9C"/>
    <w:rsid w:val="00A16076"/>
    <w:rsid w:val="00A215AB"/>
    <w:rsid w:val="00A235B4"/>
    <w:rsid w:val="00A23B58"/>
    <w:rsid w:val="00A31265"/>
    <w:rsid w:val="00A653D1"/>
    <w:rsid w:val="00A70F00"/>
    <w:rsid w:val="00A7741A"/>
    <w:rsid w:val="00A869E5"/>
    <w:rsid w:val="00A961A6"/>
    <w:rsid w:val="00A9699D"/>
    <w:rsid w:val="00AA048D"/>
    <w:rsid w:val="00AA28C8"/>
    <w:rsid w:val="00AB16B4"/>
    <w:rsid w:val="00AB2533"/>
    <w:rsid w:val="00AB7D62"/>
    <w:rsid w:val="00AC4260"/>
    <w:rsid w:val="00AD34C9"/>
    <w:rsid w:val="00AE1824"/>
    <w:rsid w:val="00AF065A"/>
    <w:rsid w:val="00AF6FCD"/>
    <w:rsid w:val="00B20513"/>
    <w:rsid w:val="00B32587"/>
    <w:rsid w:val="00B3693E"/>
    <w:rsid w:val="00B40CBA"/>
    <w:rsid w:val="00B50FD7"/>
    <w:rsid w:val="00B560EC"/>
    <w:rsid w:val="00B6244D"/>
    <w:rsid w:val="00B65B5D"/>
    <w:rsid w:val="00B73283"/>
    <w:rsid w:val="00B736D2"/>
    <w:rsid w:val="00B74A2B"/>
    <w:rsid w:val="00B77646"/>
    <w:rsid w:val="00B85CFF"/>
    <w:rsid w:val="00B906BA"/>
    <w:rsid w:val="00B92487"/>
    <w:rsid w:val="00B93072"/>
    <w:rsid w:val="00B93DB6"/>
    <w:rsid w:val="00BB4078"/>
    <w:rsid w:val="00BB4393"/>
    <w:rsid w:val="00BB6D2F"/>
    <w:rsid w:val="00BC13F0"/>
    <w:rsid w:val="00BD2A80"/>
    <w:rsid w:val="00BD5B04"/>
    <w:rsid w:val="00BD5E13"/>
    <w:rsid w:val="00BD78D2"/>
    <w:rsid w:val="00BE102B"/>
    <w:rsid w:val="00BE262F"/>
    <w:rsid w:val="00BE4FB8"/>
    <w:rsid w:val="00BF2BA4"/>
    <w:rsid w:val="00C038A6"/>
    <w:rsid w:val="00C14F9C"/>
    <w:rsid w:val="00C2728E"/>
    <w:rsid w:val="00C2759A"/>
    <w:rsid w:val="00C27E01"/>
    <w:rsid w:val="00C31E9A"/>
    <w:rsid w:val="00C3555C"/>
    <w:rsid w:val="00C4433A"/>
    <w:rsid w:val="00C53B3D"/>
    <w:rsid w:val="00C60370"/>
    <w:rsid w:val="00C901D1"/>
    <w:rsid w:val="00C956BA"/>
    <w:rsid w:val="00CA0135"/>
    <w:rsid w:val="00CA10EF"/>
    <w:rsid w:val="00CB1DAD"/>
    <w:rsid w:val="00CB613F"/>
    <w:rsid w:val="00CB6A51"/>
    <w:rsid w:val="00CD2338"/>
    <w:rsid w:val="00CD2E88"/>
    <w:rsid w:val="00CE44F9"/>
    <w:rsid w:val="00CE5233"/>
    <w:rsid w:val="00CE7899"/>
    <w:rsid w:val="00CF1816"/>
    <w:rsid w:val="00D12A11"/>
    <w:rsid w:val="00D55E1F"/>
    <w:rsid w:val="00D66D5D"/>
    <w:rsid w:val="00D812B2"/>
    <w:rsid w:val="00D8559E"/>
    <w:rsid w:val="00DA0386"/>
    <w:rsid w:val="00DA1FC4"/>
    <w:rsid w:val="00DA783A"/>
    <w:rsid w:val="00DB0DEB"/>
    <w:rsid w:val="00DB5512"/>
    <w:rsid w:val="00DC0E8D"/>
    <w:rsid w:val="00DC56FA"/>
    <w:rsid w:val="00DC7B88"/>
    <w:rsid w:val="00DD170F"/>
    <w:rsid w:val="00DD1B63"/>
    <w:rsid w:val="00DF59B6"/>
    <w:rsid w:val="00E011E6"/>
    <w:rsid w:val="00E071DE"/>
    <w:rsid w:val="00E105FB"/>
    <w:rsid w:val="00E10772"/>
    <w:rsid w:val="00E13251"/>
    <w:rsid w:val="00E16A6B"/>
    <w:rsid w:val="00E33492"/>
    <w:rsid w:val="00E37123"/>
    <w:rsid w:val="00E40BBA"/>
    <w:rsid w:val="00E451C3"/>
    <w:rsid w:val="00E474F8"/>
    <w:rsid w:val="00E62090"/>
    <w:rsid w:val="00E63A16"/>
    <w:rsid w:val="00E728D2"/>
    <w:rsid w:val="00E72FBC"/>
    <w:rsid w:val="00E8072A"/>
    <w:rsid w:val="00E90A42"/>
    <w:rsid w:val="00E954EF"/>
    <w:rsid w:val="00EA7810"/>
    <w:rsid w:val="00EB40E6"/>
    <w:rsid w:val="00EC509B"/>
    <w:rsid w:val="00EC52E5"/>
    <w:rsid w:val="00EC7D07"/>
    <w:rsid w:val="00ED5797"/>
    <w:rsid w:val="00EE1797"/>
    <w:rsid w:val="00F01578"/>
    <w:rsid w:val="00F02BAF"/>
    <w:rsid w:val="00F2043B"/>
    <w:rsid w:val="00F34BE1"/>
    <w:rsid w:val="00F37E67"/>
    <w:rsid w:val="00F617DD"/>
    <w:rsid w:val="00F803E8"/>
    <w:rsid w:val="00F81728"/>
    <w:rsid w:val="00F81BE3"/>
    <w:rsid w:val="00F83A80"/>
    <w:rsid w:val="00F83BEF"/>
    <w:rsid w:val="00F84571"/>
    <w:rsid w:val="00F93932"/>
    <w:rsid w:val="00F96667"/>
    <w:rsid w:val="00FA3D47"/>
    <w:rsid w:val="00FA4E45"/>
    <w:rsid w:val="00FD0ABF"/>
    <w:rsid w:val="00FE17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2AA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84571"/>
    <w:pPr>
      <w:spacing w:line="240" w:lineRule="atLeast"/>
    </w:pPr>
    <w:rPr>
      <w:rFonts w:ascii="Times New Roman" w:eastAsia="Times New Roman" w:hAnsi="Times New Roman" w:cs="Times New Roman"/>
      <w:sz w:val="20"/>
      <w:szCs w:val="20"/>
      <w:lang w:val="en-GB" w:eastAsia="es-ES"/>
    </w:rPr>
  </w:style>
  <w:style w:type="paragraph" w:styleId="Heading1">
    <w:name w:val="heading 1"/>
    <w:aliases w:val="Cuadro_G"/>
    <w:basedOn w:val="SingleTxtG"/>
    <w:next w:val="SingleTxtG"/>
    <w:link w:val="Heading1Char"/>
    <w:uiPriority w:val="9"/>
    <w:qFormat/>
    <w:rsid w:val="00F84571"/>
    <w:pPr>
      <w:keepNext/>
      <w:keepLines/>
      <w:numPr>
        <w:numId w:val="3"/>
      </w:numPr>
      <w:tabs>
        <w:tab w:val="clear" w:pos="360"/>
      </w:tabs>
      <w:spacing w:before="240" w:after="0"/>
      <w:ind w:left="0" w:right="0" w:firstLine="0"/>
      <w:jc w:val="left"/>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rsid w:val="00F84571"/>
    <w:pPr>
      <w:keepNext/>
      <w:keepLines/>
      <w:numPr>
        <w:ilvl w:val="1"/>
        <w:numId w:val="3"/>
      </w:numPr>
      <w:tabs>
        <w:tab w:val="clear" w:pos="792"/>
      </w:tabs>
      <w:spacing w:before="40"/>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rsid w:val="00F84571"/>
    <w:pPr>
      <w:keepNext/>
      <w:keepLines/>
      <w:numPr>
        <w:ilvl w:val="2"/>
        <w:numId w:val="3"/>
      </w:numPr>
      <w:tabs>
        <w:tab w:val="clear" w:pos="1224"/>
      </w:tabs>
      <w:spacing w:before="40"/>
      <w:ind w:left="720" w:hanging="432"/>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rsid w:val="00F84571"/>
    <w:pPr>
      <w:keepNext/>
      <w:keepLines/>
      <w:numPr>
        <w:ilvl w:val="3"/>
        <w:numId w:val="3"/>
      </w:numPr>
      <w:tabs>
        <w:tab w:val="clear" w:pos="1728"/>
      </w:tabs>
      <w:spacing w:before="4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rsid w:val="00F84571"/>
    <w:pPr>
      <w:keepNext/>
      <w:keepLines/>
      <w:numPr>
        <w:ilvl w:val="4"/>
        <w:numId w:val="3"/>
      </w:numPr>
      <w:tabs>
        <w:tab w:val="clear" w:pos="2232"/>
      </w:tabs>
      <w:spacing w:before="40"/>
      <w:ind w:left="1008" w:hanging="432"/>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rsid w:val="00F84571"/>
    <w:pPr>
      <w:keepNext/>
      <w:keepLines/>
      <w:numPr>
        <w:ilvl w:val="5"/>
        <w:numId w:val="3"/>
      </w:numPr>
      <w:tabs>
        <w:tab w:val="clear" w:pos="2736"/>
      </w:tabs>
      <w:spacing w:before="4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rsid w:val="00F84571"/>
    <w:pPr>
      <w:keepNext/>
      <w:keepLines/>
      <w:numPr>
        <w:ilvl w:val="6"/>
        <w:numId w:val="3"/>
      </w:numPr>
      <w:tabs>
        <w:tab w:val="clear" w:pos="3240"/>
      </w:tabs>
      <w:spacing w:before="4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rsid w:val="00F84571"/>
    <w:pPr>
      <w:keepNext/>
      <w:keepLines/>
      <w:numPr>
        <w:ilvl w:val="7"/>
        <w:numId w:val="3"/>
      </w:numPr>
      <w:tabs>
        <w:tab w:val="clear" w:pos="3744"/>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F84571"/>
    <w:pPr>
      <w:keepNext/>
      <w:keepLines/>
      <w:numPr>
        <w:ilvl w:val="8"/>
        <w:numId w:val="3"/>
      </w:numPr>
      <w:tabs>
        <w:tab w:val="clear" w:pos="4320"/>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uadro_G Char"/>
    <w:basedOn w:val="DefaultParagraphFont"/>
    <w:link w:val="Heading1"/>
    <w:uiPriority w:val="9"/>
    <w:rsid w:val="00F84571"/>
    <w:rPr>
      <w:rFonts w:asciiTheme="majorHAnsi" w:eastAsiaTheme="majorEastAsia" w:hAnsiTheme="majorHAnsi" w:cstheme="majorBidi"/>
      <w:color w:val="2F5496" w:themeColor="accent1" w:themeShade="BF"/>
      <w:sz w:val="32"/>
      <w:szCs w:val="32"/>
      <w:lang w:val="es-ES" w:eastAsia="es-ES"/>
    </w:rPr>
  </w:style>
  <w:style w:type="character" w:customStyle="1" w:styleId="Heading2Char">
    <w:name w:val="Heading 2 Char"/>
    <w:basedOn w:val="DefaultParagraphFont"/>
    <w:link w:val="Heading2"/>
    <w:semiHidden/>
    <w:rsid w:val="00F84571"/>
    <w:rPr>
      <w:rFonts w:asciiTheme="majorHAnsi" w:eastAsiaTheme="majorEastAsia" w:hAnsiTheme="majorHAnsi" w:cstheme="majorBidi"/>
      <w:color w:val="2F5496" w:themeColor="accent1" w:themeShade="BF"/>
      <w:sz w:val="26"/>
      <w:szCs w:val="26"/>
      <w:lang w:val="es-ES" w:eastAsia="es-ES"/>
    </w:rPr>
  </w:style>
  <w:style w:type="character" w:customStyle="1" w:styleId="Heading3Char">
    <w:name w:val="Heading 3 Char"/>
    <w:basedOn w:val="DefaultParagraphFont"/>
    <w:link w:val="Heading3"/>
    <w:semiHidden/>
    <w:rsid w:val="00F84571"/>
    <w:rPr>
      <w:rFonts w:asciiTheme="majorHAnsi" w:eastAsiaTheme="majorEastAsia" w:hAnsiTheme="majorHAnsi" w:cstheme="majorBidi"/>
      <w:color w:val="1F3763" w:themeColor="accent1" w:themeShade="7F"/>
      <w:lang w:val="es-ES" w:eastAsia="es-ES"/>
    </w:rPr>
  </w:style>
  <w:style w:type="character" w:customStyle="1" w:styleId="Heading4Char">
    <w:name w:val="Heading 4 Char"/>
    <w:basedOn w:val="DefaultParagraphFont"/>
    <w:link w:val="Heading4"/>
    <w:semiHidden/>
    <w:rsid w:val="00F84571"/>
    <w:rPr>
      <w:rFonts w:asciiTheme="majorHAnsi" w:eastAsiaTheme="majorEastAsia" w:hAnsiTheme="majorHAnsi" w:cstheme="majorBidi"/>
      <w:i/>
      <w:iCs/>
      <w:color w:val="2F5496" w:themeColor="accent1" w:themeShade="BF"/>
      <w:sz w:val="20"/>
      <w:szCs w:val="20"/>
      <w:lang w:val="es-ES" w:eastAsia="es-ES"/>
    </w:rPr>
  </w:style>
  <w:style w:type="character" w:customStyle="1" w:styleId="Heading5Char">
    <w:name w:val="Heading 5 Char"/>
    <w:basedOn w:val="DefaultParagraphFont"/>
    <w:link w:val="Heading5"/>
    <w:semiHidden/>
    <w:rsid w:val="00F84571"/>
    <w:rPr>
      <w:rFonts w:asciiTheme="majorHAnsi" w:eastAsiaTheme="majorEastAsia" w:hAnsiTheme="majorHAnsi" w:cstheme="majorBidi"/>
      <w:color w:val="2F5496" w:themeColor="accent1" w:themeShade="BF"/>
      <w:sz w:val="20"/>
      <w:szCs w:val="20"/>
      <w:lang w:val="es-ES" w:eastAsia="es-ES"/>
    </w:rPr>
  </w:style>
  <w:style w:type="character" w:customStyle="1" w:styleId="Heading6Char">
    <w:name w:val="Heading 6 Char"/>
    <w:basedOn w:val="DefaultParagraphFont"/>
    <w:link w:val="Heading6"/>
    <w:semiHidden/>
    <w:rsid w:val="00F84571"/>
    <w:rPr>
      <w:rFonts w:asciiTheme="majorHAnsi" w:eastAsiaTheme="majorEastAsia" w:hAnsiTheme="majorHAnsi" w:cstheme="majorBidi"/>
      <w:color w:val="1F3763" w:themeColor="accent1" w:themeShade="7F"/>
      <w:sz w:val="20"/>
      <w:szCs w:val="20"/>
      <w:lang w:val="es-ES" w:eastAsia="es-ES"/>
    </w:rPr>
  </w:style>
  <w:style w:type="character" w:customStyle="1" w:styleId="Heading7Char">
    <w:name w:val="Heading 7 Char"/>
    <w:basedOn w:val="DefaultParagraphFont"/>
    <w:link w:val="Heading7"/>
    <w:semiHidden/>
    <w:rsid w:val="00F84571"/>
    <w:rPr>
      <w:rFonts w:asciiTheme="majorHAnsi" w:eastAsiaTheme="majorEastAsia" w:hAnsiTheme="majorHAnsi" w:cstheme="majorBidi"/>
      <w:i/>
      <w:iCs/>
      <w:color w:val="1F3763" w:themeColor="accent1" w:themeShade="7F"/>
      <w:sz w:val="20"/>
      <w:szCs w:val="20"/>
      <w:lang w:val="es-ES" w:eastAsia="es-ES"/>
    </w:rPr>
  </w:style>
  <w:style w:type="character" w:customStyle="1" w:styleId="Heading8Char">
    <w:name w:val="Heading 8 Char"/>
    <w:basedOn w:val="DefaultParagraphFont"/>
    <w:link w:val="Heading8"/>
    <w:semiHidden/>
    <w:rsid w:val="00F84571"/>
    <w:rPr>
      <w:rFonts w:asciiTheme="majorHAnsi" w:eastAsiaTheme="majorEastAsia" w:hAnsiTheme="majorHAnsi" w:cstheme="majorBidi"/>
      <w:color w:val="272727" w:themeColor="text1" w:themeTint="D8"/>
      <w:sz w:val="21"/>
      <w:szCs w:val="21"/>
      <w:lang w:val="es-ES" w:eastAsia="es-ES"/>
    </w:rPr>
  </w:style>
  <w:style w:type="character" w:customStyle="1" w:styleId="Heading9Char">
    <w:name w:val="Heading 9 Char"/>
    <w:basedOn w:val="DefaultParagraphFont"/>
    <w:link w:val="Heading9"/>
    <w:semiHidden/>
    <w:rsid w:val="00F84571"/>
    <w:rPr>
      <w:rFonts w:asciiTheme="majorHAnsi" w:eastAsiaTheme="majorEastAsia" w:hAnsiTheme="majorHAnsi" w:cstheme="majorBidi"/>
      <w:i/>
      <w:iCs/>
      <w:color w:val="272727" w:themeColor="text1" w:themeTint="D8"/>
      <w:sz w:val="21"/>
      <w:szCs w:val="21"/>
      <w:lang w:val="es-ES" w:eastAsia="es-ES"/>
    </w:rPr>
  </w:style>
  <w:style w:type="character" w:styleId="FootnoteReference">
    <w:name w:val="footnote reference"/>
    <w:aliases w:val="4_G"/>
    <w:rsid w:val="00F84571"/>
    <w:rPr>
      <w:rFonts w:ascii="Times New Roman" w:hAnsi="Times New Roman"/>
      <w:sz w:val="18"/>
      <w:vertAlign w:val="superscript"/>
    </w:rPr>
  </w:style>
  <w:style w:type="paragraph" w:customStyle="1" w:styleId="HMG">
    <w:name w:val="_ H __M_G"/>
    <w:basedOn w:val="Normal"/>
    <w:next w:val="Normal"/>
    <w:qFormat/>
    <w:rsid w:val="00F84571"/>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F84571"/>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F84571"/>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F84571"/>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F84571"/>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F84571"/>
    <w:pPr>
      <w:keepNext/>
      <w:keepLines/>
      <w:tabs>
        <w:tab w:val="right" w:pos="851"/>
      </w:tabs>
      <w:suppressAutoHyphens/>
      <w:spacing w:before="240" w:after="120" w:line="240" w:lineRule="exact"/>
      <w:ind w:left="1134" w:right="1134" w:hanging="1134"/>
    </w:pPr>
  </w:style>
  <w:style w:type="paragraph" w:styleId="Header">
    <w:name w:val="header"/>
    <w:aliases w:val="6_G"/>
    <w:basedOn w:val="Normal"/>
    <w:next w:val="Normal"/>
    <w:link w:val="HeaderChar"/>
    <w:rsid w:val="00F84571"/>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F84571"/>
    <w:rPr>
      <w:rFonts w:ascii="Times New Roman" w:eastAsia="Times New Roman" w:hAnsi="Times New Roman" w:cs="Times New Roman"/>
      <w:b/>
      <w:sz w:val="18"/>
      <w:szCs w:val="20"/>
      <w:lang w:val="es-ES" w:eastAsia="es-ES"/>
    </w:rPr>
  </w:style>
  <w:style w:type="paragraph" w:customStyle="1" w:styleId="SingleTxtG">
    <w:name w:val="_ Single Txt_G"/>
    <w:basedOn w:val="Normal"/>
    <w:link w:val="SingleTxtGChar"/>
    <w:qFormat/>
    <w:rsid w:val="00F84571"/>
    <w:pPr>
      <w:spacing w:after="120"/>
      <w:ind w:left="1134" w:right="1134"/>
      <w:jc w:val="both"/>
    </w:pPr>
  </w:style>
  <w:style w:type="paragraph" w:customStyle="1" w:styleId="SMG">
    <w:name w:val="__S_M_G"/>
    <w:basedOn w:val="Normal"/>
    <w:next w:val="Normal"/>
    <w:rsid w:val="00F84571"/>
    <w:pPr>
      <w:keepNext/>
      <w:keepLines/>
      <w:suppressAutoHyphens/>
      <w:spacing w:before="240" w:after="240" w:line="420" w:lineRule="exact"/>
      <w:ind w:left="1134" w:right="1134"/>
    </w:pPr>
    <w:rPr>
      <w:b/>
      <w:sz w:val="40"/>
    </w:rPr>
  </w:style>
  <w:style w:type="paragraph" w:customStyle="1" w:styleId="SLG">
    <w:name w:val="__S_L_G"/>
    <w:basedOn w:val="Normal"/>
    <w:next w:val="Normal"/>
    <w:rsid w:val="00F84571"/>
    <w:pPr>
      <w:keepNext/>
      <w:keepLines/>
      <w:spacing w:before="240" w:after="240" w:line="580" w:lineRule="exact"/>
      <w:ind w:left="1134" w:right="1134"/>
    </w:pPr>
    <w:rPr>
      <w:b/>
      <w:sz w:val="56"/>
    </w:rPr>
  </w:style>
  <w:style w:type="paragraph" w:customStyle="1" w:styleId="SSG">
    <w:name w:val="__S_S_G"/>
    <w:basedOn w:val="Normal"/>
    <w:next w:val="Normal"/>
    <w:rsid w:val="00F84571"/>
    <w:pPr>
      <w:keepNext/>
      <w:keepLines/>
      <w:spacing w:before="240" w:after="240" w:line="300" w:lineRule="exact"/>
      <w:ind w:left="1134" w:right="1134"/>
    </w:pPr>
    <w:rPr>
      <w:b/>
      <w:sz w:val="28"/>
    </w:rPr>
  </w:style>
  <w:style w:type="paragraph" w:styleId="Footer">
    <w:name w:val="footer"/>
    <w:aliases w:val="3_G"/>
    <w:basedOn w:val="Normal"/>
    <w:next w:val="Normal"/>
    <w:link w:val="FooterChar"/>
    <w:rsid w:val="00F84571"/>
    <w:rPr>
      <w:sz w:val="16"/>
    </w:rPr>
  </w:style>
  <w:style w:type="character" w:customStyle="1" w:styleId="FooterChar">
    <w:name w:val="Footer Char"/>
    <w:aliases w:val="3_G Char"/>
    <w:basedOn w:val="DefaultParagraphFont"/>
    <w:link w:val="Footer"/>
    <w:rsid w:val="00F84571"/>
    <w:rPr>
      <w:rFonts w:ascii="Times New Roman" w:eastAsia="Times New Roman" w:hAnsi="Times New Roman" w:cs="Times New Roman"/>
      <w:sz w:val="16"/>
      <w:szCs w:val="20"/>
      <w:lang w:val="es-ES" w:eastAsia="es-ES"/>
    </w:rPr>
  </w:style>
  <w:style w:type="paragraph" w:customStyle="1" w:styleId="XLargeG">
    <w:name w:val="__XLarge_G"/>
    <w:basedOn w:val="Normal"/>
    <w:next w:val="Normal"/>
    <w:rsid w:val="00F84571"/>
    <w:pPr>
      <w:keepNext/>
      <w:keepLines/>
      <w:spacing w:before="240" w:after="240" w:line="420" w:lineRule="exact"/>
      <w:ind w:left="1134" w:right="1134"/>
    </w:pPr>
    <w:rPr>
      <w:b/>
      <w:sz w:val="40"/>
    </w:rPr>
  </w:style>
  <w:style w:type="paragraph" w:styleId="FootnoteText">
    <w:name w:val="footnote text"/>
    <w:aliases w:val="5_G,fn"/>
    <w:basedOn w:val="Normal"/>
    <w:link w:val="FootnoteTextChar"/>
    <w:qFormat/>
    <w:rsid w:val="00F84571"/>
    <w:pPr>
      <w:tabs>
        <w:tab w:val="right" w:pos="1021"/>
      </w:tabs>
      <w:spacing w:line="220" w:lineRule="exact"/>
      <w:ind w:left="1134" w:right="1134" w:hanging="1134"/>
    </w:pPr>
    <w:rPr>
      <w:sz w:val="18"/>
    </w:rPr>
  </w:style>
  <w:style w:type="character" w:customStyle="1" w:styleId="FootnoteTextChar">
    <w:name w:val="Footnote Text Char"/>
    <w:aliases w:val="5_G Char,fn Char"/>
    <w:basedOn w:val="DefaultParagraphFont"/>
    <w:link w:val="FootnoteText"/>
    <w:rsid w:val="00F84571"/>
    <w:rPr>
      <w:rFonts w:ascii="Times New Roman" w:eastAsia="Times New Roman" w:hAnsi="Times New Roman" w:cs="Times New Roman"/>
      <w:sz w:val="18"/>
      <w:szCs w:val="20"/>
      <w:lang w:val="es-ES" w:eastAsia="es-ES"/>
    </w:rPr>
  </w:style>
  <w:style w:type="table" w:styleId="TableGrid">
    <w:name w:val="Table Grid"/>
    <w:basedOn w:val="TableNormal"/>
    <w:rsid w:val="00F84571"/>
    <w:pPr>
      <w:spacing w:line="24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F84571"/>
    <w:pPr>
      <w:numPr>
        <w:numId w:val="3"/>
      </w:numPr>
    </w:pPr>
  </w:style>
  <w:style w:type="numbering" w:styleId="1ai">
    <w:name w:val="Outline List 1"/>
    <w:basedOn w:val="NoList"/>
    <w:semiHidden/>
    <w:rsid w:val="00F84571"/>
    <w:pPr>
      <w:numPr>
        <w:numId w:val="4"/>
      </w:numPr>
    </w:pPr>
  </w:style>
  <w:style w:type="character" w:styleId="HTMLAcronym">
    <w:name w:val="HTML Acronym"/>
    <w:basedOn w:val="DefaultParagraphFont"/>
    <w:semiHidden/>
    <w:rsid w:val="00F84571"/>
  </w:style>
  <w:style w:type="numbering" w:styleId="ArticleSection">
    <w:name w:val="Outline List 3"/>
    <w:basedOn w:val="NoList"/>
    <w:semiHidden/>
    <w:rsid w:val="00F84571"/>
    <w:pPr>
      <w:numPr>
        <w:numId w:val="5"/>
      </w:numPr>
    </w:pPr>
  </w:style>
  <w:style w:type="paragraph" w:styleId="Closing">
    <w:name w:val="Closing"/>
    <w:basedOn w:val="Normal"/>
    <w:link w:val="ClosingChar"/>
    <w:semiHidden/>
    <w:rsid w:val="00F84571"/>
    <w:pPr>
      <w:ind w:left="4252"/>
    </w:pPr>
  </w:style>
  <w:style w:type="character" w:customStyle="1" w:styleId="ClosingChar">
    <w:name w:val="Closing Char"/>
    <w:basedOn w:val="DefaultParagraphFont"/>
    <w:link w:val="Closing"/>
    <w:semiHidden/>
    <w:rsid w:val="00F84571"/>
    <w:rPr>
      <w:rFonts w:ascii="Times New Roman" w:eastAsia="Times New Roman" w:hAnsi="Times New Roman" w:cs="Times New Roman"/>
      <w:sz w:val="20"/>
      <w:szCs w:val="20"/>
      <w:lang w:val="es-ES" w:eastAsia="es-ES"/>
    </w:rPr>
  </w:style>
  <w:style w:type="character" w:styleId="HTMLCite">
    <w:name w:val="HTML Cite"/>
    <w:semiHidden/>
    <w:rsid w:val="00F84571"/>
    <w:rPr>
      <w:i/>
      <w:iCs/>
    </w:rPr>
  </w:style>
  <w:style w:type="character" w:styleId="HTMLCode">
    <w:name w:val="HTML Code"/>
    <w:semiHidden/>
    <w:rsid w:val="00F84571"/>
    <w:rPr>
      <w:rFonts w:ascii="Courier New" w:hAnsi="Courier New" w:cs="Courier New"/>
      <w:sz w:val="20"/>
      <w:szCs w:val="20"/>
    </w:rPr>
  </w:style>
  <w:style w:type="paragraph" w:styleId="ListContinue">
    <w:name w:val="List Continue"/>
    <w:basedOn w:val="Normal"/>
    <w:semiHidden/>
    <w:rsid w:val="00F84571"/>
    <w:pPr>
      <w:spacing w:after="120"/>
      <w:ind w:left="283"/>
    </w:pPr>
  </w:style>
  <w:style w:type="paragraph" w:styleId="ListContinue2">
    <w:name w:val="List Continue 2"/>
    <w:basedOn w:val="Normal"/>
    <w:semiHidden/>
    <w:rsid w:val="00F84571"/>
    <w:pPr>
      <w:spacing w:after="120"/>
      <w:ind w:left="566"/>
    </w:pPr>
  </w:style>
  <w:style w:type="paragraph" w:styleId="ListContinue3">
    <w:name w:val="List Continue 3"/>
    <w:basedOn w:val="Normal"/>
    <w:semiHidden/>
    <w:rsid w:val="00F84571"/>
    <w:pPr>
      <w:spacing w:after="120"/>
      <w:ind w:left="849"/>
    </w:pPr>
  </w:style>
  <w:style w:type="paragraph" w:styleId="ListContinue4">
    <w:name w:val="List Continue 4"/>
    <w:basedOn w:val="Normal"/>
    <w:semiHidden/>
    <w:rsid w:val="00F84571"/>
    <w:pPr>
      <w:spacing w:after="120"/>
      <w:ind w:left="1132"/>
    </w:pPr>
  </w:style>
  <w:style w:type="paragraph" w:styleId="ListContinue5">
    <w:name w:val="List Continue 5"/>
    <w:basedOn w:val="Normal"/>
    <w:semiHidden/>
    <w:rsid w:val="00F84571"/>
    <w:pPr>
      <w:spacing w:after="120"/>
      <w:ind w:left="1415"/>
    </w:pPr>
  </w:style>
  <w:style w:type="character" w:styleId="HTMLDefinition">
    <w:name w:val="HTML Definition"/>
    <w:semiHidden/>
    <w:rsid w:val="00F84571"/>
    <w:rPr>
      <w:i/>
      <w:iCs/>
    </w:rPr>
  </w:style>
  <w:style w:type="paragraph" w:styleId="HTMLAddress">
    <w:name w:val="HTML Address"/>
    <w:basedOn w:val="Normal"/>
    <w:link w:val="HTMLAddressChar"/>
    <w:semiHidden/>
    <w:rsid w:val="00F84571"/>
    <w:rPr>
      <w:i/>
      <w:iCs/>
    </w:rPr>
  </w:style>
  <w:style w:type="character" w:customStyle="1" w:styleId="HTMLAddressChar">
    <w:name w:val="HTML Address Char"/>
    <w:basedOn w:val="DefaultParagraphFont"/>
    <w:link w:val="HTMLAddress"/>
    <w:semiHidden/>
    <w:rsid w:val="00F84571"/>
    <w:rPr>
      <w:rFonts w:ascii="Times New Roman" w:eastAsia="Times New Roman" w:hAnsi="Times New Roman" w:cs="Times New Roman"/>
      <w:i/>
      <w:iCs/>
      <w:sz w:val="20"/>
      <w:szCs w:val="20"/>
      <w:lang w:val="es-ES" w:eastAsia="es-ES"/>
    </w:rPr>
  </w:style>
  <w:style w:type="paragraph" w:styleId="EnvelopeAddress">
    <w:name w:val="envelope address"/>
    <w:basedOn w:val="Normal"/>
    <w:semiHidden/>
    <w:rsid w:val="00F84571"/>
    <w:pPr>
      <w:framePr w:w="7920" w:h="1980" w:hRule="exact" w:hSpace="141" w:wrap="auto" w:hAnchor="page" w:xAlign="center" w:yAlign="bottom"/>
      <w:ind w:left="2880"/>
    </w:pPr>
    <w:rPr>
      <w:rFonts w:ascii="Arial" w:hAnsi="Arial" w:cs="Arial"/>
      <w:sz w:val="24"/>
      <w:szCs w:val="24"/>
    </w:rPr>
  </w:style>
  <w:style w:type="character" w:styleId="HTMLSample">
    <w:name w:val="HTML Sample"/>
    <w:semiHidden/>
    <w:rsid w:val="00F84571"/>
    <w:rPr>
      <w:rFonts w:ascii="Courier New" w:hAnsi="Courier New" w:cs="Courier New"/>
    </w:rPr>
  </w:style>
  <w:style w:type="paragraph" w:styleId="MessageHeader">
    <w:name w:val="Message Header"/>
    <w:basedOn w:val="Normal"/>
    <w:link w:val="MessageHeaderChar"/>
    <w:semiHidden/>
    <w:rsid w:val="00F8457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F84571"/>
    <w:rPr>
      <w:rFonts w:ascii="Arial" w:eastAsia="Times New Roman" w:hAnsi="Arial" w:cs="Arial"/>
      <w:shd w:val="pct20" w:color="auto" w:fill="auto"/>
      <w:lang w:val="es-ES" w:eastAsia="es-ES"/>
    </w:rPr>
  </w:style>
  <w:style w:type="paragraph" w:styleId="NoteHeading">
    <w:name w:val="Note Heading"/>
    <w:basedOn w:val="Normal"/>
    <w:next w:val="Normal"/>
    <w:link w:val="NoteHeadingChar"/>
    <w:semiHidden/>
    <w:rsid w:val="00F84571"/>
  </w:style>
  <w:style w:type="character" w:customStyle="1" w:styleId="NoteHeadingChar">
    <w:name w:val="Note Heading Char"/>
    <w:basedOn w:val="DefaultParagraphFont"/>
    <w:link w:val="NoteHeading"/>
    <w:semiHidden/>
    <w:rsid w:val="00F84571"/>
    <w:rPr>
      <w:rFonts w:ascii="Times New Roman" w:eastAsia="Times New Roman" w:hAnsi="Times New Roman" w:cs="Times New Roman"/>
      <w:sz w:val="20"/>
      <w:szCs w:val="20"/>
      <w:lang w:val="es-ES" w:eastAsia="es-ES"/>
    </w:rPr>
  </w:style>
  <w:style w:type="paragraph" w:styleId="Date">
    <w:name w:val="Date"/>
    <w:basedOn w:val="Normal"/>
    <w:next w:val="Normal"/>
    <w:link w:val="DateChar"/>
    <w:semiHidden/>
    <w:rsid w:val="00F84571"/>
  </w:style>
  <w:style w:type="character" w:customStyle="1" w:styleId="DateChar">
    <w:name w:val="Date Char"/>
    <w:basedOn w:val="DefaultParagraphFont"/>
    <w:link w:val="Date"/>
    <w:semiHidden/>
    <w:rsid w:val="00F84571"/>
    <w:rPr>
      <w:rFonts w:ascii="Times New Roman" w:eastAsia="Times New Roman" w:hAnsi="Times New Roman" w:cs="Times New Roman"/>
      <w:sz w:val="20"/>
      <w:szCs w:val="20"/>
      <w:lang w:val="es-ES" w:eastAsia="es-ES"/>
    </w:rPr>
  </w:style>
  <w:style w:type="paragraph" w:styleId="Signature">
    <w:name w:val="Signature"/>
    <w:basedOn w:val="Normal"/>
    <w:link w:val="SignatureChar"/>
    <w:semiHidden/>
    <w:rsid w:val="00F84571"/>
    <w:pPr>
      <w:ind w:left="4252"/>
    </w:pPr>
  </w:style>
  <w:style w:type="character" w:customStyle="1" w:styleId="SignatureChar">
    <w:name w:val="Signature Char"/>
    <w:basedOn w:val="DefaultParagraphFont"/>
    <w:link w:val="Signature"/>
    <w:semiHidden/>
    <w:rsid w:val="00F84571"/>
    <w:rPr>
      <w:rFonts w:ascii="Times New Roman" w:eastAsia="Times New Roman" w:hAnsi="Times New Roman" w:cs="Times New Roman"/>
      <w:sz w:val="20"/>
      <w:szCs w:val="20"/>
      <w:lang w:val="es-ES" w:eastAsia="es-ES"/>
    </w:rPr>
  </w:style>
  <w:style w:type="paragraph" w:styleId="E-mailSignature">
    <w:name w:val="E-mail Signature"/>
    <w:basedOn w:val="Normal"/>
    <w:link w:val="E-mailSignatureChar"/>
    <w:semiHidden/>
    <w:rsid w:val="00F84571"/>
  </w:style>
  <w:style w:type="character" w:customStyle="1" w:styleId="E-mailSignatureChar">
    <w:name w:val="E-mail Signature Char"/>
    <w:basedOn w:val="DefaultParagraphFont"/>
    <w:link w:val="E-mailSignature"/>
    <w:semiHidden/>
    <w:rsid w:val="00F84571"/>
    <w:rPr>
      <w:rFonts w:ascii="Times New Roman" w:eastAsia="Times New Roman" w:hAnsi="Times New Roman" w:cs="Times New Roman"/>
      <w:sz w:val="20"/>
      <w:szCs w:val="20"/>
      <w:lang w:val="es-ES" w:eastAsia="es-ES"/>
    </w:rPr>
  </w:style>
  <w:style w:type="character" w:styleId="Hyperlink">
    <w:name w:val="Hyperlink"/>
    <w:uiPriority w:val="99"/>
    <w:rsid w:val="00F84571"/>
    <w:rPr>
      <w:color w:val="0000FF"/>
      <w:u w:val="single"/>
    </w:rPr>
  </w:style>
  <w:style w:type="character" w:styleId="FollowedHyperlink">
    <w:name w:val="FollowedHyperlink"/>
    <w:semiHidden/>
    <w:rsid w:val="00F84571"/>
    <w:rPr>
      <w:color w:val="800080"/>
      <w:u w:val="single"/>
    </w:rPr>
  </w:style>
  <w:style w:type="paragraph" w:styleId="HTMLPreformatted">
    <w:name w:val="HTML Preformatted"/>
    <w:basedOn w:val="Normal"/>
    <w:link w:val="HTMLPreformattedChar"/>
    <w:semiHidden/>
    <w:rsid w:val="00F84571"/>
    <w:rPr>
      <w:rFonts w:ascii="Courier New" w:hAnsi="Courier New" w:cs="Courier New"/>
    </w:rPr>
  </w:style>
  <w:style w:type="character" w:customStyle="1" w:styleId="HTMLPreformattedChar">
    <w:name w:val="HTML Preformatted Char"/>
    <w:basedOn w:val="DefaultParagraphFont"/>
    <w:link w:val="HTMLPreformatted"/>
    <w:semiHidden/>
    <w:rsid w:val="00F84571"/>
    <w:rPr>
      <w:rFonts w:ascii="Courier New" w:eastAsia="Times New Roman" w:hAnsi="Courier New" w:cs="Courier New"/>
      <w:sz w:val="20"/>
      <w:szCs w:val="20"/>
      <w:lang w:val="es-ES" w:eastAsia="es-ES"/>
    </w:rPr>
  </w:style>
  <w:style w:type="paragraph" w:styleId="List">
    <w:name w:val="List"/>
    <w:basedOn w:val="Normal"/>
    <w:semiHidden/>
    <w:rsid w:val="00F84571"/>
    <w:pPr>
      <w:ind w:left="283" w:hanging="283"/>
    </w:pPr>
  </w:style>
  <w:style w:type="paragraph" w:styleId="List2">
    <w:name w:val="List 2"/>
    <w:basedOn w:val="Normal"/>
    <w:semiHidden/>
    <w:rsid w:val="00F84571"/>
    <w:pPr>
      <w:ind w:left="566" w:hanging="283"/>
    </w:pPr>
  </w:style>
  <w:style w:type="paragraph" w:styleId="List3">
    <w:name w:val="List 3"/>
    <w:basedOn w:val="Normal"/>
    <w:semiHidden/>
    <w:rsid w:val="00F84571"/>
    <w:pPr>
      <w:ind w:left="849" w:hanging="283"/>
    </w:pPr>
  </w:style>
  <w:style w:type="paragraph" w:styleId="List4">
    <w:name w:val="List 4"/>
    <w:basedOn w:val="Normal"/>
    <w:semiHidden/>
    <w:rsid w:val="00F84571"/>
    <w:pPr>
      <w:ind w:left="1132" w:hanging="283"/>
    </w:pPr>
  </w:style>
  <w:style w:type="paragraph" w:styleId="List5">
    <w:name w:val="List 5"/>
    <w:basedOn w:val="Normal"/>
    <w:semiHidden/>
    <w:rsid w:val="00F84571"/>
    <w:pPr>
      <w:ind w:left="1415" w:hanging="283"/>
    </w:pPr>
  </w:style>
  <w:style w:type="paragraph" w:styleId="ListNumber">
    <w:name w:val="List Number"/>
    <w:basedOn w:val="Normal"/>
    <w:semiHidden/>
    <w:rsid w:val="00F84571"/>
    <w:pPr>
      <w:numPr>
        <w:numId w:val="6"/>
      </w:numPr>
    </w:pPr>
  </w:style>
  <w:style w:type="paragraph" w:styleId="ListNumber2">
    <w:name w:val="List Number 2"/>
    <w:basedOn w:val="Normal"/>
    <w:semiHidden/>
    <w:rsid w:val="00F84571"/>
    <w:pPr>
      <w:numPr>
        <w:numId w:val="7"/>
      </w:numPr>
    </w:pPr>
  </w:style>
  <w:style w:type="paragraph" w:styleId="ListNumber3">
    <w:name w:val="List Number 3"/>
    <w:basedOn w:val="Normal"/>
    <w:semiHidden/>
    <w:rsid w:val="00F84571"/>
    <w:pPr>
      <w:numPr>
        <w:numId w:val="8"/>
      </w:numPr>
    </w:pPr>
  </w:style>
  <w:style w:type="paragraph" w:styleId="ListNumber4">
    <w:name w:val="List Number 4"/>
    <w:basedOn w:val="Normal"/>
    <w:semiHidden/>
    <w:rsid w:val="00F84571"/>
    <w:pPr>
      <w:numPr>
        <w:numId w:val="9"/>
      </w:numPr>
    </w:pPr>
  </w:style>
  <w:style w:type="paragraph" w:styleId="ListNumber5">
    <w:name w:val="List Number 5"/>
    <w:basedOn w:val="Normal"/>
    <w:semiHidden/>
    <w:rsid w:val="00F84571"/>
    <w:pPr>
      <w:numPr>
        <w:numId w:val="10"/>
      </w:numPr>
    </w:pPr>
  </w:style>
  <w:style w:type="paragraph" w:styleId="ListBullet">
    <w:name w:val="List Bullet"/>
    <w:basedOn w:val="Normal"/>
    <w:semiHidden/>
    <w:rsid w:val="00F84571"/>
    <w:pPr>
      <w:numPr>
        <w:numId w:val="11"/>
      </w:numPr>
    </w:pPr>
  </w:style>
  <w:style w:type="paragraph" w:styleId="ListBullet2">
    <w:name w:val="List Bullet 2"/>
    <w:basedOn w:val="Normal"/>
    <w:semiHidden/>
    <w:rsid w:val="00F84571"/>
    <w:pPr>
      <w:numPr>
        <w:numId w:val="12"/>
      </w:numPr>
    </w:pPr>
  </w:style>
  <w:style w:type="paragraph" w:styleId="ListBullet3">
    <w:name w:val="List Bullet 3"/>
    <w:basedOn w:val="Normal"/>
    <w:semiHidden/>
    <w:rsid w:val="00F84571"/>
    <w:pPr>
      <w:numPr>
        <w:numId w:val="13"/>
      </w:numPr>
    </w:pPr>
  </w:style>
  <w:style w:type="paragraph" w:styleId="ListBullet4">
    <w:name w:val="List Bullet 4"/>
    <w:basedOn w:val="Normal"/>
    <w:semiHidden/>
    <w:rsid w:val="00F84571"/>
    <w:pPr>
      <w:numPr>
        <w:numId w:val="14"/>
      </w:numPr>
    </w:pPr>
  </w:style>
  <w:style w:type="paragraph" w:styleId="ListBullet5">
    <w:name w:val="List Bullet 5"/>
    <w:basedOn w:val="Normal"/>
    <w:semiHidden/>
    <w:rsid w:val="00F84571"/>
    <w:pPr>
      <w:numPr>
        <w:numId w:val="15"/>
      </w:numPr>
    </w:pPr>
  </w:style>
  <w:style w:type="character" w:styleId="HTMLTypewriter">
    <w:name w:val="HTML Typewriter"/>
    <w:semiHidden/>
    <w:rsid w:val="00F84571"/>
    <w:rPr>
      <w:rFonts w:ascii="Courier New" w:hAnsi="Courier New" w:cs="Courier New"/>
      <w:sz w:val="20"/>
      <w:szCs w:val="20"/>
    </w:rPr>
  </w:style>
  <w:style w:type="paragraph" w:styleId="NormalWeb">
    <w:name w:val="Normal (Web)"/>
    <w:basedOn w:val="Normal"/>
    <w:uiPriority w:val="99"/>
    <w:semiHidden/>
    <w:rsid w:val="00F84571"/>
    <w:rPr>
      <w:sz w:val="24"/>
      <w:szCs w:val="24"/>
    </w:rPr>
  </w:style>
  <w:style w:type="character" w:styleId="LineNumber">
    <w:name w:val="line number"/>
    <w:basedOn w:val="DefaultParagraphFont"/>
    <w:semiHidden/>
    <w:rsid w:val="00F84571"/>
  </w:style>
  <w:style w:type="character" w:styleId="PageNumber">
    <w:name w:val="page number"/>
    <w:aliases w:val="7_G"/>
    <w:rsid w:val="00F84571"/>
    <w:rPr>
      <w:b/>
      <w:sz w:val="18"/>
    </w:rPr>
  </w:style>
  <w:style w:type="character" w:styleId="EndnoteReference">
    <w:name w:val="endnote reference"/>
    <w:aliases w:val="1_G"/>
    <w:rsid w:val="00F84571"/>
    <w:rPr>
      <w:rFonts w:ascii="Times New Roman" w:hAnsi="Times New Roman"/>
      <w:sz w:val="18"/>
      <w:vertAlign w:val="superscript"/>
    </w:rPr>
  </w:style>
  <w:style w:type="paragraph" w:styleId="EnvelopeReturn">
    <w:name w:val="envelope return"/>
    <w:basedOn w:val="Normal"/>
    <w:semiHidden/>
    <w:rsid w:val="00F84571"/>
    <w:rPr>
      <w:rFonts w:ascii="Arial" w:hAnsi="Arial" w:cs="Arial"/>
    </w:rPr>
  </w:style>
  <w:style w:type="paragraph" w:styleId="Salutation">
    <w:name w:val="Salutation"/>
    <w:basedOn w:val="Normal"/>
    <w:next w:val="Normal"/>
    <w:link w:val="SalutationChar"/>
    <w:semiHidden/>
    <w:rsid w:val="00F84571"/>
  </w:style>
  <w:style w:type="character" w:customStyle="1" w:styleId="SalutationChar">
    <w:name w:val="Salutation Char"/>
    <w:basedOn w:val="DefaultParagraphFont"/>
    <w:link w:val="Salutation"/>
    <w:semiHidden/>
    <w:rsid w:val="00F84571"/>
    <w:rPr>
      <w:rFonts w:ascii="Times New Roman" w:eastAsia="Times New Roman" w:hAnsi="Times New Roman" w:cs="Times New Roman"/>
      <w:sz w:val="20"/>
      <w:szCs w:val="20"/>
      <w:lang w:val="es-ES" w:eastAsia="es-ES"/>
    </w:rPr>
  </w:style>
  <w:style w:type="paragraph" w:styleId="BodyTextIndent2">
    <w:name w:val="Body Text Indent 2"/>
    <w:basedOn w:val="Normal"/>
    <w:link w:val="BodyTextIndent2Char"/>
    <w:semiHidden/>
    <w:rsid w:val="00F84571"/>
    <w:pPr>
      <w:spacing w:after="120" w:line="480" w:lineRule="auto"/>
      <w:ind w:left="283"/>
    </w:pPr>
  </w:style>
  <w:style w:type="character" w:customStyle="1" w:styleId="BodyTextIndent2Char">
    <w:name w:val="Body Text Indent 2 Char"/>
    <w:basedOn w:val="DefaultParagraphFont"/>
    <w:link w:val="BodyTextIndent2"/>
    <w:semiHidden/>
    <w:rsid w:val="00F84571"/>
    <w:rPr>
      <w:rFonts w:ascii="Times New Roman" w:eastAsia="Times New Roman" w:hAnsi="Times New Roman" w:cs="Times New Roman"/>
      <w:sz w:val="20"/>
      <w:szCs w:val="20"/>
      <w:lang w:val="es-ES" w:eastAsia="es-ES"/>
    </w:rPr>
  </w:style>
  <w:style w:type="paragraph" w:styleId="BodyTextIndent3">
    <w:name w:val="Body Text Indent 3"/>
    <w:basedOn w:val="Normal"/>
    <w:link w:val="BodyTextIndent3Char"/>
    <w:semiHidden/>
    <w:rsid w:val="00F84571"/>
    <w:pPr>
      <w:spacing w:after="120"/>
      <w:ind w:left="283"/>
    </w:pPr>
    <w:rPr>
      <w:sz w:val="16"/>
      <w:szCs w:val="16"/>
    </w:rPr>
  </w:style>
  <w:style w:type="character" w:customStyle="1" w:styleId="BodyTextIndent3Char">
    <w:name w:val="Body Text Indent 3 Char"/>
    <w:basedOn w:val="DefaultParagraphFont"/>
    <w:link w:val="BodyTextIndent3"/>
    <w:semiHidden/>
    <w:rsid w:val="00F84571"/>
    <w:rPr>
      <w:rFonts w:ascii="Times New Roman" w:eastAsia="Times New Roman" w:hAnsi="Times New Roman" w:cs="Times New Roman"/>
      <w:sz w:val="16"/>
      <w:szCs w:val="16"/>
      <w:lang w:val="es-ES" w:eastAsia="es-ES"/>
    </w:rPr>
  </w:style>
  <w:style w:type="paragraph" w:styleId="BodyTextIndent">
    <w:name w:val="Body Text Indent"/>
    <w:basedOn w:val="Normal"/>
    <w:link w:val="BodyTextIndentChar"/>
    <w:semiHidden/>
    <w:rsid w:val="00F84571"/>
    <w:pPr>
      <w:spacing w:after="120"/>
      <w:ind w:left="283"/>
    </w:pPr>
  </w:style>
  <w:style w:type="character" w:customStyle="1" w:styleId="BodyTextIndentChar">
    <w:name w:val="Body Text Indent Char"/>
    <w:basedOn w:val="DefaultParagraphFont"/>
    <w:link w:val="BodyTextIndent"/>
    <w:semiHidden/>
    <w:rsid w:val="00F84571"/>
    <w:rPr>
      <w:rFonts w:ascii="Times New Roman" w:eastAsia="Times New Roman" w:hAnsi="Times New Roman" w:cs="Times New Roman"/>
      <w:sz w:val="20"/>
      <w:szCs w:val="20"/>
      <w:lang w:val="es-ES" w:eastAsia="es-ES"/>
    </w:rPr>
  </w:style>
  <w:style w:type="paragraph" w:styleId="NormalIndent">
    <w:name w:val="Normal Indent"/>
    <w:basedOn w:val="Normal"/>
    <w:semiHidden/>
    <w:rsid w:val="00F84571"/>
    <w:pPr>
      <w:ind w:left="567"/>
    </w:pPr>
  </w:style>
  <w:style w:type="paragraph" w:styleId="Subtitle">
    <w:name w:val="Subtitle"/>
    <w:basedOn w:val="Normal"/>
    <w:link w:val="SubtitleChar"/>
    <w:rsid w:val="00F84571"/>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F84571"/>
    <w:rPr>
      <w:rFonts w:ascii="Arial" w:eastAsia="Times New Roman" w:hAnsi="Arial" w:cs="Arial"/>
      <w:lang w:val="es-ES" w:eastAsia="es-ES"/>
    </w:rPr>
  </w:style>
  <w:style w:type="table" w:styleId="TableSimple1">
    <w:name w:val="Table Simple 1"/>
    <w:basedOn w:val="TableNormal"/>
    <w:semiHidden/>
    <w:rsid w:val="00F84571"/>
    <w:pPr>
      <w:spacing w:line="240" w:lineRule="atLeast"/>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84571"/>
    <w:pPr>
      <w:spacing w:line="240" w:lineRule="atLeast"/>
    </w:pPr>
    <w:rPr>
      <w:rFonts w:ascii="Times New Roman" w:eastAsia="Times New Roma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84571"/>
    <w:pPr>
      <w:spacing w:line="240" w:lineRule="atLeast"/>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F84571"/>
    <w:pPr>
      <w:spacing w:line="240" w:lineRule="atLeast"/>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84571"/>
    <w:pPr>
      <w:spacing w:line="240" w:lineRule="atLeast"/>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84571"/>
    <w:pPr>
      <w:spacing w:line="240" w:lineRule="atLeast"/>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84571"/>
    <w:pPr>
      <w:spacing w:line="240" w:lineRule="atLeast"/>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F84571"/>
    <w:pPr>
      <w:spacing w:line="240" w:lineRule="atLeast"/>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84571"/>
    <w:pPr>
      <w:spacing w:line="240" w:lineRule="atLeast"/>
    </w:pPr>
    <w:rPr>
      <w:rFonts w:ascii="Times New Roman" w:eastAsia="Times New Roma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84571"/>
    <w:pPr>
      <w:spacing w:line="240" w:lineRule="atLeast"/>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84571"/>
    <w:pPr>
      <w:spacing w:line="240" w:lineRule="atLeast"/>
    </w:pPr>
    <w:rPr>
      <w:rFonts w:ascii="Times New Roman" w:eastAsia="Times New Roma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84571"/>
    <w:pPr>
      <w:spacing w:line="240" w:lineRule="atLeast"/>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F84571"/>
    <w:pPr>
      <w:spacing w:line="240" w:lineRule="atLeast"/>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84571"/>
    <w:pPr>
      <w:spacing w:line="240" w:lineRule="atLeast"/>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84571"/>
    <w:pPr>
      <w:spacing w:line="240" w:lineRule="atLeast"/>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84571"/>
    <w:pPr>
      <w:spacing w:line="240" w:lineRule="atLeast"/>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84571"/>
    <w:pPr>
      <w:spacing w:line="240" w:lineRule="atLeast"/>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84571"/>
    <w:pPr>
      <w:spacing w:line="240" w:lineRule="atLeast"/>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84571"/>
    <w:pPr>
      <w:spacing w:line="240" w:lineRule="atLeast"/>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84571"/>
    <w:pPr>
      <w:spacing w:line="240" w:lineRule="atLeast"/>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F84571"/>
    <w:pPr>
      <w:spacing w:line="240" w:lineRule="atLeast"/>
    </w:pPr>
    <w:rPr>
      <w:rFonts w:ascii="Times New Roman" w:eastAsia="Times New Roma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84571"/>
    <w:pPr>
      <w:spacing w:line="240" w:lineRule="atLeast"/>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84571"/>
    <w:pPr>
      <w:spacing w:line="240" w:lineRule="atLeast"/>
    </w:pPr>
    <w:rPr>
      <w:rFonts w:ascii="Times New Roman" w:eastAsia="Times New Roma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F84571"/>
    <w:pPr>
      <w:spacing w:line="240" w:lineRule="atLeast"/>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84571"/>
    <w:pPr>
      <w:spacing w:line="240" w:lineRule="atLeast"/>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84571"/>
    <w:pPr>
      <w:spacing w:line="240" w:lineRule="atLeast"/>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84571"/>
    <w:pPr>
      <w:spacing w:line="240" w:lineRule="atLeast"/>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84571"/>
    <w:pPr>
      <w:spacing w:line="240" w:lineRule="atLeast"/>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84571"/>
    <w:pPr>
      <w:spacing w:line="240" w:lineRule="atLeast"/>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84571"/>
    <w:pPr>
      <w:spacing w:line="240" w:lineRule="atLeast"/>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84571"/>
    <w:pPr>
      <w:spacing w:line="240" w:lineRule="atLeast"/>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F84571"/>
    <w:pPr>
      <w:spacing w:line="24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F84571"/>
    <w:pPr>
      <w:spacing w:line="240" w:lineRule="atLeast"/>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F84571"/>
    <w:pPr>
      <w:spacing w:line="240" w:lineRule="atLeast"/>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F84571"/>
    <w:pPr>
      <w:spacing w:line="240" w:lineRule="atLeast"/>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84571"/>
    <w:pPr>
      <w:spacing w:line="240" w:lineRule="atLeast"/>
    </w:pPr>
    <w:rPr>
      <w:rFonts w:ascii="Times New Roman" w:eastAsia="Times New Roma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84571"/>
    <w:pPr>
      <w:spacing w:line="240" w:lineRule="atLeast"/>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F84571"/>
    <w:pPr>
      <w:spacing w:line="240" w:lineRule="atLeast"/>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84571"/>
    <w:pPr>
      <w:spacing w:line="240" w:lineRule="atLeast"/>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84571"/>
    <w:pPr>
      <w:spacing w:line="240" w:lineRule="atLeast"/>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F84571"/>
    <w:pPr>
      <w:spacing w:line="240" w:lineRule="atLeast"/>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84571"/>
    <w:pPr>
      <w:spacing w:line="240" w:lineRule="atLeast"/>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84571"/>
    <w:pPr>
      <w:spacing w:line="240" w:lineRule="atLeast"/>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semiHidden/>
    <w:rsid w:val="00F84571"/>
    <w:rPr>
      <w:rFonts w:ascii="Courier New" w:hAnsi="Courier New" w:cs="Courier New"/>
      <w:sz w:val="20"/>
      <w:szCs w:val="20"/>
    </w:rPr>
  </w:style>
  <w:style w:type="paragraph" w:styleId="BlockText">
    <w:name w:val="Block Text"/>
    <w:basedOn w:val="Normal"/>
    <w:rsid w:val="00F84571"/>
    <w:pPr>
      <w:spacing w:after="120"/>
      <w:ind w:left="1440" w:right="1440"/>
    </w:pPr>
  </w:style>
  <w:style w:type="character" w:styleId="Strong">
    <w:name w:val="Strong"/>
    <w:rsid w:val="00F84571"/>
    <w:rPr>
      <w:b/>
      <w:bCs/>
    </w:rPr>
  </w:style>
  <w:style w:type="paragraph" w:styleId="BodyText">
    <w:name w:val="Body Text"/>
    <w:basedOn w:val="Normal"/>
    <w:link w:val="BodyTextChar"/>
    <w:semiHidden/>
    <w:rsid w:val="00F84571"/>
    <w:pPr>
      <w:spacing w:after="120"/>
    </w:pPr>
  </w:style>
  <w:style w:type="character" w:customStyle="1" w:styleId="BodyTextChar">
    <w:name w:val="Body Text Char"/>
    <w:basedOn w:val="DefaultParagraphFont"/>
    <w:link w:val="BodyText"/>
    <w:semiHidden/>
    <w:rsid w:val="00F84571"/>
    <w:rPr>
      <w:rFonts w:ascii="Times New Roman" w:eastAsia="Times New Roman" w:hAnsi="Times New Roman" w:cs="Times New Roman"/>
      <w:sz w:val="20"/>
      <w:szCs w:val="20"/>
      <w:lang w:val="es-ES" w:eastAsia="es-ES"/>
    </w:rPr>
  </w:style>
  <w:style w:type="paragraph" w:styleId="BodyText2">
    <w:name w:val="Body Text 2"/>
    <w:basedOn w:val="Normal"/>
    <w:link w:val="BodyText2Char"/>
    <w:semiHidden/>
    <w:rsid w:val="00F84571"/>
    <w:pPr>
      <w:spacing w:after="120" w:line="480" w:lineRule="auto"/>
    </w:pPr>
  </w:style>
  <w:style w:type="character" w:customStyle="1" w:styleId="BodyText2Char">
    <w:name w:val="Body Text 2 Char"/>
    <w:basedOn w:val="DefaultParagraphFont"/>
    <w:link w:val="BodyText2"/>
    <w:semiHidden/>
    <w:rsid w:val="00F84571"/>
    <w:rPr>
      <w:rFonts w:ascii="Times New Roman" w:eastAsia="Times New Roman" w:hAnsi="Times New Roman" w:cs="Times New Roman"/>
      <w:sz w:val="20"/>
      <w:szCs w:val="20"/>
      <w:lang w:val="es-ES" w:eastAsia="es-ES"/>
    </w:rPr>
  </w:style>
  <w:style w:type="paragraph" w:styleId="BodyText3">
    <w:name w:val="Body Text 3"/>
    <w:basedOn w:val="Normal"/>
    <w:link w:val="BodyText3Char"/>
    <w:semiHidden/>
    <w:rsid w:val="00F84571"/>
    <w:pPr>
      <w:spacing w:after="120"/>
    </w:pPr>
    <w:rPr>
      <w:sz w:val="16"/>
      <w:szCs w:val="16"/>
    </w:rPr>
  </w:style>
  <w:style w:type="character" w:customStyle="1" w:styleId="BodyText3Char">
    <w:name w:val="Body Text 3 Char"/>
    <w:basedOn w:val="DefaultParagraphFont"/>
    <w:link w:val="BodyText3"/>
    <w:semiHidden/>
    <w:rsid w:val="00F84571"/>
    <w:rPr>
      <w:rFonts w:ascii="Times New Roman" w:eastAsia="Times New Roman" w:hAnsi="Times New Roman" w:cs="Times New Roman"/>
      <w:sz w:val="16"/>
      <w:szCs w:val="16"/>
      <w:lang w:val="es-ES" w:eastAsia="es-ES"/>
    </w:rPr>
  </w:style>
  <w:style w:type="paragraph" w:styleId="BodyTextFirstIndent">
    <w:name w:val="Body Text First Indent"/>
    <w:basedOn w:val="BodyText"/>
    <w:link w:val="BodyTextFirstIndentChar"/>
    <w:semiHidden/>
    <w:rsid w:val="00F84571"/>
    <w:pPr>
      <w:ind w:firstLine="210"/>
    </w:pPr>
  </w:style>
  <w:style w:type="character" w:customStyle="1" w:styleId="BodyTextFirstIndentChar">
    <w:name w:val="Body Text First Indent Char"/>
    <w:basedOn w:val="BodyTextChar"/>
    <w:link w:val="BodyTextFirstIndent"/>
    <w:semiHidden/>
    <w:rsid w:val="00F84571"/>
    <w:rPr>
      <w:rFonts w:ascii="Times New Roman" w:eastAsia="Times New Roman" w:hAnsi="Times New Roman" w:cs="Times New Roman"/>
      <w:sz w:val="20"/>
      <w:szCs w:val="20"/>
      <w:lang w:val="es-ES" w:eastAsia="es-ES"/>
    </w:rPr>
  </w:style>
  <w:style w:type="paragraph" w:styleId="BodyTextFirstIndent2">
    <w:name w:val="Body Text First Indent 2"/>
    <w:basedOn w:val="BodyTextIndent"/>
    <w:link w:val="BodyTextFirstIndent2Char"/>
    <w:semiHidden/>
    <w:rsid w:val="00F84571"/>
    <w:pPr>
      <w:ind w:firstLine="210"/>
    </w:pPr>
  </w:style>
  <w:style w:type="character" w:customStyle="1" w:styleId="BodyTextFirstIndent2Char">
    <w:name w:val="Body Text First Indent 2 Char"/>
    <w:basedOn w:val="BodyTextIndentChar"/>
    <w:link w:val="BodyTextFirstIndent2"/>
    <w:semiHidden/>
    <w:rsid w:val="00F84571"/>
    <w:rPr>
      <w:rFonts w:ascii="Times New Roman" w:eastAsia="Times New Roman" w:hAnsi="Times New Roman" w:cs="Times New Roman"/>
      <w:sz w:val="20"/>
      <w:szCs w:val="20"/>
      <w:lang w:val="es-ES" w:eastAsia="es-ES"/>
    </w:rPr>
  </w:style>
  <w:style w:type="paragraph" w:styleId="EndnoteText">
    <w:name w:val="endnote text"/>
    <w:aliases w:val="2_G"/>
    <w:basedOn w:val="FootnoteText"/>
    <w:link w:val="EndnoteTextChar"/>
    <w:rsid w:val="00F84571"/>
  </w:style>
  <w:style w:type="character" w:customStyle="1" w:styleId="EndnoteTextChar">
    <w:name w:val="Endnote Text Char"/>
    <w:aliases w:val="2_G Char"/>
    <w:basedOn w:val="DefaultParagraphFont"/>
    <w:link w:val="EndnoteText"/>
    <w:rsid w:val="00F84571"/>
    <w:rPr>
      <w:rFonts w:ascii="Times New Roman" w:eastAsia="Times New Roman" w:hAnsi="Times New Roman" w:cs="Times New Roman"/>
      <w:sz w:val="18"/>
      <w:szCs w:val="20"/>
      <w:lang w:val="es-ES" w:eastAsia="es-ES"/>
    </w:rPr>
  </w:style>
  <w:style w:type="paragraph" w:styleId="PlainText">
    <w:name w:val="Plain Text"/>
    <w:basedOn w:val="Normal"/>
    <w:link w:val="PlainTextChar"/>
    <w:semiHidden/>
    <w:rsid w:val="00F84571"/>
    <w:rPr>
      <w:rFonts w:ascii="Courier New" w:hAnsi="Courier New" w:cs="Courier New"/>
    </w:rPr>
  </w:style>
  <w:style w:type="character" w:customStyle="1" w:styleId="PlainTextChar">
    <w:name w:val="Plain Text Char"/>
    <w:basedOn w:val="DefaultParagraphFont"/>
    <w:link w:val="PlainText"/>
    <w:semiHidden/>
    <w:rsid w:val="00F84571"/>
    <w:rPr>
      <w:rFonts w:ascii="Courier New" w:eastAsia="Times New Roman" w:hAnsi="Courier New" w:cs="Courier New"/>
      <w:sz w:val="20"/>
      <w:szCs w:val="20"/>
      <w:lang w:val="es-ES" w:eastAsia="es-ES"/>
    </w:rPr>
  </w:style>
  <w:style w:type="paragraph" w:styleId="Title">
    <w:name w:val="Title"/>
    <w:basedOn w:val="Normal"/>
    <w:link w:val="TitleChar"/>
    <w:rsid w:val="00F8457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F84571"/>
    <w:rPr>
      <w:rFonts w:ascii="Arial" w:eastAsia="Times New Roman" w:hAnsi="Arial" w:cs="Arial"/>
      <w:b/>
      <w:bCs/>
      <w:kern w:val="28"/>
      <w:sz w:val="32"/>
      <w:szCs w:val="32"/>
      <w:lang w:val="es-ES" w:eastAsia="es-ES"/>
    </w:rPr>
  </w:style>
  <w:style w:type="character" w:styleId="HTMLVariable">
    <w:name w:val="HTML Variable"/>
    <w:semiHidden/>
    <w:rsid w:val="00F84571"/>
    <w:rPr>
      <w:i/>
      <w:iCs/>
    </w:rPr>
  </w:style>
  <w:style w:type="paragraph" w:customStyle="1" w:styleId="Bullet1G">
    <w:name w:val="_Bullet 1_G"/>
    <w:basedOn w:val="Normal"/>
    <w:qFormat/>
    <w:rsid w:val="00F84571"/>
    <w:pPr>
      <w:numPr>
        <w:numId w:val="1"/>
      </w:numPr>
      <w:spacing w:after="120"/>
      <w:ind w:right="1134"/>
      <w:jc w:val="both"/>
    </w:pPr>
    <w:rPr>
      <w:lang w:eastAsia="en-US"/>
    </w:rPr>
  </w:style>
  <w:style w:type="paragraph" w:customStyle="1" w:styleId="Bullet2G">
    <w:name w:val="_Bullet 2_G"/>
    <w:basedOn w:val="Normal"/>
    <w:qFormat/>
    <w:rsid w:val="00F84571"/>
    <w:pPr>
      <w:numPr>
        <w:numId w:val="2"/>
      </w:numPr>
      <w:spacing w:after="120"/>
      <w:ind w:right="1134"/>
      <w:jc w:val="both"/>
    </w:pPr>
  </w:style>
  <w:style w:type="paragraph" w:styleId="BalloonText">
    <w:name w:val="Balloon Text"/>
    <w:basedOn w:val="Normal"/>
    <w:link w:val="BalloonTextChar"/>
    <w:semiHidden/>
    <w:rsid w:val="00F84571"/>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84571"/>
    <w:rPr>
      <w:rFonts w:ascii="Tahoma" w:eastAsia="Times New Roman" w:hAnsi="Tahoma" w:cs="Tahoma"/>
      <w:sz w:val="16"/>
      <w:szCs w:val="16"/>
      <w:lang w:val="es-ES" w:eastAsia="es-ES"/>
    </w:rPr>
  </w:style>
  <w:style w:type="paragraph" w:styleId="ListParagraph">
    <w:name w:val="List Paragraph"/>
    <w:basedOn w:val="Normal"/>
    <w:uiPriority w:val="34"/>
    <w:qFormat/>
    <w:rsid w:val="00F84571"/>
    <w:pPr>
      <w:spacing w:line="240" w:lineRule="auto"/>
      <w:ind w:left="720"/>
      <w:contextualSpacing/>
    </w:pPr>
    <w:rPr>
      <w:rFonts w:ascii="Calibri" w:eastAsia="Calibri" w:hAnsi="Calibri" w:cs="Arial"/>
      <w:sz w:val="24"/>
      <w:szCs w:val="24"/>
      <w:lang w:val="en-US" w:eastAsia="en-US"/>
    </w:rPr>
  </w:style>
  <w:style w:type="paragraph" w:customStyle="1" w:styleId="Blockquote">
    <w:name w:val="Block quote"/>
    <w:basedOn w:val="Normal"/>
    <w:rsid w:val="00F84571"/>
    <w:pPr>
      <w:widowControl w:val="0"/>
      <w:spacing w:line="360" w:lineRule="auto"/>
      <w:ind w:left="720" w:right="720"/>
      <w:jc w:val="both"/>
    </w:pPr>
    <w:rPr>
      <w:rFonts w:ascii="Bookman Old Style" w:hAnsi="Bookman Old Style" w:cs="Verdana"/>
      <w:snapToGrid w:val="0"/>
      <w:sz w:val="22"/>
      <w:szCs w:val="22"/>
      <w:lang w:val="en-US" w:eastAsia="en-US" w:bidi="he-IL"/>
    </w:rPr>
  </w:style>
  <w:style w:type="character" w:customStyle="1" w:styleId="documentbody1">
    <w:name w:val="documentbody1"/>
    <w:rsid w:val="00F84571"/>
    <w:rPr>
      <w:rFonts w:ascii="Verdana" w:hAnsi="Verdana" w:hint="default"/>
      <w:sz w:val="19"/>
      <w:szCs w:val="19"/>
    </w:rPr>
  </w:style>
  <w:style w:type="character" w:customStyle="1" w:styleId="SingleTxtGChar">
    <w:name w:val="_ Single Txt_G Char"/>
    <w:link w:val="SingleTxtG"/>
    <w:rsid w:val="00F84571"/>
    <w:rPr>
      <w:rFonts w:ascii="Times New Roman" w:eastAsia="Times New Roman" w:hAnsi="Times New Roman" w:cs="Times New Roman"/>
      <w:sz w:val="20"/>
      <w:szCs w:val="20"/>
      <w:lang w:val="es-ES" w:eastAsia="es-ES"/>
    </w:rPr>
  </w:style>
  <w:style w:type="character" w:styleId="CommentReference">
    <w:name w:val="annotation reference"/>
    <w:basedOn w:val="DefaultParagraphFont"/>
    <w:semiHidden/>
    <w:unhideWhenUsed/>
    <w:rsid w:val="00F84571"/>
    <w:rPr>
      <w:sz w:val="16"/>
      <w:szCs w:val="16"/>
    </w:rPr>
  </w:style>
  <w:style w:type="paragraph" w:styleId="CommentText">
    <w:name w:val="annotation text"/>
    <w:basedOn w:val="Normal"/>
    <w:link w:val="CommentTextChar"/>
    <w:unhideWhenUsed/>
    <w:rsid w:val="00F84571"/>
  </w:style>
  <w:style w:type="character" w:customStyle="1" w:styleId="CommentTextChar">
    <w:name w:val="Comment Text Char"/>
    <w:basedOn w:val="DefaultParagraphFont"/>
    <w:link w:val="CommentText"/>
    <w:rsid w:val="00F84571"/>
    <w:rPr>
      <w:rFonts w:ascii="Times New Roman" w:eastAsia="Times New Roman" w:hAnsi="Times New Roman" w:cs="Times New Roman"/>
      <w:sz w:val="20"/>
      <w:szCs w:val="20"/>
      <w:lang w:val="es-ES" w:eastAsia="es-ES"/>
    </w:rPr>
  </w:style>
  <w:style w:type="paragraph" w:styleId="CommentSubject">
    <w:name w:val="annotation subject"/>
    <w:basedOn w:val="CommentText"/>
    <w:next w:val="CommentText"/>
    <w:link w:val="CommentSubjectChar"/>
    <w:semiHidden/>
    <w:unhideWhenUsed/>
    <w:rsid w:val="00F84571"/>
    <w:rPr>
      <w:b/>
      <w:bCs/>
    </w:rPr>
  </w:style>
  <w:style w:type="character" w:customStyle="1" w:styleId="CommentSubjectChar">
    <w:name w:val="Comment Subject Char"/>
    <w:basedOn w:val="CommentTextChar"/>
    <w:link w:val="CommentSubject"/>
    <w:semiHidden/>
    <w:rsid w:val="00F84571"/>
    <w:rPr>
      <w:rFonts w:ascii="Times New Roman" w:eastAsia="Times New Roman" w:hAnsi="Times New Roman" w:cs="Times New Roman"/>
      <w:b/>
      <w:bCs/>
      <w:sz w:val="20"/>
      <w:szCs w:val="20"/>
      <w:lang w:val="es-ES" w:eastAsia="es-ES"/>
    </w:rPr>
  </w:style>
  <w:style w:type="paragraph" w:customStyle="1" w:styleId="Body1">
    <w:name w:val="Body 1"/>
    <w:rsid w:val="00F84571"/>
    <w:pPr>
      <w:suppressAutoHyphens/>
      <w:spacing w:line="240" w:lineRule="atLeast"/>
      <w:outlineLvl w:val="0"/>
    </w:pPr>
    <w:rPr>
      <w:rFonts w:ascii="Times New Roman" w:eastAsia="Arial Unicode MS" w:hAnsi="Times New Roman" w:cs="Times New Roman"/>
      <w:color w:val="000000"/>
      <w:sz w:val="20"/>
      <w:szCs w:val="20"/>
      <w:u w:color="000000"/>
      <w:lang w:val="en-GB" w:eastAsia="en-GB"/>
    </w:rPr>
  </w:style>
  <w:style w:type="paragraph" w:styleId="Revision">
    <w:name w:val="Revision"/>
    <w:hidden/>
    <w:uiPriority w:val="99"/>
    <w:semiHidden/>
    <w:rsid w:val="00F84571"/>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91389">
      <w:bodyDiv w:val="1"/>
      <w:marLeft w:val="0"/>
      <w:marRight w:val="0"/>
      <w:marTop w:val="0"/>
      <w:marBottom w:val="0"/>
      <w:divBdr>
        <w:top w:val="none" w:sz="0" w:space="0" w:color="auto"/>
        <w:left w:val="none" w:sz="0" w:space="0" w:color="auto"/>
        <w:bottom w:val="none" w:sz="0" w:space="0" w:color="auto"/>
        <w:right w:val="none" w:sz="0" w:space="0" w:color="auto"/>
      </w:divBdr>
    </w:div>
    <w:div w:id="578059694">
      <w:bodyDiv w:val="1"/>
      <w:marLeft w:val="0"/>
      <w:marRight w:val="0"/>
      <w:marTop w:val="0"/>
      <w:marBottom w:val="0"/>
      <w:divBdr>
        <w:top w:val="none" w:sz="0" w:space="0" w:color="auto"/>
        <w:left w:val="none" w:sz="0" w:space="0" w:color="auto"/>
        <w:bottom w:val="none" w:sz="0" w:space="0" w:color="auto"/>
        <w:right w:val="none" w:sz="0" w:space="0" w:color="auto"/>
      </w:divBdr>
    </w:div>
    <w:div w:id="642002805">
      <w:bodyDiv w:val="1"/>
      <w:marLeft w:val="0"/>
      <w:marRight w:val="0"/>
      <w:marTop w:val="0"/>
      <w:marBottom w:val="0"/>
      <w:divBdr>
        <w:top w:val="none" w:sz="0" w:space="0" w:color="auto"/>
        <w:left w:val="none" w:sz="0" w:space="0" w:color="auto"/>
        <w:bottom w:val="none" w:sz="0" w:space="0" w:color="auto"/>
        <w:right w:val="none" w:sz="0" w:space="0" w:color="auto"/>
      </w:divBdr>
      <w:divsChild>
        <w:div w:id="299774143">
          <w:marLeft w:val="0"/>
          <w:marRight w:val="0"/>
          <w:marTop w:val="0"/>
          <w:marBottom w:val="0"/>
          <w:divBdr>
            <w:top w:val="none" w:sz="0" w:space="0" w:color="auto"/>
            <w:left w:val="none" w:sz="0" w:space="0" w:color="auto"/>
            <w:bottom w:val="none" w:sz="0" w:space="0" w:color="auto"/>
            <w:right w:val="none" w:sz="0" w:space="0" w:color="auto"/>
          </w:divBdr>
          <w:divsChild>
            <w:div w:id="2016833878">
              <w:marLeft w:val="0"/>
              <w:marRight w:val="0"/>
              <w:marTop w:val="0"/>
              <w:marBottom w:val="0"/>
              <w:divBdr>
                <w:top w:val="none" w:sz="0" w:space="0" w:color="auto"/>
                <w:left w:val="none" w:sz="0" w:space="0" w:color="auto"/>
                <w:bottom w:val="none" w:sz="0" w:space="0" w:color="auto"/>
                <w:right w:val="none" w:sz="0" w:space="0" w:color="auto"/>
              </w:divBdr>
              <w:divsChild>
                <w:div w:id="1675373604">
                  <w:marLeft w:val="0"/>
                  <w:marRight w:val="0"/>
                  <w:marTop w:val="0"/>
                  <w:marBottom w:val="0"/>
                  <w:divBdr>
                    <w:top w:val="none" w:sz="0" w:space="0" w:color="auto"/>
                    <w:left w:val="none" w:sz="0" w:space="0" w:color="auto"/>
                    <w:bottom w:val="none" w:sz="0" w:space="0" w:color="auto"/>
                    <w:right w:val="none" w:sz="0" w:space="0" w:color="auto"/>
                  </w:divBdr>
                  <w:divsChild>
                    <w:div w:id="164223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449037">
      <w:bodyDiv w:val="1"/>
      <w:marLeft w:val="0"/>
      <w:marRight w:val="0"/>
      <w:marTop w:val="0"/>
      <w:marBottom w:val="0"/>
      <w:divBdr>
        <w:top w:val="none" w:sz="0" w:space="0" w:color="auto"/>
        <w:left w:val="none" w:sz="0" w:space="0" w:color="auto"/>
        <w:bottom w:val="none" w:sz="0" w:space="0" w:color="auto"/>
        <w:right w:val="none" w:sz="0" w:space="0" w:color="auto"/>
      </w:divBdr>
      <w:divsChild>
        <w:div w:id="1412118688">
          <w:marLeft w:val="0"/>
          <w:marRight w:val="0"/>
          <w:marTop w:val="0"/>
          <w:marBottom w:val="0"/>
          <w:divBdr>
            <w:top w:val="none" w:sz="0" w:space="0" w:color="auto"/>
            <w:left w:val="none" w:sz="0" w:space="0" w:color="auto"/>
            <w:bottom w:val="none" w:sz="0" w:space="0" w:color="auto"/>
            <w:right w:val="none" w:sz="0" w:space="0" w:color="auto"/>
          </w:divBdr>
          <w:divsChild>
            <w:div w:id="1660427718">
              <w:marLeft w:val="0"/>
              <w:marRight w:val="0"/>
              <w:marTop w:val="0"/>
              <w:marBottom w:val="0"/>
              <w:divBdr>
                <w:top w:val="none" w:sz="0" w:space="0" w:color="auto"/>
                <w:left w:val="none" w:sz="0" w:space="0" w:color="auto"/>
                <w:bottom w:val="none" w:sz="0" w:space="0" w:color="auto"/>
                <w:right w:val="none" w:sz="0" w:space="0" w:color="auto"/>
              </w:divBdr>
              <w:divsChild>
                <w:div w:id="437481149">
                  <w:marLeft w:val="0"/>
                  <w:marRight w:val="0"/>
                  <w:marTop w:val="0"/>
                  <w:marBottom w:val="0"/>
                  <w:divBdr>
                    <w:top w:val="none" w:sz="0" w:space="0" w:color="auto"/>
                    <w:left w:val="none" w:sz="0" w:space="0" w:color="auto"/>
                    <w:bottom w:val="none" w:sz="0" w:space="0" w:color="auto"/>
                    <w:right w:val="none" w:sz="0" w:space="0" w:color="auto"/>
                  </w:divBdr>
                  <w:divsChild>
                    <w:div w:id="2892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639474">
      <w:bodyDiv w:val="1"/>
      <w:marLeft w:val="0"/>
      <w:marRight w:val="0"/>
      <w:marTop w:val="0"/>
      <w:marBottom w:val="0"/>
      <w:divBdr>
        <w:top w:val="none" w:sz="0" w:space="0" w:color="auto"/>
        <w:left w:val="none" w:sz="0" w:space="0" w:color="auto"/>
        <w:bottom w:val="none" w:sz="0" w:space="0" w:color="auto"/>
        <w:right w:val="none" w:sz="0" w:space="0" w:color="auto"/>
      </w:divBdr>
      <w:divsChild>
        <w:div w:id="1644002819">
          <w:marLeft w:val="0"/>
          <w:marRight w:val="0"/>
          <w:marTop w:val="0"/>
          <w:marBottom w:val="0"/>
          <w:divBdr>
            <w:top w:val="none" w:sz="0" w:space="0" w:color="auto"/>
            <w:left w:val="none" w:sz="0" w:space="0" w:color="auto"/>
            <w:bottom w:val="none" w:sz="0" w:space="0" w:color="auto"/>
            <w:right w:val="none" w:sz="0" w:space="0" w:color="auto"/>
          </w:divBdr>
          <w:divsChild>
            <w:div w:id="702366257">
              <w:marLeft w:val="0"/>
              <w:marRight w:val="0"/>
              <w:marTop w:val="0"/>
              <w:marBottom w:val="0"/>
              <w:divBdr>
                <w:top w:val="none" w:sz="0" w:space="0" w:color="auto"/>
                <w:left w:val="none" w:sz="0" w:space="0" w:color="auto"/>
                <w:bottom w:val="none" w:sz="0" w:space="0" w:color="auto"/>
                <w:right w:val="none" w:sz="0" w:space="0" w:color="auto"/>
              </w:divBdr>
              <w:divsChild>
                <w:div w:id="2753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4789">
      <w:bodyDiv w:val="1"/>
      <w:marLeft w:val="0"/>
      <w:marRight w:val="0"/>
      <w:marTop w:val="0"/>
      <w:marBottom w:val="0"/>
      <w:divBdr>
        <w:top w:val="none" w:sz="0" w:space="0" w:color="auto"/>
        <w:left w:val="none" w:sz="0" w:space="0" w:color="auto"/>
        <w:bottom w:val="none" w:sz="0" w:space="0" w:color="auto"/>
        <w:right w:val="none" w:sz="0" w:space="0" w:color="auto"/>
      </w:divBdr>
      <w:divsChild>
        <w:div w:id="2070030812">
          <w:marLeft w:val="0"/>
          <w:marRight w:val="0"/>
          <w:marTop w:val="0"/>
          <w:marBottom w:val="0"/>
          <w:divBdr>
            <w:top w:val="none" w:sz="0" w:space="0" w:color="auto"/>
            <w:left w:val="none" w:sz="0" w:space="0" w:color="auto"/>
            <w:bottom w:val="none" w:sz="0" w:space="0" w:color="auto"/>
            <w:right w:val="none" w:sz="0" w:space="0" w:color="auto"/>
          </w:divBdr>
          <w:divsChild>
            <w:div w:id="89208645">
              <w:marLeft w:val="0"/>
              <w:marRight w:val="0"/>
              <w:marTop w:val="0"/>
              <w:marBottom w:val="0"/>
              <w:divBdr>
                <w:top w:val="none" w:sz="0" w:space="0" w:color="auto"/>
                <w:left w:val="none" w:sz="0" w:space="0" w:color="auto"/>
                <w:bottom w:val="none" w:sz="0" w:space="0" w:color="auto"/>
                <w:right w:val="none" w:sz="0" w:space="0" w:color="auto"/>
              </w:divBdr>
              <w:divsChild>
                <w:div w:id="735935583">
                  <w:marLeft w:val="0"/>
                  <w:marRight w:val="0"/>
                  <w:marTop w:val="0"/>
                  <w:marBottom w:val="0"/>
                  <w:divBdr>
                    <w:top w:val="none" w:sz="0" w:space="0" w:color="auto"/>
                    <w:left w:val="none" w:sz="0" w:space="0" w:color="auto"/>
                    <w:bottom w:val="none" w:sz="0" w:space="0" w:color="auto"/>
                    <w:right w:val="none" w:sz="0" w:space="0" w:color="auto"/>
                  </w:divBdr>
                  <w:divsChild>
                    <w:div w:id="162615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NewsEvents/Pages/DisplayNews.aspx?NewsID=22390&amp;LangID=E" TargetMode="External"/><Relationship Id="rId2" Type="http://schemas.openxmlformats.org/officeDocument/2006/relationships/hyperlink" Target="http://ap.ohchr.org/documents/dpage_e.aspx?si=A/71/384" TargetMode="External"/><Relationship Id="rId1" Type="http://schemas.openxmlformats.org/officeDocument/2006/relationships/hyperlink" Target="http://www.un.org/counterterrorism/ctitf/en/international-legal-instruments" TargetMode="External"/><Relationship Id="rId6" Type="http://schemas.openxmlformats.org/officeDocument/2006/relationships/hyperlink" Target="https://terrorismlegislationreviewer.independent.gov.uk" TargetMode="External"/><Relationship Id="rId5" Type="http://schemas.openxmlformats.org/officeDocument/2006/relationships/hyperlink" Target="http://www.state.gov/documents/organization/63562.pdf" TargetMode="External"/><Relationship Id="rId4" Type="http://schemas.openxmlformats.org/officeDocument/2006/relationships/hyperlink" Target="http://journey-to-extremism.undp.org/content/downloads/UNDP-JourneyToExtremism-report-2017-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94579E-EF51-44DC-86C4-FCE39B2E11A8}">
  <ds:schemaRefs>
    <ds:schemaRef ds:uri="http://schemas.openxmlformats.org/officeDocument/2006/bibliography"/>
  </ds:schemaRefs>
</ds:datastoreItem>
</file>

<file path=customXml/itemProps2.xml><?xml version="1.0" encoding="utf-8"?>
<ds:datastoreItem xmlns:ds="http://schemas.openxmlformats.org/officeDocument/2006/customXml" ds:itemID="{B8B432FB-576B-4292-A3E2-54420A6438C7}"/>
</file>

<file path=customXml/itemProps3.xml><?xml version="1.0" encoding="utf-8"?>
<ds:datastoreItem xmlns:ds="http://schemas.openxmlformats.org/officeDocument/2006/customXml" ds:itemID="{107A08A6-47EB-4E4C-AAE9-2FCF1C54EFE4}"/>
</file>

<file path=customXml/itemProps4.xml><?xml version="1.0" encoding="utf-8"?>
<ds:datastoreItem xmlns:ds="http://schemas.openxmlformats.org/officeDocument/2006/customXml" ds:itemID="{716E4FCE-2E1F-4898-9544-18766785F9B8}"/>
</file>

<file path=docProps/app.xml><?xml version="1.0" encoding="utf-8"?>
<Properties xmlns="http://schemas.openxmlformats.org/officeDocument/2006/extended-properties" xmlns:vt="http://schemas.openxmlformats.org/officeDocument/2006/docPropsVTypes">
  <Template>Normal.dotm</Template>
  <TotalTime>4</TotalTime>
  <Pages>19</Pages>
  <Words>9858</Words>
  <Characters>56196</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promotion and protection of human rights while countering terrorism - Advance Unedited Version</dc:title>
  <dc:subject/>
  <dc:creator>Microsoft Office User</dc:creator>
  <cp:keywords/>
  <dc:description/>
  <cp:lastModifiedBy>AZIZOV Sharof</cp:lastModifiedBy>
  <cp:revision>3</cp:revision>
  <cp:lastPrinted>2018-02-19T13:27:00Z</cp:lastPrinted>
  <dcterms:created xsi:type="dcterms:W3CDTF">2018-02-27T15:57:00Z</dcterms:created>
  <dcterms:modified xsi:type="dcterms:W3CDTF">2018-02-27T16:00:00Z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