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662585" w:rsidP="000F59E5">
            <w:pPr>
              <w:jc w:val="right"/>
            </w:pPr>
            <w:r w:rsidRPr="00662585">
              <w:rPr>
                <w:sz w:val="40"/>
              </w:rPr>
              <w:t>A</w:t>
            </w:r>
            <w:r>
              <w:t>/HRC/37/</w:t>
            </w:r>
            <w:r w:rsidR="000F59E5">
              <w:t>62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724B64"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662585" w:rsidP="00662585">
            <w:pPr>
              <w:spacing w:before="240" w:line="240" w:lineRule="exact"/>
            </w:pPr>
            <w:r>
              <w:t>Distr.: General</w:t>
            </w:r>
          </w:p>
          <w:p w:rsidR="00662585" w:rsidRDefault="00662585" w:rsidP="00662585">
            <w:pPr>
              <w:spacing w:line="240" w:lineRule="exact"/>
            </w:pPr>
            <w:r>
              <w:t>2</w:t>
            </w:r>
            <w:r w:rsidR="003134DC">
              <w:t>8</w:t>
            </w:r>
            <w:r>
              <w:t xml:space="preserve"> February 2018</w:t>
            </w:r>
          </w:p>
          <w:p w:rsidR="00662585" w:rsidRDefault="00662585" w:rsidP="00662585">
            <w:pPr>
              <w:spacing w:line="240" w:lineRule="exact"/>
            </w:pPr>
          </w:p>
          <w:p w:rsidR="00662585" w:rsidRDefault="00662585" w:rsidP="00662585">
            <w:pPr>
              <w:spacing w:line="240" w:lineRule="exact"/>
            </w:pPr>
            <w:r>
              <w:t>Original: English</w:t>
            </w:r>
          </w:p>
        </w:tc>
      </w:tr>
    </w:tbl>
    <w:p w:rsidR="00CF586F" w:rsidRDefault="00F02E79" w:rsidP="0051102C">
      <w:pPr>
        <w:spacing w:before="120"/>
        <w:rPr>
          <w:b/>
          <w:sz w:val="24"/>
          <w:szCs w:val="24"/>
        </w:rPr>
      </w:pPr>
      <w:r w:rsidRPr="00F02E79">
        <w:rPr>
          <w:b/>
          <w:sz w:val="24"/>
          <w:szCs w:val="24"/>
        </w:rPr>
        <w:t>Human Rights Council</w:t>
      </w:r>
    </w:p>
    <w:p w:rsidR="00F02E79" w:rsidRDefault="00F02E79" w:rsidP="00CF586F">
      <w:pPr>
        <w:rPr>
          <w:b/>
        </w:rPr>
      </w:pPr>
      <w:r w:rsidRPr="00F02E79">
        <w:rPr>
          <w:b/>
        </w:rPr>
        <w:t>Thirty-seventh session</w:t>
      </w:r>
    </w:p>
    <w:p w:rsidR="000F59E5" w:rsidRPr="000F59E5" w:rsidRDefault="000F59E5" w:rsidP="00CF586F">
      <w:r w:rsidRPr="000F59E5">
        <w:t>26 February to 23 March 2018</w:t>
      </w:r>
    </w:p>
    <w:p w:rsidR="00F02E79" w:rsidRDefault="00F02E79" w:rsidP="00CF586F">
      <w:r>
        <w:t>Agenda item 3</w:t>
      </w:r>
    </w:p>
    <w:p w:rsidR="00F02E79" w:rsidRPr="00F02E79" w:rsidRDefault="00F02E79" w:rsidP="00CF586F">
      <w:pPr>
        <w:rPr>
          <w:b/>
        </w:rPr>
      </w:pPr>
      <w:r w:rsidRPr="00F02E79">
        <w:rPr>
          <w:b/>
        </w:rPr>
        <w:t>Promotion and protection of all human rights, civil</w:t>
      </w:r>
    </w:p>
    <w:p w:rsidR="00F02E79" w:rsidRPr="00F02E79" w:rsidRDefault="00231F91" w:rsidP="00CF586F">
      <w:pPr>
        <w:rPr>
          <w:b/>
        </w:rPr>
      </w:pPr>
      <w:proofErr w:type="gramStart"/>
      <w:r>
        <w:rPr>
          <w:b/>
        </w:rPr>
        <w:t>p</w:t>
      </w:r>
      <w:r w:rsidR="00F02E79" w:rsidRPr="00F02E79">
        <w:rPr>
          <w:b/>
        </w:rPr>
        <w:t>olitical</w:t>
      </w:r>
      <w:proofErr w:type="gramEnd"/>
      <w:r w:rsidR="00F02E79" w:rsidRPr="00F02E79">
        <w:rPr>
          <w:b/>
        </w:rPr>
        <w:t>, economic, social and cultural rights,</w:t>
      </w:r>
    </w:p>
    <w:p w:rsidR="00F02E79" w:rsidRDefault="000F59E5" w:rsidP="00CF586F">
      <w:pPr>
        <w:rPr>
          <w:b/>
        </w:rPr>
      </w:pPr>
      <w:proofErr w:type="gramStart"/>
      <w:r>
        <w:rPr>
          <w:b/>
        </w:rPr>
        <w:t>i</w:t>
      </w:r>
      <w:r w:rsidR="00F02E79" w:rsidRPr="00F02E79">
        <w:rPr>
          <w:b/>
        </w:rPr>
        <w:t>ncluding</w:t>
      </w:r>
      <w:proofErr w:type="gramEnd"/>
      <w:r w:rsidR="00F02E79" w:rsidRPr="00F02E79">
        <w:rPr>
          <w:b/>
        </w:rPr>
        <w:t xml:space="preserve"> the right to development</w:t>
      </w:r>
    </w:p>
    <w:p w:rsidR="00F02E79" w:rsidRDefault="00F02E79" w:rsidP="00F02E79">
      <w:pPr>
        <w:pStyle w:val="HChG"/>
        <w:rPr>
          <w:sz w:val="20"/>
        </w:rPr>
      </w:pPr>
      <w:r>
        <w:tab/>
      </w:r>
      <w:r>
        <w:tab/>
        <w:t>Repor</w:t>
      </w:r>
      <w:r w:rsidR="000F59E5">
        <w:t>t of the Special Rapporteur on the right to privacy</w:t>
      </w:r>
      <w:r w:rsidR="000F59E5" w:rsidRPr="0051102C">
        <w:rPr>
          <w:rStyle w:val="FootnoteReference"/>
          <w:b w:val="0"/>
          <w:sz w:val="20"/>
          <w:vertAlign w:val="baseline"/>
        </w:rPr>
        <w:footnoteReference w:customMarkFollows="1" w:id="2"/>
        <w:t>*</w:t>
      </w:r>
    </w:p>
    <w:p w:rsidR="000F59E5" w:rsidRDefault="000F59E5" w:rsidP="000F59E5">
      <w:pPr>
        <w:pStyle w:val="H1G"/>
      </w:pPr>
      <w:r>
        <w:tab/>
      </w:r>
      <w:r>
        <w:tab/>
        <w:t>Note by the Secretariat</w:t>
      </w:r>
    </w:p>
    <w:p w:rsidR="000F59E5" w:rsidRPr="000F59E5" w:rsidRDefault="000F59E5" w:rsidP="000F59E5">
      <w:pPr>
        <w:pStyle w:val="SingleTxtG"/>
        <w:ind w:firstLine="567"/>
      </w:pPr>
      <w:r w:rsidRPr="000F59E5">
        <w:t>In this report, prepared pursuant to Human Rights Council resolution 28/16, the Special Rapporteur on the right to privacy focuses on the work undertaken in the first three years of his mandate, with a particular focus on the work done on surveillance and privacy, and reflects on the role and mandate of Special Procedures mandate holders.</w:t>
      </w:r>
    </w:p>
    <w:p w:rsidR="00FF61DE" w:rsidRPr="00FF61DE" w:rsidRDefault="00612A2E" w:rsidP="00FF61DE">
      <w:pPr>
        <w:spacing w:after="120"/>
        <w:rPr>
          <w:sz w:val="28"/>
        </w:rPr>
      </w:pPr>
      <w:r>
        <w:br w:type="page"/>
      </w:r>
      <w:r>
        <w:lastRenderedPageBreak/>
        <w:tab/>
      </w:r>
      <w:r w:rsidR="00FF61DE" w:rsidRPr="00FF61DE">
        <w:rPr>
          <w:sz w:val="28"/>
        </w:rPr>
        <w:t>Contents</w:t>
      </w:r>
    </w:p>
    <w:p w:rsidR="00FF61DE" w:rsidRPr="00FF61DE" w:rsidRDefault="00FF61DE" w:rsidP="00FF61DE">
      <w:pPr>
        <w:tabs>
          <w:tab w:val="right" w:pos="9638"/>
        </w:tabs>
        <w:spacing w:after="120"/>
        <w:ind w:left="283"/>
        <w:rPr>
          <w:sz w:val="18"/>
        </w:rPr>
      </w:pPr>
      <w:r w:rsidRPr="00FF61DE">
        <w:rPr>
          <w:i/>
          <w:sz w:val="18"/>
        </w:rPr>
        <w:tab/>
        <w:t>Page</w:t>
      </w:r>
    </w:p>
    <w:p w:rsidR="00FF61DE" w:rsidRPr="00FF61DE" w:rsidRDefault="00FF61DE" w:rsidP="00FF61DE">
      <w:pPr>
        <w:tabs>
          <w:tab w:val="right" w:pos="850"/>
          <w:tab w:val="left" w:pos="1134"/>
          <w:tab w:val="left" w:pos="1559"/>
          <w:tab w:val="left" w:pos="1984"/>
          <w:tab w:val="left" w:leader="dot" w:pos="8929"/>
          <w:tab w:val="right" w:pos="9638"/>
        </w:tabs>
        <w:spacing w:after="120"/>
      </w:pPr>
      <w:r w:rsidRPr="00FF61DE">
        <w:tab/>
      </w:r>
      <w:r>
        <w:tab/>
      </w:r>
      <w:r w:rsidRPr="00FF61DE">
        <w:t>I.</w:t>
      </w:r>
      <w:r w:rsidRPr="00FF61DE">
        <w:tab/>
      </w:r>
      <w:r w:rsidR="00D33A2C">
        <w:t>Introduction</w:t>
      </w:r>
      <w:r w:rsidR="00C46E60">
        <w:tab/>
      </w:r>
      <w:r w:rsidR="00C46E60">
        <w:tab/>
      </w:r>
      <w:r w:rsidR="00A27FCF">
        <w:t>3</w:t>
      </w:r>
    </w:p>
    <w:p w:rsidR="00FF61DE" w:rsidRDefault="00FF61DE" w:rsidP="00FF61DE">
      <w:pPr>
        <w:tabs>
          <w:tab w:val="right" w:pos="850"/>
          <w:tab w:val="left" w:pos="1134"/>
          <w:tab w:val="left" w:pos="1559"/>
          <w:tab w:val="left" w:pos="1984"/>
          <w:tab w:val="left" w:leader="dot" w:pos="8929"/>
          <w:tab w:val="right" w:pos="9638"/>
        </w:tabs>
        <w:spacing w:after="120"/>
      </w:pPr>
      <w:r w:rsidRPr="00FF61DE">
        <w:tab/>
      </w:r>
      <w:r>
        <w:tab/>
      </w:r>
      <w:r w:rsidRPr="00FF61DE">
        <w:t>II.</w:t>
      </w:r>
      <w:r w:rsidRPr="00FF61DE">
        <w:tab/>
      </w:r>
      <w:r w:rsidR="00D33A2C">
        <w:t>The mandate of the Special Rapporteur on the right to privacy</w:t>
      </w:r>
      <w:r w:rsidR="00C46E60">
        <w:tab/>
      </w:r>
      <w:r w:rsidR="00C46E60">
        <w:tab/>
      </w:r>
      <w:r w:rsidR="00A27FCF">
        <w:t>4</w:t>
      </w:r>
    </w:p>
    <w:p w:rsidR="00FF61DE" w:rsidRDefault="00FF61DE" w:rsidP="00FF61DE">
      <w:pPr>
        <w:tabs>
          <w:tab w:val="right" w:pos="850"/>
          <w:tab w:val="left" w:pos="1134"/>
          <w:tab w:val="left" w:pos="1559"/>
          <w:tab w:val="left" w:pos="1984"/>
          <w:tab w:val="left" w:leader="dot" w:pos="8929"/>
          <w:tab w:val="right" w:pos="9638"/>
        </w:tabs>
        <w:spacing w:after="120"/>
      </w:pPr>
      <w:r>
        <w:tab/>
      </w:r>
      <w:r>
        <w:tab/>
      </w:r>
      <w:r>
        <w:tab/>
      </w:r>
      <w:r w:rsidR="00C915C8">
        <w:t>A.</w:t>
      </w:r>
      <w:r w:rsidR="00D33A2C">
        <w:tab/>
        <w:t>Performance of the mandate 2015-2017</w:t>
      </w:r>
      <w:r>
        <w:tab/>
      </w:r>
      <w:r>
        <w:tab/>
      </w:r>
      <w:r w:rsidR="00A27FCF">
        <w:t>4</w:t>
      </w:r>
    </w:p>
    <w:p w:rsidR="00FF61DE" w:rsidRDefault="00FF61DE" w:rsidP="00C915C8">
      <w:pPr>
        <w:tabs>
          <w:tab w:val="right" w:pos="850"/>
          <w:tab w:val="left" w:pos="1134"/>
          <w:tab w:val="left" w:pos="1559"/>
          <w:tab w:val="left" w:pos="1984"/>
          <w:tab w:val="left" w:leader="dot" w:pos="8929"/>
          <w:tab w:val="right" w:pos="9638"/>
        </w:tabs>
        <w:spacing w:after="120"/>
        <w:ind w:left="1985" w:hanging="1985"/>
      </w:pPr>
      <w:r>
        <w:tab/>
      </w:r>
      <w:r>
        <w:tab/>
      </w:r>
      <w:r>
        <w:tab/>
      </w:r>
      <w:r w:rsidR="00C915C8">
        <w:t>B.</w:t>
      </w:r>
      <w:r>
        <w:tab/>
      </w:r>
      <w:r w:rsidR="00D33A2C">
        <w:t xml:space="preserve">Work of the Special Rapporteur in the Priority Area ‘Security, Surveillance </w:t>
      </w:r>
      <w:r w:rsidR="00C915C8">
        <w:br/>
      </w:r>
      <w:r w:rsidR="00D33A2C">
        <w:t>and</w:t>
      </w:r>
      <w:r w:rsidR="00C915C8">
        <w:t xml:space="preserve"> </w:t>
      </w:r>
      <w:r w:rsidR="00D33A2C">
        <w:t>Privacy’</w:t>
      </w:r>
      <w:r>
        <w:tab/>
      </w:r>
      <w:r w:rsidR="00C915C8">
        <w:tab/>
      </w:r>
      <w:r w:rsidR="00A27FCF">
        <w:t>18</w:t>
      </w:r>
    </w:p>
    <w:p w:rsidR="00FF61DE" w:rsidRPr="00FF61DE" w:rsidRDefault="00FF61DE" w:rsidP="00FF61DE">
      <w:pPr>
        <w:tabs>
          <w:tab w:val="right" w:pos="850"/>
          <w:tab w:val="left" w:pos="1134"/>
          <w:tab w:val="left" w:pos="1559"/>
          <w:tab w:val="left" w:pos="1984"/>
          <w:tab w:val="left" w:leader="dot" w:pos="8929"/>
          <w:tab w:val="right" w:pos="9638"/>
        </w:tabs>
        <w:spacing w:after="120"/>
      </w:pPr>
      <w:r>
        <w:tab/>
      </w:r>
      <w:r>
        <w:tab/>
      </w:r>
      <w:r>
        <w:tab/>
        <w:t>C.</w:t>
      </w:r>
      <w:r>
        <w:tab/>
      </w:r>
      <w:r w:rsidR="00D33A2C">
        <w:t>The mandate of the Special Rapporteur on the right to privacy</w:t>
      </w:r>
      <w:r>
        <w:tab/>
      </w:r>
      <w:r>
        <w:tab/>
      </w:r>
      <w:r w:rsidR="00A27FCF">
        <w:t>21</w:t>
      </w:r>
    </w:p>
    <w:p w:rsidR="00D33A2C" w:rsidRDefault="00FF61DE" w:rsidP="00FF61DE">
      <w:pPr>
        <w:tabs>
          <w:tab w:val="right" w:pos="850"/>
          <w:tab w:val="left" w:pos="1134"/>
          <w:tab w:val="left" w:pos="1559"/>
          <w:tab w:val="left" w:pos="1984"/>
          <w:tab w:val="left" w:leader="dot" w:pos="8929"/>
          <w:tab w:val="right" w:pos="9638"/>
        </w:tabs>
        <w:spacing w:after="120"/>
      </w:pPr>
      <w:r w:rsidRPr="00FF61DE">
        <w:tab/>
      </w:r>
      <w:r>
        <w:tab/>
      </w:r>
      <w:r w:rsidRPr="00FF61DE">
        <w:t>III.</w:t>
      </w:r>
      <w:r w:rsidRPr="00FF61DE">
        <w:tab/>
      </w:r>
      <w:r>
        <w:t xml:space="preserve">Conclusions </w:t>
      </w:r>
      <w:r w:rsidR="00B55A7A">
        <w:tab/>
      </w:r>
      <w:r w:rsidR="00D33A2C">
        <w:tab/>
      </w:r>
      <w:r w:rsidR="00616FA7">
        <w:t>21</w:t>
      </w:r>
    </w:p>
    <w:p w:rsidR="00FF61DE" w:rsidRDefault="00D33A2C" w:rsidP="00FF61DE">
      <w:pPr>
        <w:tabs>
          <w:tab w:val="right" w:pos="850"/>
          <w:tab w:val="left" w:pos="1134"/>
          <w:tab w:val="left" w:pos="1559"/>
          <w:tab w:val="left" w:pos="1984"/>
          <w:tab w:val="left" w:leader="dot" w:pos="8929"/>
          <w:tab w:val="right" w:pos="9638"/>
        </w:tabs>
        <w:spacing w:after="120"/>
      </w:pPr>
      <w:r>
        <w:tab/>
      </w:r>
      <w:r>
        <w:tab/>
        <w:t>IV.</w:t>
      </w:r>
      <w:r>
        <w:tab/>
        <w:t>Recommendations to the Human Rights Council</w:t>
      </w:r>
      <w:r>
        <w:tab/>
      </w:r>
      <w:r w:rsidR="00253901">
        <w:tab/>
        <w:t>22</w:t>
      </w:r>
    </w:p>
    <w:p w:rsidR="00D33A2C" w:rsidRDefault="00D33A2C" w:rsidP="00FF61DE">
      <w:pPr>
        <w:tabs>
          <w:tab w:val="right" w:pos="850"/>
          <w:tab w:val="left" w:pos="1134"/>
          <w:tab w:val="left" w:pos="1559"/>
          <w:tab w:val="left" w:pos="1984"/>
          <w:tab w:val="left" w:leader="dot" w:pos="8929"/>
          <w:tab w:val="right" w:pos="9638"/>
        </w:tabs>
        <w:spacing w:after="120"/>
      </w:pPr>
      <w:r>
        <w:tab/>
      </w:r>
      <w:r>
        <w:tab/>
      </w:r>
      <w:r w:rsidR="009C1F28">
        <w:t>V.</w:t>
      </w:r>
      <w:r w:rsidR="009C1F28">
        <w:tab/>
        <w:t>Guide to</w:t>
      </w:r>
      <w:r>
        <w:t xml:space="preserve"> supporting documents</w:t>
      </w:r>
      <w:r>
        <w:tab/>
      </w:r>
      <w:r w:rsidR="00253901">
        <w:tab/>
        <w:t>23</w:t>
      </w:r>
    </w:p>
    <w:p w:rsidR="00D33A2C" w:rsidRPr="00FF61DE" w:rsidRDefault="0049690A" w:rsidP="00FF61DE">
      <w:pPr>
        <w:tabs>
          <w:tab w:val="right" w:pos="850"/>
          <w:tab w:val="left" w:pos="1134"/>
          <w:tab w:val="left" w:pos="1559"/>
          <w:tab w:val="left" w:pos="1984"/>
          <w:tab w:val="left" w:leader="dot" w:pos="8929"/>
          <w:tab w:val="right" w:pos="9638"/>
        </w:tabs>
        <w:spacing w:after="120"/>
      </w:pPr>
      <w:r>
        <w:tab/>
      </w:r>
      <w:r>
        <w:tab/>
      </w:r>
      <w:r>
        <w:tab/>
      </w:r>
      <w:r w:rsidR="00D33A2C">
        <w:t>Annex</w:t>
      </w:r>
      <w:r w:rsidR="00404E30" w:rsidRPr="00404E30">
        <w:rPr>
          <w:rStyle w:val="FootnoteReference"/>
          <w:sz w:val="20"/>
          <w:vertAlign w:val="baseline"/>
        </w:rPr>
        <w:footnoteReference w:customMarkFollows="1" w:id="3"/>
        <w:t>**</w:t>
      </w:r>
      <w:r w:rsidR="00D33A2C">
        <w:tab/>
      </w:r>
      <w:r w:rsidR="00A27FCF">
        <w:tab/>
        <w:t>24</w:t>
      </w:r>
    </w:p>
    <w:p w:rsidR="000F59E5" w:rsidRDefault="00612A2E" w:rsidP="00533021">
      <w:pPr>
        <w:pStyle w:val="HChG"/>
        <w:numPr>
          <w:ilvl w:val="0"/>
          <w:numId w:val="14"/>
        </w:numPr>
      </w:pPr>
      <w:r w:rsidRPr="00DE4360">
        <w:br w:type="page"/>
      </w:r>
      <w:r w:rsidR="000F59E5" w:rsidRPr="00533021">
        <w:lastRenderedPageBreak/>
        <w:t>Introduction</w:t>
      </w:r>
    </w:p>
    <w:p w:rsidR="000F59E5" w:rsidRPr="005E32CF" w:rsidRDefault="000F59E5" w:rsidP="000F59E5">
      <w:pPr>
        <w:pStyle w:val="ParNoG"/>
        <w:rPr>
          <w:rFonts w:eastAsia="Calibri"/>
          <w:lang w:val="en-US"/>
        </w:rPr>
      </w:pPr>
      <w:r w:rsidRPr="007B2951">
        <w:rPr>
          <w:rFonts w:eastAsia="Calibri"/>
          <w:lang w:val="en-US"/>
        </w:rPr>
        <w:t xml:space="preserve">The mandate of the Special Rapporteur on the </w:t>
      </w:r>
      <w:r w:rsidR="003E3ABD">
        <w:rPr>
          <w:rFonts w:eastAsia="Calibri"/>
          <w:lang w:val="en-US"/>
        </w:rPr>
        <w:t>right to privacy commenced on 1 </w:t>
      </w:r>
      <w:r w:rsidRPr="007B2951">
        <w:rPr>
          <w:rFonts w:eastAsia="Calibri"/>
          <w:lang w:val="en-US"/>
        </w:rPr>
        <w:t>August 2015. Pursuant to Human Rights Council resolution 28/16</w:t>
      </w:r>
      <w:r w:rsidR="003E3ABD">
        <w:rPr>
          <w:rFonts w:eastAsia="Calibri"/>
          <w:lang w:val="en-US"/>
        </w:rPr>
        <w:t>,</w:t>
      </w:r>
      <w:r w:rsidR="005906DC">
        <w:rPr>
          <w:rStyle w:val="FootnoteReference"/>
          <w:rFonts w:eastAsia="Calibri"/>
          <w:lang w:val="en-US"/>
        </w:rPr>
        <w:footnoteReference w:id="4"/>
      </w:r>
      <w:r w:rsidRPr="005E32CF">
        <w:rPr>
          <w:rFonts w:eastAsia="Calibri"/>
          <w:lang w:val="en-US"/>
        </w:rPr>
        <w:t xml:space="preserve"> the Special Rappor</w:t>
      </w:r>
      <w:r>
        <w:rPr>
          <w:rFonts w:eastAsia="Calibri"/>
          <w:lang w:val="en-US"/>
        </w:rPr>
        <w:t>t</w:t>
      </w:r>
      <w:r w:rsidRPr="005E32CF">
        <w:rPr>
          <w:rFonts w:eastAsia="Calibri"/>
          <w:lang w:val="en-US"/>
        </w:rPr>
        <w:t>eur reports annually to the Human Rights Council and the General Assembly.</w:t>
      </w:r>
    </w:p>
    <w:p w:rsidR="000F59E5" w:rsidRPr="005E32CF" w:rsidRDefault="000F59E5" w:rsidP="000F59E5">
      <w:pPr>
        <w:pStyle w:val="SingleTxtG"/>
        <w:rPr>
          <w:rFonts w:cstheme="minorHAnsi"/>
          <w:lang w:val="en-US"/>
        </w:rPr>
      </w:pPr>
      <w:r w:rsidRPr="005E32CF">
        <w:rPr>
          <w:rFonts w:cstheme="minorHAnsi"/>
          <w:lang w:val="en-US"/>
        </w:rPr>
        <w:t>2.</w:t>
      </w:r>
      <w:r w:rsidRPr="005E32CF">
        <w:rPr>
          <w:rFonts w:cstheme="minorHAnsi"/>
          <w:lang w:val="en-US"/>
        </w:rPr>
        <w:tab/>
        <w:t>This report is the Special Rapporteur’s third report to the Human Rights Council and thus the last one of the first and current mandate. It is therefore appropriate to use this opportunity to cast an eye back over the past three years, provide an overview of activities and achievements as well as elicit some of the lessons learned</w:t>
      </w:r>
      <w:r>
        <w:rPr>
          <w:rFonts w:cstheme="minorHAnsi"/>
          <w:lang w:val="en-US"/>
        </w:rPr>
        <w:t>, and look at the present and the future of the mandate</w:t>
      </w:r>
      <w:r w:rsidRPr="005E32CF">
        <w:rPr>
          <w:rFonts w:cstheme="minorHAnsi"/>
          <w:lang w:val="en-US"/>
        </w:rPr>
        <w:t>.</w:t>
      </w:r>
    </w:p>
    <w:p w:rsidR="000F59E5" w:rsidRPr="008D67E7" w:rsidRDefault="000F59E5" w:rsidP="000F59E5">
      <w:pPr>
        <w:pStyle w:val="SingleTxtG"/>
        <w:rPr>
          <w:rFonts w:cstheme="minorHAnsi"/>
          <w:lang w:val="en-US"/>
        </w:rPr>
      </w:pPr>
      <w:r w:rsidRPr="005E32CF">
        <w:rPr>
          <w:rFonts w:cstheme="minorHAnsi"/>
          <w:lang w:val="en-US"/>
        </w:rPr>
        <w:t>3.</w:t>
      </w:r>
      <w:r w:rsidRPr="005E32CF">
        <w:rPr>
          <w:rFonts w:cstheme="minorHAnsi"/>
          <w:lang w:val="en-US"/>
        </w:rPr>
        <w:tab/>
        <w:t xml:space="preserve">With this aim in mind, the report is composed of </w:t>
      </w:r>
      <w:r>
        <w:rPr>
          <w:rFonts w:cstheme="minorHAnsi"/>
          <w:lang w:val="en-US"/>
        </w:rPr>
        <w:t>four</w:t>
      </w:r>
      <w:r w:rsidRPr="005E32CF">
        <w:rPr>
          <w:rFonts w:cstheme="minorHAnsi"/>
          <w:lang w:val="en-US"/>
        </w:rPr>
        <w:t xml:space="preserve"> parts. </w:t>
      </w:r>
      <w:r>
        <w:rPr>
          <w:rFonts w:cstheme="minorHAnsi"/>
          <w:lang w:val="en-US"/>
        </w:rPr>
        <w:t xml:space="preserve">Following the Introduction, </w:t>
      </w:r>
      <w:r w:rsidRPr="005E32CF">
        <w:rPr>
          <w:rFonts w:cstheme="minorHAnsi"/>
          <w:lang w:val="en-US"/>
        </w:rPr>
        <w:t>the Special Rapporteur’s activities,</w:t>
      </w:r>
      <w:r>
        <w:rPr>
          <w:rFonts w:cstheme="minorHAnsi"/>
          <w:lang w:val="en-US"/>
        </w:rPr>
        <w:t xml:space="preserve"> the</w:t>
      </w:r>
      <w:r w:rsidRPr="005E32CF">
        <w:rPr>
          <w:rFonts w:cstheme="minorHAnsi"/>
          <w:lang w:val="en-US"/>
        </w:rPr>
        <w:t xml:space="preserve"> achievements and future work </w:t>
      </w:r>
      <w:r>
        <w:rPr>
          <w:rFonts w:cstheme="minorHAnsi"/>
          <w:lang w:val="en-US"/>
        </w:rPr>
        <w:t xml:space="preserve">are described </w:t>
      </w:r>
      <w:r w:rsidRPr="005E32CF">
        <w:rPr>
          <w:rFonts w:cstheme="minorHAnsi"/>
          <w:lang w:val="en-US"/>
        </w:rPr>
        <w:t>for each</w:t>
      </w:r>
      <w:r>
        <w:rPr>
          <w:rFonts w:cstheme="minorHAnsi"/>
          <w:lang w:val="en-US"/>
        </w:rPr>
        <w:t xml:space="preserve"> of the eight mandate areas</w:t>
      </w:r>
      <w:r w:rsidRPr="005E32CF">
        <w:rPr>
          <w:rFonts w:cstheme="minorHAnsi"/>
          <w:lang w:val="en-US"/>
        </w:rPr>
        <w:t xml:space="preserve">. The </w:t>
      </w:r>
      <w:r>
        <w:rPr>
          <w:rFonts w:cstheme="minorHAnsi"/>
          <w:lang w:val="en-US"/>
        </w:rPr>
        <w:t>third</w:t>
      </w:r>
      <w:r w:rsidRPr="005E32CF">
        <w:rPr>
          <w:rFonts w:cstheme="minorHAnsi"/>
          <w:lang w:val="en-US"/>
        </w:rPr>
        <w:t xml:space="preserve"> </w:t>
      </w:r>
      <w:r>
        <w:rPr>
          <w:rFonts w:cstheme="minorHAnsi"/>
          <w:lang w:val="en-US"/>
        </w:rPr>
        <w:t xml:space="preserve">part </w:t>
      </w:r>
      <w:r w:rsidRPr="005E32CF">
        <w:rPr>
          <w:rFonts w:cstheme="minorHAnsi"/>
          <w:lang w:val="en-US"/>
        </w:rPr>
        <w:t xml:space="preserve">outlines the successful work </w:t>
      </w:r>
      <w:r>
        <w:rPr>
          <w:rFonts w:cstheme="minorHAnsi"/>
          <w:lang w:val="en-US"/>
        </w:rPr>
        <w:t xml:space="preserve">undertaken </w:t>
      </w:r>
      <w:r w:rsidRPr="005E32CF">
        <w:rPr>
          <w:rFonts w:cstheme="minorHAnsi"/>
          <w:lang w:val="en-US"/>
        </w:rPr>
        <w:t>on one of the mandate’s key prioritie</w:t>
      </w:r>
      <w:r>
        <w:rPr>
          <w:rFonts w:cstheme="minorHAnsi"/>
          <w:lang w:val="en-US"/>
        </w:rPr>
        <w:t xml:space="preserve">s: </w:t>
      </w:r>
      <w:r w:rsidRPr="005E32CF">
        <w:rPr>
          <w:rFonts w:cstheme="minorHAnsi"/>
          <w:lang w:val="en-US"/>
        </w:rPr>
        <w:t xml:space="preserve">privacy protection and government </w:t>
      </w:r>
      <w:r>
        <w:rPr>
          <w:rFonts w:cstheme="minorHAnsi"/>
          <w:lang w:val="en-US"/>
        </w:rPr>
        <w:t xml:space="preserve">and other forms of </w:t>
      </w:r>
      <w:r w:rsidRPr="005E32CF">
        <w:rPr>
          <w:rFonts w:cstheme="minorHAnsi"/>
          <w:lang w:val="en-US"/>
        </w:rPr>
        <w:t>surveillance</w:t>
      </w:r>
      <w:r>
        <w:rPr>
          <w:rFonts w:cstheme="minorHAnsi"/>
          <w:lang w:val="en-US"/>
        </w:rPr>
        <w:t xml:space="preserve">. It </w:t>
      </w:r>
      <w:r w:rsidRPr="005E32CF">
        <w:rPr>
          <w:rFonts w:cstheme="minorHAnsi"/>
          <w:lang w:val="en-US"/>
        </w:rPr>
        <w:t>describes a draft international legal instrument for surveillance,</w:t>
      </w:r>
      <w:r>
        <w:rPr>
          <w:rFonts w:cstheme="minorHAnsi"/>
          <w:lang w:val="en-US"/>
        </w:rPr>
        <w:t xml:space="preserve"> as well as a set of recommendations to be considered. </w:t>
      </w:r>
      <w:r w:rsidRPr="008D67E7">
        <w:rPr>
          <w:rFonts w:cstheme="minorHAnsi"/>
          <w:lang w:val="en-US"/>
        </w:rPr>
        <w:t xml:space="preserve">The </w:t>
      </w:r>
      <w:r>
        <w:rPr>
          <w:rFonts w:cstheme="minorHAnsi"/>
          <w:lang w:val="en-US"/>
        </w:rPr>
        <w:t xml:space="preserve">fourth and </w:t>
      </w:r>
      <w:r w:rsidRPr="008D67E7">
        <w:rPr>
          <w:rFonts w:cstheme="minorHAnsi"/>
          <w:lang w:val="en-US"/>
        </w:rPr>
        <w:t xml:space="preserve">final part addresses the terms of the </w:t>
      </w:r>
      <w:r>
        <w:rPr>
          <w:rFonts w:cstheme="minorHAnsi"/>
          <w:lang w:val="en-US"/>
        </w:rPr>
        <w:t>mandate</w:t>
      </w:r>
      <w:r w:rsidRPr="008D67E7">
        <w:rPr>
          <w:rFonts w:cstheme="minorHAnsi"/>
          <w:lang w:val="en-US"/>
        </w:rPr>
        <w:t xml:space="preserve"> provided by the Human Rights Council to Special Rapporteurs and the clarifications and reinforcement required therein.</w:t>
      </w:r>
    </w:p>
    <w:p w:rsidR="000F59E5" w:rsidRPr="001B6684" w:rsidRDefault="000F59E5" w:rsidP="000F59E5">
      <w:pPr>
        <w:pStyle w:val="SingleTxtG"/>
        <w:rPr>
          <w:rFonts w:cstheme="minorHAnsi"/>
          <w:color w:val="000000"/>
        </w:rPr>
      </w:pPr>
      <w:r w:rsidRPr="008D67E7">
        <w:rPr>
          <w:rFonts w:cstheme="minorHAnsi"/>
          <w:color w:val="000000"/>
          <w:lang w:val="en-US"/>
        </w:rPr>
        <w:t>4.</w:t>
      </w:r>
      <w:r w:rsidRPr="008D67E7">
        <w:rPr>
          <w:rFonts w:cstheme="minorHAnsi"/>
          <w:color w:val="000000"/>
          <w:lang w:val="en-US"/>
        </w:rPr>
        <w:tab/>
        <w:t xml:space="preserve">Since the commencement of the mandate, </w:t>
      </w:r>
      <w:r w:rsidRPr="001B6684">
        <w:rPr>
          <w:rFonts w:cstheme="minorHAnsi"/>
          <w:color w:val="000000"/>
        </w:rPr>
        <w:t>in addition to the right to privacy being enshrined and protected at the international</w:t>
      </w:r>
      <w:r w:rsidRPr="008D67E7">
        <w:rPr>
          <w:rStyle w:val="FootnoteReference"/>
          <w:rFonts w:cstheme="minorHAnsi"/>
          <w:color w:val="000000"/>
        </w:rPr>
        <w:footnoteReference w:id="5"/>
      </w:r>
      <w:r w:rsidRPr="001B6684">
        <w:rPr>
          <w:rFonts w:cstheme="minorHAnsi"/>
          <w:color w:val="000000"/>
        </w:rPr>
        <w:t xml:space="preserve"> and regional</w:t>
      </w:r>
      <w:r w:rsidRPr="001B6684">
        <w:rPr>
          <w:rStyle w:val="FootnoteReference"/>
          <w:rFonts w:cstheme="minorHAnsi"/>
          <w:color w:val="000000"/>
        </w:rPr>
        <w:footnoteReference w:id="6"/>
      </w:r>
      <w:r w:rsidRPr="001B6684">
        <w:rPr>
          <w:rFonts w:cstheme="minorHAnsi"/>
          <w:color w:val="000000"/>
        </w:rPr>
        <w:t xml:space="preserve"> levels, and in other human rights instruments</w:t>
      </w:r>
      <w:r w:rsidR="003E3ABD">
        <w:rPr>
          <w:rFonts w:cstheme="minorHAnsi"/>
          <w:color w:val="000000"/>
        </w:rPr>
        <w:t>,</w:t>
      </w:r>
      <w:r w:rsidRPr="001B6684">
        <w:rPr>
          <w:rStyle w:val="FootnoteReference"/>
          <w:rFonts w:cstheme="minorHAnsi"/>
          <w:color w:val="000000"/>
        </w:rPr>
        <w:footnoteReference w:id="7"/>
      </w:r>
      <w:r w:rsidRPr="001B6684">
        <w:rPr>
          <w:rFonts w:cstheme="minorHAnsi"/>
        </w:rPr>
        <w:t xml:space="preserve"> the importance of privacy has been re-affirmed by the</w:t>
      </w:r>
      <w:r w:rsidRPr="001B6684">
        <w:rPr>
          <w:rFonts w:cstheme="minorHAnsi"/>
          <w:color w:val="000000"/>
        </w:rPr>
        <w:t xml:space="preserve"> Human Rights Council i</w:t>
      </w:r>
      <w:r w:rsidRPr="001B6684">
        <w:rPr>
          <w:rFonts w:cstheme="minorHAnsi"/>
        </w:rPr>
        <w:t xml:space="preserve">n </w:t>
      </w:r>
      <w:r w:rsidRPr="001B6684">
        <w:rPr>
          <w:rFonts w:cstheme="minorHAnsi"/>
          <w:color w:val="000000"/>
        </w:rPr>
        <w:t xml:space="preserve">the resolution consistently with the issue raised on personality in the </w:t>
      </w:r>
      <w:r>
        <w:rPr>
          <w:rFonts w:cstheme="minorHAnsi"/>
          <w:color w:val="000000"/>
        </w:rPr>
        <w:t>Special Rapporteur’s</w:t>
      </w:r>
      <w:r w:rsidRPr="001B6684">
        <w:rPr>
          <w:rFonts w:cstheme="minorHAnsi"/>
          <w:color w:val="000000"/>
        </w:rPr>
        <w:t xml:space="preserve"> 2016 report to </w:t>
      </w:r>
      <w:r>
        <w:rPr>
          <w:rFonts w:cstheme="minorHAnsi"/>
          <w:color w:val="000000"/>
        </w:rPr>
        <w:t>the Human Rights Council</w:t>
      </w:r>
      <w:r w:rsidRPr="001B6684">
        <w:rPr>
          <w:rFonts w:cstheme="minorHAnsi"/>
          <w:color w:val="000000"/>
        </w:rPr>
        <w:t>:</w:t>
      </w:r>
    </w:p>
    <w:p w:rsidR="000F59E5" w:rsidRPr="00180501" w:rsidRDefault="000F59E5" w:rsidP="000F59E5">
      <w:pPr>
        <w:pStyle w:val="SingleTxtG"/>
        <w:ind w:left="1701"/>
        <w:rPr>
          <w:rFonts w:cstheme="minorHAnsi"/>
          <w:color w:val="000000"/>
          <w:lang w:val="en-US"/>
        </w:rPr>
      </w:pPr>
      <w:r w:rsidRPr="001B6684">
        <w:rPr>
          <w:rFonts w:cstheme="minorHAnsi"/>
          <w:color w:val="000000"/>
        </w:rPr>
        <w:t>“</w:t>
      </w:r>
      <w:r w:rsidRPr="001B6684">
        <w:rPr>
          <w:rFonts w:cstheme="minorHAnsi"/>
          <w:color w:val="000000"/>
          <w:lang w:val="en-US"/>
        </w:rPr>
        <w:t>Recognizing that the right to privacy can enable the enjoyment of other rights and the free development of an individual’s personality and identity, and an individual’s ability to participate in political, economic, social and cultural life, and noting with concern that violations or abuses of the right to privacy might affect the enjoyment of other human rights, including the right to freedom of expression and to hold opinions without interference, and the right to freedom of peaceful assembly and association</w:t>
      </w:r>
      <w:r>
        <w:rPr>
          <w:rFonts w:cstheme="minorHAnsi"/>
          <w:color w:val="000000"/>
          <w:lang w:val="en-US"/>
        </w:rPr>
        <w:t>..</w:t>
      </w:r>
      <w:r w:rsidRPr="00180501">
        <w:rPr>
          <w:rFonts w:cstheme="minorHAnsi"/>
          <w:color w:val="000000"/>
          <w:lang w:val="en-US"/>
        </w:rPr>
        <w:t>.”</w:t>
      </w:r>
      <w:r w:rsidR="00721239">
        <w:rPr>
          <w:rFonts w:cstheme="minorHAnsi"/>
          <w:color w:val="000000"/>
          <w:lang w:val="en-US"/>
        </w:rPr>
        <w:t>.</w:t>
      </w:r>
      <w:r w:rsidRPr="00180501">
        <w:rPr>
          <w:rStyle w:val="FootnoteReference"/>
          <w:rFonts w:cstheme="minorHAnsi"/>
          <w:color w:val="000000"/>
          <w:lang w:val="en-US"/>
        </w:rPr>
        <w:footnoteReference w:id="8"/>
      </w:r>
    </w:p>
    <w:p w:rsidR="000F59E5" w:rsidRPr="00F67BE1" w:rsidRDefault="000F59E5" w:rsidP="000F59E5">
      <w:pPr>
        <w:pStyle w:val="SingleTxtG"/>
        <w:rPr>
          <w:rFonts w:cstheme="minorHAnsi"/>
        </w:rPr>
      </w:pPr>
      <w:r w:rsidRPr="00180501">
        <w:rPr>
          <w:rFonts w:cstheme="minorHAnsi"/>
          <w:lang w:val="en-US"/>
        </w:rPr>
        <w:t>5.</w:t>
      </w:r>
      <w:r>
        <w:rPr>
          <w:rFonts w:cstheme="minorHAnsi"/>
          <w:lang w:val="en-US"/>
        </w:rPr>
        <w:tab/>
      </w:r>
      <w:r w:rsidRPr="00F67BE1">
        <w:rPr>
          <w:rFonts w:cstheme="minorHAnsi"/>
        </w:rPr>
        <w:t>In his work, the Special Rapporteur is guided not only by the international legal framework on the right to privacy, but also on the resolutions regularly adopted on the topic by the Human Rights Council, including A/HRC/RES/34/7 above.</w:t>
      </w:r>
    </w:p>
    <w:p w:rsidR="000F59E5" w:rsidRPr="0007462E" w:rsidRDefault="000F59E5" w:rsidP="000F59E5">
      <w:pPr>
        <w:pStyle w:val="HChG"/>
        <w:rPr>
          <w:rFonts w:eastAsia="Calibri"/>
          <w:lang w:val="en-US"/>
        </w:rPr>
      </w:pPr>
      <w:r w:rsidRPr="0007462E">
        <w:rPr>
          <w:rFonts w:eastAsia="Calibri"/>
          <w:lang w:val="en-US"/>
        </w:rPr>
        <w:lastRenderedPageBreak/>
        <w:tab/>
        <w:t>II.</w:t>
      </w:r>
      <w:r w:rsidRPr="0007462E">
        <w:rPr>
          <w:rFonts w:eastAsia="Calibri"/>
          <w:lang w:val="en-US"/>
        </w:rPr>
        <w:tab/>
        <w:t xml:space="preserve">The </w:t>
      </w:r>
      <w:r>
        <w:rPr>
          <w:rFonts w:eastAsia="Calibri"/>
          <w:lang w:val="en-US"/>
        </w:rPr>
        <w:t>m</w:t>
      </w:r>
      <w:r w:rsidRPr="0007462E">
        <w:rPr>
          <w:rFonts w:eastAsia="Calibri"/>
          <w:lang w:val="en-US"/>
        </w:rPr>
        <w:t>andate of the Special Rapporteur on the right to privacy</w:t>
      </w:r>
    </w:p>
    <w:p w:rsidR="000F59E5" w:rsidRPr="0007462E" w:rsidRDefault="000F59E5" w:rsidP="000F59E5">
      <w:pPr>
        <w:pStyle w:val="SingleTxtG"/>
        <w:rPr>
          <w:rFonts w:cstheme="minorHAnsi"/>
          <w:lang w:val="en-US"/>
        </w:rPr>
      </w:pPr>
      <w:r w:rsidRPr="0007462E">
        <w:rPr>
          <w:rFonts w:cstheme="minorHAnsi"/>
          <w:lang w:val="en-US"/>
        </w:rPr>
        <w:t>6.</w:t>
      </w:r>
      <w:r w:rsidRPr="0007462E">
        <w:rPr>
          <w:rFonts w:cstheme="minorHAnsi"/>
          <w:lang w:val="en-US"/>
        </w:rPr>
        <w:tab/>
      </w:r>
      <w:r>
        <w:rPr>
          <w:rFonts w:cstheme="minorHAnsi"/>
          <w:lang w:val="en-US"/>
        </w:rPr>
        <w:t>A</w:t>
      </w:r>
      <w:r w:rsidRPr="0007462E">
        <w:rPr>
          <w:rFonts w:cstheme="minorHAnsi"/>
          <w:lang w:val="en-US"/>
        </w:rPr>
        <w:t xml:space="preserve">ctivities conducted by the Special Rapporteur typically relate to more than one area of his mandate, </w:t>
      </w:r>
      <w:r>
        <w:rPr>
          <w:rFonts w:cstheme="minorHAnsi"/>
          <w:lang w:val="en-US"/>
        </w:rPr>
        <w:t xml:space="preserve">so matters are reported under several mandate areas. </w:t>
      </w:r>
      <w:r w:rsidRPr="0007462E">
        <w:rPr>
          <w:rFonts w:cstheme="minorHAnsi"/>
          <w:lang w:val="en-US"/>
        </w:rPr>
        <w:t xml:space="preserve">The </w:t>
      </w:r>
      <w:r>
        <w:rPr>
          <w:rFonts w:cstheme="minorHAnsi"/>
          <w:lang w:val="en-US"/>
        </w:rPr>
        <w:t>mandate terms are at Appendix 1.</w:t>
      </w:r>
    </w:p>
    <w:p w:rsidR="000F59E5" w:rsidRPr="0007462E" w:rsidRDefault="00C324D3" w:rsidP="000F59E5">
      <w:pPr>
        <w:pStyle w:val="H1G"/>
        <w:rPr>
          <w:rFonts w:eastAsia="Calibri"/>
          <w:lang w:val="en-US"/>
        </w:rPr>
      </w:pPr>
      <w:r>
        <w:rPr>
          <w:rFonts w:eastAsia="Calibri"/>
          <w:lang w:val="en-US"/>
        </w:rPr>
        <w:tab/>
        <w:t>A.</w:t>
      </w:r>
      <w:r w:rsidR="000F59E5" w:rsidRPr="0007462E">
        <w:rPr>
          <w:rFonts w:eastAsia="Calibri"/>
          <w:lang w:val="en-US"/>
        </w:rPr>
        <w:tab/>
        <w:t xml:space="preserve">Performance of the </w:t>
      </w:r>
      <w:r w:rsidR="000F59E5">
        <w:rPr>
          <w:rFonts w:eastAsia="Calibri"/>
          <w:lang w:val="en-US"/>
        </w:rPr>
        <w:t>m</w:t>
      </w:r>
      <w:r w:rsidR="000F59E5" w:rsidRPr="0007462E">
        <w:rPr>
          <w:rFonts w:eastAsia="Calibri"/>
          <w:lang w:val="en-US"/>
        </w:rPr>
        <w:t>andate 2015-2017</w:t>
      </w:r>
    </w:p>
    <w:p w:rsidR="000F59E5" w:rsidRPr="00022DCD" w:rsidRDefault="000F59E5" w:rsidP="000F59E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360" w:after="240"/>
        <w:ind w:left="1264" w:right="1259" w:hanging="1264"/>
        <w:rPr>
          <w:sz w:val="10"/>
        </w:rPr>
      </w:pPr>
      <w:r w:rsidRPr="00022DCD">
        <w:tab/>
        <w:t>1.</w:t>
      </w:r>
      <w:r w:rsidRPr="00022DCD">
        <w:tab/>
        <w:t>Gathering relevant information and study matters</w:t>
      </w:r>
    </w:p>
    <w:p w:rsidR="000F59E5" w:rsidRPr="00DC48D1" w:rsidRDefault="000F59E5" w:rsidP="000F59E5">
      <w:pPr>
        <w:pStyle w:val="SingleTxtG"/>
        <w:rPr>
          <w:rFonts w:eastAsia="Calibri"/>
          <w:lang w:val="en-US"/>
        </w:rPr>
      </w:pPr>
      <w:r w:rsidRPr="0007462E">
        <w:rPr>
          <w:rFonts w:eastAsia="Calibri"/>
          <w:lang w:val="en-US"/>
        </w:rPr>
        <w:t>7.</w:t>
      </w:r>
      <w:r w:rsidRPr="0007462E">
        <w:rPr>
          <w:rFonts w:eastAsia="Calibri"/>
          <w:lang w:val="en-US"/>
        </w:rPr>
        <w:tab/>
      </w:r>
      <w:r w:rsidRPr="00DC48D1">
        <w:rPr>
          <w:rFonts w:eastAsia="Calibri"/>
          <w:lang w:val="en-US"/>
        </w:rPr>
        <w:t>The first paragraph of the mandate states that the Special Rapporteur will: (a) Gather relevant information and study matters relevant to the right to privacy and make recommendations for its promotion and protection, including challenges arising from new technologies.</w:t>
      </w:r>
    </w:p>
    <w:p w:rsidR="000F59E5" w:rsidRPr="0007462E" w:rsidRDefault="000F59E5" w:rsidP="000F59E5">
      <w:pPr>
        <w:pStyle w:val="SingleTxtG"/>
        <w:rPr>
          <w:rFonts w:eastAsia="Calibri"/>
          <w:lang w:val="en-US"/>
        </w:rPr>
      </w:pPr>
      <w:r w:rsidRPr="00DC48D1">
        <w:rPr>
          <w:rFonts w:eastAsia="Calibri"/>
          <w:lang w:val="en-US"/>
        </w:rPr>
        <w:t>8.</w:t>
      </w:r>
      <w:r w:rsidRPr="00DC48D1">
        <w:rPr>
          <w:rFonts w:eastAsia="Calibri"/>
          <w:lang w:val="en-US"/>
        </w:rPr>
        <w:tab/>
      </w:r>
      <w:r>
        <w:rPr>
          <w:rFonts w:eastAsia="Calibri"/>
          <w:lang w:val="en-US"/>
        </w:rPr>
        <w:t>To meet this</w:t>
      </w:r>
      <w:r w:rsidRPr="00DC48D1">
        <w:rPr>
          <w:rFonts w:eastAsia="Calibri"/>
          <w:lang w:val="en-US"/>
        </w:rPr>
        <w:t xml:space="preserve"> </w:t>
      </w:r>
      <w:r>
        <w:rPr>
          <w:rFonts w:eastAsia="Calibri"/>
          <w:lang w:val="en-US"/>
        </w:rPr>
        <w:t xml:space="preserve">first </w:t>
      </w:r>
      <w:r w:rsidRPr="00DC48D1">
        <w:rPr>
          <w:rFonts w:eastAsia="Calibri"/>
          <w:lang w:val="en-US"/>
        </w:rPr>
        <w:t xml:space="preserve">aim, the Special Rapporteur </w:t>
      </w:r>
      <w:r>
        <w:rPr>
          <w:rFonts w:eastAsia="Calibri"/>
          <w:lang w:val="en-US"/>
        </w:rPr>
        <w:t>has established five</w:t>
      </w:r>
      <w:r w:rsidRPr="00DC48D1">
        <w:rPr>
          <w:rFonts w:eastAsia="Calibri"/>
          <w:lang w:val="en-US"/>
        </w:rPr>
        <w:t xml:space="preserve"> Thematic Action Stream</w:t>
      </w:r>
      <w:r>
        <w:rPr>
          <w:rFonts w:eastAsia="Calibri"/>
          <w:lang w:val="en-US"/>
        </w:rPr>
        <w:t xml:space="preserve"> (TAS) and utilizes the tools of </w:t>
      </w:r>
      <w:r w:rsidRPr="00DC48D1">
        <w:rPr>
          <w:rFonts w:eastAsia="Calibri"/>
          <w:lang w:val="en-US"/>
        </w:rPr>
        <w:t>official country visits, consultations, liaison with non-governmental organizations, examination of matters brought to his attention</w:t>
      </w:r>
      <w:r>
        <w:rPr>
          <w:rFonts w:eastAsia="Calibri"/>
          <w:lang w:val="en-US"/>
        </w:rPr>
        <w:t>,</w:t>
      </w:r>
      <w:r w:rsidRPr="00DC48D1">
        <w:rPr>
          <w:rFonts w:eastAsia="Calibri"/>
          <w:lang w:val="en-US"/>
        </w:rPr>
        <w:t xml:space="preserve"> letters of allegation</w:t>
      </w:r>
      <w:r>
        <w:rPr>
          <w:rFonts w:eastAsia="Calibri"/>
          <w:lang w:val="en-US"/>
        </w:rPr>
        <w:t xml:space="preserve">s, </w:t>
      </w:r>
      <w:r w:rsidRPr="00DC48D1">
        <w:rPr>
          <w:rFonts w:eastAsia="Calibri"/>
          <w:lang w:val="en-US"/>
        </w:rPr>
        <w:t>public privacy debate</w:t>
      </w:r>
      <w:r>
        <w:rPr>
          <w:rFonts w:eastAsia="Calibri"/>
          <w:lang w:val="en-US"/>
        </w:rPr>
        <w:t xml:space="preserve">s, </w:t>
      </w:r>
      <w:r w:rsidRPr="00DC48D1">
        <w:rPr>
          <w:rFonts w:eastAsia="Calibri"/>
          <w:lang w:val="en-US"/>
        </w:rPr>
        <w:t>international conferences and promotional events such as the Asia Pacific Privacy Authorities’ annual Privacy Awareness Week, and other means to study relevant matters</w:t>
      </w:r>
      <w:r w:rsidRPr="0007462E">
        <w:rPr>
          <w:rFonts w:eastAsia="Calibri"/>
          <w:lang w:val="en-US"/>
        </w:rPr>
        <w:t xml:space="preserve">. </w:t>
      </w:r>
    </w:p>
    <w:p w:rsidR="000F59E5" w:rsidRPr="0007462E" w:rsidRDefault="000F59E5" w:rsidP="000F59E5">
      <w:pPr>
        <w:pStyle w:val="H23G"/>
        <w:rPr>
          <w:rFonts w:eastAsia="Calibri"/>
          <w:lang w:val="en-US"/>
        </w:rPr>
      </w:pPr>
      <w:r>
        <w:rPr>
          <w:rFonts w:eastAsia="Calibri"/>
          <w:lang w:val="en-US"/>
        </w:rPr>
        <w:tab/>
      </w:r>
      <w:r>
        <w:rPr>
          <w:rFonts w:eastAsia="Calibri"/>
          <w:lang w:val="en-US"/>
        </w:rPr>
        <w:tab/>
      </w:r>
      <w:r w:rsidRPr="0007462E">
        <w:rPr>
          <w:rFonts w:eastAsia="Calibri"/>
          <w:lang w:val="en-US"/>
        </w:rPr>
        <w:t>Thematic Action Streams</w:t>
      </w:r>
    </w:p>
    <w:p w:rsidR="000F59E5" w:rsidRPr="00017B24" w:rsidRDefault="000F59E5" w:rsidP="000F59E5">
      <w:pPr>
        <w:pStyle w:val="SingleTxtG"/>
        <w:rPr>
          <w:rFonts w:eastAsia="Calibri"/>
          <w:lang w:val="en-US"/>
        </w:rPr>
      </w:pPr>
      <w:r w:rsidRPr="0007462E">
        <w:rPr>
          <w:rFonts w:eastAsia="Calibri"/>
          <w:lang w:val="en-US"/>
        </w:rPr>
        <w:t>9.</w:t>
      </w:r>
      <w:r w:rsidRPr="0007462E">
        <w:rPr>
          <w:rFonts w:eastAsia="Calibri"/>
          <w:lang w:val="en-US"/>
        </w:rPr>
        <w:tab/>
        <w:t>The Special Rapporteur outlined his work plan in 2016</w:t>
      </w:r>
      <w:r>
        <w:rPr>
          <w:rFonts w:eastAsia="Calibri"/>
          <w:lang w:val="en-US"/>
        </w:rPr>
        <w:t xml:space="preserve"> in his reports to the Human Rights Council and the General Assembly. He </w:t>
      </w:r>
      <w:r w:rsidRPr="0007462E">
        <w:rPr>
          <w:rFonts w:eastAsia="Calibri"/>
          <w:lang w:val="en-US"/>
        </w:rPr>
        <w:t>invit</w:t>
      </w:r>
      <w:r>
        <w:rPr>
          <w:rFonts w:eastAsia="Calibri"/>
          <w:lang w:val="en-US"/>
        </w:rPr>
        <w:t xml:space="preserve">ed </w:t>
      </w:r>
      <w:r w:rsidRPr="0007462E">
        <w:rPr>
          <w:rFonts w:eastAsia="Calibri"/>
          <w:lang w:val="en-US"/>
        </w:rPr>
        <w:t>all stakeholders to engage in “Planned thematic reports and call for consultations”</w:t>
      </w:r>
      <w:r w:rsidRPr="00586D5E">
        <w:rPr>
          <w:rFonts w:eastAsia="Calibri"/>
          <w:lang w:val="en-US"/>
        </w:rPr>
        <w:t xml:space="preserve">, all of which relate to the five Thematic Action Streams </w:t>
      </w:r>
      <w:r>
        <w:rPr>
          <w:rFonts w:eastAsia="Calibri"/>
          <w:lang w:val="en-US"/>
        </w:rPr>
        <w:t>(TAS)</w:t>
      </w:r>
      <w:r w:rsidRPr="00017B24">
        <w:rPr>
          <w:rFonts w:eastAsia="Calibri"/>
          <w:lang w:val="en-US"/>
        </w:rPr>
        <w:t xml:space="preserve">. </w:t>
      </w:r>
    </w:p>
    <w:p w:rsidR="000F59E5" w:rsidRPr="00017B24" w:rsidRDefault="000F59E5" w:rsidP="000F59E5">
      <w:pPr>
        <w:pStyle w:val="SingleTxtG"/>
        <w:rPr>
          <w:rFonts w:eastAsia="Calibri"/>
          <w:lang w:val="en-US"/>
        </w:rPr>
      </w:pPr>
      <w:r w:rsidRPr="00017B24">
        <w:rPr>
          <w:rFonts w:eastAsia="Calibri"/>
          <w:lang w:val="en-US"/>
        </w:rPr>
        <w:t>10.</w:t>
      </w:r>
      <w:r w:rsidRPr="00017B24">
        <w:rPr>
          <w:rFonts w:eastAsia="Calibri"/>
          <w:lang w:val="en-US"/>
        </w:rPr>
        <w:tab/>
        <w:t>The five TAS</w:t>
      </w:r>
      <w:r>
        <w:rPr>
          <w:rFonts w:eastAsia="Calibri"/>
          <w:lang w:val="en-US"/>
        </w:rPr>
        <w:t xml:space="preserve"> </w:t>
      </w:r>
      <w:r w:rsidRPr="00017B24">
        <w:rPr>
          <w:rFonts w:eastAsia="Calibri"/>
          <w:lang w:val="en-US"/>
        </w:rPr>
        <w:t>are: A better understanding of Privacy</w:t>
      </w:r>
      <w:r>
        <w:rPr>
          <w:rFonts w:eastAsia="Calibri"/>
          <w:lang w:val="en-US"/>
        </w:rPr>
        <w:t>;</w:t>
      </w:r>
      <w:r w:rsidRPr="00017B24">
        <w:rPr>
          <w:rFonts w:eastAsia="Calibri"/>
          <w:lang w:val="en-US"/>
        </w:rPr>
        <w:t xml:space="preserve"> Security and Surveillance</w:t>
      </w:r>
      <w:r>
        <w:rPr>
          <w:rFonts w:eastAsia="Calibri"/>
          <w:lang w:val="en-US"/>
        </w:rPr>
        <w:t>;</w:t>
      </w:r>
      <w:r w:rsidRPr="00017B24">
        <w:rPr>
          <w:rFonts w:eastAsia="Calibri"/>
          <w:lang w:val="en-US"/>
        </w:rPr>
        <w:t xml:space="preserve"> Big Data and Open Data</w:t>
      </w:r>
      <w:r>
        <w:rPr>
          <w:rFonts w:eastAsia="Calibri"/>
          <w:lang w:val="en-US"/>
        </w:rPr>
        <w:t>;</w:t>
      </w:r>
      <w:r w:rsidRPr="00017B24">
        <w:rPr>
          <w:rFonts w:eastAsia="Calibri"/>
          <w:lang w:val="en-US"/>
        </w:rPr>
        <w:t xml:space="preserve"> Health Data</w:t>
      </w:r>
      <w:r>
        <w:rPr>
          <w:rFonts w:eastAsia="Calibri"/>
          <w:lang w:val="en-US"/>
        </w:rPr>
        <w:t>,</w:t>
      </w:r>
      <w:r w:rsidRPr="00017B24">
        <w:rPr>
          <w:rFonts w:eastAsia="Calibri"/>
          <w:lang w:val="en-US"/>
        </w:rPr>
        <w:t xml:space="preserve"> and the Use of Personal Data by Corporations. The Thematic Action Streams all address the challenges to privacy in the digital era and are inter-connected and sequenced to enable each Taskforce to build on the work of the others. For example, the Big Data Taskforce sets the scene for the ‘Health Data’ and ‘Use of Personal Data by Corporations Thematic Action Streams. </w:t>
      </w:r>
      <w:r w:rsidRPr="007065C5">
        <w:rPr>
          <w:rFonts w:eastAsia="Calibri"/>
          <w:lang w:val="en-US"/>
        </w:rPr>
        <w:t xml:space="preserve">Each Taskforce is </w:t>
      </w:r>
      <w:proofErr w:type="spellStart"/>
      <w:r w:rsidRPr="007065C5">
        <w:rPr>
          <w:rFonts w:eastAsia="Calibri"/>
          <w:lang w:val="en-US"/>
        </w:rPr>
        <w:t>co-ordinated</w:t>
      </w:r>
      <w:proofErr w:type="spellEnd"/>
      <w:r w:rsidRPr="007065C5">
        <w:rPr>
          <w:rFonts w:eastAsia="Calibri"/>
          <w:lang w:val="en-US"/>
        </w:rPr>
        <w:t xml:space="preserve"> by a Chairperson who, on a voluntary basis, assists the Special Rapporteur by gathering research and information, identifying issues and consulting as widely as possible.</w:t>
      </w:r>
    </w:p>
    <w:p w:rsidR="000F59E5" w:rsidRPr="00017B24" w:rsidRDefault="000F59E5" w:rsidP="000F59E5">
      <w:pPr>
        <w:pStyle w:val="H23G"/>
        <w:rPr>
          <w:rFonts w:eastAsia="Calibri"/>
          <w:lang w:val="en-US"/>
        </w:rPr>
      </w:pPr>
      <w:r>
        <w:rPr>
          <w:rFonts w:eastAsia="Calibri"/>
          <w:lang w:val="en-US"/>
        </w:rPr>
        <w:tab/>
      </w:r>
      <w:r w:rsidR="002056C1">
        <w:rPr>
          <w:rFonts w:eastAsia="Calibri"/>
          <w:lang w:val="en-US"/>
        </w:rPr>
        <w:t>(a)</w:t>
      </w:r>
      <w:r>
        <w:rPr>
          <w:rFonts w:eastAsia="Calibri"/>
          <w:lang w:val="en-US"/>
        </w:rPr>
        <w:tab/>
      </w:r>
      <w:r w:rsidRPr="00017B24">
        <w:rPr>
          <w:rFonts w:eastAsia="Calibri"/>
          <w:lang w:val="en-US"/>
        </w:rPr>
        <w:t>Security and Surveillance</w:t>
      </w:r>
    </w:p>
    <w:p w:rsidR="000F59E5" w:rsidRPr="00CF27FC" w:rsidRDefault="000F59E5" w:rsidP="000F59E5">
      <w:pPr>
        <w:pStyle w:val="SingleTxtG"/>
        <w:rPr>
          <w:rFonts w:eastAsia="Calibri"/>
          <w:lang w:val="en-US"/>
        </w:rPr>
      </w:pPr>
      <w:r w:rsidRPr="00017B24">
        <w:rPr>
          <w:rFonts w:eastAsia="Calibri"/>
          <w:lang w:val="en-US"/>
        </w:rPr>
        <w:t>11.</w:t>
      </w:r>
      <w:r w:rsidRPr="00017B24">
        <w:rPr>
          <w:rFonts w:eastAsia="Calibri"/>
          <w:lang w:val="en-US"/>
        </w:rPr>
        <w:tab/>
      </w:r>
      <w:r w:rsidRPr="007065C5">
        <w:rPr>
          <w:rFonts w:eastAsia="Calibri"/>
          <w:lang w:val="en-US"/>
        </w:rPr>
        <w:t>To identify best practices safeguards regarding surveillance on the internet, the Special Rapporteur created the International Intelligence Oversight Forum</w:t>
      </w:r>
      <w:r>
        <w:rPr>
          <w:rFonts w:eastAsia="Calibri"/>
          <w:lang w:val="en-US"/>
        </w:rPr>
        <w:t xml:space="preserve"> (IIOF) - </w:t>
      </w:r>
      <w:r w:rsidRPr="00017B24">
        <w:rPr>
          <w:rFonts w:eastAsia="Calibri"/>
          <w:lang w:val="en-US"/>
        </w:rPr>
        <w:t>an annual gathering of national agencies and parliamentary committees tasked with the oversight of domestic and foreign intelligence in their respective countries</w:t>
      </w:r>
      <w:r>
        <w:rPr>
          <w:rFonts w:eastAsia="Calibri"/>
          <w:lang w:val="en-US"/>
        </w:rPr>
        <w:t xml:space="preserve">. The IIOF serves as a platform to share information, exchange experiences and identify best </w:t>
      </w:r>
      <w:r w:rsidRPr="002D5B79">
        <w:rPr>
          <w:rFonts w:eastAsia="Calibri"/>
          <w:lang w:val="en-US"/>
        </w:rPr>
        <w:t>practices at an international level.</w:t>
      </w:r>
    </w:p>
    <w:p w:rsidR="000F59E5" w:rsidRPr="00CF27FC" w:rsidRDefault="000F59E5" w:rsidP="000F59E5">
      <w:pPr>
        <w:pStyle w:val="SingleTxtG"/>
        <w:rPr>
          <w:rFonts w:eastAsia="Calibri"/>
          <w:lang w:val="en-US"/>
        </w:rPr>
      </w:pPr>
      <w:r w:rsidRPr="00CF27FC">
        <w:rPr>
          <w:rFonts w:eastAsia="Calibri"/>
          <w:lang w:val="en-US"/>
        </w:rPr>
        <w:t>12.</w:t>
      </w:r>
      <w:r w:rsidRPr="00CF27FC">
        <w:rPr>
          <w:rFonts w:eastAsia="Calibri"/>
          <w:lang w:val="en-US"/>
        </w:rPr>
        <w:tab/>
        <w:t xml:space="preserve">The </w:t>
      </w:r>
      <w:r>
        <w:rPr>
          <w:rFonts w:eastAsia="Calibri"/>
          <w:lang w:val="en-US"/>
        </w:rPr>
        <w:t xml:space="preserve">IIOF </w:t>
      </w:r>
      <w:r w:rsidRPr="00CF27FC">
        <w:rPr>
          <w:rFonts w:eastAsia="Calibri"/>
          <w:lang w:val="en-US"/>
        </w:rPr>
        <w:t xml:space="preserve">has been an unqualified success. The organizing committee </w:t>
      </w:r>
      <w:r>
        <w:rPr>
          <w:rFonts w:eastAsia="Calibri"/>
          <w:lang w:val="en-US"/>
        </w:rPr>
        <w:t xml:space="preserve">membership is </w:t>
      </w:r>
      <w:r w:rsidRPr="00CF27FC">
        <w:rPr>
          <w:rFonts w:eastAsia="Calibri"/>
          <w:lang w:val="en-US"/>
        </w:rPr>
        <w:t>refreshe</w:t>
      </w:r>
      <w:r>
        <w:rPr>
          <w:rFonts w:eastAsia="Calibri"/>
          <w:lang w:val="en-US"/>
        </w:rPr>
        <w:t>d</w:t>
      </w:r>
      <w:r w:rsidRPr="00CF27FC">
        <w:rPr>
          <w:rFonts w:eastAsia="Calibri"/>
          <w:lang w:val="en-US"/>
        </w:rPr>
        <w:t xml:space="preserve"> </w:t>
      </w:r>
      <w:r>
        <w:rPr>
          <w:rFonts w:eastAsia="Calibri"/>
          <w:lang w:val="en-US"/>
        </w:rPr>
        <w:t>regularly.</w:t>
      </w:r>
      <w:r w:rsidRPr="00CF27FC">
        <w:rPr>
          <w:rFonts w:eastAsia="Calibri"/>
          <w:lang w:val="en-US"/>
        </w:rPr>
        <w:t xml:space="preserve"> Its 2016 edition</w:t>
      </w:r>
      <w:r>
        <w:rPr>
          <w:rFonts w:eastAsia="Calibri"/>
          <w:lang w:val="en-US"/>
        </w:rPr>
        <w:t xml:space="preserve"> was </w:t>
      </w:r>
      <w:r w:rsidRPr="00CF27FC">
        <w:rPr>
          <w:rFonts w:eastAsia="Calibri"/>
          <w:lang w:val="en-US"/>
        </w:rPr>
        <w:t>held in Bucharest with the support of the Romanian Parliament’s four oversight committees</w:t>
      </w:r>
      <w:r>
        <w:rPr>
          <w:rFonts w:eastAsia="Calibri"/>
          <w:lang w:val="en-US"/>
        </w:rPr>
        <w:t xml:space="preserve">. It </w:t>
      </w:r>
      <w:r w:rsidRPr="00CF27FC">
        <w:rPr>
          <w:rFonts w:eastAsia="Calibri"/>
          <w:lang w:val="en-US"/>
        </w:rPr>
        <w:t xml:space="preserve">welcomed more than 60 delegates from 26 institutions in 20 countries. Its 2017 edition was held in the Belgian Parliament with the support of </w:t>
      </w:r>
      <w:r>
        <w:rPr>
          <w:rFonts w:eastAsia="Calibri"/>
          <w:lang w:val="en-US"/>
        </w:rPr>
        <w:t>data protection authorities</w:t>
      </w:r>
      <w:r w:rsidRPr="00CF27FC">
        <w:rPr>
          <w:rFonts w:eastAsia="Calibri"/>
          <w:lang w:val="en-US"/>
        </w:rPr>
        <w:t xml:space="preserve"> of Belgium, Luxembourg </w:t>
      </w:r>
      <w:r>
        <w:rPr>
          <w:rFonts w:eastAsia="Calibri"/>
          <w:lang w:val="en-US"/>
        </w:rPr>
        <w:t xml:space="preserve">and </w:t>
      </w:r>
      <w:r w:rsidRPr="00CF27FC">
        <w:rPr>
          <w:rFonts w:eastAsia="Calibri"/>
          <w:lang w:val="en-US"/>
        </w:rPr>
        <w:t>Netherlands</w:t>
      </w:r>
      <w:r>
        <w:rPr>
          <w:rFonts w:eastAsia="Calibri"/>
          <w:lang w:val="en-US"/>
        </w:rPr>
        <w:t xml:space="preserve">: </w:t>
      </w:r>
      <w:r w:rsidRPr="00CF27FC">
        <w:rPr>
          <w:rFonts w:eastAsia="Calibri"/>
          <w:lang w:val="en-US"/>
        </w:rPr>
        <w:t>80 delegates</w:t>
      </w:r>
      <w:r w:rsidRPr="00CF27FC" w:rsidDel="00103118">
        <w:rPr>
          <w:rFonts w:eastAsia="Calibri"/>
          <w:lang w:val="en-US"/>
        </w:rPr>
        <w:t xml:space="preserve"> </w:t>
      </w:r>
      <w:r w:rsidRPr="00CF27FC">
        <w:rPr>
          <w:rFonts w:eastAsia="Calibri"/>
          <w:lang w:val="en-US"/>
        </w:rPr>
        <w:t>from 30 countries</w:t>
      </w:r>
      <w:r>
        <w:rPr>
          <w:rFonts w:eastAsia="Calibri"/>
          <w:lang w:val="en-US"/>
        </w:rPr>
        <w:t xml:space="preserve"> participated</w:t>
      </w:r>
      <w:r w:rsidRPr="00A41EFE">
        <w:rPr>
          <w:rFonts w:eastAsia="Calibri"/>
          <w:lang w:val="en-US"/>
        </w:rPr>
        <w:t>. The 2018 edition is scheduled to take place in Portugal in autumn. Oversight authorities of several countries are increasingly co-owners of the process, and are working towards the identification of issues and remedies in intelligence oversight as a collective international concern, responding to a latent need and leading to the adoption of best practices important for the protection of privacy</w:t>
      </w:r>
      <w:r w:rsidR="00CC0C1B">
        <w:rPr>
          <w:rFonts w:eastAsia="Calibri"/>
          <w:lang w:val="en-US"/>
        </w:rPr>
        <w:t>.</w:t>
      </w:r>
    </w:p>
    <w:p w:rsidR="000F59E5" w:rsidRDefault="000F59E5" w:rsidP="000F59E5">
      <w:pPr>
        <w:pStyle w:val="SingleTxtG"/>
        <w:rPr>
          <w:rFonts w:eastAsia="Calibri"/>
          <w:lang w:val="en-US"/>
        </w:rPr>
      </w:pPr>
      <w:r w:rsidRPr="00CF27FC">
        <w:rPr>
          <w:rFonts w:eastAsia="Calibri"/>
          <w:lang w:val="en-US"/>
        </w:rPr>
        <w:t>13.</w:t>
      </w:r>
      <w:r w:rsidRPr="00CF27FC">
        <w:rPr>
          <w:rFonts w:eastAsia="Calibri"/>
          <w:lang w:val="en-US"/>
        </w:rPr>
        <w:tab/>
      </w:r>
      <w:r w:rsidRPr="007943FA">
        <w:rPr>
          <w:rFonts w:eastAsia="Calibri"/>
          <w:lang w:val="en-US"/>
        </w:rPr>
        <w:t>I</w:t>
      </w:r>
      <w:r w:rsidRPr="00551F43">
        <w:rPr>
          <w:rFonts w:eastAsia="Calibri"/>
          <w:lang w:val="en-US"/>
        </w:rPr>
        <w:t>t</w:t>
      </w:r>
      <w:r>
        <w:rPr>
          <w:rFonts w:eastAsia="Calibri"/>
          <w:lang w:val="en-US"/>
        </w:rPr>
        <w:t xml:space="preserve"> is precisely the </w:t>
      </w:r>
      <w:r w:rsidRPr="00CF27FC">
        <w:rPr>
          <w:rFonts w:eastAsia="Calibri"/>
          <w:lang w:val="en-US"/>
        </w:rPr>
        <w:t xml:space="preserve">intersection of privacy with state security interests and surveillance in cyberspace </w:t>
      </w:r>
      <w:r>
        <w:rPr>
          <w:rFonts w:eastAsia="Calibri"/>
          <w:lang w:val="en-US"/>
        </w:rPr>
        <w:t xml:space="preserve">that </w:t>
      </w:r>
      <w:r w:rsidRPr="00CF27FC">
        <w:rPr>
          <w:rFonts w:eastAsia="Calibri"/>
          <w:lang w:val="en-US"/>
        </w:rPr>
        <w:t xml:space="preserve">led to the creation of the Special Rapporteur’s mandate in 2015 in the wake of the Snowden revelations ongoing since June 2013. </w:t>
      </w:r>
      <w:r>
        <w:rPr>
          <w:rFonts w:eastAsia="Calibri"/>
          <w:lang w:val="en-US"/>
        </w:rPr>
        <w:t xml:space="preserve">The Special Rapporteur shares the impressions of the Chair of the </w:t>
      </w:r>
      <w:r w:rsidRPr="00A1532C">
        <w:rPr>
          <w:rFonts w:eastAsia="Calibri"/>
          <w:lang w:val="en-US"/>
        </w:rPr>
        <w:t>United Nations Group of Governmental Experts on Developments in the Field of Information and Telecommunications in the Context of International Security (GGE)</w:t>
      </w:r>
      <w:r>
        <w:rPr>
          <w:rFonts w:eastAsia="Calibri"/>
          <w:lang w:val="en-US"/>
        </w:rPr>
        <w:t xml:space="preserve"> who, in October 2017 </w:t>
      </w:r>
      <w:r w:rsidRPr="0098298C">
        <w:rPr>
          <w:rFonts w:eastAsia="Calibri"/>
          <w:i/>
          <w:lang w:val="en-US"/>
        </w:rPr>
        <w:t>inter alia</w:t>
      </w:r>
      <w:r>
        <w:rPr>
          <w:rFonts w:eastAsia="Calibri"/>
          <w:lang w:val="en-US"/>
        </w:rPr>
        <w:t xml:space="preserve"> noted the following:</w:t>
      </w:r>
    </w:p>
    <w:p w:rsidR="000F59E5" w:rsidRPr="006467D7" w:rsidRDefault="000F59E5" w:rsidP="000F59E5">
      <w:pPr>
        <w:pStyle w:val="SingleTxtG"/>
        <w:ind w:left="1701"/>
        <w:rPr>
          <w:rFonts w:eastAsia="Calibri"/>
          <w:lang w:val="en-US"/>
        </w:rPr>
      </w:pPr>
      <w:r>
        <w:rPr>
          <w:rFonts w:eastAsia="Calibri"/>
          <w:lang w:val="en-US"/>
        </w:rPr>
        <w:t>“</w:t>
      </w:r>
      <w:r w:rsidRPr="006467D7">
        <w:rPr>
          <w:rFonts w:eastAsia="Calibri"/>
          <w:lang w:val="en-US"/>
        </w:rPr>
        <w:t xml:space="preserve">Recommendation by experts about “raising awareness about the link between international peace and security, human rights and development as it </w:t>
      </w:r>
      <w:r w:rsidR="005F31C0">
        <w:rPr>
          <w:rFonts w:eastAsia="Calibri"/>
          <w:lang w:val="en-US"/>
        </w:rPr>
        <w:t>applies to the ICT environment”.</w:t>
      </w:r>
    </w:p>
    <w:p w:rsidR="000F59E5" w:rsidRPr="006467D7" w:rsidRDefault="008424AA" w:rsidP="000F59E5">
      <w:pPr>
        <w:pStyle w:val="SingleTxtG"/>
        <w:ind w:left="1701"/>
        <w:rPr>
          <w:rFonts w:eastAsia="Calibri"/>
          <w:lang w:val="en-US"/>
        </w:rPr>
      </w:pPr>
      <w:r>
        <w:rPr>
          <w:rFonts w:eastAsia="Calibri"/>
          <w:lang w:val="en-US"/>
        </w:rPr>
        <w:t>“S</w:t>
      </w:r>
      <w:r w:rsidR="000F59E5" w:rsidRPr="006467D7">
        <w:rPr>
          <w:rFonts w:eastAsia="Calibri"/>
          <w:lang w:val="en-US"/>
        </w:rPr>
        <w:t>haring lessons and practices in countering the use of ICTs for terrorist and other criminal purposes, including on cooperation among States and between States and the private sector, to prevent and counter the use of ICTs for the purposes of recruitment and incitement to violence by terrorist and extremist groups, and for the financing, planning and preparation of their activities, and identifying where additional work might be needed. Experts stressed that in this States should consider their commitment to and respect for and protection of human rights and fundam</w:t>
      </w:r>
      <w:r w:rsidR="005F31C0">
        <w:rPr>
          <w:rFonts w:eastAsia="Calibri"/>
          <w:lang w:val="en-US"/>
        </w:rPr>
        <w:t xml:space="preserve">ental freedoms”. </w:t>
      </w:r>
    </w:p>
    <w:p w:rsidR="000F59E5" w:rsidRPr="006467D7" w:rsidRDefault="000F59E5" w:rsidP="000F59E5">
      <w:pPr>
        <w:pStyle w:val="SingleTxtG"/>
        <w:ind w:left="1701"/>
        <w:rPr>
          <w:rFonts w:eastAsia="Calibri"/>
          <w:lang w:val="en-US"/>
        </w:rPr>
      </w:pPr>
      <w:r w:rsidRPr="006467D7">
        <w:rPr>
          <w:rFonts w:eastAsia="Calibri"/>
          <w:lang w:val="en-US"/>
        </w:rPr>
        <w:t>Experts offered various recommendations to support implementation of the voluntary, non-binding norms for responsible State behavior presented in the 2015 GGE report (A/70/174) inter alia “States in ensuring the secure use of ICTs, should respect Human Rights Council resolution A/HRC/RES/20/8 and A/HRC/RES/26/13 (The promotion, protection and enjoyment of human rights on the Internet) as well as General Assembly resolutions A/RES/68/167 and A/RES 69/166 (The right to privacy in the digital age), to guarantee full respect for human rights including the right to freedom of expression” “Experts underscored that personal data held on, transmitted through or processed by ICTs can have a profound impact on life and security. States should take appropriate steps to protect personal data, including its confidentiality, integrity, accessibility and authenticity, while respecting relevant international, legal human rights instruments”</w:t>
      </w:r>
      <w:r w:rsidR="00CC0C1B">
        <w:rPr>
          <w:rFonts w:eastAsia="Calibri"/>
          <w:lang w:val="en-US"/>
        </w:rPr>
        <w:t>.</w:t>
      </w:r>
    </w:p>
    <w:p w:rsidR="000F59E5" w:rsidRDefault="000F59E5" w:rsidP="000F59E5">
      <w:pPr>
        <w:pStyle w:val="SingleTxtG"/>
        <w:rPr>
          <w:rFonts w:eastAsia="Calibri"/>
          <w:lang w:val="en-US"/>
        </w:rPr>
      </w:pPr>
      <w:r>
        <w:rPr>
          <w:rFonts w:eastAsia="Calibri"/>
          <w:lang w:val="en-US"/>
        </w:rPr>
        <w:t>14.</w:t>
      </w:r>
      <w:r>
        <w:rPr>
          <w:rFonts w:eastAsia="Calibri"/>
          <w:lang w:val="en-US"/>
        </w:rPr>
        <w:tab/>
        <w:t>Noting the failure of the GGE to reach a consensus on a final report, the Special Rapporteur submits that the need is greater than ever to achieve synergy between all actors at the international level whose mandates touch upon the use of information and communication technologies where these involve personal data.</w:t>
      </w:r>
    </w:p>
    <w:p w:rsidR="000F59E5" w:rsidRDefault="000F59E5" w:rsidP="000F59E5">
      <w:pPr>
        <w:pStyle w:val="SingleTxtG"/>
        <w:rPr>
          <w:rFonts w:eastAsia="Calibri"/>
          <w:lang w:val="en-US"/>
        </w:rPr>
      </w:pPr>
      <w:r>
        <w:rPr>
          <w:rFonts w:eastAsia="Calibri"/>
          <w:lang w:val="en-US"/>
        </w:rPr>
        <w:t>15.</w:t>
      </w:r>
      <w:r>
        <w:rPr>
          <w:rFonts w:eastAsia="Calibri"/>
          <w:lang w:val="en-US"/>
        </w:rPr>
        <w:tab/>
      </w:r>
      <w:r w:rsidRPr="00A1532C">
        <w:rPr>
          <w:rFonts w:eastAsia="Calibri"/>
          <w:lang w:val="en-US"/>
        </w:rPr>
        <w:t xml:space="preserve">The Special Rapporteur consistently maintains that </w:t>
      </w:r>
      <w:proofErr w:type="spellStart"/>
      <w:r w:rsidRPr="00A1532C">
        <w:rPr>
          <w:rFonts w:eastAsia="Calibri"/>
          <w:lang w:val="en-US"/>
        </w:rPr>
        <w:t>cyberpeace</w:t>
      </w:r>
      <w:proofErr w:type="spellEnd"/>
      <w:r w:rsidRPr="00A1532C">
        <w:rPr>
          <w:rFonts w:eastAsia="Calibri"/>
          <w:lang w:val="en-US"/>
        </w:rPr>
        <w:t xml:space="preserve"> depends on </w:t>
      </w:r>
      <w:r>
        <w:rPr>
          <w:rFonts w:eastAsia="Calibri"/>
          <w:lang w:val="en-US"/>
        </w:rPr>
        <w:t xml:space="preserve">States’ willingness and </w:t>
      </w:r>
      <w:r w:rsidRPr="00A1532C">
        <w:rPr>
          <w:rFonts w:eastAsia="Calibri"/>
          <w:lang w:val="en-US"/>
        </w:rPr>
        <w:t>ability to achieve synergy between</w:t>
      </w:r>
      <w:r>
        <w:rPr>
          <w:rFonts w:eastAsia="Calibri"/>
          <w:lang w:val="en-US"/>
        </w:rPr>
        <w:t xml:space="preserve"> </w:t>
      </w:r>
      <w:r w:rsidRPr="00A1532C">
        <w:rPr>
          <w:rFonts w:eastAsia="Calibri"/>
          <w:lang w:val="en-US"/>
        </w:rPr>
        <w:t>security</w:t>
      </w:r>
      <w:r>
        <w:rPr>
          <w:rFonts w:eastAsia="Calibri"/>
          <w:lang w:val="en-US"/>
        </w:rPr>
        <w:t xml:space="preserve"> interests</w:t>
      </w:r>
      <w:r w:rsidRPr="00A1532C">
        <w:rPr>
          <w:rFonts w:eastAsia="Calibri"/>
          <w:lang w:val="en-US"/>
        </w:rPr>
        <w:t xml:space="preserve"> </w:t>
      </w:r>
      <w:r>
        <w:rPr>
          <w:rFonts w:eastAsia="Calibri"/>
          <w:lang w:val="en-US"/>
        </w:rPr>
        <w:t xml:space="preserve">and privacy </w:t>
      </w:r>
      <w:r w:rsidRPr="00A1532C">
        <w:rPr>
          <w:rFonts w:eastAsia="Calibri"/>
          <w:lang w:val="en-US"/>
        </w:rPr>
        <w:t>in cyberspace</w:t>
      </w:r>
      <w:r>
        <w:rPr>
          <w:rFonts w:eastAsia="Calibri"/>
          <w:lang w:val="en-US"/>
        </w:rPr>
        <w:t>. A</w:t>
      </w:r>
      <w:r w:rsidRPr="00A1532C">
        <w:rPr>
          <w:rFonts w:eastAsia="Calibri"/>
          <w:lang w:val="en-US"/>
        </w:rPr>
        <w:t xml:space="preserve">voidance of cyberwar must </w:t>
      </w:r>
      <w:r>
        <w:rPr>
          <w:rFonts w:eastAsia="Calibri"/>
          <w:lang w:val="en-US"/>
        </w:rPr>
        <w:t xml:space="preserve">therefore </w:t>
      </w:r>
      <w:r w:rsidRPr="00A1532C">
        <w:rPr>
          <w:rFonts w:eastAsia="Calibri"/>
          <w:lang w:val="en-US"/>
        </w:rPr>
        <w:t xml:space="preserve">also contemplate measures to limit surveillance and other privacy-intrusive measures in cyberspace. </w:t>
      </w:r>
      <w:r>
        <w:rPr>
          <w:rFonts w:eastAsia="Calibri"/>
          <w:lang w:val="en-US"/>
        </w:rPr>
        <w:t xml:space="preserve">As part of an effort to explore options for such measures, </w:t>
      </w:r>
      <w:r w:rsidRPr="002D5B79">
        <w:rPr>
          <w:rFonts w:eastAsia="Calibri"/>
          <w:lang w:val="en-US"/>
        </w:rPr>
        <w:t xml:space="preserve">in synergy with the </w:t>
      </w:r>
      <w:r>
        <w:rPr>
          <w:rFonts w:eastAsia="Calibri"/>
          <w:lang w:val="en-US"/>
        </w:rPr>
        <w:t>European Union-</w:t>
      </w:r>
      <w:r w:rsidRPr="002D5B79">
        <w:rPr>
          <w:rFonts w:eastAsia="Calibri"/>
          <w:lang w:val="en-US"/>
        </w:rPr>
        <w:t xml:space="preserve">supported MAPPING </w:t>
      </w:r>
      <w:r>
        <w:rPr>
          <w:rFonts w:eastAsia="Calibri"/>
          <w:lang w:val="en-US"/>
        </w:rPr>
        <w:t>(</w:t>
      </w:r>
      <w:r w:rsidRPr="00EA6722">
        <w:rPr>
          <w:rFonts w:eastAsia="Calibri"/>
          <w:lang w:val="en-US"/>
        </w:rPr>
        <w:t>Managing Alternatives for Privacy, Property and Internet Governance</w:t>
      </w:r>
      <w:r>
        <w:rPr>
          <w:rFonts w:eastAsia="Calibri"/>
          <w:lang w:val="en-US"/>
        </w:rPr>
        <w:t xml:space="preserve">) </w:t>
      </w:r>
      <w:r w:rsidRPr="002D5B79">
        <w:rPr>
          <w:rFonts w:eastAsia="Calibri"/>
          <w:lang w:val="en-US"/>
        </w:rPr>
        <w:t>project</w:t>
      </w:r>
      <w:r w:rsidRPr="00E10F44">
        <w:rPr>
          <w:rStyle w:val="FootnoteReference"/>
          <w:rFonts w:eastAsia="Calibri"/>
          <w:lang w:val="en-US"/>
        </w:rPr>
        <w:footnoteReference w:id="9"/>
      </w:r>
      <w:r w:rsidRPr="002D5B79">
        <w:rPr>
          <w:rFonts w:eastAsia="Calibri"/>
          <w:lang w:val="en-US"/>
        </w:rPr>
        <w:t xml:space="preserve">, the Special Rapporteur has explored options for a draft legal instrument on surveillance and privacy to </w:t>
      </w:r>
      <w:r w:rsidRPr="002D5B79">
        <w:t xml:space="preserve">strengthen standards and create protection mechanisms to address </w:t>
      </w:r>
      <w:r w:rsidRPr="002D5B79">
        <w:rPr>
          <w:rFonts w:eastAsia="Calibri"/>
          <w:lang w:val="en-US"/>
        </w:rPr>
        <w:t>massive infringements of the privacy of people around the world.</w:t>
      </w:r>
    </w:p>
    <w:p w:rsidR="000F59E5" w:rsidRPr="008B784C" w:rsidRDefault="000F59E5" w:rsidP="000F59E5">
      <w:pPr>
        <w:pStyle w:val="SingleTxtG"/>
        <w:rPr>
          <w:rFonts w:eastAsia="Calibri"/>
          <w:lang w:val="en-US"/>
        </w:rPr>
      </w:pPr>
      <w:r>
        <w:rPr>
          <w:rFonts w:eastAsia="Calibri"/>
          <w:lang w:val="en-US"/>
        </w:rPr>
        <w:t>16</w:t>
      </w:r>
      <w:r w:rsidRPr="008B784C">
        <w:rPr>
          <w:rFonts w:eastAsia="Calibri"/>
          <w:lang w:val="en-US"/>
        </w:rPr>
        <w:t>.</w:t>
      </w:r>
      <w:r w:rsidRPr="008B784C">
        <w:rPr>
          <w:rFonts w:eastAsia="Calibri"/>
          <w:lang w:val="en-US"/>
        </w:rPr>
        <w:tab/>
        <w:t xml:space="preserve">The discussion and adoption of a legal instrument on surveillance and privacy within the United Nations could simultaneously achieve two main purposes by providing States: </w:t>
      </w:r>
    </w:p>
    <w:p w:rsidR="000F59E5" w:rsidRPr="008B784C" w:rsidRDefault="00F154FA" w:rsidP="00012D0C">
      <w:pPr>
        <w:pStyle w:val="SingleTxtG"/>
        <w:ind w:firstLine="567"/>
        <w:rPr>
          <w:rFonts w:eastAsia="Calibri"/>
          <w:lang w:val="en-US"/>
        </w:rPr>
      </w:pPr>
      <w:r>
        <w:rPr>
          <w:rFonts w:eastAsia="Calibri"/>
          <w:lang w:val="en-US"/>
        </w:rPr>
        <w:t>(a)</w:t>
      </w:r>
      <w:r w:rsidR="000F59E5">
        <w:rPr>
          <w:rFonts w:eastAsia="Calibri"/>
          <w:lang w:val="en-US"/>
        </w:rPr>
        <w:tab/>
      </w:r>
      <w:r w:rsidR="00C33A82">
        <w:rPr>
          <w:rFonts w:eastAsia="Calibri"/>
          <w:lang w:val="en-US"/>
        </w:rPr>
        <w:t>A</w:t>
      </w:r>
      <w:r w:rsidR="000F59E5" w:rsidRPr="008B784C">
        <w:rPr>
          <w:rFonts w:eastAsia="Calibri"/>
          <w:lang w:val="en-US"/>
        </w:rPr>
        <w:t xml:space="preserve"> set of principles and model provisions for their integration into national legislations embodying and enforcing the highest principles of international human rights law, especially the right to privacy, when it comes to surveillance; </w:t>
      </w:r>
      <w:r w:rsidR="000F59E5" w:rsidRPr="008B784C">
        <w:rPr>
          <w:rFonts w:ascii="MS Gothic" w:eastAsia="MS Gothic" w:hAnsi="MS Gothic" w:cs="MS Gothic"/>
          <w:lang w:val="en-US"/>
        </w:rPr>
        <w:t> </w:t>
      </w:r>
    </w:p>
    <w:p w:rsidR="000F59E5" w:rsidRPr="00F21F9E" w:rsidRDefault="00F154FA" w:rsidP="00012D0C">
      <w:pPr>
        <w:pStyle w:val="SingleTxtG"/>
        <w:ind w:firstLine="567"/>
        <w:rPr>
          <w:rFonts w:eastAsia="Calibri"/>
          <w:lang w:val="en-US"/>
        </w:rPr>
      </w:pPr>
      <w:r>
        <w:rPr>
          <w:rFonts w:eastAsia="Calibri"/>
          <w:lang w:val="en-US"/>
        </w:rPr>
        <w:t>(b)</w:t>
      </w:r>
      <w:r w:rsidR="000F59E5">
        <w:rPr>
          <w:rFonts w:eastAsia="Calibri"/>
          <w:lang w:val="en-US"/>
        </w:rPr>
        <w:tab/>
      </w:r>
      <w:r w:rsidR="00C33A82">
        <w:rPr>
          <w:rFonts w:eastAsia="Calibri"/>
          <w:lang w:val="en-US"/>
        </w:rPr>
        <w:t>A</w:t>
      </w:r>
      <w:r w:rsidR="000F59E5" w:rsidRPr="008B784C">
        <w:rPr>
          <w:rFonts w:eastAsia="Calibri"/>
          <w:lang w:val="en-US"/>
        </w:rPr>
        <w:t xml:space="preserve"> number of options</w:t>
      </w:r>
      <w:r w:rsidR="000F59E5">
        <w:rPr>
          <w:rFonts w:eastAsia="Calibri"/>
          <w:lang w:val="en-US"/>
        </w:rPr>
        <w:t xml:space="preserve">, based on international best practices, to balance security interests and concerns </w:t>
      </w:r>
      <w:r w:rsidR="000F59E5" w:rsidRPr="00012D0C">
        <w:rPr>
          <w:rFonts w:eastAsia="Calibri"/>
        </w:rPr>
        <w:t>about</w:t>
      </w:r>
      <w:r w:rsidR="000F59E5">
        <w:rPr>
          <w:rFonts w:eastAsia="Calibri"/>
          <w:lang w:val="en-US"/>
        </w:rPr>
        <w:t xml:space="preserve"> surveillance with the protection of the right to privacy. </w:t>
      </w:r>
    </w:p>
    <w:p w:rsidR="000F59E5" w:rsidRPr="00035E55" w:rsidRDefault="000F59E5" w:rsidP="000F59E5">
      <w:pPr>
        <w:pStyle w:val="SingleTxtG"/>
        <w:rPr>
          <w:rFonts w:eastAsia="Calibri"/>
          <w:lang w:val="en-US"/>
        </w:rPr>
      </w:pPr>
      <w:r>
        <w:rPr>
          <w:rFonts w:eastAsia="Calibri"/>
          <w:lang w:val="en-US"/>
        </w:rPr>
        <w:t>17</w:t>
      </w:r>
      <w:r w:rsidRPr="00F21F9E">
        <w:rPr>
          <w:rFonts w:eastAsia="Calibri"/>
          <w:lang w:val="en-US"/>
        </w:rPr>
        <w:t>.</w:t>
      </w:r>
      <w:r w:rsidRPr="00F21F9E">
        <w:rPr>
          <w:rFonts w:eastAsia="Calibri"/>
          <w:lang w:val="en-US"/>
        </w:rPr>
        <w:tab/>
      </w:r>
      <w:r w:rsidRPr="00035E55">
        <w:rPr>
          <w:rFonts w:eastAsia="Calibri"/>
          <w:lang w:val="en-US"/>
        </w:rPr>
        <w:t>An instrument of some form is necessary, whether as soft law in the form of a recommendation or even</w:t>
      </w:r>
      <w:r>
        <w:rPr>
          <w:rFonts w:eastAsia="Calibri"/>
          <w:lang w:val="en-US"/>
        </w:rPr>
        <w:t xml:space="preserve">, and more appropriately, given current states practice, </w:t>
      </w:r>
      <w:r w:rsidRPr="00035E55">
        <w:rPr>
          <w:rFonts w:eastAsia="Calibri"/>
          <w:lang w:val="en-US"/>
        </w:rPr>
        <w:t xml:space="preserve">as hard law as an international multilateral treaty. The Special Rapporteur’s work to date has been very successful – particularly given the challenges involved, but it is not yet of a maturity where I can confidently assure the Human Rights Council that </w:t>
      </w:r>
      <w:r>
        <w:rPr>
          <w:rFonts w:eastAsia="Calibri"/>
          <w:lang w:val="en-US"/>
        </w:rPr>
        <w:t>the instrument</w:t>
      </w:r>
      <w:r w:rsidRPr="00035E55">
        <w:rPr>
          <w:rFonts w:eastAsia="Calibri"/>
          <w:lang w:val="en-US"/>
        </w:rPr>
        <w:t xml:space="preserve"> has unanimous or even majority support of States. Despite the pressing need for such a legal instrument, timing issues need to be </w:t>
      </w:r>
      <w:r>
        <w:rPr>
          <w:rFonts w:eastAsia="Calibri"/>
          <w:lang w:val="en-US"/>
        </w:rPr>
        <w:t>accommodated</w:t>
      </w:r>
      <w:r w:rsidRPr="00035E55">
        <w:rPr>
          <w:rFonts w:eastAsia="Calibri"/>
          <w:lang w:val="en-US"/>
        </w:rPr>
        <w:t>.</w:t>
      </w:r>
    </w:p>
    <w:p w:rsidR="000F59E5" w:rsidRPr="00035E55" w:rsidRDefault="002056C1" w:rsidP="000F59E5">
      <w:pPr>
        <w:pStyle w:val="H23G"/>
        <w:rPr>
          <w:rFonts w:eastAsia="Calibri"/>
          <w:lang w:val="en-US"/>
        </w:rPr>
      </w:pPr>
      <w:r>
        <w:rPr>
          <w:rFonts w:eastAsia="Calibri"/>
          <w:lang w:val="en-US"/>
        </w:rPr>
        <w:tab/>
        <w:t>(b)</w:t>
      </w:r>
      <w:r w:rsidR="000F59E5">
        <w:rPr>
          <w:rFonts w:eastAsia="Calibri"/>
          <w:lang w:val="en-US"/>
        </w:rPr>
        <w:tab/>
      </w:r>
      <w:r w:rsidR="000F59E5" w:rsidRPr="00035E55">
        <w:rPr>
          <w:rFonts w:eastAsia="Calibri"/>
          <w:lang w:val="en-US"/>
        </w:rPr>
        <w:t>Big Data - Open Data</w:t>
      </w:r>
    </w:p>
    <w:p w:rsidR="000F59E5" w:rsidRPr="00035E55" w:rsidRDefault="000F59E5" w:rsidP="000F59E5">
      <w:pPr>
        <w:pStyle w:val="SingleTxtG"/>
        <w:rPr>
          <w:rFonts w:eastAsia="Calibri"/>
          <w:lang w:val="en-US"/>
        </w:rPr>
      </w:pPr>
      <w:r>
        <w:rPr>
          <w:rFonts w:eastAsia="Calibri"/>
          <w:lang w:val="en-US"/>
        </w:rPr>
        <w:t>18</w:t>
      </w:r>
      <w:r w:rsidRPr="00035E55">
        <w:rPr>
          <w:rFonts w:eastAsia="Calibri"/>
          <w:lang w:val="en-US"/>
        </w:rPr>
        <w:t>.</w:t>
      </w:r>
      <w:r w:rsidRPr="00035E55">
        <w:rPr>
          <w:rFonts w:eastAsia="Calibri"/>
          <w:lang w:val="en-US"/>
        </w:rPr>
        <w:tab/>
        <w:t>The Special Rapporteur’s report on Big Data – Open Data was presented to the United Nations General Assembly in October 2017 as an introductory study identifying key issues</w:t>
      </w:r>
      <w:r>
        <w:rPr>
          <w:rFonts w:eastAsia="Calibri"/>
          <w:lang w:val="en-US"/>
        </w:rPr>
        <w:t>.</w:t>
      </w:r>
      <w:r w:rsidRPr="00035E55">
        <w:rPr>
          <w:rFonts w:eastAsia="Calibri"/>
          <w:lang w:val="en-US"/>
        </w:rPr>
        <w:t xml:space="preserve"> </w:t>
      </w:r>
      <w:r>
        <w:rPr>
          <w:rFonts w:eastAsia="Calibri"/>
          <w:lang w:val="en-US"/>
        </w:rPr>
        <w:t>The</w:t>
      </w:r>
      <w:r w:rsidRPr="00035E55">
        <w:rPr>
          <w:rFonts w:eastAsia="Calibri"/>
          <w:lang w:val="en-US"/>
        </w:rPr>
        <w:t xml:space="preserve"> preliminary recommendations</w:t>
      </w:r>
      <w:r>
        <w:rPr>
          <w:rFonts w:eastAsia="Calibri"/>
          <w:lang w:val="en-US"/>
        </w:rPr>
        <w:t xml:space="preserve"> </w:t>
      </w:r>
      <w:r w:rsidRPr="00035E55">
        <w:rPr>
          <w:rFonts w:eastAsia="Calibri"/>
          <w:lang w:val="en-US"/>
        </w:rPr>
        <w:t>address:</w:t>
      </w:r>
    </w:p>
    <w:p w:rsidR="000F59E5" w:rsidRPr="00035E55" w:rsidRDefault="006A12FC" w:rsidP="00012D0C">
      <w:pPr>
        <w:pStyle w:val="SingleTxtG"/>
        <w:ind w:firstLine="567"/>
        <w:rPr>
          <w:rFonts w:eastAsia="Calibri"/>
          <w:lang w:val="en-US"/>
        </w:rPr>
      </w:pPr>
      <w:r>
        <w:rPr>
          <w:rFonts w:eastAsia="Calibri"/>
          <w:lang w:val="en-US"/>
        </w:rPr>
        <w:t>(a)</w:t>
      </w:r>
      <w:r w:rsidR="000F59E5">
        <w:rPr>
          <w:rFonts w:eastAsia="Calibri"/>
          <w:lang w:val="en-US"/>
        </w:rPr>
        <w:tab/>
      </w:r>
      <w:r>
        <w:rPr>
          <w:rFonts w:eastAsia="Calibri"/>
          <w:lang w:val="en-US"/>
        </w:rPr>
        <w:t>G</w:t>
      </w:r>
      <w:r w:rsidR="000F59E5" w:rsidRPr="00035E55">
        <w:rPr>
          <w:rFonts w:eastAsia="Calibri"/>
          <w:lang w:val="en-US"/>
        </w:rPr>
        <w:t>overnance, regulation, research and consultation with civil society organizations</w:t>
      </w:r>
      <w:r w:rsidR="00F523C9">
        <w:rPr>
          <w:rFonts w:eastAsia="Calibri"/>
          <w:lang w:val="en-US"/>
        </w:rPr>
        <w:t>;</w:t>
      </w:r>
    </w:p>
    <w:p w:rsidR="000F59E5" w:rsidRPr="00035E55" w:rsidRDefault="006A12FC" w:rsidP="00012D0C">
      <w:pPr>
        <w:pStyle w:val="SingleTxtG"/>
        <w:ind w:firstLine="567"/>
        <w:rPr>
          <w:rFonts w:eastAsia="Calibri"/>
          <w:lang w:val="en-US"/>
        </w:rPr>
      </w:pPr>
      <w:r>
        <w:rPr>
          <w:rFonts w:eastAsia="Calibri"/>
          <w:lang w:val="en-US"/>
        </w:rPr>
        <w:t>(b)</w:t>
      </w:r>
      <w:r w:rsidR="000F59E5">
        <w:rPr>
          <w:rFonts w:eastAsia="Calibri"/>
          <w:lang w:val="en-US"/>
        </w:rPr>
        <w:tab/>
      </w:r>
      <w:r>
        <w:rPr>
          <w:rFonts w:eastAsia="Calibri"/>
          <w:lang w:val="en-US"/>
        </w:rPr>
        <w:t>L</w:t>
      </w:r>
      <w:r w:rsidR="000F59E5" w:rsidRPr="00035E55">
        <w:rPr>
          <w:rFonts w:eastAsia="Calibri"/>
          <w:lang w:val="en-US"/>
        </w:rPr>
        <w:t>imits to using personal information based on international standards and principles</w:t>
      </w:r>
      <w:r w:rsidR="000F59E5">
        <w:rPr>
          <w:rFonts w:eastAsia="Calibri"/>
          <w:lang w:val="en-US"/>
        </w:rPr>
        <w:t>,</w:t>
      </w:r>
      <w:r w:rsidR="000F59E5" w:rsidRPr="00035E55">
        <w:rPr>
          <w:rFonts w:eastAsia="Calibri"/>
          <w:lang w:val="en-US"/>
        </w:rPr>
        <w:t xml:space="preserve"> including an exempt ca</w:t>
      </w:r>
      <w:r w:rsidR="00F523C9">
        <w:rPr>
          <w:rFonts w:eastAsia="Calibri"/>
          <w:lang w:val="en-US"/>
        </w:rPr>
        <w:t>tegory for personal information;</w:t>
      </w:r>
    </w:p>
    <w:p w:rsidR="000F59E5" w:rsidRPr="00035E55" w:rsidRDefault="000F59E5" w:rsidP="00012D0C">
      <w:pPr>
        <w:pStyle w:val="SingleTxtG"/>
        <w:ind w:firstLine="567"/>
        <w:rPr>
          <w:rFonts w:eastAsia="Calibri"/>
          <w:lang w:val="en-US"/>
        </w:rPr>
      </w:pPr>
      <w:r w:rsidRPr="00035E55">
        <w:rPr>
          <w:rFonts w:eastAsia="Calibri"/>
          <w:lang w:val="en-US"/>
        </w:rPr>
        <w:t>(c)</w:t>
      </w:r>
      <w:r>
        <w:rPr>
          <w:rFonts w:eastAsia="Calibri"/>
          <w:lang w:val="en-US"/>
        </w:rPr>
        <w:tab/>
      </w:r>
      <w:r w:rsidR="006A12FC">
        <w:rPr>
          <w:rFonts w:eastAsia="Calibri"/>
          <w:lang w:val="en-US"/>
        </w:rPr>
        <w:t>R</w:t>
      </w:r>
      <w:r w:rsidRPr="00035E55">
        <w:rPr>
          <w:rFonts w:eastAsia="Calibri"/>
          <w:lang w:val="en-US"/>
        </w:rPr>
        <w:t>obust enforcement mechanisms</w:t>
      </w:r>
      <w:r w:rsidR="00F523C9">
        <w:rPr>
          <w:rFonts w:eastAsia="Calibri"/>
          <w:lang w:val="en-US"/>
        </w:rPr>
        <w:t>;</w:t>
      </w:r>
    </w:p>
    <w:p w:rsidR="000F59E5" w:rsidRPr="00035E55" w:rsidRDefault="006A12FC" w:rsidP="00012D0C">
      <w:pPr>
        <w:pStyle w:val="SingleTxtG"/>
        <w:ind w:firstLine="567"/>
        <w:rPr>
          <w:rFonts w:eastAsia="Calibri"/>
          <w:lang w:val="en-US"/>
        </w:rPr>
      </w:pPr>
      <w:r>
        <w:rPr>
          <w:rFonts w:eastAsia="Calibri"/>
          <w:lang w:val="en-US"/>
        </w:rPr>
        <w:t>(d)</w:t>
      </w:r>
      <w:r w:rsidR="000F59E5">
        <w:rPr>
          <w:rFonts w:eastAsia="Calibri"/>
          <w:lang w:val="en-US"/>
        </w:rPr>
        <w:tab/>
      </w:r>
      <w:r>
        <w:rPr>
          <w:rFonts w:eastAsia="Calibri"/>
          <w:lang w:val="en-US"/>
        </w:rPr>
        <w:t>R</w:t>
      </w:r>
      <w:r w:rsidR="000F59E5" w:rsidRPr="00035E55">
        <w:rPr>
          <w:rFonts w:eastAsia="Calibri"/>
          <w:lang w:val="en-US"/>
        </w:rPr>
        <w:t>equirements for a rigorous, public, scientific analysis of the data privacy protections includi</w:t>
      </w:r>
      <w:r w:rsidR="00F523C9">
        <w:rPr>
          <w:rFonts w:eastAsia="Calibri"/>
          <w:lang w:val="en-US"/>
        </w:rPr>
        <w:t xml:space="preserve">ng a privacy impact assessment; </w:t>
      </w:r>
      <w:r w:rsidR="000F59E5" w:rsidRPr="00035E55">
        <w:rPr>
          <w:rFonts w:eastAsia="Calibri"/>
          <w:lang w:val="en-US"/>
        </w:rPr>
        <w:t xml:space="preserve">and </w:t>
      </w:r>
    </w:p>
    <w:p w:rsidR="000F59E5" w:rsidRPr="00035E55" w:rsidRDefault="006A12FC" w:rsidP="00012D0C">
      <w:pPr>
        <w:pStyle w:val="SingleTxtG"/>
        <w:ind w:firstLine="567"/>
        <w:rPr>
          <w:rFonts w:eastAsia="Calibri"/>
          <w:lang w:val="en-US"/>
        </w:rPr>
      </w:pPr>
      <w:r>
        <w:rPr>
          <w:rFonts w:eastAsia="Calibri"/>
          <w:lang w:val="en-US"/>
        </w:rPr>
        <w:t>(e)</w:t>
      </w:r>
      <w:r w:rsidR="000F59E5">
        <w:rPr>
          <w:rFonts w:eastAsia="Calibri"/>
          <w:lang w:val="en-US"/>
        </w:rPr>
        <w:tab/>
      </w:r>
      <w:r w:rsidR="000F59E5" w:rsidRPr="00035E55">
        <w:rPr>
          <w:rFonts w:eastAsia="Calibri"/>
          <w:lang w:val="en-US"/>
        </w:rPr>
        <w:t xml:space="preserve">Governments and corporations actively support the creation and use of privacy-enhancing technologies. </w:t>
      </w:r>
    </w:p>
    <w:p w:rsidR="000F59E5" w:rsidRPr="00035E55" w:rsidRDefault="000F59E5" w:rsidP="000F59E5">
      <w:pPr>
        <w:pStyle w:val="SingleTxtG"/>
        <w:rPr>
          <w:rFonts w:eastAsia="Calibri"/>
          <w:lang w:val="en-US"/>
        </w:rPr>
      </w:pPr>
      <w:r>
        <w:rPr>
          <w:rFonts w:eastAsia="Calibri"/>
          <w:lang w:val="en-US"/>
        </w:rPr>
        <w:t>19</w:t>
      </w:r>
      <w:r w:rsidRPr="00035E55">
        <w:rPr>
          <w:rFonts w:eastAsia="Calibri"/>
          <w:lang w:val="en-US"/>
        </w:rPr>
        <w:t>.</w:t>
      </w:r>
      <w:r w:rsidRPr="00035E55">
        <w:rPr>
          <w:rFonts w:eastAsia="Calibri"/>
          <w:lang w:val="en-US"/>
        </w:rPr>
        <w:tab/>
        <w:t>Consultation is underway with a call for submissions closing 28 April</w:t>
      </w:r>
      <w:r>
        <w:rPr>
          <w:rFonts w:eastAsia="Calibri"/>
          <w:lang w:val="en-US"/>
        </w:rPr>
        <w:t xml:space="preserve"> 2018</w:t>
      </w:r>
      <w:r w:rsidRPr="00035E55">
        <w:rPr>
          <w:rFonts w:eastAsia="Calibri"/>
          <w:lang w:val="en-US"/>
        </w:rPr>
        <w:t xml:space="preserve">, and a public consultation event scheduled for July 2018. Ongoing work will address: </w:t>
      </w:r>
    </w:p>
    <w:p w:rsidR="000F59E5" w:rsidRPr="00035E55" w:rsidRDefault="00C33A82" w:rsidP="000F59E5">
      <w:pPr>
        <w:pStyle w:val="SingleTxtG"/>
        <w:ind w:left="1701"/>
        <w:rPr>
          <w:rFonts w:eastAsia="Calibri"/>
          <w:lang w:val="en-US"/>
        </w:rPr>
      </w:pPr>
      <w:r>
        <w:rPr>
          <w:rFonts w:eastAsia="Calibri"/>
          <w:lang w:val="en-US"/>
        </w:rPr>
        <w:t>(a)</w:t>
      </w:r>
      <w:r w:rsidR="000F59E5">
        <w:rPr>
          <w:rFonts w:eastAsia="Calibri"/>
          <w:lang w:val="en-US"/>
        </w:rPr>
        <w:tab/>
      </w:r>
      <w:r>
        <w:rPr>
          <w:rFonts w:eastAsia="Calibri"/>
          <w:lang w:val="en-US"/>
        </w:rPr>
        <w:t>P</w:t>
      </w:r>
      <w:r w:rsidR="000F59E5" w:rsidRPr="00035E55">
        <w:rPr>
          <w:rFonts w:eastAsia="Calibri"/>
          <w:lang w:val="en-US"/>
        </w:rPr>
        <w:t>rinciples for guidance and pro</w:t>
      </w:r>
      <w:r w:rsidR="000F59E5">
        <w:rPr>
          <w:rFonts w:eastAsia="Calibri"/>
          <w:lang w:val="en-US"/>
        </w:rPr>
        <w:t>tection</w:t>
      </w:r>
      <w:r w:rsidR="000F59E5" w:rsidRPr="00035E55">
        <w:rPr>
          <w:rFonts w:eastAsia="Calibri"/>
          <w:lang w:val="en-US"/>
        </w:rPr>
        <w:t xml:space="preserve"> of privacy in the Big Data </w:t>
      </w:r>
      <w:r w:rsidR="000F59E5">
        <w:rPr>
          <w:rFonts w:eastAsia="Calibri"/>
          <w:lang w:val="en-US"/>
        </w:rPr>
        <w:t>context</w:t>
      </w:r>
      <w:r w:rsidR="004B6268">
        <w:rPr>
          <w:rFonts w:eastAsia="Calibri"/>
          <w:lang w:val="en-US"/>
        </w:rPr>
        <w:t>;</w:t>
      </w:r>
    </w:p>
    <w:p w:rsidR="000F59E5" w:rsidRPr="00035E55" w:rsidRDefault="00C33A82" w:rsidP="000F59E5">
      <w:pPr>
        <w:pStyle w:val="SingleTxtG"/>
        <w:ind w:left="1701"/>
        <w:rPr>
          <w:rFonts w:eastAsia="Calibri"/>
          <w:lang w:val="en-US"/>
        </w:rPr>
      </w:pPr>
      <w:r>
        <w:rPr>
          <w:rFonts w:eastAsia="Calibri"/>
          <w:lang w:val="en-US"/>
        </w:rPr>
        <w:t>(b)</w:t>
      </w:r>
      <w:r w:rsidR="000F59E5">
        <w:rPr>
          <w:rFonts w:eastAsia="Calibri"/>
          <w:lang w:val="en-US"/>
        </w:rPr>
        <w:tab/>
      </w:r>
      <w:r>
        <w:rPr>
          <w:rFonts w:eastAsia="Calibri"/>
          <w:lang w:val="en-US"/>
        </w:rPr>
        <w:t>C</w:t>
      </w:r>
      <w:r w:rsidR="000F59E5" w:rsidRPr="00035E55">
        <w:rPr>
          <w:rFonts w:eastAsia="Calibri"/>
          <w:lang w:val="en-US"/>
        </w:rPr>
        <w:t>onsultation on the report and the</w:t>
      </w:r>
      <w:r w:rsidR="004B6268">
        <w:rPr>
          <w:rFonts w:eastAsia="Calibri"/>
          <w:lang w:val="en-US"/>
        </w:rPr>
        <w:t xml:space="preserve"> privacy challenges of Big Data;</w:t>
      </w:r>
    </w:p>
    <w:p w:rsidR="000F59E5" w:rsidRPr="00035E55" w:rsidRDefault="00C33A82" w:rsidP="000F59E5">
      <w:pPr>
        <w:pStyle w:val="SingleTxtG"/>
        <w:ind w:left="1701"/>
        <w:rPr>
          <w:rFonts w:eastAsia="Calibri"/>
          <w:lang w:val="en-US"/>
        </w:rPr>
      </w:pPr>
      <w:r>
        <w:rPr>
          <w:rFonts w:eastAsia="Calibri"/>
          <w:lang w:val="en-US"/>
        </w:rPr>
        <w:t>(c)</w:t>
      </w:r>
      <w:r w:rsidR="000F59E5">
        <w:rPr>
          <w:rFonts w:eastAsia="Calibri"/>
          <w:lang w:val="en-US"/>
        </w:rPr>
        <w:tab/>
      </w:r>
      <w:r>
        <w:rPr>
          <w:rFonts w:eastAsia="Calibri"/>
          <w:lang w:val="en-US"/>
        </w:rPr>
        <w:t>F</w:t>
      </w:r>
      <w:r w:rsidR="000F59E5" w:rsidRPr="00035E55">
        <w:rPr>
          <w:rFonts w:eastAsia="Calibri"/>
          <w:lang w:val="en-US"/>
        </w:rPr>
        <w:t>acilitation of research on de-identification</w:t>
      </w:r>
      <w:r w:rsidR="004B6268">
        <w:rPr>
          <w:rFonts w:eastAsia="Calibri"/>
          <w:lang w:val="en-US"/>
        </w:rPr>
        <w:t>;</w:t>
      </w:r>
    </w:p>
    <w:p w:rsidR="000F59E5" w:rsidRPr="00035E55" w:rsidRDefault="00C33A82" w:rsidP="000F59E5">
      <w:pPr>
        <w:pStyle w:val="SingleTxtG"/>
        <w:ind w:left="1701"/>
        <w:rPr>
          <w:rFonts w:eastAsia="Calibri"/>
          <w:lang w:val="en-US"/>
        </w:rPr>
      </w:pPr>
      <w:r>
        <w:rPr>
          <w:rFonts w:eastAsia="Calibri"/>
          <w:lang w:val="en-US"/>
        </w:rPr>
        <w:t>(d)</w:t>
      </w:r>
      <w:r w:rsidR="000F59E5">
        <w:rPr>
          <w:rFonts w:eastAsia="Calibri"/>
          <w:lang w:val="en-US"/>
        </w:rPr>
        <w:tab/>
      </w:r>
      <w:r>
        <w:rPr>
          <w:rFonts w:eastAsia="Calibri"/>
          <w:lang w:val="en-US"/>
        </w:rPr>
        <w:t>R</w:t>
      </w:r>
      <w:r w:rsidR="000F59E5" w:rsidRPr="00035E55">
        <w:rPr>
          <w:rFonts w:eastAsia="Calibri"/>
          <w:lang w:val="en-US"/>
        </w:rPr>
        <w:t>esponding to situations of de-identification failure</w:t>
      </w:r>
      <w:r w:rsidR="004B6268">
        <w:rPr>
          <w:rFonts w:eastAsia="Calibri"/>
          <w:lang w:val="en-US"/>
        </w:rPr>
        <w:t>.</w:t>
      </w:r>
    </w:p>
    <w:p w:rsidR="000F59E5" w:rsidRPr="00035E55" w:rsidRDefault="002056C1" w:rsidP="000F59E5">
      <w:pPr>
        <w:pStyle w:val="H23G"/>
        <w:rPr>
          <w:rFonts w:eastAsia="Calibri"/>
          <w:lang w:val="en-US"/>
        </w:rPr>
      </w:pPr>
      <w:r>
        <w:rPr>
          <w:rFonts w:eastAsia="Calibri"/>
          <w:lang w:val="en-US"/>
        </w:rPr>
        <w:tab/>
        <w:t>(c)</w:t>
      </w:r>
      <w:r w:rsidR="000F59E5">
        <w:rPr>
          <w:rFonts w:eastAsia="Calibri"/>
          <w:lang w:val="en-US"/>
        </w:rPr>
        <w:tab/>
      </w:r>
      <w:r w:rsidR="000F59E5" w:rsidRPr="00035E55">
        <w:rPr>
          <w:rFonts w:eastAsia="Calibri"/>
          <w:lang w:val="en-US"/>
        </w:rPr>
        <w:t xml:space="preserve">Health Data </w:t>
      </w:r>
    </w:p>
    <w:p w:rsidR="000F59E5" w:rsidRPr="00035E55" w:rsidRDefault="000F59E5" w:rsidP="000F59E5">
      <w:pPr>
        <w:pStyle w:val="SingleTxtG"/>
        <w:rPr>
          <w:rFonts w:eastAsia="Calibri"/>
          <w:lang w:val="en-US"/>
        </w:rPr>
      </w:pPr>
      <w:r>
        <w:rPr>
          <w:rFonts w:eastAsia="Calibri"/>
          <w:lang w:val="en-US"/>
        </w:rPr>
        <w:t>20</w:t>
      </w:r>
      <w:r w:rsidRPr="00035E55">
        <w:rPr>
          <w:rFonts w:eastAsia="Calibri"/>
          <w:lang w:val="en-US"/>
        </w:rPr>
        <w:t>.</w:t>
      </w:r>
      <w:r w:rsidRPr="00035E55">
        <w:rPr>
          <w:rFonts w:eastAsia="Calibri"/>
          <w:lang w:val="en-US"/>
        </w:rPr>
        <w:tab/>
        <w:t xml:space="preserve">The Special Rapporteur’s Task Force on Health Data </w:t>
      </w:r>
      <w:r>
        <w:rPr>
          <w:rFonts w:eastAsia="Calibri"/>
          <w:lang w:val="en-US"/>
        </w:rPr>
        <w:t xml:space="preserve">is examining issues </w:t>
      </w:r>
      <w:r w:rsidRPr="00035E55">
        <w:rPr>
          <w:rFonts w:eastAsia="Calibri"/>
          <w:lang w:val="en-US"/>
        </w:rPr>
        <w:t>under the leadership of Dr</w:t>
      </w:r>
      <w:r>
        <w:rPr>
          <w:rFonts w:eastAsia="Calibri"/>
          <w:lang w:val="en-US"/>
        </w:rPr>
        <w:t>.</w:t>
      </w:r>
      <w:r w:rsidRPr="00035E55">
        <w:rPr>
          <w:rFonts w:eastAsia="Calibri"/>
          <w:lang w:val="en-US"/>
        </w:rPr>
        <w:t xml:space="preserve"> Steve </w:t>
      </w:r>
      <w:proofErr w:type="spellStart"/>
      <w:r w:rsidRPr="00035E55">
        <w:rPr>
          <w:rFonts w:eastAsia="Calibri"/>
          <w:lang w:val="en-US"/>
        </w:rPr>
        <w:t>Steffensen</w:t>
      </w:r>
      <w:proofErr w:type="spellEnd"/>
      <w:r>
        <w:rPr>
          <w:rFonts w:eastAsia="Calibri"/>
          <w:lang w:val="en-US"/>
        </w:rPr>
        <w:t xml:space="preserve">, MD Associate Professor, Dell Medical School, </w:t>
      </w:r>
      <w:proofErr w:type="gramStart"/>
      <w:r>
        <w:rPr>
          <w:rFonts w:eastAsia="Calibri"/>
          <w:lang w:val="en-US"/>
        </w:rPr>
        <w:t>University</w:t>
      </w:r>
      <w:proofErr w:type="gramEnd"/>
      <w:r>
        <w:rPr>
          <w:rFonts w:eastAsia="Calibri"/>
          <w:lang w:val="en-US"/>
        </w:rPr>
        <w:t xml:space="preserve"> of Texas,</w:t>
      </w:r>
      <w:r w:rsidRPr="00035E55">
        <w:rPr>
          <w:rFonts w:eastAsia="Calibri"/>
          <w:lang w:val="en-US"/>
        </w:rPr>
        <w:t xml:space="preserve"> United States. </w:t>
      </w:r>
      <w:r>
        <w:rPr>
          <w:rFonts w:eastAsia="Calibri"/>
          <w:lang w:val="en-US"/>
        </w:rPr>
        <w:t>A</w:t>
      </w:r>
      <w:r w:rsidRPr="00035E55">
        <w:rPr>
          <w:rFonts w:eastAsia="Calibri"/>
          <w:lang w:val="en-US"/>
        </w:rPr>
        <w:t xml:space="preserve"> consultation </w:t>
      </w:r>
      <w:r>
        <w:rPr>
          <w:rFonts w:eastAsia="Calibri"/>
          <w:lang w:val="en-US"/>
        </w:rPr>
        <w:t>is planned for</w:t>
      </w:r>
      <w:r w:rsidRPr="00035E55">
        <w:rPr>
          <w:rFonts w:eastAsia="Calibri"/>
          <w:lang w:val="en-US"/>
        </w:rPr>
        <w:t xml:space="preserve"> 2018, most likely in the U</w:t>
      </w:r>
      <w:r>
        <w:rPr>
          <w:rFonts w:eastAsia="Calibri"/>
          <w:lang w:val="en-US"/>
        </w:rPr>
        <w:t xml:space="preserve">nited </w:t>
      </w:r>
      <w:r w:rsidRPr="00035E55">
        <w:rPr>
          <w:rFonts w:eastAsia="Calibri"/>
          <w:lang w:val="en-US"/>
        </w:rPr>
        <w:t>S</w:t>
      </w:r>
      <w:r>
        <w:rPr>
          <w:rFonts w:eastAsia="Calibri"/>
          <w:lang w:val="en-US"/>
        </w:rPr>
        <w:t>tates</w:t>
      </w:r>
      <w:r w:rsidRPr="00035E55">
        <w:rPr>
          <w:rFonts w:eastAsia="Calibri"/>
          <w:lang w:val="en-US"/>
        </w:rPr>
        <w:t>.</w:t>
      </w:r>
    </w:p>
    <w:p w:rsidR="000F59E5" w:rsidRPr="00035E55" w:rsidRDefault="000F59E5" w:rsidP="000F59E5">
      <w:pPr>
        <w:pStyle w:val="SingleTxtG"/>
        <w:rPr>
          <w:rFonts w:eastAsia="Calibri"/>
          <w:lang w:val="en-US"/>
        </w:rPr>
      </w:pPr>
      <w:r>
        <w:rPr>
          <w:rFonts w:eastAsia="Calibri"/>
          <w:lang w:val="en-US"/>
        </w:rPr>
        <w:t>21</w:t>
      </w:r>
      <w:r w:rsidRPr="00035E55">
        <w:rPr>
          <w:rFonts w:eastAsia="Calibri"/>
          <w:lang w:val="en-US"/>
        </w:rPr>
        <w:t>.</w:t>
      </w:r>
      <w:r w:rsidRPr="00035E55">
        <w:rPr>
          <w:rFonts w:eastAsia="Calibri"/>
          <w:lang w:val="en-US"/>
        </w:rPr>
        <w:tab/>
      </w:r>
      <w:r>
        <w:rPr>
          <w:rFonts w:eastAsia="Calibri"/>
          <w:lang w:val="en-US"/>
        </w:rPr>
        <w:t>All interested actors, States as well as other stakeholders, including non-governmental organizations</w:t>
      </w:r>
      <w:r w:rsidRPr="00035E55">
        <w:rPr>
          <w:rFonts w:eastAsia="Calibri"/>
          <w:lang w:val="en-US"/>
        </w:rPr>
        <w:t xml:space="preserve"> </w:t>
      </w:r>
      <w:r>
        <w:rPr>
          <w:rFonts w:eastAsia="Calibri"/>
          <w:lang w:val="en-US"/>
        </w:rPr>
        <w:t>are invited</w:t>
      </w:r>
      <w:r w:rsidRPr="00035E55">
        <w:rPr>
          <w:rFonts w:eastAsia="Calibri"/>
          <w:lang w:val="en-US"/>
        </w:rPr>
        <w:t xml:space="preserve"> to contribute to</w:t>
      </w:r>
      <w:r>
        <w:rPr>
          <w:rFonts w:eastAsia="Calibri"/>
          <w:lang w:val="en-US"/>
        </w:rPr>
        <w:t xml:space="preserve"> the development of </w:t>
      </w:r>
      <w:r w:rsidRPr="00035E55">
        <w:rPr>
          <w:rFonts w:eastAsia="Calibri"/>
          <w:lang w:val="en-US"/>
        </w:rPr>
        <w:t>guidelines</w:t>
      </w:r>
      <w:r w:rsidRPr="005D39EC">
        <w:rPr>
          <w:rFonts w:eastAsia="Calibri"/>
          <w:lang w:val="en-US"/>
        </w:rPr>
        <w:t xml:space="preserve"> </w:t>
      </w:r>
      <w:r>
        <w:rPr>
          <w:rFonts w:eastAsia="Calibri"/>
          <w:lang w:val="en-US"/>
        </w:rPr>
        <w:t xml:space="preserve">on </w:t>
      </w:r>
      <w:r w:rsidRPr="008E4C6A">
        <w:rPr>
          <w:rFonts w:eastAsia="Calibri"/>
          <w:lang w:val="en-US"/>
        </w:rPr>
        <w:t>best practice</w:t>
      </w:r>
      <w:r>
        <w:rPr>
          <w:rFonts w:eastAsia="Calibri"/>
          <w:lang w:val="en-US"/>
        </w:rPr>
        <w:t>s</w:t>
      </w:r>
      <w:r w:rsidRPr="00035E55">
        <w:rPr>
          <w:rFonts w:eastAsia="Calibri"/>
          <w:lang w:val="en-US"/>
        </w:rPr>
        <w:t>.</w:t>
      </w:r>
    </w:p>
    <w:p w:rsidR="000F59E5" w:rsidRPr="00035E55" w:rsidRDefault="002056C1" w:rsidP="000F59E5">
      <w:pPr>
        <w:pStyle w:val="H23G"/>
        <w:rPr>
          <w:rFonts w:eastAsia="Calibri"/>
          <w:lang w:val="en-US"/>
        </w:rPr>
      </w:pPr>
      <w:r>
        <w:rPr>
          <w:rFonts w:eastAsia="Calibri"/>
          <w:lang w:val="en-US"/>
        </w:rPr>
        <w:tab/>
        <w:t>(d)</w:t>
      </w:r>
      <w:r w:rsidR="000F59E5">
        <w:rPr>
          <w:rFonts w:eastAsia="Calibri"/>
          <w:lang w:val="en-US"/>
        </w:rPr>
        <w:tab/>
      </w:r>
      <w:r w:rsidR="000F59E5" w:rsidRPr="00035E55">
        <w:rPr>
          <w:rFonts w:eastAsia="Calibri"/>
          <w:lang w:val="en-US"/>
        </w:rPr>
        <w:t xml:space="preserve">Use of Personal Data by Corporations </w:t>
      </w:r>
    </w:p>
    <w:p w:rsidR="000F59E5" w:rsidRPr="00B14050" w:rsidRDefault="000F59E5" w:rsidP="000F59E5">
      <w:pPr>
        <w:pStyle w:val="SingleTxtG"/>
        <w:rPr>
          <w:rFonts w:eastAsia="Calibri"/>
          <w:lang w:val="en-US"/>
        </w:rPr>
      </w:pPr>
      <w:r>
        <w:rPr>
          <w:rFonts w:eastAsia="Calibri"/>
          <w:lang w:val="en-US"/>
        </w:rPr>
        <w:t>22</w:t>
      </w:r>
      <w:r w:rsidRPr="00035E55">
        <w:rPr>
          <w:rFonts w:eastAsia="Calibri"/>
          <w:lang w:val="en-US"/>
        </w:rPr>
        <w:t>.</w:t>
      </w:r>
      <w:r w:rsidRPr="00035E55">
        <w:rPr>
          <w:rFonts w:eastAsia="Calibri"/>
          <w:lang w:val="en-US"/>
        </w:rPr>
        <w:tab/>
      </w:r>
      <w:r>
        <w:rPr>
          <w:rFonts w:eastAsia="Calibri"/>
          <w:lang w:val="en-US"/>
        </w:rPr>
        <w:t>Some b</w:t>
      </w:r>
      <w:r w:rsidRPr="00035E55">
        <w:rPr>
          <w:rFonts w:eastAsia="Calibri"/>
          <w:lang w:val="en-US"/>
        </w:rPr>
        <w:t>usinesses</w:t>
      </w:r>
      <w:r w:rsidRPr="005D39EC">
        <w:rPr>
          <w:rFonts w:eastAsia="Calibri"/>
          <w:lang w:val="en-US"/>
        </w:rPr>
        <w:t xml:space="preserve">, including </w:t>
      </w:r>
      <w:r>
        <w:rPr>
          <w:rFonts w:eastAsia="Calibri"/>
          <w:lang w:val="en-US"/>
        </w:rPr>
        <w:t xml:space="preserve">the largest corporations, increasingly </w:t>
      </w:r>
      <w:r w:rsidRPr="00035E55">
        <w:rPr>
          <w:rFonts w:eastAsia="Calibri"/>
          <w:lang w:val="en-US"/>
        </w:rPr>
        <w:t xml:space="preserve">rely on the </w:t>
      </w:r>
      <w:r>
        <w:rPr>
          <w:rFonts w:eastAsia="Calibri"/>
          <w:lang w:val="en-US"/>
        </w:rPr>
        <w:t>exploitation (</w:t>
      </w:r>
      <w:r w:rsidRPr="00035E55">
        <w:rPr>
          <w:rFonts w:eastAsia="Calibri"/>
          <w:lang w:val="en-US"/>
        </w:rPr>
        <w:t>collection, processing, repurposing and sale</w:t>
      </w:r>
      <w:r>
        <w:rPr>
          <w:rFonts w:eastAsia="Calibri"/>
          <w:lang w:val="en-US"/>
        </w:rPr>
        <w:t>)</w:t>
      </w:r>
      <w:r w:rsidRPr="00035E55">
        <w:rPr>
          <w:rFonts w:eastAsia="Calibri"/>
          <w:lang w:val="en-US"/>
        </w:rPr>
        <w:t xml:space="preserve"> of personal information, often without ensuring adequate transparency and informed consent of the individuals concerned.</w:t>
      </w:r>
      <w:r w:rsidRPr="00D313C8">
        <w:rPr>
          <w:rFonts w:eastAsia="Calibri"/>
          <w:vertAlign w:val="superscript"/>
        </w:rPr>
        <w:footnoteReference w:id="10"/>
      </w:r>
      <w:r w:rsidRPr="00D313C8">
        <w:rPr>
          <w:rFonts w:eastAsia="Calibri"/>
        </w:rPr>
        <w:t xml:space="preserve"> </w:t>
      </w:r>
      <w:r w:rsidRPr="00035E55">
        <w:rPr>
          <w:rFonts w:eastAsia="Calibri"/>
          <w:lang w:val="en-US"/>
        </w:rPr>
        <w:t xml:space="preserve">During </w:t>
      </w:r>
      <w:r>
        <w:rPr>
          <w:rFonts w:eastAsia="Calibri"/>
          <w:lang w:val="en-US"/>
        </w:rPr>
        <w:t>the official visit to the United States in June 2017</w:t>
      </w:r>
      <w:r w:rsidRPr="00384F15">
        <w:rPr>
          <w:rFonts w:eastAsia="Calibri"/>
          <w:lang w:val="en-US"/>
        </w:rPr>
        <w:t xml:space="preserve">, meetings with corporations </w:t>
      </w:r>
      <w:r>
        <w:rPr>
          <w:rFonts w:eastAsia="Calibri"/>
          <w:lang w:val="en-US"/>
        </w:rPr>
        <w:t>canvas</w:t>
      </w:r>
      <w:r w:rsidRPr="00384F15">
        <w:rPr>
          <w:rFonts w:eastAsia="Calibri"/>
          <w:lang w:val="en-US"/>
        </w:rPr>
        <w:t xml:space="preserve">sed the way corporations react to requests from Governments regarding personal data they hold. The concerns </w:t>
      </w:r>
      <w:r>
        <w:rPr>
          <w:rFonts w:eastAsia="Calibri"/>
          <w:lang w:val="en-US"/>
        </w:rPr>
        <w:t>of</w:t>
      </w:r>
      <w:r w:rsidRPr="00765F75">
        <w:rPr>
          <w:rFonts w:eastAsia="Calibri"/>
          <w:lang w:val="en-US"/>
        </w:rPr>
        <w:t xml:space="preserve"> the Special Rapporteur </w:t>
      </w:r>
      <w:r>
        <w:rPr>
          <w:rFonts w:eastAsia="Calibri"/>
          <w:lang w:val="en-US"/>
        </w:rPr>
        <w:t>regarding</w:t>
      </w:r>
      <w:r w:rsidRPr="00765F75">
        <w:rPr>
          <w:rFonts w:eastAsia="Calibri"/>
          <w:lang w:val="en-US"/>
        </w:rPr>
        <w:t xml:space="preserve"> such requests led to the submi</w:t>
      </w:r>
      <w:r>
        <w:rPr>
          <w:rFonts w:eastAsia="Calibri"/>
          <w:lang w:val="en-US"/>
        </w:rPr>
        <w:t>ssion</w:t>
      </w:r>
      <w:r w:rsidRPr="00765F75">
        <w:rPr>
          <w:rFonts w:eastAsia="Calibri"/>
          <w:lang w:val="en-US"/>
        </w:rPr>
        <w:t xml:space="preserve"> of an Amicus Curiae to the U</w:t>
      </w:r>
      <w:r>
        <w:rPr>
          <w:rFonts w:eastAsia="Calibri"/>
          <w:lang w:val="en-US"/>
        </w:rPr>
        <w:t xml:space="preserve">nited </w:t>
      </w:r>
      <w:r w:rsidRPr="00765F75">
        <w:rPr>
          <w:rFonts w:eastAsia="Calibri"/>
          <w:lang w:val="en-US"/>
        </w:rPr>
        <w:t>S</w:t>
      </w:r>
      <w:r>
        <w:rPr>
          <w:rFonts w:eastAsia="Calibri"/>
          <w:lang w:val="en-US"/>
        </w:rPr>
        <w:t>tates</w:t>
      </w:r>
      <w:r w:rsidRPr="00765F75">
        <w:rPr>
          <w:rFonts w:eastAsia="Calibri"/>
          <w:lang w:val="en-US"/>
        </w:rPr>
        <w:t xml:space="preserve"> Supreme Court in late 2017</w:t>
      </w:r>
      <w:r w:rsidR="00CE3F8C">
        <w:rPr>
          <w:rFonts w:eastAsia="Calibri"/>
          <w:lang w:val="en-US"/>
        </w:rPr>
        <w:t>.</w:t>
      </w:r>
      <w:r w:rsidRPr="00765F75">
        <w:rPr>
          <w:rFonts w:eastAsia="Calibri"/>
          <w:vertAlign w:val="superscript"/>
          <w:lang w:val="en-US"/>
        </w:rPr>
        <w:footnoteReference w:id="11"/>
      </w:r>
    </w:p>
    <w:p w:rsidR="000F59E5" w:rsidRDefault="000F59E5" w:rsidP="000F59E5">
      <w:pPr>
        <w:pStyle w:val="SingleTxtG"/>
        <w:rPr>
          <w:rFonts w:eastAsia="Calibri"/>
          <w:lang w:val="en-US"/>
        </w:rPr>
      </w:pPr>
      <w:r>
        <w:rPr>
          <w:rFonts w:eastAsia="Calibri"/>
          <w:lang w:val="en-US"/>
        </w:rPr>
        <w:t>23</w:t>
      </w:r>
      <w:r w:rsidRPr="00B14050">
        <w:rPr>
          <w:rFonts w:eastAsia="Calibri"/>
          <w:lang w:val="en-US"/>
        </w:rPr>
        <w:t>.</w:t>
      </w:r>
      <w:r w:rsidRPr="00B14050">
        <w:rPr>
          <w:rFonts w:eastAsia="Calibri"/>
          <w:lang w:val="en-US"/>
        </w:rPr>
        <w:tab/>
        <w:t xml:space="preserve">The Special Rapporteur </w:t>
      </w:r>
      <w:r>
        <w:rPr>
          <w:rFonts w:eastAsia="Calibri"/>
          <w:lang w:val="en-US"/>
        </w:rPr>
        <w:t>a</w:t>
      </w:r>
      <w:r w:rsidRPr="00765F75">
        <w:rPr>
          <w:rFonts w:eastAsia="Calibri"/>
          <w:lang w:val="en-US"/>
        </w:rPr>
        <w:t xml:space="preserve">lso met with a number of </w:t>
      </w:r>
      <w:r>
        <w:rPr>
          <w:rFonts w:eastAsia="Calibri"/>
          <w:lang w:val="en-US"/>
        </w:rPr>
        <w:t>United States</w:t>
      </w:r>
      <w:r w:rsidRPr="0097328C">
        <w:rPr>
          <w:rFonts w:eastAsia="Calibri"/>
          <w:lang w:val="en-US"/>
        </w:rPr>
        <w:t xml:space="preserve"> corporations </w:t>
      </w:r>
      <w:r>
        <w:rPr>
          <w:rFonts w:eastAsia="Calibri"/>
          <w:lang w:val="en-US"/>
        </w:rPr>
        <w:t>throughout</w:t>
      </w:r>
      <w:r w:rsidRPr="0097328C">
        <w:rPr>
          <w:rFonts w:eastAsia="Calibri"/>
          <w:lang w:val="en-US"/>
        </w:rPr>
        <w:t xml:space="preserve"> 2017, on the use of personal data </w:t>
      </w:r>
      <w:r>
        <w:rPr>
          <w:rFonts w:eastAsia="Calibri"/>
          <w:lang w:val="en-US"/>
        </w:rPr>
        <w:t>in</w:t>
      </w:r>
      <w:r w:rsidRPr="00D12410">
        <w:rPr>
          <w:rFonts w:eastAsia="Calibri"/>
          <w:lang w:val="en-US"/>
        </w:rPr>
        <w:t xml:space="preserve"> the</w:t>
      </w:r>
      <w:r>
        <w:rPr>
          <w:rFonts w:eastAsia="Calibri"/>
          <w:lang w:val="en-US"/>
        </w:rPr>
        <w:t>ir</w:t>
      </w:r>
      <w:r w:rsidRPr="00D12410">
        <w:rPr>
          <w:rFonts w:eastAsia="Calibri"/>
          <w:lang w:val="en-US"/>
        </w:rPr>
        <w:t xml:space="preserve"> business models.</w:t>
      </w:r>
      <w:r>
        <w:rPr>
          <w:rFonts w:eastAsia="Calibri"/>
          <w:lang w:val="en-US"/>
        </w:rPr>
        <w:t xml:space="preserve"> </w:t>
      </w:r>
      <w:r w:rsidRPr="0097328C">
        <w:rPr>
          <w:rFonts w:eastAsia="Calibri"/>
          <w:lang w:val="en-US"/>
        </w:rPr>
        <w:t xml:space="preserve">This dialogue is assisting the Thematic Action Stream Taskforce to commence </w:t>
      </w:r>
      <w:r>
        <w:rPr>
          <w:rFonts w:eastAsia="Calibri"/>
          <w:lang w:val="en-US"/>
        </w:rPr>
        <w:t xml:space="preserve">its work </w:t>
      </w:r>
      <w:r w:rsidRPr="0097328C">
        <w:rPr>
          <w:rFonts w:eastAsia="Calibri"/>
          <w:lang w:val="en-US"/>
        </w:rPr>
        <w:t>formally in 2018.</w:t>
      </w:r>
    </w:p>
    <w:p w:rsidR="000F59E5" w:rsidRPr="0097328C" w:rsidRDefault="00EF1266" w:rsidP="00EF1266">
      <w:pPr>
        <w:pStyle w:val="H23G"/>
        <w:rPr>
          <w:rFonts w:eastAsia="Calibri"/>
          <w:lang w:val="en-US"/>
        </w:rPr>
      </w:pPr>
      <w:r>
        <w:rPr>
          <w:rFonts w:eastAsia="Calibri"/>
          <w:lang w:val="en-US"/>
        </w:rPr>
        <w:tab/>
      </w:r>
      <w:r w:rsidR="002056C1">
        <w:rPr>
          <w:rFonts w:eastAsia="Calibri"/>
          <w:lang w:val="en-US"/>
        </w:rPr>
        <w:t>(e)</w:t>
      </w:r>
      <w:r>
        <w:rPr>
          <w:rFonts w:eastAsia="Calibri"/>
          <w:lang w:val="en-US"/>
        </w:rPr>
        <w:tab/>
      </w:r>
      <w:r w:rsidR="000F59E5" w:rsidRPr="0097328C">
        <w:rPr>
          <w:rFonts w:eastAsia="Calibri"/>
          <w:lang w:val="en-US"/>
        </w:rPr>
        <w:t>Privacy</w:t>
      </w:r>
      <w:r w:rsidR="000F59E5" w:rsidRPr="00737DE2">
        <w:rPr>
          <w:rFonts w:eastAsia="Calibri"/>
          <w:lang w:val="en-US"/>
        </w:rPr>
        <w:t xml:space="preserve"> </w:t>
      </w:r>
      <w:r w:rsidR="000F59E5">
        <w:rPr>
          <w:rFonts w:eastAsia="Calibri"/>
          <w:lang w:val="en-US"/>
        </w:rPr>
        <w:t xml:space="preserve">and </w:t>
      </w:r>
      <w:r w:rsidR="000F59E5" w:rsidRPr="00D00B55">
        <w:rPr>
          <w:rFonts w:eastAsia="Calibri"/>
          <w:lang w:val="en-US"/>
        </w:rPr>
        <w:t xml:space="preserve">Personality </w:t>
      </w:r>
    </w:p>
    <w:p w:rsidR="000F59E5" w:rsidRDefault="000F59E5" w:rsidP="000F59E5">
      <w:pPr>
        <w:pStyle w:val="SingleTxtG"/>
        <w:rPr>
          <w:rFonts w:eastAsia="Calibri"/>
          <w:lang w:val="en-US"/>
        </w:rPr>
      </w:pPr>
      <w:r>
        <w:rPr>
          <w:rFonts w:eastAsia="Calibri"/>
          <w:lang w:val="en-US"/>
        </w:rPr>
        <w:t>24</w:t>
      </w:r>
      <w:r w:rsidRPr="0097328C">
        <w:rPr>
          <w:rFonts w:eastAsia="Calibri"/>
          <w:lang w:val="en-US"/>
        </w:rPr>
        <w:t>.</w:t>
      </w:r>
      <w:r w:rsidRPr="0097328C">
        <w:rPr>
          <w:rFonts w:eastAsia="Calibri"/>
          <w:lang w:val="en-US"/>
        </w:rPr>
        <w:tab/>
        <w:t xml:space="preserve">The Human Rights Council’s recognition of the right to privacy as </w:t>
      </w:r>
      <w:r>
        <w:rPr>
          <w:rFonts w:eastAsia="Calibri"/>
          <w:lang w:val="en-US"/>
        </w:rPr>
        <w:t>an essential</w:t>
      </w:r>
      <w:r w:rsidRPr="0097328C">
        <w:rPr>
          <w:rFonts w:eastAsia="Calibri"/>
          <w:lang w:val="en-US"/>
        </w:rPr>
        <w:t xml:space="preserve"> right </w:t>
      </w:r>
      <w:r w:rsidRPr="00D313C8">
        <w:rPr>
          <w:rFonts w:eastAsia="Calibri"/>
          <w:lang w:val="en-US"/>
        </w:rPr>
        <w:t>for a democratic societ</w:t>
      </w:r>
      <w:r>
        <w:rPr>
          <w:rFonts w:eastAsia="Calibri"/>
          <w:lang w:val="en-US"/>
        </w:rPr>
        <w:t>y</w:t>
      </w:r>
      <w:r w:rsidRPr="0097328C">
        <w:rPr>
          <w:rFonts w:eastAsia="Calibri"/>
          <w:vertAlign w:val="superscript"/>
          <w:lang w:val="en-US"/>
        </w:rPr>
        <w:footnoteReference w:id="12"/>
      </w:r>
      <w:r w:rsidRPr="0097328C">
        <w:rPr>
          <w:rFonts w:eastAsia="Calibri"/>
          <w:lang w:val="en-US"/>
        </w:rPr>
        <w:t xml:space="preserve"> is explored </w:t>
      </w:r>
      <w:r>
        <w:rPr>
          <w:rFonts w:eastAsia="Calibri"/>
          <w:lang w:val="en-US"/>
        </w:rPr>
        <w:t>by</w:t>
      </w:r>
      <w:r w:rsidRPr="0097328C">
        <w:rPr>
          <w:rFonts w:eastAsia="Calibri"/>
          <w:lang w:val="en-US"/>
        </w:rPr>
        <w:t xml:space="preserve"> the Taskforce</w:t>
      </w:r>
      <w:r>
        <w:rPr>
          <w:rFonts w:eastAsia="Calibri"/>
          <w:lang w:val="en-US"/>
        </w:rPr>
        <w:t xml:space="preserve"> on</w:t>
      </w:r>
      <w:r w:rsidRPr="0097328C">
        <w:rPr>
          <w:rFonts w:eastAsia="Calibri"/>
          <w:lang w:val="en-US"/>
        </w:rPr>
        <w:t xml:space="preserve"> </w:t>
      </w:r>
      <w:r w:rsidRPr="00E05834">
        <w:rPr>
          <w:rFonts w:eastAsia="Calibri"/>
          <w:lang w:val="en-US"/>
        </w:rPr>
        <w:t>“A be</w:t>
      </w:r>
      <w:r>
        <w:rPr>
          <w:rFonts w:eastAsia="Calibri"/>
          <w:lang w:val="en-US"/>
        </w:rPr>
        <w:t xml:space="preserve">tter understanding of privacy”, </w:t>
      </w:r>
      <w:r w:rsidRPr="0097328C">
        <w:rPr>
          <w:rFonts w:eastAsia="Calibri"/>
          <w:lang w:val="en-US"/>
        </w:rPr>
        <w:t>chaired by Dr</w:t>
      </w:r>
      <w:r>
        <w:rPr>
          <w:rFonts w:eastAsia="Calibri"/>
          <w:lang w:val="en-US"/>
        </w:rPr>
        <w:t>.</w:t>
      </w:r>
      <w:r w:rsidRPr="0097328C">
        <w:rPr>
          <w:rFonts w:eastAsia="Calibri"/>
          <w:lang w:val="en-US"/>
        </w:rPr>
        <w:t xml:space="preserve"> Elizabeth Coombs </w:t>
      </w:r>
      <w:r>
        <w:rPr>
          <w:rFonts w:eastAsia="Calibri"/>
          <w:lang w:val="en-US"/>
        </w:rPr>
        <w:t>(</w:t>
      </w:r>
      <w:r w:rsidRPr="00765F75">
        <w:rPr>
          <w:rFonts w:eastAsia="Calibri"/>
          <w:lang w:val="en-US"/>
        </w:rPr>
        <w:t>Australia</w:t>
      </w:r>
      <w:r>
        <w:rPr>
          <w:rFonts w:eastAsia="Calibri"/>
          <w:lang w:val="en-US"/>
        </w:rPr>
        <w:t>)</w:t>
      </w:r>
      <w:r w:rsidRPr="00765F75">
        <w:rPr>
          <w:rFonts w:eastAsia="Calibri"/>
          <w:lang w:val="en-US"/>
        </w:rPr>
        <w:t xml:space="preserve">, </w:t>
      </w:r>
      <w:r>
        <w:rPr>
          <w:rFonts w:eastAsia="Calibri"/>
          <w:lang w:val="en-US"/>
        </w:rPr>
        <w:t xml:space="preserve">in </w:t>
      </w:r>
      <w:r w:rsidRPr="0097328C">
        <w:rPr>
          <w:rFonts w:eastAsia="Calibri"/>
          <w:lang w:val="en-US"/>
        </w:rPr>
        <w:t>consultations</w:t>
      </w:r>
      <w:r>
        <w:rPr>
          <w:rFonts w:eastAsia="Calibri"/>
          <w:lang w:val="en-US"/>
        </w:rPr>
        <w:t xml:space="preserve">, </w:t>
      </w:r>
      <w:r w:rsidRPr="0097328C">
        <w:rPr>
          <w:rFonts w:eastAsia="Calibri"/>
          <w:lang w:val="en-US"/>
        </w:rPr>
        <w:t xml:space="preserve">communications received, and </w:t>
      </w:r>
      <w:r>
        <w:rPr>
          <w:rFonts w:eastAsia="Calibri"/>
          <w:lang w:val="en-US"/>
        </w:rPr>
        <w:t xml:space="preserve">in the </w:t>
      </w:r>
      <w:r w:rsidRPr="0097328C">
        <w:rPr>
          <w:rFonts w:eastAsia="Calibri"/>
          <w:lang w:val="en-US"/>
        </w:rPr>
        <w:t xml:space="preserve">examination of the </w:t>
      </w:r>
      <w:r>
        <w:rPr>
          <w:rFonts w:eastAsia="Calibri"/>
          <w:lang w:val="en-US"/>
        </w:rPr>
        <w:t xml:space="preserve">existing </w:t>
      </w:r>
      <w:r w:rsidRPr="00765F75">
        <w:rPr>
          <w:rFonts w:eastAsia="Calibri"/>
          <w:lang w:val="en-US"/>
        </w:rPr>
        <w:t>literature. T</w:t>
      </w:r>
      <w:r>
        <w:rPr>
          <w:rFonts w:eastAsia="Calibri"/>
          <w:lang w:val="en-US"/>
        </w:rPr>
        <w:t xml:space="preserve">o </w:t>
      </w:r>
      <w:r w:rsidRPr="00765F75">
        <w:rPr>
          <w:rFonts w:eastAsia="Calibri"/>
          <w:lang w:val="en-US"/>
        </w:rPr>
        <w:t>promot</w:t>
      </w:r>
      <w:r>
        <w:rPr>
          <w:rFonts w:eastAsia="Calibri"/>
          <w:lang w:val="en-US"/>
        </w:rPr>
        <w:t>e</w:t>
      </w:r>
      <w:r w:rsidRPr="00765F75">
        <w:rPr>
          <w:rFonts w:eastAsia="Calibri"/>
          <w:lang w:val="en-US"/>
        </w:rPr>
        <w:t xml:space="preserve"> a better understanding of privacy in the digital age</w:t>
      </w:r>
      <w:r>
        <w:rPr>
          <w:rFonts w:eastAsia="Calibri"/>
          <w:lang w:val="en-US"/>
        </w:rPr>
        <w:t>,</w:t>
      </w:r>
      <w:r w:rsidRPr="00765F75">
        <w:rPr>
          <w:rFonts w:eastAsia="Calibri"/>
          <w:lang w:val="en-US"/>
        </w:rPr>
        <w:t xml:space="preserve"> </w:t>
      </w:r>
      <w:r>
        <w:rPr>
          <w:rFonts w:eastAsia="Calibri"/>
          <w:lang w:val="en-US"/>
        </w:rPr>
        <w:t>t</w:t>
      </w:r>
      <w:r w:rsidRPr="00765F75">
        <w:rPr>
          <w:rFonts w:eastAsia="Calibri"/>
          <w:lang w:val="en-US"/>
        </w:rPr>
        <w:t>he Special Rapporteur</w:t>
      </w:r>
      <w:r>
        <w:rPr>
          <w:rFonts w:eastAsia="Calibri"/>
          <w:lang w:val="en-US"/>
        </w:rPr>
        <w:t xml:space="preserve"> has been convening</w:t>
      </w:r>
      <w:r w:rsidRPr="00765F75">
        <w:rPr>
          <w:rFonts w:eastAsia="Calibri"/>
          <w:lang w:val="en-US"/>
        </w:rPr>
        <w:t xml:space="preserve"> </w:t>
      </w:r>
      <w:r>
        <w:rPr>
          <w:rFonts w:eastAsia="Calibri"/>
          <w:lang w:val="en-US"/>
        </w:rPr>
        <w:t xml:space="preserve">regional </w:t>
      </w:r>
      <w:r w:rsidRPr="00492B18">
        <w:rPr>
          <w:rFonts w:eastAsia="Calibri"/>
          <w:lang w:val="en-US"/>
        </w:rPr>
        <w:t xml:space="preserve">consultation events themed “Privacy, Personality &amp; </w:t>
      </w:r>
      <w:r>
        <w:rPr>
          <w:rFonts w:eastAsia="Calibri"/>
          <w:lang w:val="en-US"/>
        </w:rPr>
        <w:t>I</w:t>
      </w:r>
      <w:r w:rsidRPr="00765F75">
        <w:rPr>
          <w:rFonts w:eastAsia="Calibri"/>
          <w:lang w:val="en-US"/>
        </w:rPr>
        <w:t xml:space="preserve">nformation </w:t>
      </w:r>
      <w:r>
        <w:rPr>
          <w:rFonts w:eastAsia="Calibri"/>
          <w:lang w:val="en-US"/>
        </w:rPr>
        <w:t>F</w:t>
      </w:r>
      <w:r w:rsidRPr="00765F75">
        <w:rPr>
          <w:rFonts w:eastAsia="Calibri"/>
          <w:lang w:val="en-US"/>
        </w:rPr>
        <w:t xml:space="preserve">lows”. The first </w:t>
      </w:r>
      <w:r>
        <w:rPr>
          <w:rFonts w:eastAsia="Calibri"/>
          <w:lang w:val="en-US"/>
        </w:rPr>
        <w:t xml:space="preserve">(Western countries) </w:t>
      </w:r>
      <w:r w:rsidRPr="00765F75">
        <w:rPr>
          <w:rFonts w:eastAsia="Calibri"/>
          <w:lang w:val="en-US"/>
        </w:rPr>
        <w:t>was held in July 2016 in New York</w:t>
      </w:r>
      <w:r>
        <w:rPr>
          <w:rFonts w:eastAsia="Calibri"/>
          <w:lang w:val="en-US"/>
        </w:rPr>
        <w:t>. T</w:t>
      </w:r>
      <w:r w:rsidRPr="00765F75">
        <w:rPr>
          <w:rFonts w:eastAsia="Calibri"/>
          <w:lang w:val="en-US"/>
        </w:rPr>
        <w:t xml:space="preserve">he </w:t>
      </w:r>
      <w:r>
        <w:rPr>
          <w:rFonts w:eastAsia="Calibri"/>
          <w:lang w:val="en-US"/>
        </w:rPr>
        <w:t>second (Middle East and Northern Africa)</w:t>
      </w:r>
      <w:r w:rsidRPr="00765F75">
        <w:rPr>
          <w:rFonts w:eastAsia="Calibri"/>
          <w:lang w:val="en-US"/>
        </w:rPr>
        <w:t xml:space="preserve"> </w:t>
      </w:r>
      <w:r>
        <w:rPr>
          <w:rFonts w:eastAsia="Calibri"/>
          <w:lang w:val="en-US"/>
        </w:rPr>
        <w:t xml:space="preserve">was held in </w:t>
      </w:r>
      <w:r w:rsidRPr="0097328C">
        <w:rPr>
          <w:rFonts w:eastAsia="Calibri"/>
          <w:lang w:val="en-US"/>
        </w:rPr>
        <w:t>Tunisia</w:t>
      </w:r>
      <w:r>
        <w:rPr>
          <w:rFonts w:eastAsia="Calibri"/>
          <w:lang w:val="en-US"/>
        </w:rPr>
        <w:t xml:space="preserve"> in</w:t>
      </w:r>
      <w:r w:rsidRPr="00492B18">
        <w:rPr>
          <w:rFonts w:eastAsia="Calibri"/>
          <w:lang w:val="en-US"/>
        </w:rPr>
        <w:t xml:space="preserve"> May 2017, the </w:t>
      </w:r>
      <w:r>
        <w:rPr>
          <w:rFonts w:eastAsia="Calibri"/>
          <w:lang w:val="en-US"/>
        </w:rPr>
        <w:t>third (</w:t>
      </w:r>
      <w:r w:rsidRPr="00D12410">
        <w:rPr>
          <w:rFonts w:eastAsia="Calibri"/>
          <w:lang w:val="en-US"/>
        </w:rPr>
        <w:t>Asi</w:t>
      </w:r>
      <w:r>
        <w:rPr>
          <w:rFonts w:eastAsia="Calibri"/>
          <w:lang w:val="en-US"/>
        </w:rPr>
        <w:t xml:space="preserve">a) took place in </w:t>
      </w:r>
      <w:r w:rsidRPr="00D12410">
        <w:rPr>
          <w:rFonts w:eastAsia="Calibri"/>
          <w:lang w:val="en-US"/>
        </w:rPr>
        <w:t>September 2017 in Hong Kong</w:t>
      </w:r>
      <w:r>
        <w:rPr>
          <w:rFonts w:eastAsia="Calibri"/>
          <w:lang w:val="en-US"/>
        </w:rPr>
        <w:t>,</w:t>
      </w:r>
      <w:r w:rsidRPr="00492B18">
        <w:rPr>
          <w:rFonts w:eastAsia="Calibri"/>
          <w:lang w:val="en-US"/>
        </w:rPr>
        <w:t xml:space="preserve"> and the </w:t>
      </w:r>
      <w:r>
        <w:rPr>
          <w:rFonts w:eastAsia="Calibri"/>
          <w:lang w:val="en-US"/>
        </w:rPr>
        <w:t>fourth (</w:t>
      </w:r>
      <w:r w:rsidRPr="0097328C">
        <w:rPr>
          <w:rFonts w:eastAsia="Calibri"/>
          <w:lang w:val="en-US"/>
        </w:rPr>
        <w:t>Latin America</w:t>
      </w:r>
      <w:r>
        <w:rPr>
          <w:rFonts w:eastAsia="Calibri"/>
          <w:lang w:val="en-US"/>
        </w:rPr>
        <w:t>)</w:t>
      </w:r>
      <w:r w:rsidRPr="00D12410">
        <w:rPr>
          <w:rFonts w:eastAsia="Calibri"/>
          <w:lang w:val="en-US"/>
        </w:rPr>
        <w:t xml:space="preserve"> is planned for May 2018. </w:t>
      </w:r>
    </w:p>
    <w:p w:rsidR="000F59E5" w:rsidRPr="00765F75" w:rsidRDefault="00C33A82" w:rsidP="000F59E5">
      <w:pPr>
        <w:pStyle w:val="SingleTxtG"/>
        <w:rPr>
          <w:rFonts w:eastAsia="Calibri"/>
          <w:lang w:val="en-US"/>
        </w:rPr>
      </w:pPr>
      <w:r>
        <w:rPr>
          <w:rFonts w:eastAsia="Calibri"/>
          <w:lang w:val="en-US"/>
        </w:rPr>
        <w:t>25.</w:t>
      </w:r>
      <w:r w:rsidR="000F59E5">
        <w:rPr>
          <w:rFonts w:eastAsia="Calibri"/>
          <w:lang w:val="en-US"/>
        </w:rPr>
        <w:tab/>
        <w:t>In addition</w:t>
      </w:r>
      <w:r w:rsidR="000F59E5" w:rsidRPr="00765F75">
        <w:rPr>
          <w:rFonts w:eastAsia="Calibri"/>
          <w:lang w:val="en-US"/>
        </w:rPr>
        <w:t>, the Special Rapporteur mandate has also worked on:</w:t>
      </w:r>
    </w:p>
    <w:p w:rsidR="000F59E5" w:rsidRPr="00A4303D" w:rsidRDefault="00C33A82" w:rsidP="00012D0C">
      <w:pPr>
        <w:pStyle w:val="SingleTxtG"/>
        <w:ind w:firstLine="567"/>
        <w:rPr>
          <w:rFonts w:eastAsia="Calibri"/>
          <w:lang w:val="en-US"/>
        </w:rPr>
      </w:pPr>
      <w:r>
        <w:rPr>
          <w:rFonts w:eastAsia="Calibri"/>
          <w:lang w:val="en-US"/>
        </w:rPr>
        <w:t>(a)</w:t>
      </w:r>
      <w:r w:rsidR="00EF1266">
        <w:rPr>
          <w:rFonts w:eastAsia="Calibri"/>
          <w:lang w:val="en-US"/>
        </w:rPr>
        <w:tab/>
      </w:r>
      <w:r w:rsidR="000F59E5" w:rsidRPr="00012D0C">
        <w:rPr>
          <w:rFonts w:eastAsia="Calibri"/>
        </w:rPr>
        <w:t>Examination</w:t>
      </w:r>
      <w:r w:rsidR="000F59E5" w:rsidRPr="00D12410">
        <w:rPr>
          <w:rFonts w:eastAsia="Calibri"/>
          <w:lang w:val="en-US"/>
        </w:rPr>
        <w:t xml:space="preserve"> of landmark decisions such as the Indian Supreme Court in 2017 in Justice K. S. </w:t>
      </w:r>
      <w:proofErr w:type="spellStart"/>
      <w:r w:rsidR="000F59E5" w:rsidRPr="00D12410">
        <w:rPr>
          <w:rFonts w:eastAsia="Calibri"/>
          <w:lang w:val="en-US"/>
        </w:rPr>
        <w:t>Puttaswamy</w:t>
      </w:r>
      <w:proofErr w:type="spellEnd"/>
      <w:r w:rsidR="000F59E5" w:rsidRPr="00D12410">
        <w:rPr>
          <w:rFonts w:eastAsia="Calibri"/>
          <w:lang w:val="en-US"/>
        </w:rPr>
        <w:t xml:space="preserve"> (</w:t>
      </w:r>
      <w:proofErr w:type="spellStart"/>
      <w:r w:rsidR="000F59E5" w:rsidRPr="00D12410">
        <w:rPr>
          <w:rFonts w:eastAsia="Calibri"/>
          <w:lang w:val="en-US"/>
        </w:rPr>
        <w:t>Retd</w:t>
      </w:r>
      <w:proofErr w:type="spellEnd"/>
      <w:r w:rsidR="000F59E5" w:rsidRPr="00D12410">
        <w:rPr>
          <w:rFonts w:eastAsia="Calibri"/>
          <w:lang w:val="en-US"/>
        </w:rPr>
        <w:t xml:space="preserve">.) and </w:t>
      </w:r>
      <w:proofErr w:type="spellStart"/>
      <w:r w:rsidR="000F59E5" w:rsidRPr="00D12410">
        <w:rPr>
          <w:rFonts w:eastAsia="Calibri"/>
          <w:lang w:val="en-US"/>
        </w:rPr>
        <w:t>Anr</w:t>
      </w:r>
      <w:proofErr w:type="spellEnd"/>
      <w:r w:rsidR="000F59E5" w:rsidRPr="00D12410">
        <w:rPr>
          <w:rFonts w:eastAsia="Calibri"/>
          <w:lang w:val="en-US"/>
        </w:rPr>
        <w:t xml:space="preserve">. </w:t>
      </w:r>
      <w:proofErr w:type="gramStart"/>
      <w:r w:rsidR="000F59E5" w:rsidRPr="00D12410">
        <w:rPr>
          <w:rFonts w:eastAsia="Calibri"/>
          <w:lang w:val="en-US"/>
        </w:rPr>
        <w:t>vs</w:t>
      </w:r>
      <w:proofErr w:type="gramEnd"/>
      <w:r w:rsidR="000F59E5" w:rsidRPr="00D12410">
        <w:rPr>
          <w:rFonts w:eastAsia="Calibri"/>
          <w:lang w:val="en-US"/>
        </w:rPr>
        <w:t xml:space="preserve"> Union </w:t>
      </w:r>
      <w:r w:rsidR="000F59E5">
        <w:rPr>
          <w:rFonts w:eastAsia="Calibri"/>
          <w:lang w:val="en-US"/>
        </w:rPr>
        <w:t>o</w:t>
      </w:r>
      <w:r w:rsidR="000F59E5" w:rsidRPr="00D12410">
        <w:rPr>
          <w:rFonts w:eastAsia="Calibri"/>
          <w:lang w:val="en-US"/>
        </w:rPr>
        <w:t xml:space="preserve">f India And </w:t>
      </w:r>
      <w:proofErr w:type="spellStart"/>
      <w:r w:rsidR="000F59E5" w:rsidRPr="00D12410">
        <w:rPr>
          <w:rFonts w:eastAsia="Calibri"/>
          <w:lang w:val="en-US"/>
        </w:rPr>
        <w:t>Ors</w:t>
      </w:r>
      <w:proofErr w:type="spellEnd"/>
      <w:r w:rsidR="000F59E5" w:rsidRPr="00D12410">
        <w:rPr>
          <w:rFonts w:eastAsia="Calibri"/>
          <w:lang w:val="en-US"/>
        </w:rPr>
        <w:t>. The judgmen</w:t>
      </w:r>
      <w:r w:rsidR="000F59E5">
        <w:rPr>
          <w:rFonts w:eastAsia="Calibri"/>
          <w:lang w:val="en-US"/>
        </w:rPr>
        <w:t>t states</w:t>
      </w:r>
      <w:r w:rsidR="000F59E5" w:rsidRPr="00D12410">
        <w:rPr>
          <w:rFonts w:eastAsia="Calibri"/>
          <w:lang w:val="en-US"/>
        </w:rPr>
        <w:t>: “Privacy is the ultimate expression of the sanctity of the individual. It is a constitutional value which straddles across the spectrum of fundamental rights and protects for the individual a zone of choic</w:t>
      </w:r>
      <w:r w:rsidR="00D378F1">
        <w:rPr>
          <w:rFonts w:eastAsia="Calibri"/>
          <w:lang w:val="en-US"/>
        </w:rPr>
        <w:t>e and self-determination” [169];</w:t>
      </w:r>
      <w:r w:rsidR="000F59E5" w:rsidRPr="00D12410">
        <w:rPr>
          <w:rFonts w:eastAsia="Calibri"/>
          <w:vertAlign w:val="superscript"/>
          <w:lang w:val="en-US"/>
        </w:rPr>
        <w:footnoteReference w:id="13"/>
      </w:r>
      <w:r w:rsidR="000F59E5" w:rsidRPr="00A4303D">
        <w:rPr>
          <w:rFonts w:eastAsia="Calibri"/>
          <w:lang w:val="en-US"/>
        </w:rPr>
        <w:t xml:space="preserve"> </w:t>
      </w:r>
    </w:p>
    <w:p w:rsidR="000F59E5" w:rsidRPr="00D12410" w:rsidRDefault="00C33A82" w:rsidP="00012D0C">
      <w:pPr>
        <w:pStyle w:val="SingleTxtG"/>
        <w:ind w:firstLine="567"/>
        <w:rPr>
          <w:rFonts w:eastAsia="Calibri"/>
          <w:lang w:val="en-US"/>
        </w:rPr>
      </w:pPr>
      <w:r>
        <w:rPr>
          <w:rFonts w:eastAsia="Calibri"/>
          <w:lang w:val="en-US"/>
        </w:rPr>
        <w:t>(b)</w:t>
      </w:r>
      <w:r w:rsidR="00EF1266">
        <w:rPr>
          <w:rFonts w:eastAsia="Calibri"/>
          <w:lang w:val="en-US"/>
        </w:rPr>
        <w:tab/>
      </w:r>
      <w:r w:rsidR="000F59E5">
        <w:rPr>
          <w:rFonts w:eastAsia="Calibri"/>
          <w:lang w:val="en-US"/>
        </w:rPr>
        <w:t>R</w:t>
      </w:r>
      <w:r w:rsidR="000F59E5" w:rsidRPr="00765F75">
        <w:rPr>
          <w:rFonts w:eastAsia="Calibri"/>
          <w:lang w:val="en-US"/>
        </w:rPr>
        <w:t xml:space="preserve">eporting the effects upon individuals and their personal development </w:t>
      </w:r>
      <w:r w:rsidR="000F59E5">
        <w:rPr>
          <w:rFonts w:eastAsia="Calibri"/>
          <w:lang w:val="en-US"/>
        </w:rPr>
        <w:t>of</w:t>
      </w:r>
      <w:r w:rsidR="000F59E5" w:rsidRPr="00D12410">
        <w:rPr>
          <w:rFonts w:eastAsia="Calibri"/>
          <w:lang w:val="en-US"/>
        </w:rPr>
        <w:t xml:space="preserve"> the depri</w:t>
      </w:r>
      <w:r w:rsidR="00D378F1">
        <w:rPr>
          <w:rFonts w:eastAsia="Calibri"/>
          <w:lang w:val="en-US"/>
        </w:rPr>
        <w:t xml:space="preserve">vation of the </w:t>
      </w:r>
      <w:r w:rsidR="00D378F1" w:rsidRPr="00012D0C">
        <w:rPr>
          <w:rFonts w:eastAsia="Calibri"/>
        </w:rPr>
        <w:t>right</w:t>
      </w:r>
      <w:r w:rsidR="00D378F1">
        <w:rPr>
          <w:rFonts w:eastAsia="Calibri"/>
          <w:lang w:val="en-US"/>
        </w:rPr>
        <w:t xml:space="preserve"> to privacy;</w:t>
      </w:r>
    </w:p>
    <w:p w:rsidR="000F59E5" w:rsidRPr="00765F75" w:rsidRDefault="00C33A82" w:rsidP="00012D0C">
      <w:pPr>
        <w:pStyle w:val="SingleTxtG"/>
        <w:ind w:firstLine="567"/>
        <w:rPr>
          <w:rFonts w:eastAsia="Calibri"/>
          <w:lang w:val="en-US"/>
        </w:rPr>
      </w:pPr>
      <w:r>
        <w:rPr>
          <w:rFonts w:eastAsia="Calibri"/>
          <w:lang w:val="en-US"/>
        </w:rPr>
        <w:t>(c)</w:t>
      </w:r>
      <w:r w:rsidR="00EF1266">
        <w:rPr>
          <w:rFonts w:eastAsia="Calibri"/>
          <w:lang w:val="en-US"/>
        </w:rPr>
        <w:tab/>
      </w:r>
      <w:r w:rsidR="000F59E5" w:rsidRPr="00012D0C">
        <w:rPr>
          <w:rFonts w:eastAsia="Calibri"/>
        </w:rPr>
        <w:t>Examining</w:t>
      </w:r>
      <w:r w:rsidR="000F59E5" w:rsidRPr="00D12410">
        <w:rPr>
          <w:rFonts w:eastAsia="Calibri"/>
          <w:lang w:val="en-US"/>
        </w:rPr>
        <w:t xml:space="preserve"> cyber</w:t>
      </w:r>
      <w:r w:rsidR="000F59E5">
        <w:rPr>
          <w:rFonts w:eastAsia="Calibri"/>
          <w:lang w:val="en-US"/>
        </w:rPr>
        <w:t>-</w:t>
      </w:r>
      <w:r w:rsidR="000F59E5" w:rsidRPr="00D12410">
        <w:rPr>
          <w:rFonts w:eastAsia="Calibri"/>
          <w:lang w:val="en-US"/>
        </w:rPr>
        <w:t>violence</w:t>
      </w:r>
      <w:r w:rsidR="000F59E5">
        <w:rPr>
          <w:rFonts w:eastAsia="Calibri"/>
          <w:lang w:val="en-US"/>
        </w:rPr>
        <w:t>,</w:t>
      </w:r>
      <w:r w:rsidR="000F59E5" w:rsidRPr="00D12410">
        <w:rPr>
          <w:rFonts w:eastAsia="Calibri"/>
          <w:lang w:val="en-US"/>
        </w:rPr>
        <w:t xml:space="preserve"> with </w:t>
      </w:r>
      <w:r w:rsidR="000F59E5">
        <w:rPr>
          <w:rFonts w:eastAsia="Calibri"/>
          <w:lang w:val="en-US"/>
        </w:rPr>
        <w:t xml:space="preserve">an </w:t>
      </w:r>
      <w:r w:rsidR="000F59E5" w:rsidRPr="00D12410">
        <w:rPr>
          <w:rFonts w:eastAsia="Calibri"/>
          <w:lang w:val="en-US"/>
        </w:rPr>
        <w:t xml:space="preserve">emphasis on </w:t>
      </w:r>
      <w:r w:rsidR="000F59E5">
        <w:rPr>
          <w:rFonts w:eastAsia="Calibri"/>
          <w:lang w:val="en-US"/>
        </w:rPr>
        <w:t>perspective gender-based analysis</w:t>
      </w:r>
      <w:r w:rsidR="000F59E5" w:rsidRPr="00D12410">
        <w:rPr>
          <w:rFonts w:eastAsia="Calibri"/>
          <w:lang w:val="en-US"/>
        </w:rPr>
        <w:t>, an</w:t>
      </w:r>
      <w:r w:rsidR="000F59E5">
        <w:rPr>
          <w:rFonts w:eastAsia="Calibri"/>
          <w:lang w:val="en-US"/>
        </w:rPr>
        <w:t xml:space="preserve">d </w:t>
      </w:r>
      <w:r w:rsidR="000F59E5" w:rsidRPr="00D12410">
        <w:rPr>
          <w:rFonts w:eastAsia="Calibri"/>
          <w:lang w:val="en-US"/>
        </w:rPr>
        <w:t>vulne</w:t>
      </w:r>
      <w:r w:rsidR="00D378F1">
        <w:rPr>
          <w:rFonts w:eastAsia="Calibri"/>
          <w:lang w:val="en-US"/>
        </w:rPr>
        <w:t>rable sections of the community;</w:t>
      </w:r>
      <w:r w:rsidR="000F59E5" w:rsidRPr="00765F75">
        <w:rPr>
          <w:rFonts w:eastAsia="Calibri"/>
          <w:vertAlign w:val="superscript"/>
          <w:lang w:val="en-US"/>
        </w:rPr>
        <w:footnoteReference w:id="14"/>
      </w:r>
    </w:p>
    <w:p w:rsidR="000F59E5" w:rsidRPr="00D12410" w:rsidRDefault="00C33A82" w:rsidP="00012D0C">
      <w:pPr>
        <w:pStyle w:val="SingleTxtG"/>
        <w:ind w:firstLine="567"/>
        <w:rPr>
          <w:rFonts w:eastAsia="Calibri"/>
          <w:lang w:val="en-US"/>
        </w:rPr>
      </w:pPr>
      <w:r>
        <w:rPr>
          <w:rFonts w:eastAsia="Calibri"/>
          <w:lang w:val="en-US"/>
        </w:rPr>
        <w:t>(d)</w:t>
      </w:r>
      <w:r w:rsidR="00EF1266">
        <w:rPr>
          <w:rFonts w:eastAsia="Calibri"/>
          <w:lang w:val="en-US"/>
        </w:rPr>
        <w:tab/>
      </w:r>
      <w:r w:rsidR="000F59E5">
        <w:rPr>
          <w:rFonts w:eastAsia="Calibri"/>
          <w:lang w:val="en-US"/>
        </w:rPr>
        <w:t>E</w:t>
      </w:r>
      <w:r w:rsidR="000F59E5" w:rsidRPr="00492B18">
        <w:rPr>
          <w:rFonts w:eastAsia="Calibri"/>
          <w:lang w:val="en-US"/>
        </w:rPr>
        <w:t>xploring the importance of privacy to the full development of the individual and to the societies in which they live and</w:t>
      </w:r>
      <w:r w:rsidR="000F59E5">
        <w:rPr>
          <w:rFonts w:eastAsia="Calibri"/>
          <w:lang w:val="en-US"/>
        </w:rPr>
        <w:t xml:space="preserve"> </w:t>
      </w:r>
      <w:r w:rsidR="000F59E5" w:rsidRPr="00D12410">
        <w:rPr>
          <w:rFonts w:eastAsia="Calibri"/>
          <w:lang w:val="en-US"/>
        </w:rPr>
        <w:t>contribute.</w:t>
      </w:r>
    </w:p>
    <w:p w:rsidR="000F59E5" w:rsidRPr="00D12410" w:rsidRDefault="00EF1266" w:rsidP="00EF1266">
      <w:pPr>
        <w:pStyle w:val="H23G"/>
        <w:rPr>
          <w:rFonts w:eastAsia="Calibri"/>
        </w:rPr>
      </w:pPr>
      <w:r>
        <w:rPr>
          <w:rFonts w:eastAsia="Calibri"/>
        </w:rPr>
        <w:tab/>
      </w:r>
      <w:r>
        <w:rPr>
          <w:rFonts w:eastAsia="Calibri"/>
        </w:rPr>
        <w:tab/>
      </w:r>
      <w:r w:rsidR="000F59E5" w:rsidRPr="00D12410">
        <w:rPr>
          <w:rFonts w:eastAsia="Calibri"/>
        </w:rPr>
        <w:t>Official country visits</w:t>
      </w:r>
    </w:p>
    <w:p w:rsidR="000F59E5" w:rsidRPr="008B784C" w:rsidRDefault="000F59E5" w:rsidP="000F59E5">
      <w:pPr>
        <w:pStyle w:val="SingleTxtG"/>
        <w:rPr>
          <w:rFonts w:eastAsia="Calibri"/>
          <w:lang w:val="en-US"/>
        </w:rPr>
      </w:pPr>
      <w:r>
        <w:rPr>
          <w:rFonts w:eastAsia="Calibri"/>
          <w:lang w:val="en-US"/>
        </w:rPr>
        <w:t>26</w:t>
      </w:r>
      <w:r w:rsidRPr="00D12410">
        <w:rPr>
          <w:rFonts w:eastAsia="Calibri"/>
          <w:lang w:val="en-US"/>
        </w:rPr>
        <w:t>.</w:t>
      </w:r>
      <w:r w:rsidRPr="00D12410">
        <w:rPr>
          <w:rFonts w:eastAsia="Calibri"/>
          <w:lang w:val="en-US"/>
        </w:rPr>
        <w:tab/>
      </w:r>
      <w:r>
        <w:rPr>
          <w:rFonts w:eastAsia="Calibri"/>
          <w:lang w:val="en-US"/>
        </w:rPr>
        <w:t>O</w:t>
      </w:r>
      <w:r w:rsidRPr="00492B18">
        <w:rPr>
          <w:rFonts w:eastAsia="Calibri"/>
          <w:lang w:val="en-US"/>
        </w:rPr>
        <w:t>fficial country visits</w:t>
      </w:r>
      <w:r>
        <w:rPr>
          <w:rFonts w:eastAsia="Calibri"/>
          <w:lang w:val="en-US"/>
        </w:rPr>
        <w:t xml:space="preserve"> </w:t>
      </w:r>
      <w:r w:rsidRPr="00B959A7">
        <w:rPr>
          <w:rFonts w:eastAsia="Calibri"/>
          <w:lang w:val="en-US"/>
        </w:rPr>
        <w:t xml:space="preserve">dates and timing of country </w:t>
      </w:r>
      <w:r>
        <w:rPr>
          <w:rFonts w:eastAsia="Calibri"/>
          <w:lang w:val="en-US"/>
        </w:rPr>
        <w:t>visits are negotiated with the Member States hosting the visits</w:t>
      </w:r>
      <w:r w:rsidRPr="008B784C">
        <w:rPr>
          <w:rFonts w:eastAsia="Calibri"/>
          <w:lang w:val="en-US"/>
        </w:rPr>
        <w:t>.</w:t>
      </w:r>
      <w:r>
        <w:rPr>
          <w:rFonts w:eastAsia="Calibri"/>
          <w:lang w:val="en-US"/>
        </w:rPr>
        <w:t xml:space="preserve"> Countries a</w:t>
      </w:r>
      <w:r w:rsidRPr="00492B18">
        <w:rPr>
          <w:rFonts w:eastAsia="Calibri"/>
          <w:lang w:val="en-US"/>
        </w:rPr>
        <w:t xml:space="preserve">re selected </w:t>
      </w:r>
      <w:r>
        <w:rPr>
          <w:rFonts w:eastAsia="Calibri"/>
          <w:lang w:val="en-US"/>
        </w:rPr>
        <w:t xml:space="preserve">largely </w:t>
      </w:r>
      <w:r w:rsidRPr="00492B18">
        <w:rPr>
          <w:rFonts w:eastAsia="Calibri"/>
          <w:lang w:val="en-US"/>
        </w:rPr>
        <w:t>on the basis of privacy</w:t>
      </w:r>
      <w:r>
        <w:rPr>
          <w:rFonts w:eastAsia="Calibri"/>
          <w:lang w:val="en-US"/>
        </w:rPr>
        <w:t>-related developments</w:t>
      </w:r>
      <w:r w:rsidRPr="00B959A7">
        <w:rPr>
          <w:rFonts w:eastAsia="Calibri"/>
          <w:lang w:val="en-US"/>
        </w:rPr>
        <w:t xml:space="preserve">. </w:t>
      </w:r>
    </w:p>
    <w:p w:rsidR="000F59E5" w:rsidRPr="00B959A7" w:rsidRDefault="000F59E5" w:rsidP="000F59E5">
      <w:pPr>
        <w:pStyle w:val="SingleTxtG"/>
        <w:rPr>
          <w:rFonts w:eastAsia="Calibri"/>
          <w:lang w:val="en-US"/>
        </w:rPr>
      </w:pPr>
      <w:r>
        <w:rPr>
          <w:rFonts w:eastAsia="Calibri"/>
          <w:lang w:val="en-US"/>
        </w:rPr>
        <w:t>27</w:t>
      </w:r>
      <w:r w:rsidRPr="008B784C">
        <w:rPr>
          <w:rFonts w:eastAsia="Calibri"/>
          <w:lang w:val="en-US"/>
        </w:rPr>
        <w:t>.</w:t>
      </w:r>
      <w:r w:rsidRPr="008B784C">
        <w:rPr>
          <w:rFonts w:eastAsia="Calibri"/>
          <w:lang w:val="en-US"/>
        </w:rPr>
        <w:tab/>
        <w:t>Requests for official country visits</w:t>
      </w:r>
      <w:r>
        <w:rPr>
          <w:rFonts w:eastAsia="Calibri"/>
          <w:lang w:val="en-US"/>
        </w:rPr>
        <w:t xml:space="preserve"> in the period from</w:t>
      </w:r>
      <w:r w:rsidRPr="00B959A7">
        <w:rPr>
          <w:rFonts w:eastAsia="Calibri"/>
          <w:lang w:val="en-US"/>
        </w:rPr>
        <w:t xml:space="preserve"> 2015 to 2017</w:t>
      </w:r>
      <w:r>
        <w:rPr>
          <w:rFonts w:eastAsia="Calibri"/>
          <w:lang w:val="en-US"/>
        </w:rPr>
        <w:t>:</w:t>
      </w:r>
    </w:p>
    <w:tbl>
      <w:tblPr>
        <w:tblW w:w="7370" w:type="dxa"/>
        <w:tblInd w:w="1134" w:type="dxa"/>
        <w:tblLayout w:type="fixed"/>
        <w:tblCellMar>
          <w:left w:w="0" w:type="dxa"/>
          <w:right w:w="0" w:type="dxa"/>
        </w:tblCellMar>
        <w:tblLook w:val="04A0" w:firstRow="1" w:lastRow="0" w:firstColumn="1" w:lastColumn="0" w:noHBand="0" w:noVBand="1"/>
      </w:tblPr>
      <w:tblGrid>
        <w:gridCol w:w="2617"/>
        <w:gridCol w:w="4753"/>
      </w:tblGrid>
      <w:tr w:rsidR="000F59E5" w:rsidRPr="00D378F1" w:rsidTr="00C46E60">
        <w:trPr>
          <w:tblHeader/>
        </w:trPr>
        <w:tc>
          <w:tcPr>
            <w:tcW w:w="2617" w:type="dxa"/>
            <w:tcBorders>
              <w:top w:val="single" w:sz="4" w:space="0" w:color="auto"/>
              <w:bottom w:val="single" w:sz="12" w:space="0" w:color="auto"/>
            </w:tcBorders>
            <w:shd w:val="clear" w:color="auto" w:fill="auto"/>
            <w:vAlign w:val="bottom"/>
            <w:hideMark/>
          </w:tcPr>
          <w:p w:rsidR="000F59E5" w:rsidRPr="00D378F1" w:rsidRDefault="000F59E5" w:rsidP="00D378F1">
            <w:pPr>
              <w:suppressAutoHyphens w:val="0"/>
              <w:spacing w:before="80" w:after="80" w:line="200" w:lineRule="exact"/>
              <w:rPr>
                <w:i/>
                <w:spacing w:val="4"/>
                <w:w w:val="103"/>
                <w:kern w:val="14"/>
                <w:sz w:val="16"/>
                <w:lang w:eastAsia="en-GB"/>
              </w:rPr>
            </w:pPr>
            <w:r w:rsidRPr="00D378F1">
              <w:rPr>
                <w:rFonts w:eastAsia="Calibri"/>
                <w:i/>
                <w:spacing w:val="4"/>
                <w:w w:val="103"/>
                <w:kern w:val="14"/>
                <w:sz w:val="16"/>
                <w:lang w:val="en-US" w:eastAsia="en-GB"/>
              </w:rPr>
              <w:t>COUNTRY</w:t>
            </w:r>
          </w:p>
        </w:tc>
        <w:tc>
          <w:tcPr>
            <w:tcW w:w="4753" w:type="dxa"/>
            <w:tcBorders>
              <w:top w:val="single" w:sz="4" w:space="0" w:color="auto"/>
              <w:bottom w:val="single" w:sz="12" w:space="0" w:color="auto"/>
            </w:tcBorders>
            <w:shd w:val="clear" w:color="auto" w:fill="auto"/>
            <w:vAlign w:val="bottom"/>
            <w:hideMark/>
          </w:tcPr>
          <w:p w:rsidR="000F59E5" w:rsidRPr="00D378F1" w:rsidRDefault="000F59E5" w:rsidP="00D378F1">
            <w:pPr>
              <w:suppressAutoHyphens w:val="0"/>
              <w:spacing w:before="80" w:after="80" w:line="200" w:lineRule="exact"/>
              <w:rPr>
                <w:i/>
                <w:spacing w:val="4"/>
                <w:w w:val="103"/>
                <w:kern w:val="14"/>
                <w:sz w:val="16"/>
                <w:lang w:eastAsia="en-GB"/>
              </w:rPr>
            </w:pPr>
            <w:r w:rsidRPr="00D378F1">
              <w:rPr>
                <w:rFonts w:eastAsia="Calibri"/>
                <w:i/>
                <w:spacing w:val="4"/>
                <w:w w:val="103"/>
                <w:kern w:val="14"/>
                <w:sz w:val="16"/>
                <w:lang w:val="en-US" w:eastAsia="en-GB"/>
              </w:rPr>
              <w:t>REQUEST DATE</w:t>
            </w:r>
          </w:p>
        </w:tc>
      </w:tr>
      <w:tr w:rsidR="00C46E60" w:rsidRPr="00C46E60" w:rsidTr="00C46E60">
        <w:trPr>
          <w:trHeight w:hRule="exact" w:val="113"/>
        </w:trPr>
        <w:tc>
          <w:tcPr>
            <w:tcW w:w="2617" w:type="dxa"/>
            <w:tcBorders>
              <w:top w:val="single" w:sz="12" w:space="0" w:color="auto"/>
            </w:tcBorders>
            <w:shd w:val="clear" w:color="auto" w:fill="auto"/>
          </w:tcPr>
          <w:p w:rsidR="00C46E60" w:rsidRPr="00C46E60" w:rsidRDefault="00C46E60" w:rsidP="00C46E60">
            <w:pPr>
              <w:spacing w:before="40" w:after="120"/>
              <w:ind w:right="113"/>
              <w:rPr>
                <w:rFonts w:eastAsia="Calibri"/>
                <w:lang w:val="en-US" w:eastAsia="en-GB"/>
              </w:rPr>
            </w:pPr>
          </w:p>
        </w:tc>
        <w:tc>
          <w:tcPr>
            <w:tcW w:w="4753" w:type="dxa"/>
            <w:tcBorders>
              <w:top w:val="single" w:sz="12" w:space="0" w:color="auto"/>
            </w:tcBorders>
            <w:shd w:val="clear" w:color="auto" w:fill="auto"/>
          </w:tcPr>
          <w:p w:rsidR="00C46E60" w:rsidRPr="00C46E60" w:rsidRDefault="00C46E60" w:rsidP="00C46E60">
            <w:pPr>
              <w:spacing w:before="40" w:after="120"/>
              <w:ind w:right="113"/>
              <w:rPr>
                <w:rFonts w:eastAsia="Calibri"/>
                <w:lang w:val="en-US" w:eastAsia="en-GB"/>
              </w:rPr>
            </w:pP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Republic of Korea</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31 March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South Africa</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31 March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China</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31 March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United States</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20 September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India</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21 October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Germany</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21 October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United Kingdom</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21 October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France</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29 November 2016</w:t>
            </w:r>
          </w:p>
        </w:tc>
      </w:tr>
      <w:tr w:rsidR="000F59E5" w:rsidRPr="00C46E60" w:rsidTr="00C46E60">
        <w:tc>
          <w:tcPr>
            <w:tcW w:w="2617"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Argentina</w:t>
            </w:r>
          </w:p>
        </w:tc>
        <w:tc>
          <w:tcPr>
            <w:tcW w:w="4753" w:type="dxa"/>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20 December 2017</w:t>
            </w:r>
          </w:p>
        </w:tc>
      </w:tr>
      <w:tr w:rsidR="000F59E5" w:rsidRPr="00C46E60" w:rsidTr="00C46E60">
        <w:tc>
          <w:tcPr>
            <w:tcW w:w="2617" w:type="dxa"/>
            <w:tcBorders>
              <w:bottom w:val="single" w:sz="12" w:space="0" w:color="auto"/>
            </w:tcBorders>
            <w:shd w:val="clear" w:color="auto" w:fill="auto"/>
            <w:hideMark/>
          </w:tcPr>
          <w:p w:rsidR="000F59E5" w:rsidRPr="00C46E60" w:rsidRDefault="000F59E5" w:rsidP="00C46E60">
            <w:pPr>
              <w:spacing w:before="40" w:after="120"/>
              <w:ind w:right="113"/>
              <w:rPr>
                <w:lang w:eastAsia="en-GB"/>
              </w:rPr>
            </w:pPr>
            <w:r w:rsidRPr="00C46E60">
              <w:rPr>
                <w:rFonts w:eastAsia="Calibri"/>
                <w:lang w:val="en-US" w:eastAsia="en-GB"/>
              </w:rPr>
              <w:t>Uruguay</w:t>
            </w:r>
          </w:p>
        </w:tc>
        <w:tc>
          <w:tcPr>
            <w:tcW w:w="4753" w:type="dxa"/>
            <w:tcBorders>
              <w:bottom w:val="single" w:sz="12" w:space="0" w:color="auto"/>
            </w:tcBorders>
            <w:shd w:val="clear" w:color="auto" w:fill="auto"/>
            <w:hideMark/>
          </w:tcPr>
          <w:p w:rsidR="000F59E5" w:rsidRPr="00C46E60" w:rsidRDefault="000F59E5" w:rsidP="00C46E60">
            <w:pPr>
              <w:spacing w:before="40" w:after="120"/>
              <w:ind w:right="113"/>
              <w:rPr>
                <w:lang w:eastAsia="en-GB"/>
              </w:rPr>
            </w:pPr>
            <w:r w:rsidRPr="00C46E60">
              <w:rPr>
                <w:rFonts w:eastAsia="Calibri"/>
                <w:lang w:val="en-US"/>
              </w:rPr>
              <w:t>8 January 2018</w:t>
            </w:r>
          </w:p>
        </w:tc>
      </w:tr>
    </w:tbl>
    <w:p w:rsidR="000F59E5" w:rsidRPr="006F16A4" w:rsidRDefault="000F59E5" w:rsidP="00CE3F8C">
      <w:pPr>
        <w:pStyle w:val="SingleTxtG"/>
        <w:spacing w:before="240"/>
        <w:rPr>
          <w:rFonts w:eastAsia="Calibri"/>
          <w:lang w:val="en-US"/>
        </w:rPr>
      </w:pPr>
      <w:r>
        <w:rPr>
          <w:rFonts w:eastAsia="Calibri"/>
          <w:lang w:val="en-US"/>
        </w:rPr>
        <w:t>28</w:t>
      </w:r>
      <w:r w:rsidRPr="008B784C">
        <w:rPr>
          <w:rFonts w:eastAsia="Calibri"/>
          <w:lang w:val="en-US"/>
        </w:rPr>
        <w:t>.</w:t>
      </w:r>
      <w:r w:rsidRPr="008B784C">
        <w:rPr>
          <w:rFonts w:eastAsia="Calibri"/>
          <w:lang w:val="en-US"/>
        </w:rPr>
        <w:tab/>
      </w:r>
      <w:r w:rsidRPr="00597B7F">
        <w:rPr>
          <w:rFonts w:eastAsia="Calibri"/>
          <w:lang w:val="en-US"/>
        </w:rPr>
        <w:t>Delays in conducting country visits generally arise from Governments’ late or non-responses to visit requests and circumstances which render it inappropriate for the Special Rapporteur to visit at a previously planned time. Visits</w:t>
      </w:r>
      <w:r>
        <w:rPr>
          <w:rFonts w:eastAsia="Calibri"/>
          <w:lang w:val="en-US"/>
        </w:rPr>
        <w:t xml:space="preserve"> form an integral part</w:t>
      </w:r>
      <w:r w:rsidRPr="00765F75">
        <w:rPr>
          <w:rFonts w:eastAsia="Calibri"/>
          <w:lang w:val="en-US"/>
        </w:rPr>
        <w:t xml:space="preserve"> </w:t>
      </w:r>
      <w:r>
        <w:rPr>
          <w:rFonts w:eastAsia="Calibri"/>
          <w:lang w:val="en-US"/>
        </w:rPr>
        <w:t xml:space="preserve">of </w:t>
      </w:r>
      <w:r w:rsidRPr="006F16A4">
        <w:rPr>
          <w:rFonts w:eastAsia="Calibri"/>
          <w:lang w:val="en-US"/>
        </w:rPr>
        <w:t>the Special Rapporteur</w:t>
      </w:r>
      <w:r>
        <w:rPr>
          <w:rFonts w:eastAsia="Calibri"/>
          <w:lang w:val="en-US"/>
        </w:rPr>
        <w:t xml:space="preserve">’s role in monitoring the right to </w:t>
      </w:r>
      <w:r w:rsidRPr="006F16A4">
        <w:rPr>
          <w:rFonts w:eastAsia="Calibri"/>
          <w:lang w:val="en-US"/>
        </w:rPr>
        <w:t xml:space="preserve">privacy. The meeting schedule </w:t>
      </w:r>
      <w:r>
        <w:rPr>
          <w:rFonts w:eastAsia="Calibri"/>
          <w:lang w:val="en-US"/>
        </w:rPr>
        <w:t>according</w:t>
      </w:r>
      <w:r w:rsidRPr="006F16A4">
        <w:rPr>
          <w:rFonts w:eastAsia="Calibri"/>
          <w:lang w:val="en-US"/>
        </w:rPr>
        <w:t>ly involves:</w:t>
      </w:r>
    </w:p>
    <w:p w:rsidR="000F59E5" w:rsidRPr="006F16A4" w:rsidRDefault="00721239" w:rsidP="00012D0C">
      <w:pPr>
        <w:pStyle w:val="SingleTxtG"/>
        <w:ind w:firstLine="567"/>
        <w:rPr>
          <w:rFonts w:eastAsia="Calibri"/>
          <w:lang w:val="en-US"/>
        </w:rPr>
      </w:pPr>
      <w:r>
        <w:rPr>
          <w:rFonts w:eastAsia="Calibri"/>
          <w:lang w:val="en-US"/>
        </w:rPr>
        <w:t>(a)</w:t>
      </w:r>
      <w:r w:rsidR="00EF1266">
        <w:rPr>
          <w:rFonts w:eastAsia="Calibri"/>
          <w:lang w:val="en-US"/>
        </w:rPr>
        <w:tab/>
      </w:r>
      <w:r w:rsidR="000F59E5">
        <w:rPr>
          <w:rFonts w:eastAsia="Calibri"/>
          <w:lang w:val="en-US"/>
        </w:rPr>
        <w:t>O</w:t>
      </w:r>
      <w:r w:rsidR="000F59E5" w:rsidRPr="006F16A4">
        <w:rPr>
          <w:rFonts w:eastAsia="Calibri"/>
          <w:lang w:val="en-US"/>
        </w:rPr>
        <w:t>fficial authorities</w:t>
      </w:r>
      <w:r w:rsidR="000F59E5">
        <w:rPr>
          <w:rFonts w:eastAsia="Calibri"/>
          <w:lang w:val="en-US"/>
        </w:rPr>
        <w:t>,</w:t>
      </w:r>
      <w:r w:rsidR="000F59E5" w:rsidRPr="006F16A4">
        <w:rPr>
          <w:rFonts w:eastAsia="Calibri"/>
          <w:lang w:val="en-US"/>
        </w:rPr>
        <w:t xml:space="preserve"> such as intelligence services, law enforcement, regulators/</w:t>
      </w:r>
      <w:r w:rsidR="000F59E5" w:rsidRPr="00012D0C">
        <w:rPr>
          <w:rFonts w:eastAsia="Calibri"/>
        </w:rPr>
        <w:t>oversight</w:t>
      </w:r>
      <w:r w:rsidR="000F59E5" w:rsidRPr="006F16A4">
        <w:rPr>
          <w:rFonts w:eastAsia="Calibri"/>
          <w:lang w:val="en-US"/>
        </w:rPr>
        <w:t xml:space="preserve"> authorities, and their responsible ministers</w:t>
      </w:r>
      <w:r w:rsidR="00CE3F8C">
        <w:rPr>
          <w:rFonts w:eastAsia="Calibri"/>
          <w:lang w:val="en-US"/>
        </w:rPr>
        <w:t>;</w:t>
      </w:r>
    </w:p>
    <w:p w:rsidR="000F59E5" w:rsidRPr="006F16A4" w:rsidRDefault="00721239" w:rsidP="00012D0C">
      <w:pPr>
        <w:pStyle w:val="SingleTxtG"/>
        <w:ind w:firstLine="567"/>
        <w:rPr>
          <w:rFonts w:eastAsia="Calibri"/>
          <w:lang w:val="en-US"/>
        </w:rPr>
      </w:pPr>
      <w:r>
        <w:rPr>
          <w:rFonts w:eastAsia="Calibri"/>
          <w:lang w:val="en-US"/>
        </w:rPr>
        <w:t>(b)</w:t>
      </w:r>
      <w:r>
        <w:rPr>
          <w:rFonts w:eastAsia="Calibri"/>
          <w:lang w:val="en-US"/>
        </w:rPr>
        <w:tab/>
      </w:r>
      <w:r w:rsidR="000F59E5">
        <w:rPr>
          <w:rFonts w:eastAsia="Calibri"/>
          <w:lang w:val="en-US"/>
        </w:rPr>
        <w:t>R</w:t>
      </w:r>
      <w:r w:rsidR="000F59E5" w:rsidRPr="006F16A4">
        <w:rPr>
          <w:rFonts w:eastAsia="Calibri"/>
          <w:lang w:val="en-US"/>
        </w:rPr>
        <w:t xml:space="preserve">epresentatives </w:t>
      </w:r>
      <w:r w:rsidR="000F59E5">
        <w:rPr>
          <w:rFonts w:eastAsia="Calibri"/>
          <w:lang w:val="en-US"/>
        </w:rPr>
        <w:t>of</w:t>
      </w:r>
      <w:r w:rsidR="000F59E5" w:rsidRPr="006F16A4">
        <w:rPr>
          <w:rFonts w:eastAsia="Calibri"/>
          <w:lang w:val="en-US"/>
        </w:rPr>
        <w:t xml:space="preserve"> civil society and other stakeholders, including activists, journalists, </w:t>
      </w:r>
      <w:r w:rsidR="000F59E5" w:rsidRPr="00012D0C">
        <w:rPr>
          <w:rFonts w:eastAsia="Calibri"/>
        </w:rPr>
        <w:t>academics</w:t>
      </w:r>
      <w:r w:rsidR="000F59E5" w:rsidRPr="006F16A4">
        <w:rPr>
          <w:rFonts w:eastAsia="Calibri"/>
          <w:lang w:val="en-US"/>
        </w:rPr>
        <w:t xml:space="preserve"> and others</w:t>
      </w:r>
      <w:r w:rsidR="000F59E5">
        <w:rPr>
          <w:rFonts w:eastAsia="Calibri"/>
          <w:lang w:val="en-US"/>
        </w:rPr>
        <w:t>.</w:t>
      </w:r>
    </w:p>
    <w:p w:rsidR="000F59E5" w:rsidRPr="006F16A4" w:rsidRDefault="000F59E5" w:rsidP="000F59E5">
      <w:pPr>
        <w:pStyle w:val="SingleTxtG"/>
        <w:rPr>
          <w:rFonts w:eastAsia="Calibri"/>
          <w:lang w:val="en-US"/>
        </w:rPr>
      </w:pPr>
      <w:r>
        <w:rPr>
          <w:rFonts w:eastAsia="Calibri"/>
          <w:lang w:val="en-US"/>
        </w:rPr>
        <w:t>29</w:t>
      </w:r>
      <w:r w:rsidRPr="006F16A4">
        <w:rPr>
          <w:rFonts w:eastAsia="Calibri"/>
          <w:lang w:val="en-US"/>
        </w:rPr>
        <w:t>.</w:t>
      </w:r>
      <w:r w:rsidRPr="006F16A4">
        <w:rPr>
          <w:rFonts w:eastAsia="Calibri"/>
          <w:lang w:val="en-US"/>
        </w:rPr>
        <w:tab/>
        <w:t xml:space="preserve">Meeting agendas generally comprise: </w:t>
      </w:r>
    </w:p>
    <w:p w:rsidR="000F59E5" w:rsidRDefault="000F59E5" w:rsidP="00012D0C">
      <w:pPr>
        <w:pStyle w:val="SingleTxtG"/>
        <w:ind w:firstLine="567"/>
        <w:rPr>
          <w:rFonts w:eastAsia="Calibri"/>
          <w:lang w:val="en-US"/>
        </w:rPr>
      </w:pPr>
      <w:r w:rsidRPr="006F16A4">
        <w:rPr>
          <w:rFonts w:eastAsia="Calibri"/>
          <w:lang w:val="en-US"/>
        </w:rPr>
        <w:t>(</w:t>
      </w:r>
      <w:r>
        <w:rPr>
          <w:rFonts w:eastAsia="Calibri"/>
          <w:lang w:val="en-US"/>
        </w:rPr>
        <w:t>a</w:t>
      </w:r>
      <w:r w:rsidR="00CE3F8C">
        <w:rPr>
          <w:rFonts w:eastAsia="Calibri"/>
          <w:lang w:val="en-US"/>
        </w:rPr>
        <w:t>)</w:t>
      </w:r>
      <w:r w:rsidR="00EF1266">
        <w:rPr>
          <w:rFonts w:eastAsia="Calibri"/>
          <w:lang w:val="en-US"/>
        </w:rPr>
        <w:tab/>
      </w:r>
      <w:r w:rsidRPr="00012D0C">
        <w:rPr>
          <w:rFonts w:eastAsia="Calibri"/>
        </w:rPr>
        <w:t>Constitutional</w:t>
      </w:r>
      <w:r>
        <w:rPr>
          <w:rFonts w:eastAsia="Calibri"/>
          <w:lang w:val="en-US"/>
        </w:rPr>
        <w:t>, legal and institutional frameworks</w:t>
      </w:r>
      <w:r w:rsidR="00CE3F8C">
        <w:rPr>
          <w:rFonts w:eastAsia="Calibri"/>
          <w:lang w:val="en-US"/>
        </w:rPr>
        <w:t>;</w:t>
      </w:r>
    </w:p>
    <w:p w:rsidR="000F59E5" w:rsidRPr="006F16A4" w:rsidRDefault="00CE3F8C" w:rsidP="00012D0C">
      <w:pPr>
        <w:pStyle w:val="SingleTxtG"/>
        <w:ind w:firstLine="567"/>
        <w:rPr>
          <w:rFonts w:eastAsia="Calibri"/>
          <w:lang w:val="en-US"/>
        </w:rPr>
      </w:pPr>
      <w:r>
        <w:rPr>
          <w:rFonts w:eastAsia="Calibri"/>
          <w:lang w:val="en-US"/>
        </w:rPr>
        <w:t>(b)</w:t>
      </w:r>
      <w:r w:rsidR="00EF1266">
        <w:rPr>
          <w:rFonts w:eastAsia="Calibri"/>
          <w:lang w:val="en-US"/>
        </w:rPr>
        <w:tab/>
      </w:r>
      <w:r w:rsidR="000F59E5" w:rsidRPr="006F16A4">
        <w:rPr>
          <w:rFonts w:eastAsia="Calibri"/>
          <w:lang w:val="en-US"/>
        </w:rPr>
        <w:t xml:space="preserve">Big data, surveillance, threats to privacy, the </w:t>
      </w:r>
      <w:r w:rsidR="000F59E5">
        <w:rPr>
          <w:rFonts w:eastAsia="Calibri"/>
          <w:lang w:val="en-US"/>
        </w:rPr>
        <w:t xml:space="preserve">Special Rapporteur’s </w:t>
      </w:r>
      <w:r w:rsidR="000F59E5" w:rsidRPr="006F16A4">
        <w:rPr>
          <w:rFonts w:eastAsia="Calibri"/>
          <w:lang w:val="en-US"/>
        </w:rPr>
        <w:t xml:space="preserve">five thematic </w:t>
      </w:r>
      <w:r w:rsidR="000F59E5" w:rsidRPr="00012D0C">
        <w:rPr>
          <w:rFonts w:eastAsia="Calibri"/>
        </w:rPr>
        <w:t>action</w:t>
      </w:r>
      <w:r w:rsidR="000F59E5" w:rsidRPr="006F16A4">
        <w:rPr>
          <w:rFonts w:eastAsia="Calibri"/>
          <w:lang w:val="en-US"/>
        </w:rPr>
        <w:t xml:space="preserve"> priorities</w:t>
      </w:r>
      <w:r w:rsidR="000F59E5">
        <w:rPr>
          <w:rFonts w:eastAsia="Calibri"/>
          <w:lang w:val="en-US"/>
        </w:rPr>
        <w:t>, as well as assessment of in</w:t>
      </w:r>
      <w:r>
        <w:rPr>
          <w:rFonts w:eastAsia="Calibri"/>
          <w:lang w:val="en-US"/>
        </w:rPr>
        <w:t>telligence oversight mechanisms;</w:t>
      </w:r>
    </w:p>
    <w:p w:rsidR="000F59E5" w:rsidRPr="006F16A4" w:rsidRDefault="00CE3F8C" w:rsidP="00012D0C">
      <w:pPr>
        <w:pStyle w:val="SingleTxtG"/>
        <w:ind w:firstLine="567"/>
        <w:rPr>
          <w:rFonts w:eastAsia="Calibri"/>
          <w:lang w:val="en-US"/>
        </w:rPr>
      </w:pPr>
      <w:r>
        <w:rPr>
          <w:rFonts w:eastAsia="Calibri"/>
          <w:lang w:val="en-US"/>
        </w:rPr>
        <w:t>(c)</w:t>
      </w:r>
      <w:r w:rsidR="00EF1266">
        <w:rPr>
          <w:rFonts w:eastAsia="Calibri"/>
          <w:lang w:val="en-US"/>
        </w:rPr>
        <w:tab/>
      </w:r>
      <w:r w:rsidR="000F59E5" w:rsidRPr="00012D0C">
        <w:rPr>
          <w:rFonts w:eastAsia="Calibri"/>
        </w:rPr>
        <w:t>Concerns</w:t>
      </w:r>
      <w:r w:rsidR="000F59E5">
        <w:rPr>
          <w:rFonts w:eastAsia="Calibri"/>
          <w:lang w:val="en-US"/>
        </w:rPr>
        <w:t xml:space="preserve"> shared with the Special Rapporteur by</w:t>
      </w:r>
      <w:r w:rsidR="000F59E5" w:rsidRPr="006F16A4">
        <w:rPr>
          <w:rFonts w:eastAsia="Calibri"/>
          <w:lang w:val="en-US"/>
        </w:rPr>
        <w:t xml:space="preserve"> experts and </w:t>
      </w:r>
      <w:r w:rsidR="000F59E5">
        <w:rPr>
          <w:rFonts w:eastAsia="Calibri"/>
          <w:lang w:val="en-US"/>
        </w:rPr>
        <w:t xml:space="preserve">civil society </w:t>
      </w:r>
      <w:r w:rsidR="000F59E5" w:rsidRPr="006F16A4">
        <w:rPr>
          <w:rFonts w:eastAsia="Calibri"/>
          <w:lang w:val="en-US"/>
        </w:rPr>
        <w:t>organi</w:t>
      </w:r>
      <w:r w:rsidR="000F59E5">
        <w:rPr>
          <w:rFonts w:eastAsia="Calibri"/>
          <w:lang w:val="en-US"/>
        </w:rPr>
        <w:t>z</w:t>
      </w:r>
      <w:r w:rsidR="000F59E5" w:rsidRPr="006F16A4">
        <w:rPr>
          <w:rFonts w:eastAsia="Calibri"/>
          <w:lang w:val="en-US"/>
        </w:rPr>
        <w:t>ations</w:t>
      </w:r>
      <w:r w:rsidR="000F59E5">
        <w:rPr>
          <w:rFonts w:eastAsia="Calibri"/>
          <w:lang w:val="en-US"/>
        </w:rPr>
        <w:t>.</w:t>
      </w:r>
    </w:p>
    <w:p w:rsidR="000F59E5" w:rsidRPr="007307A9" w:rsidRDefault="00EF1266" w:rsidP="00EF1266">
      <w:pPr>
        <w:pStyle w:val="H23G"/>
        <w:rPr>
          <w:rFonts w:eastAsia="Calibri"/>
        </w:rPr>
      </w:pPr>
      <w:r>
        <w:rPr>
          <w:rFonts w:eastAsia="Calibri"/>
        </w:rPr>
        <w:tab/>
      </w:r>
      <w:r>
        <w:rPr>
          <w:rFonts w:eastAsia="Calibri"/>
        </w:rPr>
        <w:tab/>
      </w:r>
      <w:r w:rsidR="000F59E5" w:rsidRPr="006F16A4">
        <w:rPr>
          <w:rFonts w:eastAsia="Calibri"/>
        </w:rPr>
        <w:t xml:space="preserve">‘Non </w:t>
      </w:r>
      <w:r w:rsidR="000F59E5">
        <w:rPr>
          <w:rFonts w:eastAsia="Calibri"/>
        </w:rPr>
        <w:t>o</w:t>
      </w:r>
      <w:r w:rsidR="000F59E5" w:rsidRPr="006F16A4">
        <w:rPr>
          <w:rFonts w:eastAsia="Calibri"/>
        </w:rPr>
        <w:t xml:space="preserve">fficial’ </w:t>
      </w:r>
      <w:r w:rsidR="000F59E5">
        <w:rPr>
          <w:rFonts w:eastAsia="Calibri"/>
        </w:rPr>
        <w:t>c</w:t>
      </w:r>
      <w:r w:rsidR="000F59E5" w:rsidRPr="007307A9">
        <w:rPr>
          <w:rFonts w:eastAsia="Calibri"/>
        </w:rPr>
        <w:t xml:space="preserve">ountry </w:t>
      </w:r>
      <w:r w:rsidR="000F59E5">
        <w:rPr>
          <w:rFonts w:eastAsia="Calibri"/>
        </w:rPr>
        <w:t>v</w:t>
      </w:r>
      <w:r w:rsidR="000F59E5" w:rsidRPr="007307A9">
        <w:rPr>
          <w:rFonts w:eastAsia="Calibri"/>
        </w:rPr>
        <w:t>isits</w:t>
      </w:r>
    </w:p>
    <w:p w:rsidR="000F59E5" w:rsidRPr="00E53AC8" w:rsidRDefault="000F59E5" w:rsidP="000F59E5">
      <w:pPr>
        <w:pStyle w:val="SingleTxtG"/>
        <w:rPr>
          <w:rFonts w:eastAsia="Calibri"/>
          <w:lang w:val="en-US"/>
        </w:rPr>
      </w:pPr>
      <w:r>
        <w:rPr>
          <w:rFonts w:eastAsia="Calibri"/>
          <w:lang w:val="en-US"/>
        </w:rPr>
        <w:t>30.</w:t>
      </w:r>
      <w:r>
        <w:rPr>
          <w:rFonts w:eastAsia="Calibri"/>
          <w:lang w:val="en-US"/>
        </w:rPr>
        <w:tab/>
      </w:r>
      <w:r w:rsidRPr="007307A9">
        <w:rPr>
          <w:rFonts w:eastAsia="Calibri"/>
          <w:lang w:val="en-US"/>
        </w:rPr>
        <w:t>The Special Rapporteur visit</w:t>
      </w:r>
      <w:r>
        <w:rPr>
          <w:rFonts w:eastAsia="Calibri"/>
          <w:lang w:val="en-US"/>
        </w:rPr>
        <w:t>s</w:t>
      </w:r>
      <w:r w:rsidRPr="00E53AC8">
        <w:rPr>
          <w:rFonts w:eastAsia="Calibri"/>
          <w:lang w:val="en-US"/>
        </w:rPr>
        <w:t xml:space="preserve"> countries for other purposes</w:t>
      </w:r>
      <w:r>
        <w:rPr>
          <w:rFonts w:eastAsia="Calibri"/>
          <w:lang w:val="en-US"/>
        </w:rPr>
        <w:t>,</w:t>
      </w:r>
      <w:r w:rsidRPr="006F16A4">
        <w:rPr>
          <w:rFonts w:eastAsia="Calibri"/>
          <w:lang w:val="en-US"/>
        </w:rPr>
        <w:t xml:space="preserve"> such as international conferences, </w:t>
      </w:r>
      <w:r>
        <w:rPr>
          <w:rFonts w:eastAsia="Calibri"/>
          <w:lang w:val="en-US"/>
        </w:rPr>
        <w:t xml:space="preserve">and </w:t>
      </w:r>
      <w:r w:rsidRPr="005D7D0A">
        <w:rPr>
          <w:rFonts w:eastAsia="Calibri"/>
          <w:lang w:val="en-US"/>
        </w:rPr>
        <w:t xml:space="preserve">gathers information </w:t>
      </w:r>
      <w:r>
        <w:rPr>
          <w:rFonts w:eastAsia="Calibri"/>
          <w:lang w:val="en-US"/>
        </w:rPr>
        <w:t>which can be used in his</w:t>
      </w:r>
      <w:r w:rsidRPr="005D7D0A">
        <w:rPr>
          <w:rFonts w:eastAsia="Calibri"/>
          <w:lang w:val="en-US"/>
        </w:rPr>
        <w:t xml:space="preserve"> thematic action streams. For example, in the five months prior to </w:t>
      </w:r>
      <w:r>
        <w:rPr>
          <w:rFonts w:eastAsia="Calibri"/>
          <w:lang w:val="en-US"/>
        </w:rPr>
        <w:t xml:space="preserve">the report </w:t>
      </w:r>
      <w:r w:rsidRPr="005D7D0A">
        <w:rPr>
          <w:rFonts w:eastAsia="Calibri"/>
          <w:lang w:val="en-US"/>
        </w:rPr>
        <w:t>to the General Assembly in 2016, the Special Rapporteur participated in multiple activities in 11 countries as diverse and as geographically distant as Australia, Austria, Denmark, France</w:t>
      </w:r>
      <w:r w:rsidRPr="00A61A21">
        <w:rPr>
          <w:rFonts w:eastAsia="Calibri"/>
          <w:lang w:val="en-US"/>
        </w:rPr>
        <w:t>, Germany,</w:t>
      </w:r>
      <w:r w:rsidRPr="005D7D0A">
        <w:rPr>
          <w:rFonts w:eastAsia="Calibri"/>
          <w:lang w:val="en-US"/>
        </w:rPr>
        <w:t xml:space="preserve"> Italy, Latvia, the Netherlands, New Zealand, Switzerland and the United States</w:t>
      </w:r>
      <w:r>
        <w:rPr>
          <w:rFonts w:eastAsia="Calibri"/>
          <w:lang w:val="en-US"/>
        </w:rPr>
        <w:t xml:space="preserve"> of America</w:t>
      </w:r>
      <w:r w:rsidRPr="00E53AC8">
        <w:rPr>
          <w:rFonts w:eastAsia="Calibri"/>
          <w:lang w:val="en-US"/>
        </w:rPr>
        <w:t>. These engagements identified areas important to the promotion of privacy</w:t>
      </w:r>
      <w:r>
        <w:rPr>
          <w:rFonts w:eastAsia="Calibri"/>
          <w:lang w:val="en-US"/>
        </w:rPr>
        <w:t>,</w:t>
      </w:r>
      <w:r w:rsidRPr="005D7D0A">
        <w:rPr>
          <w:rFonts w:eastAsia="Calibri"/>
          <w:lang w:val="en-US"/>
        </w:rPr>
        <w:t xml:space="preserve"> such as the protection of the privacy of children</w:t>
      </w:r>
      <w:r>
        <w:rPr>
          <w:rFonts w:eastAsia="Calibri"/>
          <w:lang w:val="en-US"/>
        </w:rPr>
        <w:t>,</w:t>
      </w:r>
      <w:r w:rsidRPr="00E53AC8">
        <w:rPr>
          <w:rFonts w:eastAsia="Calibri"/>
          <w:lang w:val="en-US"/>
        </w:rPr>
        <w:t xml:space="preserve"> the structural and organi</w:t>
      </w:r>
      <w:r>
        <w:rPr>
          <w:rFonts w:eastAsia="Calibri"/>
          <w:lang w:val="en-US"/>
        </w:rPr>
        <w:t>z</w:t>
      </w:r>
      <w:r w:rsidRPr="005D7D0A">
        <w:rPr>
          <w:rFonts w:eastAsia="Calibri"/>
          <w:lang w:val="en-US"/>
        </w:rPr>
        <w:t>ational arrangements for privacy</w:t>
      </w:r>
      <w:r w:rsidRPr="00E53AC8">
        <w:rPr>
          <w:rFonts w:eastAsia="Calibri"/>
          <w:lang w:val="en-US"/>
        </w:rPr>
        <w:t xml:space="preserve"> and data re</w:t>
      </w:r>
      <w:r>
        <w:rPr>
          <w:rFonts w:eastAsia="Calibri"/>
          <w:lang w:val="en-US"/>
        </w:rPr>
        <w:t xml:space="preserve">gulators amongst others. </w:t>
      </w:r>
    </w:p>
    <w:p w:rsidR="000F59E5" w:rsidRPr="00AA75B0" w:rsidRDefault="00EF1266" w:rsidP="00EF1266">
      <w:pPr>
        <w:pStyle w:val="H23G"/>
        <w:rPr>
          <w:rFonts w:eastAsia="Calibri"/>
        </w:rPr>
      </w:pPr>
      <w:r>
        <w:rPr>
          <w:rFonts w:eastAsia="Calibri"/>
        </w:rPr>
        <w:tab/>
      </w:r>
      <w:r>
        <w:rPr>
          <w:rFonts w:eastAsia="Calibri"/>
        </w:rPr>
        <w:tab/>
      </w:r>
      <w:r w:rsidR="000F59E5" w:rsidRPr="00AA75B0">
        <w:rPr>
          <w:rFonts w:eastAsia="Calibri"/>
        </w:rPr>
        <w:t>Consultations</w:t>
      </w:r>
    </w:p>
    <w:p w:rsidR="000F59E5" w:rsidRPr="00AA75B0" w:rsidRDefault="000F59E5" w:rsidP="000F59E5">
      <w:pPr>
        <w:pStyle w:val="SingleTxtG"/>
        <w:rPr>
          <w:rFonts w:eastAsia="Calibri"/>
          <w:lang w:val="en-US"/>
        </w:rPr>
      </w:pPr>
      <w:r>
        <w:rPr>
          <w:rFonts w:eastAsia="Calibri"/>
          <w:lang w:val="en-US"/>
        </w:rPr>
        <w:t>31.</w:t>
      </w:r>
      <w:r>
        <w:rPr>
          <w:rFonts w:eastAsia="Calibri"/>
          <w:lang w:val="en-US"/>
        </w:rPr>
        <w:tab/>
      </w:r>
      <w:r w:rsidRPr="00AA75B0">
        <w:rPr>
          <w:rFonts w:eastAsia="Calibri"/>
          <w:lang w:val="en-US"/>
        </w:rPr>
        <w:t>The Special Rapporteur h</w:t>
      </w:r>
      <w:r>
        <w:rPr>
          <w:rFonts w:eastAsia="Calibri"/>
          <w:lang w:val="en-US"/>
        </w:rPr>
        <w:t>as engaged with civil society, G</w:t>
      </w:r>
      <w:r w:rsidRPr="00AA75B0">
        <w:rPr>
          <w:rFonts w:eastAsia="Calibri"/>
          <w:lang w:val="en-US"/>
        </w:rPr>
        <w:t>overnments, law enforcement, intelligence services, data protection authorities, intelligence oversight authorities, academics, corporations and other stakeholders in Africa, America (North, Central and South), Asia, Australasia, and Europe. In 2016</w:t>
      </w:r>
      <w:r>
        <w:rPr>
          <w:rFonts w:eastAsia="Calibri"/>
          <w:lang w:val="en-US"/>
        </w:rPr>
        <w:t xml:space="preserve"> and 20</w:t>
      </w:r>
      <w:r w:rsidRPr="009D53FB">
        <w:rPr>
          <w:rFonts w:eastAsia="Calibri"/>
          <w:lang w:val="en-US"/>
        </w:rPr>
        <w:t>17</w:t>
      </w:r>
      <w:r w:rsidRPr="00AA75B0">
        <w:rPr>
          <w:rFonts w:eastAsia="Calibri"/>
          <w:lang w:val="en-US"/>
        </w:rPr>
        <w:t xml:space="preserve"> alone, 26 engagements took the Special Rapporteur to over 30 different cities, some in Asia, North Africa and Central America, with a fourth in the </w:t>
      </w:r>
      <w:r>
        <w:rPr>
          <w:rFonts w:eastAsia="Calibri"/>
          <w:lang w:val="en-US"/>
        </w:rPr>
        <w:t>United States</w:t>
      </w:r>
      <w:r w:rsidRPr="00AA75B0">
        <w:rPr>
          <w:rFonts w:eastAsia="Calibri"/>
          <w:lang w:val="en-US"/>
        </w:rPr>
        <w:t xml:space="preserve"> and over a half in Europe.</w:t>
      </w:r>
    </w:p>
    <w:p w:rsidR="000F59E5" w:rsidRPr="007307A9" w:rsidRDefault="00EF1266" w:rsidP="00EF1266">
      <w:pPr>
        <w:pStyle w:val="H23G"/>
        <w:rPr>
          <w:rFonts w:eastAsia="Calibri"/>
        </w:rPr>
      </w:pPr>
      <w:r>
        <w:rPr>
          <w:rFonts w:eastAsia="Calibri"/>
        </w:rPr>
        <w:tab/>
      </w:r>
      <w:r>
        <w:rPr>
          <w:rFonts w:eastAsia="Calibri"/>
        </w:rPr>
        <w:tab/>
      </w:r>
      <w:r w:rsidR="000F59E5" w:rsidRPr="009D53FB">
        <w:rPr>
          <w:rFonts w:eastAsia="Calibri"/>
        </w:rPr>
        <w:t>Drafting</w:t>
      </w:r>
      <w:r w:rsidR="000F59E5" w:rsidRPr="007307A9">
        <w:rPr>
          <w:rFonts w:eastAsia="Calibri"/>
        </w:rPr>
        <w:t xml:space="preserve"> recommendations for </w:t>
      </w:r>
      <w:r w:rsidR="000F59E5" w:rsidRPr="009D53FB">
        <w:rPr>
          <w:rFonts w:eastAsia="Calibri"/>
        </w:rPr>
        <w:t>the</w:t>
      </w:r>
      <w:r w:rsidR="000F59E5" w:rsidRPr="007307A9">
        <w:rPr>
          <w:rFonts w:eastAsia="Calibri"/>
        </w:rPr>
        <w:t xml:space="preserve"> promotion and protection</w:t>
      </w:r>
      <w:r w:rsidR="000F59E5" w:rsidRPr="009D53FB">
        <w:rPr>
          <w:rFonts w:eastAsia="Calibri"/>
        </w:rPr>
        <w:t xml:space="preserve"> of the right to</w:t>
      </w:r>
      <w:r w:rsidR="000F59E5">
        <w:rPr>
          <w:rFonts w:eastAsia="Calibri"/>
        </w:rPr>
        <w:t xml:space="preserve"> privacy</w:t>
      </w:r>
      <w:r w:rsidR="000F59E5" w:rsidRPr="007307A9">
        <w:rPr>
          <w:rFonts w:eastAsia="Calibri"/>
        </w:rPr>
        <w:t>, including challenge</w:t>
      </w:r>
      <w:r w:rsidR="002209D4">
        <w:rPr>
          <w:rFonts w:eastAsia="Calibri"/>
        </w:rPr>
        <w:t>s arising from new technologies</w:t>
      </w:r>
    </w:p>
    <w:p w:rsidR="000F59E5" w:rsidRPr="009D53FB" w:rsidRDefault="000F59E5" w:rsidP="000F59E5">
      <w:pPr>
        <w:pStyle w:val="SingleTxtG"/>
        <w:rPr>
          <w:rFonts w:eastAsia="Calibri"/>
          <w:lang w:val="en-US"/>
        </w:rPr>
      </w:pPr>
      <w:r>
        <w:rPr>
          <w:rFonts w:eastAsia="Calibri"/>
          <w:lang w:val="en-US"/>
        </w:rPr>
        <w:t>32.</w:t>
      </w:r>
      <w:r>
        <w:rPr>
          <w:rFonts w:eastAsia="Calibri"/>
          <w:lang w:val="en-US"/>
        </w:rPr>
        <w:tab/>
        <w:t>The i</w:t>
      </w:r>
      <w:r w:rsidRPr="009D53FB">
        <w:rPr>
          <w:rFonts w:eastAsia="Calibri"/>
          <w:lang w:val="en-US"/>
        </w:rPr>
        <w:t xml:space="preserve">nformation </w:t>
      </w:r>
      <w:r w:rsidRPr="00AA75B0">
        <w:rPr>
          <w:rFonts w:eastAsia="Calibri"/>
          <w:lang w:val="en-US"/>
        </w:rPr>
        <w:t xml:space="preserve">gathered </w:t>
      </w:r>
      <w:r>
        <w:rPr>
          <w:rFonts w:eastAsia="Calibri"/>
          <w:lang w:val="en-US"/>
        </w:rPr>
        <w:t xml:space="preserve">by the Special Rapporteur </w:t>
      </w:r>
      <w:r w:rsidRPr="00AA75B0">
        <w:rPr>
          <w:rFonts w:eastAsia="Calibri"/>
          <w:lang w:val="en-US"/>
        </w:rPr>
        <w:t>in the activities outlined above</w:t>
      </w:r>
      <w:r>
        <w:rPr>
          <w:rFonts w:eastAsia="Calibri"/>
          <w:lang w:val="en-US"/>
        </w:rPr>
        <w:t xml:space="preserve"> </w:t>
      </w:r>
      <w:r w:rsidRPr="009D53FB">
        <w:rPr>
          <w:rFonts w:eastAsia="Calibri"/>
          <w:lang w:val="en-US"/>
        </w:rPr>
        <w:t>assist</w:t>
      </w:r>
      <w:r>
        <w:rPr>
          <w:rFonts w:eastAsia="Calibri"/>
          <w:lang w:val="en-US"/>
        </w:rPr>
        <w:t>s</w:t>
      </w:r>
      <w:r w:rsidRPr="009D53FB">
        <w:rPr>
          <w:rFonts w:eastAsia="Calibri"/>
          <w:lang w:val="en-US"/>
        </w:rPr>
        <w:t xml:space="preserve"> </w:t>
      </w:r>
      <w:r>
        <w:rPr>
          <w:rFonts w:eastAsia="Calibri"/>
          <w:lang w:val="en-US"/>
        </w:rPr>
        <w:t>him</w:t>
      </w:r>
      <w:r w:rsidRPr="00AA75B0">
        <w:rPr>
          <w:rFonts w:eastAsia="Calibri"/>
          <w:lang w:val="en-US"/>
        </w:rPr>
        <w:t xml:space="preserve"> </w:t>
      </w:r>
      <w:r>
        <w:rPr>
          <w:rFonts w:eastAsia="Calibri"/>
          <w:lang w:val="en-US"/>
        </w:rPr>
        <w:t>formulate</w:t>
      </w:r>
      <w:r w:rsidRPr="009D53FB">
        <w:rPr>
          <w:rFonts w:eastAsia="Calibri"/>
          <w:lang w:val="en-US"/>
        </w:rPr>
        <w:t xml:space="preserve"> </w:t>
      </w:r>
      <w:r w:rsidRPr="00AA75B0">
        <w:rPr>
          <w:rFonts w:eastAsia="Calibri"/>
          <w:lang w:val="en-US"/>
        </w:rPr>
        <w:t xml:space="preserve">recommendations </w:t>
      </w:r>
      <w:r>
        <w:rPr>
          <w:rFonts w:eastAsia="Calibri"/>
          <w:lang w:val="en-US"/>
        </w:rPr>
        <w:t xml:space="preserve">for his reports </w:t>
      </w:r>
      <w:r w:rsidRPr="00AA75B0">
        <w:rPr>
          <w:rFonts w:eastAsia="Calibri"/>
          <w:lang w:val="en-US"/>
        </w:rPr>
        <w:t>to the Human Rights Council and the General Assembly</w:t>
      </w:r>
      <w:r w:rsidRPr="009D53FB">
        <w:rPr>
          <w:rFonts w:eastAsia="Calibri"/>
          <w:lang w:val="en-US"/>
        </w:rPr>
        <w:t>.</w:t>
      </w:r>
    </w:p>
    <w:p w:rsidR="000F59E5" w:rsidRPr="009D53FB" w:rsidRDefault="00EF1266" w:rsidP="002209D4">
      <w:pPr>
        <w:pStyle w:val="H23G"/>
        <w:rPr>
          <w:rFonts w:eastAsia="Calibri"/>
        </w:rPr>
      </w:pPr>
      <w:r>
        <w:rPr>
          <w:rFonts w:eastAsia="Calibri"/>
        </w:rPr>
        <w:tab/>
      </w:r>
      <w:r>
        <w:rPr>
          <w:rFonts w:eastAsia="Calibri"/>
        </w:rPr>
        <w:tab/>
      </w:r>
      <w:r w:rsidR="000F59E5" w:rsidRPr="009D53FB">
        <w:rPr>
          <w:rFonts w:eastAsia="Calibri"/>
        </w:rPr>
        <w:t>Achievements</w:t>
      </w:r>
    </w:p>
    <w:p w:rsidR="000F59E5" w:rsidRPr="009D53FB" w:rsidRDefault="000F59E5" w:rsidP="002209D4">
      <w:pPr>
        <w:pStyle w:val="SingleTxtG"/>
        <w:keepNext/>
        <w:keepLines/>
        <w:rPr>
          <w:rFonts w:eastAsia="Calibri"/>
          <w:lang w:val="en-US"/>
        </w:rPr>
      </w:pPr>
      <w:r>
        <w:rPr>
          <w:rFonts w:eastAsia="Calibri"/>
          <w:lang w:val="en-US"/>
        </w:rPr>
        <w:t>33.</w:t>
      </w:r>
      <w:r>
        <w:rPr>
          <w:rFonts w:eastAsia="Calibri"/>
          <w:lang w:val="en-US"/>
        </w:rPr>
        <w:tab/>
        <w:t>Below are the t</w:t>
      </w:r>
      <w:r w:rsidRPr="009D53FB">
        <w:rPr>
          <w:rFonts w:eastAsia="Calibri"/>
          <w:lang w:val="en-US"/>
        </w:rPr>
        <w:t xml:space="preserve">hematic </w:t>
      </w:r>
      <w:r>
        <w:rPr>
          <w:rFonts w:eastAsia="Calibri"/>
          <w:lang w:val="en-US"/>
        </w:rPr>
        <w:t>reports submitted to date:</w:t>
      </w:r>
    </w:p>
    <w:p w:rsidR="000F59E5" w:rsidRPr="00014572" w:rsidRDefault="000F59E5" w:rsidP="002209D4">
      <w:pPr>
        <w:pStyle w:val="Bullet2G"/>
        <w:keepNext/>
        <w:keepLines/>
        <w:rPr>
          <w:rFonts w:eastAsia="Calibri"/>
          <w:lang w:val="en-US"/>
        </w:rPr>
      </w:pPr>
      <w:r w:rsidRPr="00014572">
        <w:rPr>
          <w:rFonts w:eastAsia="Calibri"/>
          <w:lang w:val="en-US"/>
        </w:rPr>
        <w:t xml:space="preserve">Security </w:t>
      </w:r>
      <w:r w:rsidRPr="00AA75B0">
        <w:rPr>
          <w:rFonts w:eastAsia="Calibri"/>
          <w:lang w:val="en-US"/>
        </w:rPr>
        <w:t xml:space="preserve">and </w:t>
      </w:r>
      <w:r w:rsidRPr="00014572">
        <w:rPr>
          <w:rFonts w:eastAsia="Calibri"/>
          <w:lang w:val="en-US"/>
        </w:rPr>
        <w:t>Surveillance</w:t>
      </w:r>
      <w:r>
        <w:rPr>
          <w:rFonts w:eastAsia="Calibri"/>
          <w:lang w:val="en-US"/>
        </w:rPr>
        <w:t xml:space="preserve">: </w:t>
      </w:r>
      <w:r w:rsidRPr="00014572">
        <w:rPr>
          <w:rFonts w:eastAsia="Calibri"/>
          <w:lang w:val="en-US"/>
        </w:rPr>
        <w:t>“First approaches to a more privacy-friendly oversight of government surveillance”</w:t>
      </w:r>
      <w:r>
        <w:rPr>
          <w:rFonts w:eastAsia="Calibri"/>
          <w:lang w:val="en-US"/>
        </w:rPr>
        <w:t xml:space="preserve">, Human Rights Council, </w:t>
      </w:r>
      <w:r w:rsidRPr="00014572">
        <w:rPr>
          <w:rFonts w:eastAsia="Calibri"/>
          <w:lang w:val="en-US"/>
        </w:rPr>
        <w:t>Mar</w:t>
      </w:r>
      <w:r>
        <w:rPr>
          <w:rFonts w:eastAsia="Calibri"/>
          <w:lang w:val="en-US"/>
        </w:rPr>
        <w:t>ch 20</w:t>
      </w:r>
      <w:r w:rsidRPr="00014572">
        <w:rPr>
          <w:rFonts w:eastAsia="Calibri"/>
          <w:lang w:val="en-US"/>
        </w:rPr>
        <w:t>17</w:t>
      </w:r>
      <w:r w:rsidR="002209D4">
        <w:rPr>
          <w:rFonts w:eastAsia="Calibri"/>
          <w:lang w:val="en-US"/>
        </w:rPr>
        <w:t>;</w:t>
      </w:r>
    </w:p>
    <w:p w:rsidR="000F59E5" w:rsidRPr="00014572" w:rsidRDefault="000F59E5" w:rsidP="00EF1266">
      <w:pPr>
        <w:pStyle w:val="Bullet2G"/>
        <w:rPr>
          <w:rFonts w:eastAsia="Calibri"/>
          <w:lang w:val="en-US"/>
        </w:rPr>
      </w:pPr>
      <w:r>
        <w:rPr>
          <w:rFonts w:eastAsia="Calibri"/>
          <w:lang w:val="en-US"/>
        </w:rPr>
        <w:t>Security and Surveillance, General Assembly, October 20</w:t>
      </w:r>
      <w:r w:rsidRPr="00014572">
        <w:rPr>
          <w:rFonts w:eastAsia="Calibri"/>
          <w:lang w:val="en-US"/>
        </w:rPr>
        <w:t>17</w:t>
      </w:r>
      <w:r w:rsidR="002209D4">
        <w:rPr>
          <w:rFonts w:eastAsia="Calibri"/>
          <w:lang w:val="en-US"/>
        </w:rPr>
        <w:t>;</w:t>
      </w:r>
    </w:p>
    <w:p w:rsidR="000F59E5" w:rsidRPr="00AA75B0" w:rsidRDefault="000F59E5" w:rsidP="00EF1266">
      <w:pPr>
        <w:pStyle w:val="Bullet2G"/>
        <w:rPr>
          <w:rFonts w:eastAsia="Calibri"/>
          <w:lang w:val="en-US"/>
        </w:rPr>
      </w:pPr>
      <w:r>
        <w:rPr>
          <w:rFonts w:eastAsia="Calibri"/>
          <w:lang w:val="en-US"/>
        </w:rPr>
        <w:t>Big Data – Open Data: “</w:t>
      </w:r>
      <w:r w:rsidRPr="00AA75B0">
        <w:rPr>
          <w:rFonts w:eastAsia="Calibri"/>
          <w:lang w:val="en-US"/>
        </w:rPr>
        <w:t>Interim Report</w:t>
      </w:r>
      <w:r>
        <w:rPr>
          <w:rFonts w:eastAsia="Calibri"/>
          <w:lang w:val="en-US"/>
        </w:rPr>
        <w:t xml:space="preserve">”, General Assembly, </w:t>
      </w:r>
      <w:r w:rsidRPr="00014572">
        <w:rPr>
          <w:rFonts w:eastAsia="Calibri"/>
          <w:lang w:val="en-US"/>
        </w:rPr>
        <w:t>Oct</w:t>
      </w:r>
      <w:r>
        <w:rPr>
          <w:rFonts w:eastAsia="Calibri"/>
          <w:lang w:val="en-US"/>
        </w:rPr>
        <w:t>ober 20</w:t>
      </w:r>
      <w:r w:rsidRPr="00014572">
        <w:rPr>
          <w:rFonts w:eastAsia="Calibri"/>
          <w:lang w:val="en-US"/>
        </w:rPr>
        <w:t>17</w:t>
      </w:r>
      <w:r w:rsidR="002209D4">
        <w:rPr>
          <w:rFonts w:eastAsia="Calibri"/>
          <w:lang w:val="en-US"/>
        </w:rPr>
        <w:t>;</w:t>
      </w:r>
    </w:p>
    <w:p w:rsidR="000F59E5" w:rsidRPr="00AA75B0" w:rsidRDefault="000F59E5" w:rsidP="00EF1266">
      <w:pPr>
        <w:pStyle w:val="Bullet2G"/>
        <w:rPr>
          <w:rFonts w:eastAsia="Calibri"/>
          <w:lang w:val="en-US"/>
        </w:rPr>
      </w:pPr>
      <w:r w:rsidRPr="00014572">
        <w:rPr>
          <w:rFonts w:eastAsia="Calibri"/>
          <w:lang w:val="en-US"/>
        </w:rPr>
        <w:t>Security and Surveillance</w:t>
      </w:r>
      <w:r>
        <w:rPr>
          <w:rFonts w:eastAsia="Calibri"/>
          <w:lang w:val="en-US"/>
        </w:rPr>
        <w:t xml:space="preserve">: </w:t>
      </w:r>
      <w:r w:rsidRPr="00014572">
        <w:rPr>
          <w:rFonts w:eastAsia="Calibri"/>
          <w:lang w:val="en-US"/>
        </w:rPr>
        <w:t>“Some preliminary options within Internet Governance for an international legal instrum</w:t>
      </w:r>
      <w:r>
        <w:rPr>
          <w:rFonts w:eastAsia="Calibri"/>
          <w:lang w:val="en-US"/>
        </w:rPr>
        <w:t>ent on government surveillance”, Human Rights Council, March 20</w:t>
      </w:r>
      <w:r w:rsidRPr="00014572">
        <w:rPr>
          <w:rFonts w:eastAsia="Calibri"/>
          <w:lang w:val="en-US"/>
        </w:rPr>
        <w:t>18</w:t>
      </w:r>
      <w:r w:rsidR="002209D4">
        <w:rPr>
          <w:rFonts w:eastAsia="Calibri"/>
          <w:lang w:val="en-US"/>
        </w:rPr>
        <w:t>.</w:t>
      </w:r>
    </w:p>
    <w:p w:rsidR="000F59E5" w:rsidRPr="002F0095" w:rsidRDefault="00EF1266" w:rsidP="00EF1266">
      <w:pPr>
        <w:pStyle w:val="H23G"/>
        <w:rPr>
          <w:rFonts w:eastAsia="Calibri"/>
        </w:rPr>
      </w:pPr>
      <w:r>
        <w:rPr>
          <w:rFonts w:eastAsia="Calibri"/>
        </w:rPr>
        <w:tab/>
      </w:r>
      <w:r>
        <w:rPr>
          <w:rFonts w:eastAsia="Calibri"/>
        </w:rPr>
        <w:tab/>
      </w:r>
      <w:r w:rsidR="000F59E5" w:rsidRPr="00765F75">
        <w:rPr>
          <w:rFonts w:eastAsia="Calibri"/>
        </w:rPr>
        <w:t xml:space="preserve">Ongoing </w:t>
      </w:r>
      <w:r w:rsidR="000F59E5">
        <w:rPr>
          <w:rFonts w:eastAsia="Calibri"/>
        </w:rPr>
        <w:t>p</w:t>
      </w:r>
      <w:r w:rsidR="000F59E5" w:rsidRPr="009D53FB">
        <w:rPr>
          <w:rFonts w:eastAsia="Calibri"/>
        </w:rPr>
        <w:t xml:space="preserve">rogress in </w:t>
      </w:r>
      <w:r w:rsidR="000F59E5" w:rsidRPr="002F0095">
        <w:rPr>
          <w:rFonts w:eastAsia="Calibri"/>
        </w:rPr>
        <w:t>Thematic Action Streams</w:t>
      </w:r>
    </w:p>
    <w:p w:rsidR="000F59E5" w:rsidRPr="00AA75B0" w:rsidRDefault="000F59E5" w:rsidP="000F59E5">
      <w:pPr>
        <w:pStyle w:val="SingleTxtG"/>
        <w:rPr>
          <w:rFonts w:eastAsia="Calibri"/>
          <w:lang w:val="en-US"/>
        </w:rPr>
      </w:pPr>
      <w:r>
        <w:rPr>
          <w:rFonts w:eastAsia="Calibri"/>
          <w:lang w:val="en-US"/>
        </w:rPr>
        <w:t>34.</w:t>
      </w:r>
      <w:r>
        <w:rPr>
          <w:rFonts w:eastAsia="Calibri"/>
          <w:lang w:val="en-US"/>
        </w:rPr>
        <w:tab/>
        <w:t>The Special Rapporteur has d</w:t>
      </w:r>
      <w:r w:rsidRPr="009D53FB">
        <w:rPr>
          <w:rFonts w:eastAsia="Calibri"/>
          <w:lang w:val="en-US"/>
        </w:rPr>
        <w:t>evelop</w:t>
      </w:r>
      <w:r>
        <w:rPr>
          <w:rFonts w:eastAsia="Calibri"/>
          <w:lang w:val="en-US"/>
        </w:rPr>
        <w:t>ed</w:t>
      </w:r>
      <w:r w:rsidRPr="00AA75B0">
        <w:rPr>
          <w:rFonts w:eastAsia="Calibri"/>
          <w:lang w:val="en-US"/>
        </w:rPr>
        <w:t xml:space="preserve"> guidance </w:t>
      </w:r>
      <w:r>
        <w:rPr>
          <w:rFonts w:eastAsia="Calibri"/>
          <w:lang w:val="en-US"/>
        </w:rPr>
        <w:t>on</w:t>
      </w:r>
      <w:r w:rsidRPr="00AA75B0">
        <w:rPr>
          <w:rFonts w:eastAsia="Calibri"/>
          <w:lang w:val="en-US"/>
        </w:rPr>
        <w:t xml:space="preserve"> Big Data</w:t>
      </w:r>
      <w:r>
        <w:rPr>
          <w:rFonts w:eastAsia="Calibri"/>
          <w:lang w:val="en-US"/>
        </w:rPr>
        <w:t xml:space="preserve"> which he presented to the General Assembly in October 2017</w:t>
      </w:r>
      <w:r w:rsidRPr="009D53FB">
        <w:rPr>
          <w:rFonts w:eastAsia="Calibri"/>
          <w:lang w:val="en-US"/>
        </w:rPr>
        <w:t xml:space="preserve"> and </w:t>
      </w:r>
      <w:r>
        <w:rPr>
          <w:rFonts w:eastAsia="Calibri"/>
          <w:lang w:val="en-US"/>
        </w:rPr>
        <w:t xml:space="preserve">is currently under </w:t>
      </w:r>
      <w:r w:rsidRPr="00AA75B0">
        <w:rPr>
          <w:rFonts w:eastAsia="Calibri"/>
          <w:lang w:val="en-US"/>
        </w:rPr>
        <w:t>consultation</w:t>
      </w:r>
      <w:r w:rsidRPr="009D53FB">
        <w:rPr>
          <w:rFonts w:eastAsia="Calibri"/>
          <w:lang w:val="en-US"/>
        </w:rPr>
        <w:t>;</w:t>
      </w:r>
      <w:r w:rsidRPr="00AA75B0">
        <w:rPr>
          <w:rFonts w:eastAsia="Calibri"/>
          <w:lang w:val="en-US"/>
        </w:rPr>
        <w:t xml:space="preserve"> and </w:t>
      </w:r>
      <w:r>
        <w:rPr>
          <w:rFonts w:eastAsia="Calibri"/>
          <w:lang w:val="en-US"/>
        </w:rPr>
        <w:t>a</w:t>
      </w:r>
      <w:r w:rsidRPr="00AA75B0">
        <w:rPr>
          <w:rFonts w:eastAsia="Calibri"/>
          <w:lang w:val="en-US"/>
        </w:rPr>
        <w:t xml:space="preserve"> draft</w:t>
      </w:r>
      <w:r>
        <w:rPr>
          <w:rFonts w:eastAsia="Calibri"/>
          <w:lang w:val="en-US"/>
        </w:rPr>
        <w:t xml:space="preserve"> legal</w:t>
      </w:r>
      <w:r w:rsidRPr="00AA75B0">
        <w:rPr>
          <w:rFonts w:eastAsia="Calibri"/>
          <w:lang w:val="en-US"/>
        </w:rPr>
        <w:t xml:space="preserve"> instrument on surveillance</w:t>
      </w:r>
      <w:r>
        <w:rPr>
          <w:rFonts w:eastAsia="Calibri"/>
          <w:lang w:val="en-US"/>
        </w:rPr>
        <w:t xml:space="preserve"> and privacy that</w:t>
      </w:r>
      <w:r w:rsidRPr="00AA75B0">
        <w:rPr>
          <w:rFonts w:eastAsia="Calibri"/>
          <w:lang w:val="en-US"/>
        </w:rPr>
        <w:t xml:space="preserve"> addresses issues </w:t>
      </w:r>
      <w:r w:rsidRPr="009D53FB">
        <w:rPr>
          <w:rFonts w:eastAsia="Calibri"/>
          <w:lang w:val="en-US"/>
        </w:rPr>
        <w:t>i</w:t>
      </w:r>
      <w:r>
        <w:rPr>
          <w:rFonts w:eastAsia="Calibri"/>
          <w:lang w:val="en-US"/>
        </w:rPr>
        <w:t>dentified.</w:t>
      </w:r>
    </w:p>
    <w:p w:rsidR="000F59E5" w:rsidRPr="00AA75B0" w:rsidRDefault="000F59E5" w:rsidP="000F59E5">
      <w:pPr>
        <w:pStyle w:val="SingleTxtG"/>
        <w:rPr>
          <w:rFonts w:eastAsia="Calibri"/>
          <w:lang w:val="en-US"/>
        </w:rPr>
      </w:pPr>
      <w:r>
        <w:rPr>
          <w:rFonts w:eastAsia="Calibri"/>
          <w:lang w:val="en-US"/>
        </w:rPr>
        <w:t>35.</w:t>
      </w:r>
      <w:r>
        <w:rPr>
          <w:rFonts w:eastAsia="Calibri"/>
          <w:lang w:val="en-US"/>
        </w:rPr>
        <w:tab/>
        <w:t>The Special Rapporteur has held c</w:t>
      </w:r>
      <w:r w:rsidRPr="009D53FB">
        <w:rPr>
          <w:rFonts w:eastAsia="Calibri"/>
          <w:lang w:val="en-US"/>
        </w:rPr>
        <w:t>onsultation</w:t>
      </w:r>
      <w:r w:rsidRPr="00AA75B0">
        <w:rPr>
          <w:rFonts w:eastAsia="Calibri"/>
          <w:lang w:val="en-US"/>
        </w:rPr>
        <w:t xml:space="preserve"> events</w:t>
      </w:r>
      <w:r>
        <w:rPr>
          <w:rFonts w:eastAsia="Calibri"/>
          <w:lang w:val="en-US"/>
        </w:rPr>
        <w:t xml:space="preserve">, such as the </w:t>
      </w:r>
      <w:r w:rsidRPr="009D53FB">
        <w:rPr>
          <w:rFonts w:eastAsia="Calibri"/>
          <w:lang w:val="en-US"/>
        </w:rPr>
        <w:t>‘2017</w:t>
      </w:r>
      <w:r>
        <w:rPr>
          <w:rFonts w:eastAsia="Calibri"/>
          <w:lang w:val="en-US"/>
        </w:rPr>
        <w:t xml:space="preserve"> </w:t>
      </w:r>
      <w:r w:rsidRPr="009D53FB">
        <w:rPr>
          <w:rFonts w:eastAsia="Calibri"/>
          <w:lang w:val="en-US"/>
        </w:rPr>
        <w:t>Privacy</w:t>
      </w:r>
      <w:r w:rsidRPr="00AA75B0">
        <w:rPr>
          <w:rFonts w:eastAsia="Calibri"/>
          <w:lang w:val="en-US"/>
        </w:rPr>
        <w:t xml:space="preserve"> and Personality Flows of Information in Asia’</w:t>
      </w:r>
      <w:r>
        <w:rPr>
          <w:rFonts w:eastAsia="Calibri"/>
          <w:lang w:val="en-US"/>
        </w:rPr>
        <w:t xml:space="preserve"> conference.</w:t>
      </w:r>
    </w:p>
    <w:p w:rsidR="000F59E5" w:rsidRPr="00AA75B0" w:rsidRDefault="000F59E5" w:rsidP="000F59E5">
      <w:pPr>
        <w:pStyle w:val="SingleTxtG"/>
        <w:rPr>
          <w:rFonts w:eastAsia="Calibri"/>
          <w:lang w:val="en-US"/>
        </w:rPr>
      </w:pPr>
      <w:r>
        <w:rPr>
          <w:rFonts w:eastAsia="Calibri"/>
          <w:lang w:val="en-US"/>
        </w:rPr>
        <w:t>36.</w:t>
      </w:r>
      <w:r>
        <w:rPr>
          <w:rFonts w:eastAsia="Calibri"/>
          <w:lang w:val="en-US"/>
        </w:rPr>
        <w:tab/>
        <w:t>The Special Rapporteur has commenced the work of the</w:t>
      </w:r>
      <w:r w:rsidRPr="00AA75B0">
        <w:rPr>
          <w:rFonts w:eastAsia="Calibri"/>
          <w:lang w:val="en-US"/>
        </w:rPr>
        <w:t xml:space="preserve"> Health Data Thematic Action Stream Taskforce</w:t>
      </w:r>
      <w:r>
        <w:rPr>
          <w:rFonts w:eastAsia="Calibri"/>
          <w:lang w:val="en-US"/>
        </w:rPr>
        <w:t>.</w:t>
      </w:r>
    </w:p>
    <w:p w:rsidR="000F59E5" w:rsidRPr="00AA75B0" w:rsidRDefault="000F59E5" w:rsidP="000F59E5">
      <w:pPr>
        <w:pStyle w:val="SingleTxtG"/>
        <w:rPr>
          <w:rFonts w:eastAsia="Calibri"/>
          <w:lang w:val="en-US"/>
        </w:rPr>
      </w:pPr>
      <w:r>
        <w:rPr>
          <w:rFonts w:eastAsia="Calibri"/>
          <w:lang w:val="en-US"/>
        </w:rPr>
        <w:t>37.</w:t>
      </w:r>
      <w:r>
        <w:rPr>
          <w:rFonts w:eastAsia="Calibri"/>
          <w:lang w:val="en-US"/>
        </w:rPr>
        <w:tab/>
        <w:t xml:space="preserve">The Special Rapporteur gathered </w:t>
      </w:r>
      <w:r w:rsidRPr="00AA75B0">
        <w:rPr>
          <w:rFonts w:eastAsia="Calibri"/>
          <w:lang w:val="en-US"/>
        </w:rPr>
        <w:t>support for</w:t>
      </w:r>
      <w:r w:rsidRPr="009D53FB">
        <w:rPr>
          <w:rFonts w:eastAsia="Calibri"/>
          <w:lang w:val="en-US"/>
        </w:rPr>
        <w:t xml:space="preserve"> </w:t>
      </w:r>
      <w:r>
        <w:rPr>
          <w:rFonts w:eastAsia="Calibri"/>
          <w:lang w:val="en-US"/>
        </w:rPr>
        <w:t>the</w:t>
      </w:r>
      <w:r w:rsidRPr="00AA75B0">
        <w:rPr>
          <w:rFonts w:eastAsia="Calibri"/>
          <w:lang w:val="en-US"/>
        </w:rPr>
        <w:t xml:space="preserve"> Taskforce on Use of Personal Data by Corporate Sector and the associated Amicus Curiae brief to the </w:t>
      </w:r>
      <w:r>
        <w:rPr>
          <w:rFonts w:eastAsia="Calibri"/>
          <w:lang w:val="en-US"/>
        </w:rPr>
        <w:t>United States</w:t>
      </w:r>
      <w:r w:rsidRPr="00AA75B0">
        <w:rPr>
          <w:rFonts w:eastAsia="Calibri"/>
          <w:lang w:val="en-US"/>
        </w:rPr>
        <w:t xml:space="preserve"> Supreme Court on the </w:t>
      </w:r>
      <w:r>
        <w:rPr>
          <w:rFonts w:eastAsia="Calibri"/>
          <w:lang w:val="en-US"/>
        </w:rPr>
        <w:t>‘</w:t>
      </w:r>
      <w:r w:rsidRPr="00AA75B0">
        <w:rPr>
          <w:rFonts w:eastAsia="Calibri"/>
          <w:lang w:val="en-US"/>
        </w:rPr>
        <w:t xml:space="preserve">Microsoft </w:t>
      </w:r>
      <w:r>
        <w:rPr>
          <w:rFonts w:eastAsia="Calibri"/>
          <w:lang w:val="en-US"/>
        </w:rPr>
        <w:t>case’</w:t>
      </w:r>
      <w:r>
        <w:rPr>
          <w:rStyle w:val="FootnoteReference"/>
          <w:rFonts w:eastAsia="Calibri"/>
          <w:lang w:val="en-US"/>
        </w:rPr>
        <w:footnoteReference w:id="15"/>
      </w:r>
      <w:r w:rsidRPr="00AA75B0">
        <w:rPr>
          <w:rFonts w:eastAsia="Calibri"/>
          <w:lang w:val="en-US"/>
        </w:rPr>
        <w:t>.</w:t>
      </w:r>
    </w:p>
    <w:p w:rsidR="000F59E5" w:rsidRPr="00765F75" w:rsidRDefault="00EF1266" w:rsidP="00EF1266">
      <w:pPr>
        <w:pStyle w:val="H23G"/>
        <w:rPr>
          <w:rFonts w:eastAsia="Calibri"/>
        </w:rPr>
      </w:pPr>
      <w:r>
        <w:rPr>
          <w:rFonts w:eastAsia="Calibri"/>
        </w:rPr>
        <w:tab/>
      </w:r>
      <w:r>
        <w:rPr>
          <w:rFonts w:eastAsia="Calibri"/>
        </w:rPr>
        <w:tab/>
      </w:r>
      <w:r w:rsidR="000F59E5" w:rsidRPr="009C7B93">
        <w:rPr>
          <w:rFonts w:eastAsia="Calibri"/>
        </w:rPr>
        <w:t xml:space="preserve">Official </w:t>
      </w:r>
      <w:r w:rsidR="000F59E5">
        <w:rPr>
          <w:rFonts w:eastAsia="Calibri"/>
        </w:rPr>
        <w:t>c</w:t>
      </w:r>
      <w:r w:rsidR="000F59E5" w:rsidRPr="009C7B93">
        <w:rPr>
          <w:rFonts w:eastAsia="Calibri"/>
        </w:rPr>
        <w:t xml:space="preserve">ountry </w:t>
      </w:r>
      <w:r w:rsidR="000F59E5">
        <w:rPr>
          <w:rFonts w:eastAsia="Calibri"/>
        </w:rPr>
        <w:t>v</w:t>
      </w:r>
      <w:r w:rsidR="000F59E5" w:rsidRPr="009C7B93">
        <w:rPr>
          <w:rFonts w:eastAsia="Calibri"/>
        </w:rPr>
        <w:t>isits</w:t>
      </w:r>
    </w:p>
    <w:p w:rsidR="000F59E5" w:rsidRPr="009D53FB" w:rsidRDefault="000F59E5" w:rsidP="000F59E5">
      <w:pPr>
        <w:pStyle w:val="SingleTxtG"/>
        <w:rPr>
          <w:rFonts w:eastAsia="Calibri"/>
          <w:lang w:val="en-US"/>
        </w:rPr>
      </w:pPr>
      <w:r>
        <w:rPr>
          <w:rFonts w:eastAsia="Calibri"/>
          <w:lang w:val="en-US"/>
        </w:rPr>
        <w:t>38.</w:t>
      </w:r>
      <w:r>
        <w:rPr>
          <w:rFonts w:eastAsia="Calibri"/>
          <w:lang w:val="en-US"/>
        </w:rPr>
        <w:tab/>
        <w:t xml:space="preserve">The Special Rapporteur has conducted two official country visits the </w:t>
      </w:r>
      <w:r w:rsidRPr="009D53FB">
        <w:rPr>
          <w:rFonts w:eastAsia="Calibri"/>
          <w:lang w:val="en-US"/>
        </w:rPr>
        <w:t>United States of America</w:t>
      </w:r>
      <w:r>
        <w:rPr>
          <w:rFonts w:eastAsia="Calibri"/>
          <w:lang w:val="en-US"/>
        </w:rPr>
        <w:t xml:space="preserve"> (June</w:t>
      </w:r>
      <w:r w:rsidRPr="009D53FB">
        <w:rPr>
          <w:rFonts w:eastAsia="Calibri"/>
          <w:lang w:val="en-US"/>
        </w:rPr>
        <w:t xml:space="preserve"> 2017</w:t>
      </w:r>
      <w:r>
        <w:rPr>
          <w:rStyle w:val="FootnoteReference"/>
          <w:rFonts w:eastAsia="Calibri"/>
          <w:lang w:val="en-US"/>
        </w:rPr>
        <w:footnoteReference w:id="16"/>
      </w:r>
      <w:r>
        <w:rPr>
          <w:rFonts w:eastAsia="Calibri"/>
          <w:lang w:val="en-US"/>
        </w:rPr>
        <w:t>) and France (November 2017</w:t>
      </w:r>
      <w:r>
        <w:rPr>
          <w:rStyle w:val="FootnoteReference"/>
          <w:rFonts w:eastAsia="Calibri"/>
          <w:lang w:val="en-US"/>
        </w:rPr>
        <w:footnoteReference w:id="17"/>
      </w:r>
      <w:r>
        <w:rPr>
          <w:rFonts w:eastAsia="Calibri"/>
          <w:lang w:val="en-US"/>
        </w:rPr>
        <w:t>).</w:t>
      </w:r>
      <w:r w:rsidRPr="00600D02" w:rsidDel="00600D02">
        <w:rPr>
          <w:rFonts w:eastAsia="Calibri"/>
          <w:lang w:val="en-US"/>
        </w:rPr>
        <w:t xml:space="preserve"> </w:t>
      </w:r>
      <w:r w:rsidRPr="004A18B9">
        <w:rPr>
          <w:rFonts w:eastAsia="Calibri"/>
          <w:lang w:val="en-US"/>
        </w:rPr>
        <w:t>The report</w:t>
      </w:r>
      <w:r>
        <w:rPr>
          <w:rFonts w:eastAsia="Calibri"/>
          <w:lang w:val="en-US"/>
        </w:rPr>
        <w:t>s</w:t>
      </w:r>
      <w:r w:rsidRPr="004A18B9">
        <w:rPr>
          <w:rFonts w:eastAsia="Calibri"/>
          <w:lang w:val="en-US"/>
        </w:rPr>
        <w:t xml:space="preserve"> will be presented to the</w:t>
      </w:r>
      <w:r>
        <w:rPr>
          <w:rFonts w:eastAsia="Calibri"/>
          <w:lang w:val="en-US"/>
        </w:rPr>
        <w:t xml:space="preserve"> </w:t>
      </w:r>
      <w:r w:rsidRPr="004A18B9">
        <w:rPr>
          <w:rFonts w:eastAsia="Calibri"/>
          <w:lang w:val="en-US"/>
        </w:rPr>
        <w:t>Human Rights Council in March 2019</w:t>
      </w:r>
      <w:r>
        <w:rPr>
          <w:rFonts w:eastAsia="Calibri"/>
          <w:lang w:val="en-US"/>
        </w:rPr>
        <w:t xml:space="preserve"> in order</w:t>
      </w:r>
      <w:r w:rsidRPr="004A18B9">
        <w:rPr>
          <w:rFonts w:eastAsia="Calibri"/>
          <w:lang w:val="en-US"/>
        </w:rPr>
        <w:t xml:space="preserve"> to allow </w:t>
      </w:r>
      <w:r>
        <w:rPr>
          <w:rFonts w:eastAsia="Calibri"/>
          <w:lang w:val="en-US"/>
        </w:rPr>
        <w:t>additional time for follow-up exchanges with the Governments concerned</w:t>
      </w:r>
      <w:r w:rsidRPr="004A18B9">
        <w:rPr>
          <w:rFonts w:eastAsia="Calibri"/>
          <w:lang w:val="en-US"/>
        </w:rPr>
        <w:t>.</w:t>
      </w:r>
    </w:p>
    <w:p w:rsidR="000F59E5" w:rsidRPr="009442DB" w:rsidRDefault="00EF1266" w:rsidP="00EF1266">
      <w:pPr>
        <w:pStyle w:val="H23G"/>
        <w:rPr>
          <w:rFonts w:eastAsia="Calibri"/>
          <w:lang w:val="en-US"/>
        </w:rPr>
      </w:pPr>
      <w:r>
        <w:rPr>
          <w:rFonts w:eastAsia="Calibri"/>
          <w:lang w:val="en-US"/>
        </w:rPr>
        <w:tab/>
      </w:r>
      <w:r>
        <w:rPr>
          <w:rFonts w:eastAsia="Calibri"/>
          <w:lang w:val="en-US"/>
        </w:rPr>
        <w:tab/>
      </w:r>
      <w:r w:rsidR="000F59E5" w:rsidRPr="009442DB">
        <w:rPr>
          <w:rFonts w:eastAsia="Calibri"/>
          <w:lang w:val="en-US"/>
        </w:rPr>
        <w:t xml:space="preserve">Consultations </w:t>
      </w:r>
    </w:p>
    <w:p w:rsidR="000F59E5" w:rsidRPr="00AA75B0" w:rsidRDefault="000F59E5" w:rsidP="000F59E5">
      <w:pPr>
        <w:pStyle w:val="SingleTxtG"/>
        <w:rPr>
          <w:rFonts w:eastAsia="Calibri"/>
          <w:lang w:val="en-US"/>
        </w:rPr>
      </w:pPr>
      <w:r>
        <w:rPr>
          <w:rFonts w:eastAsia="Calibri"/>
          <w:lang w:val="en-US"/>
        </w:rPr>
        <w:t>39.</w:t>
      </w:r>
      <w:r>
        <w:rPr>
          <w:rFonts w:eastAsia="Calibri"/>
          <w:lang w:val="en-US"/>
        </w:rPr>
        <w:tab/>
        <w:t>Consultations</w:t>
      </w:r>
      <w:r w:rsidRPr="00AA75B0">
        <w:rPr>
          <w:rFonts w:eastAsia="Calibri"/>
          <w:lang w:val="en-US"/>
        </w:rPr>
        <w:t xml:space="preserve"> have produc</w:t>
      </w:r>
      <w:r>
        <w:rPr>
          <w:rFonts w:eastAsia="Calibri"/>
          <w:lang w:val="en-US"/>
        </w:rPr>
        <w:t>ed</w:t>
      </w:r>
      <w:r w:rsidRPr="00AA75B0">
        <w:rPr>
          <w:rFonts w:eastAsia="Calibri"/>
          <w:lang w:val="en-US"/>
        </w:rPr>
        <w:t xml:space="preserve"> greater awareness of privacy issues across different jurisdictions, differing levels and different sections of the community. These have included events </w:t>
      </w:r>
      <w:r w:rsidRPr="009D53FB">
        <w:rPr>
          <w:rFonts w:eastAsia="Calibri"/>
          <w:lang w:val="en-US"/>
        </w:rPr>
        <w:t>organi</w:t>
      </w:r>
      <w:r>
        <w:rPr>
          <w:rFonts w:eastAsia="Calibri"/>
          <w:lang w:val="en-US"/>
        </w:rPr>
        <w:t>z</w:t>
      </w:r>
      <w:r w:rsidRPr="009D53FB">
        <w:rPr>
          <w:rFonts w:eastAsia="Calibri"/>
          <w:lang w:val="en-US"/>
        </w:rPr>
        <w:t>ed</w:t>
      </w:r>
      <w:r w:rsidRPr="00AA75B0">
        <w:rPr>
          <w:rFonts w:eastAsia="Calibri"/>
          <w:lang w:val="en-US"/>
        </w:rPr>
        <w:t xml:space="preserve"> by the Irish Civil Liberties Council, the Japanese Civil Liberties Union, the Japan Federation of Bar Associations, the Northern Ireland Commission for Human Rights, multiple activities at the Internet Governance Forum, </w:t>
      </w:r>
      <w:proofErr w:type="spellStart"/>
      <w:r w:rsidRPr="00AA75B0">
        <w:rPr>
          <w:rFonts w:eastAsia="Calibri"/>
          <w:lang w:val="en-US"/>
        </w:rPr>
        <w:t>RightsCon</w:t>
      </w:r>
      <w:proofErr w:type="spellEnd"/>
      <w:r>
        <w:rPr>
          <w:rFonts w:eastAsia="Calibri"/>
          <w:lang w:val="en-US"/>
        </w:rPr>
        <w:t>,</w:t>
      </w:r>
      <w:r w:rsidRPr="00AA75B0">
        <w:rPr>
          <w:rFonts w:eastAsia="Calibri"/>
          <w:lang w:val="en-US"/>
        </w:rPr>
        <w:t xml:space="preserve"> </w:t>
      </w:r>
      <w:r>
        <w:rPr>
          <w:rFonts w:eastAsia="Calibri"/>
          <w:lang w:val="en-US"/>
        </w:rPr>
        <w:t>ar</w:t>
      </w:r>
      <w:r w:rsidRPr="00AA75B0">
        <w:rPr>
          <w:rFonts w:eastAsia="Calibri"/>
          <w:lang w:val="en-US"/>
        </w:rPr>
        <w:t>e a few examples.</w:t>
      </w:r>
    </w:p>
    <w:p w:rsidR="000F59E5" w:rsidRPr="00016520" w:rsidRDefault="00EF1266" w:rsidP="00EF1266">
      <w:pPr>
        <w:pStyle w:val="H23G"/>
        <w:rPr>
          <w:rFonts w:eastAsia="Calibri"/>
          <w:lang w:val="en-US"/>
        </w:rPr>
      </w:pPr>
      <w:r>
        <w:rPr>
          <w:rFonts w:eastAsia="Calibri"/>
          <w:lang w:val="en-US"/>
        </w:rPr>
        <w:tab/>
      </w:r>
      <w:r>
        <w:rPr>
          <w:rFonts w:eastAsia="Calibri"/>
          <w:lang w:val="en-US"/>
        </w:rPr>
        <w:tab/>
      </w:r>
      <w:r w:rsidR="000F59E5" w:rsidRPr="00016520">
        <w:rPr>
          <w:rFonts w:eastAsia="Calibri"/>
          <w:lang w:val="en-US"/>
        </w:rPr>
        <w:t xml:space="preserve">Future </w:t>
      </w:r>
      <w:r w:rsidR="000F59E5">
        <w:rPr>
          <w:rFonts w:eastAsia="Calibri"/>
          <w:lang w:val="en-US"/>
        </w:rPr>
        <w:t>a</w:t>
      </w:r>
      <w:r w:rsidR="000F59E5" w:rsidRPr="009D53FB">
        <w:rPr>
          <w:rFonts w:eastAsia="Calibri"/>
          <w:lang w:val="en-US"/>
        </w:rPr>
        <w:t>ctivities</w:t>
      </w:r>
      <w:r w:rsidR="000F59E5">
        <w:rPr>
          <w:rFonts w:eastAsia="Calibri"/>
          <w:lang w:val="en-US"/>
        </w:rPr>
        <w:t xml:space="preserve"> and o</w:t>
      </w:r>
      <w:r w:rsidR="000F59E5" w:rsidRPr="009D53FB">
        <w:rPr>
          <w:rFonts w:eastAsia="Calibri"/>
          <w:lang w:val="en-US"/>
        </w:rPr>
        <w:t>pportunities</w:t>
      </w:r>
    </w:p>
    <w:p w:rsidR="000F59E5" w:rsidRPr="00AA75B0" w:rsidRDefault="000F59E5" w:rsidP="000F59E5">
      <w:pPr>
        <w:pStyle w:val="SingleTxtG"/>
        <w:rPr>
          <w:rFonts w:eastAsia="Calibri"/>
          <w:lang w:val="en-US"/>
        </w:rPr>
      </w:pPr>
      <w:r>
        <w:rPr>
          <w:rFonts w:eastAsia="Calibri"/>
          <w:lang w:val="en-US"/>
        </w:rPr>
        <w:t>40.</w:t>
      </w:r>
      <w:r>
        <w:rPr>
          <w:rFonts w:eastAsia="Calibri"/>
          <w:lang w:val="en-US"/>
        </w:rPr>
        <w:tab/>
        <w:t xml:space="preserve">If the mandate </w:t>
      </w:r>
      <w:r w:rsidRPr="00AA75B0">
        <w:rPr>
          <w:rFonts w:eastAsia="Calibri"/>
          <w:lang w:val="en-US"/>
        </w:rPr>
        <w:t xml:space="preserve">of </w:t>
      </w:r>
      <w:r>
        <w:rPr>
          <w:rFonts w:eastAsia="Calibri"/>
          <w:lang w:val="en-US"/>
        </w:rPr>
        <w:t>the</w:t>
      </w:r>
      <w:r w:rsidRPr="00AA75B0">
        <w:rPr>
          <w:rFonts w:eastAsia="Calibri"/>
          <w:lang w:val="en-US"/>
        </w:rPr>
        <w:t xml:space="preserve"> Special Rapporteur </w:t>
      </w:r>
      <w:r>
        <w:rPr>
          <w:rFonts w:eastAsia="Calibri"/>
          <w:lang w:val="en-US"/>
        </w:rPr>
        <w:t>is</w:t>
      </w:r>
      <w:r w:rsidRPr="00AA75B0">
        <w:rPr>
          <w:rFonts w:eastAsia="Calibri"/>
          <w:lang w:val="en-US"/>
        </w:rPr>
        <w:t xml:space="preserve"> renewed</w:t>
      </w:r>
      <w:r>
        <w:rPr>
          <w:rFonts w:eastAsia="Calibri"/>
          <w:lang w:val="en-US"/>
        </w:rPr>
        <w:t xml:space="preserve"> by the Human Rights Council, he plans to</w:t>
      </w:r>
      <w:r w:rsidRPr="00AA75B0">
        <w:rPr>
          <w:rFonts w:eastAsia="Calibri"/>
          <w:lang w:val="en-US"/>
        </w:rPr>
        <w:t xml:space="preserve"> present the following reports:</w:t>
      </w:r>
    </w:p>
    <w:p w:rsidR="000F59E5" w:rsidRPr="00AA75B0" w:rsidRDefault="00676A98" w:rsidP="00676A98">
      <w:pPr>
        <w:pStyle w:val="H23G"/>
        <w:rPr>
          <w:rFonts w:eastAsia="Calibri"/>
          <w:lang w:val="en-US"/>
        </w:rPr>
      </w:pPr>
      <w:r>
        <w:rPr>
          <w:rFonts w:eastAsia="Calibri"/>
          <w:lang w:val="en-US"/>
        </w:rPr>
        <w:tab/>
      </w:r>
      <w:r w:rsidR="002056C1">
        <w:rPr>
          <w:rFonts w:eastAsia="Calibri"/>
          <w:lang w:val="en-US"/>
        </w:rPr>
        <w:t>(a)</w:t>
      </w:r>
      <w:r>
        <w:rPr>
          <w:rFonts w:eastAsia="Calibri"/>
          <w:lang w:val="en-US"/>
        </w:rPr>
        <w:tab/>
      </w:r>
      <w:r w:rsidR="000F59E5">
        <w:rPr>
          <w:rFonts w:eastAsia="Calibri"/>
          <w:lang w:val="en-US"/>
        </w:rPr>
        <w:t xml:space="preserve">To the </w:t>
      </w:r>
      <w:r w:rsidR="00FA45DB">
        <w:rPr>
          <w:rFonts w:eastAsia="Calibri"/>
          <w:lang w:val="en-US"/>
        </w:rPr>
        <w:t>Human Rights Council</w:t>
      </w:r>
    </w:p>
    <w:p w:rsidR="000F59E5" w:rsidRPr="00AA75B0" w:rsidRDefault="000F59E5" w:rsidP="00EF1266">
      <w:pPr>
        <w:pStyle w:val="Bullet2G"/>
        <w:rPr>
          <w:rFonts w:eastAsia="Calibri"/>
          <w:lang w:val="en-US"/>
        </w:rPr>
      </w:pPr>
      <w:r w:rsidRPr="00AA75B0">
        <w:rPr>
          <w:rFonts w:eastAsia="Calibri"/>
          <w:lang w:val="en-US"/>
        </w:rPr>
        <w:t>“Lessons learned for improved safeguards and remedies in effective oversight of government surveillance”, March 2019</w:t>
      </w:r>
      <w:r w:rsidR="00CC7B60">
        <w:rPr>
          <w:rFonts w:eastAsia="Calibri"/>
          <w:lang w:val="en-US"/>
        </w:rPr>
        <w:t>;</w:t>
      </w:r>
    </w:p>
    <w:p w:rsidR="000F59E5" w:rsidRPr="00AA75B0" w:rsidRDefault="000F59E5" w:rsidP="00EF1266">
      <w:pPr>
        <w:pStyle w:val="Bullet2G"/>
        <w:rPr>
          <w:rFonts w:eastAsia="Calibri"/>
          <w:lang w:val="en-US"/>
        </w:rPr>
      </w:pPr>
      <w:r w:rsidRPr="00AA75B0">
        <w:rPr>
          <w:rFonts w:eastAsia="Calibri"/>
          <w:lang w:val="en-US"/>
        </w:rPr>
        <w:t xml:space="preserve">“Proportionality, necessity and law in government surveillance, law enforcement and </w:t>
      </w:r>
      <w:proofErr w:type="spellStart"/>
      <w:r w:rsidRPr="00AA75B0">
        <w:rPr>
          <w:rFonts w:eastAsia="Calibri"/>
          <w:lang w:val="en-US"/>
        </w:rPr>
        <w:t>transborder</w:t>
      </w:r>
      <w:proofErr w:type="spellEnd"/>
      <w:r w:rsidRPr="00AA75B0">
        <w:rPr>
          <w:rFonts w:eastAsia="Calibri"/>
          <w:lang w:val="en-US"/>
        </w:rPr>
        <w:t xml:space="preserve"> flows of personal data: the effectiveness and improvement of existing legal safeguards and remedies”, March 2020</w:t>
      </w:r>
      <w:r w:rsidR="00FA45DB">
        <w:rPr>
          <w:rFonts w:eastAsia="Calibri"/>
          <w:lang w:val="en-US"/>
        </w:rPr>
        <w:t>;</w:t>
      </w:r>
    </w:p>
    <w:p w:rsidR="000F59E5" w:rsidRPr="00AA75B0" w:rsidRDefault="000F59E5" w:rsidP="00EF1266">
      <w:pPr>
        <w:pStyle w:val="Bullet2G"/>
        <w:rPr>
          <w:rFonts w:eastAsia="Calibri"/>
          <w:lang w:val="en-US"/>
        </w:rPr>
      </w:pPr>
      <w:r w:rsidRPr="00AA75B0">
        <w:rPr>
          <w:rFonts w:eastAsia="Calibri"/>
          <w:lang w:val="en-US"/>
        </w:rPr>
        <w:t>“Progress, regress and other dimensions of the effective oversight of government surveillance”, Human Rights Council,</w:t>
      </w:r>
      <w:r>
        <w:rPr>
          <w:rFonts w:eastAsia="Calibri"/>
          <w:lang w:val="en-US"/>
        </w:rPr>
        <w:t xml:space="preserve"> </w:t>
      </w:r>
      <w:r w:rsidRPr="00AA75B0">
        <w:rPr>
          <w:rFonts w:eastAsia="Calibri"/>
          <w:lang w:val="en-US"/>
        </w:rPr>
        <w:t>March 2021</w:t>
      </w:r>
      <w:r w:rsidR="00FA45DB">
        <w:rPr>
          <w:rFonts w:eastAsia="Calibri"/>
          <w:lang w:val="en-US"/>
        </w:rPr>
        <w:t>.</w:t>
      </w:r>
    </w:p>
    <w:p w:rsidR="000F59E5" w:rsidRPr="00AA75B0" w:rsidRDefault="00EF1266" w:rsidP="00EF1266">
      <w:pPr>
        <w:pStyle w:val="H23G"/>
        <w:rPr>
          <w:rFonts w:eastAsia="Calibri"/>
          <w:lang w:val="en-US"/>
        </w:rPr>
      </w:pPr>
      <w:r>
        <w:rPr>
          <w:rFonts w:eastAsia="Calibri"/>
          <w:lang w:val="en-US"/>
        </w:rPr>
        <w:tab/>
      </w:r>
      <w:r w:rsidR="002056C1">
        <w:rPr>
          <w:rFonts w:eastAsia="Calibri"/>
          <w:lang w:val="en-US"/>
        </w:rPr>
        <w:t>(b)</w:t>
      </w:r>
      <w:r>
        <w:rPr>
          <w:rFonts w:eastAsia="Calibri"/>
          <w:lang w:val="en-US"/>
        </w:rPr>
        <w:tab/>
      </w:r>
      <w:r w:rsidR="000F59E5">
        <w:rPr>
          <w:rFonts w:eastAsia="Calibri"/>
          <w:lang w:val="en-US"/>
        </w:rPr>
        <w:t xml:space="preserve">To the </w:t>
      </w:r>
      <w:r w:rsidR="00FA45DB">
        <w:rPr>
          <w:rFonts w:eastAsia="Calibri"/>
          <w:lang w:val="en-US"/>
        </w:rPr>
        <w:t>General Assembly</w:t>
      </w:r>
    </w:p>
    <w:p w:rsidR="000F59E5" w:rsidRPr="00AA75B0" w:rsidRDefault="000F59E5" w:rsidP="00EF1266">
      <w:pPr>
        <w:pStyle w:val="Bullet2G"/>
        <w:rPr>
          <w:rFonts w:eastAsia="Calibri"/>
          <w:lang w:val="en-US"/>
        </w:rPr>
      </w:pPr>
      <w:r w:rsidRPr="00AA75B0">
        <w:rPr>
          <w:rFonts w:eastAsia="Calibri"/>
          <w:lang w:val="en-US"/>
        </w:rPr>
        <w:t>“Improving safeguards and remedies for privacy and health data”,</w:t>
      </w:r>
      <w:r w:rsidR="00FA45DB">
        <w:rPr>
          <w:rFonts w:eastAsia="Calibri"/>
          <w:lang w:val="en-US"/>
        </w:rPr>
        <w:t xml:space="preserve"> General Assembly, October 2018;</w:t>
      </w:r>
    </w:p>
    <w:p w:rsidR="000F59E5" w:rsidRPr="00AA75B0" w:rsidRDefault="000F59E5" w:rsidP="00EF1266">
      <w:pPr>
        <w:pStyle w:val="Bullet2G"/>
        <w:rPr>
          <w:rFonts w:eastAsia="Calibri"/>
          <w:lang w:val="en-US"/>
        </w:rPr>
      </w:pPr>
      <w:r w:rsidRPr="00AA75B0">
        <w:rPr>
          <w:rFonts w:eastAsia="Calibri"/>
          <w:lang w:val="en-US"/>
        </w:rPr>
        <w:t xml:space="preserve">“Profits and Privacy: the </w:t>
      </w:r>
      <w:proofErr w:type="spellStart"/>
      <w:r w:rsidRPr="00AA75B0">
        <w:rPr>
          <w:rFonts w:eastAsia="Calibri"/>
          <w:lang w:val="en-US"/>
        </w:rPr>
        <w:t>monetisation</w:t>
      </w:r>
      <w:proofErr w:type="spellEnd"/>
      <w:r w:rsidRPr="00AA75B0">
        <w:rPr>
          <w:rFonts w:eastAsia="Calibri"/>
          <w:lang w:val="en-US"/>
        </w:rPr>
        <w:t xml:space="preserve"> of personal data as a business model and the responsibilities of corporations”, October 2019</w:t>
      </w:r>
      <w:r w:rsidR="00FA45DB">
        <w:rPr>
          <w:rFonts w:eastAsia="Calibri"/>
          <w:lang w:val="en-US"/>
        </w:rPr>
        <w:t>;</w:t>
      </w:r>
    </w:p>
    <w:p w:rsidR="000F59E5" w:rsidRPr="00AA75B0" w:rsidRDefault="000F59E5" w:rsidP="00EF1266">
      <w:pPr>
        <w:pStyle w:val="Bullet2G"/>
        <w:rPr>
          <w:rFonts w:eastAsia="Calibri"/>
          <w:lang w:val="en-US"/>
        </w:rPr>
      </w:pPr>
      <w:r w:rsidRPr="00AA75B0">
        <w:rPr>
          <w:rFonts w:eastAsia="Calibri"/>
          <w:lang w:val="en-US"/>
        </w:rPr>
        <w:t>“Privacy, Personality and flows of information: a first global overview of the universal right to privacy from the perspectives of time, place and space”, October 2020</w:t>
      </w:r>
      <w:r w:rsidR="00FA45DB">
        <w:rPr>
          <w:rFonts w:eastAsia="Calibri"/>
          <w:lang w:val="en-US"/>
        </w:rPr>
        <w:t>;</w:t>
      </w:r>
    </w:p>
    <w:p w:rsidR="000F59E5" w:rsidRPr="00AA75B0" w:rsidRDefault="000F59E5" w:rsidP="00EF1266">
      <w:pPr>
        <w:pStyle w:val="Bullet2G"/>
        <w:rPr>
          <w:rFonts w:eastAsia="Calibri"/>
          <w:lang w:val="en-US"/>
        </w:rPr>
      </w:pPr>
      <w:r w:rsidRPr="00AA75B0">
        <w:rPr>
          <w:rFonts w:eastAsia="Calibri"/>
          <w:lang w:val="en-US"/>
        </w:rPr>
        <w:t xml:space="preserve">“The </w:t>
      </w:r>
      <w:proofErr w:type="spellStart"/>
      <w:r w:rsidRPr="00AA75B0">
        <w:rPr>
          <w:rFonts w:eastAsia="Calibri"/>
          <w:lang w:val="en-US"/>
        </w:rPr>
        <w:t>transborder</w:t>
      </w:r>
      <w:proofErr w:type="spellEnd"/>
      <w:r w:rsidRPr="00AA75B0">
        <w:rPr>
          <w:rFonts w:eastAsia="Calibri"/>
          <w:lang w:val="en-US"/>
        </w:rPr>
        <w:t xml:space="preserve"> flow of personal data between corporations, law enforcement and surveillance”, October 2021</w:t>
      </w:r>
      <w:r w:rsidR="00FA45DB">
        <w:rPr>
          <w:rFonts w:eastAsia="Calibri"/>
          <w:lang w:val="en-US"/>
        </w:rPr>
        <w:t>.</w:t>
      </w:r>
    </w:p>
    <w:p w:rsidR="000F59E5" w:rsidRPr="00AA75B0" w:rsidRDefault="000F59E5" w:rsidP="000F59E5">
      <w:pPr>
        <w:pStyle w:val="SingleTxtG"/>
        <w:rPr>
          <w:rFonts w:eastAsia="Calibri"/>
          <w:lang w:val="en-US"/>
        </w:rPr>
      </w:pPr>
      <w:r>
        <w:rPr>
          <w:rFonts w:eastAsia="Calibri"/>
          <w:lang w:val="en-US"/>
        </w:rPr>
        <w:t>41.</w:t>
      </w:r>
      <w:r>
        <w:rPr>
          <w:rFonts w:eastAsia="Calibri"/>
          <w:lang w:val="en-US"/>
        </w:rPr>
        <w:tab/>
      </w:r>
      <w:r w:rsidRPr="00AA75B0">
        <w:rPr>
          <w:rFonts w:eastAsia="Calibri"/>
          <w:lang w:val="en-US"/>
        </w:rPr>
        <w:t xml:space="preserve">The </w:t>
      </w:r>
      <w:r>
        <w:rPr>
          <w:rFonts w:eastAsia="Calibri"/>
          <w:lang w:val="en-US"/>
        </w:rPr>
        <w:t>Special Rapporteur</w:t>
      </w:r>
      <w:r w:rsidRPr="00AA75B0">
        <w:rPr>
          <w:rFonts w:eastAsia="Calibri"/>
          <w:lang w:val="en-US"/>
        </w:rPr>
        <w:t xml:space="preserve"> </w:t>
      </w:r>
      <w:r>
        <w:rPr>
          <w:rFonts w:eastAsia="Calibri"/>
          <w:lang w:val="en-US"/>
        </w:rPr>
        <w:t>may also r</w:t>
      </w:r>
      <w:r w:rsidRPr="009D53FB">
        <w:rPr>
          <w:rFonts w:eastAsia="Calibri"/>
          <w:lang w:val="en-US"/>
        </w:rPr>
        <w:t>eport</w:t>
      </w:r>
      <w:r>
        <w:rPr>
          <w:rFonts w:eastAsia="Calibri"/>
          <w:lang w:val="en-US"/>
        </w:rPr>
        <w:t>, time and resources allowing,</w:t>
      </w:r>
      <w:r w:rsidRPr="00AA75B0">
        <w:rPr>
          <w:rFonts w:eastAsia="Calibri"/>
          <w:lang w:val="en-US"/>
        </w:rPr>
        <w:t xml:space="preserve"> on </w:t>
      </w:r>
      <w:r>
        <w:rPr>
          <w:rFonts w:eastAsia="Calibri"/>
          <w:lang w:val="en-US"/>
        </w:rPr>
        <w:t xml:space="preserve">other issues related to </w:t>
      </w:r>
      <w:r w:rsidRPr="00AA75B0">
        <w:rPr>
          <w:rFonts w:eastAsia="Calibri"/>
          <w:lang w:val="en-US"/>
        </w:rPr>
        <w:t xml:space="preserve">the </w:t>
      </w:r>
      <w:r>
        <w:rPr>
          <w:rFonts w:eastAsia="Calibri"/>
          <w:lang w:val="en-US"/>
        </w:rPr>
        <w:t xml:space="preserve">right to privacy: </w:t>
      </w:r>
      <w:r w:rsidRPr="00AA75B0">
        <w:rPr>
          <w:rFonts w:eastAsia="Calibri"/>
          <w:lang w:val="en-US"/>
        </w:rPr>
        <w:t xml:space="preserve">Big Data </w:t>
      </w:r>
      <w:r>
        <w:rPr>
          <w:rFonts w:eastAsia="Calibri"/>
          <w:lang w:val="en-US"/>
        </w:rPr>
        <w:t xml:space="preserve">- </w:t>
      </w:r>
      <w:r w:rsidRPr="00AA75B0">
        <w:rPr>
          <w:rFonts w:eastAsia="Calibri"/>
          <w:lang w:val="en-US"/>
        </w:rPr>
        <w:t>Open Data</w:t>
      </w:r>
      <w:r>
        <w:rPr>
          <w:rFonts w:eastAsia="Calibri"/>
          <w:lang w:val="en-US"/>
        </w:rPr>
        <w:t xml:space="preserve">; health data; </w:t>
      </w:r>
      <w:r w:rsidRPr="00AA75B0">
        <w:rPr>
          <w:rFonts w:eastAsia="Calibri"/>
          <w:lang w:val="en-US"/>
        </w:rPr>
        <w:t>corporate use of personal information</w:t>
      </w:r>
      <w:r>
        <w:rPr>
          <w:rFonts w:eastAsia="Calibri"/>
          <w:lang w:val="en-US"/>
        </w:rPr>
        <w:t>;</w:t>
      </w:r>
      <w:r w:rsidRPr="009D53FB">
        <w:rPr>
          <w:rFonts w:eastAsia="Calibri"/>
          <w:lang w:val="en-US"/>
        </w:rPr>
        <w:t xml:space="preserve"> </w:t>
      </w:r>
      <w:r w:rsidRPr="00AA75B0">
        <w:rPr>
          <w:rFonts w:eastAsia="Calibri"/>
          <w:lang w:val="en-US"/>
        </w:rPr>
        <w:t xml:space="preserve">privacy of children and young </w:t>
      </w:r>
      <w:r w:rsidRPr="009D53FB">
        <w:rPr>
          <w:rFonts w:eastAsia="Calibri"/>
          <w:lang w:val="en-US"/>
        </w:rPr>
        <w:t>pe</w:t>
      </w:r>
      <w:r>
        <w:rPr>
          <w:rFonts w:eastAsia="Calibri"/>
          <w:lang w:val="en-US"/>
        </w:rPr>
        <w:t>rsons; strategies to address</w:t>
      </w:r>
      <w:r w:rsidRPr="00AA75B0">
        <w:rPr>
          <w:rFonts w:eastAsia="Calibri"/>
          <w:lang w:val="en-US"/>
        </w:rPr>
        <w:t xml:space="preserve"> privacy challenges inherent in surveillance activities</w:t>
      </w:r>
      <w:r>
        <w:rPr>
          <w:rFonts w:eastAsia="Calibri"/>
          <w:lang w:val="en-US"/>
        </w:rPr>
        <w:t>; a</w:t>
      </w:r>
      <w:r w:rsidRPr="00AA75B0">
        <w:rPr>
          <w:rFonts w:eastAsia="Calibri"/>
          <w:lang w:val="en-US"/>
        </w:rPr>
        <w:t xml:space="preserve"> gender</w:t>
      </w:r>
      <w:r>
        <w:rPr>
          <w:rFonts w:eastAsia="Calibri"/>
          <w:lang w:val="en-US"/>
        </w:rPr>
        <w:t xml:space="preserve">-based approach to the right to privacy; </w:t>
      </w:r>
      <w:r w:rsidRPr="00AA75B0">
        <w:rPr>
          <w:rFonts w:eastAsia="Calibri"/>
          <w:lang w:val="en-US"/>
        </w:rPr>
        <w:t>responses to privacy breaches such as Big Data de-identification failures</w:t>
      </w:r>
      <w:r>
        <w:rPr>
          <w:rFonts w:eastAsia="Calibri"/>
          <w:lang w:val="en-US"/>
        </w:rPr>
        <w:t xml:space="preserve">; </w:t>
      </w:r>
      <w:r w:rsidRPr="00AA75B0">
        <w:rPr>
          <w:rFonts w:eastAsia="Calibri"/>
          <w:lang w:val="en-US"/>
        </w:rPr>
        <w:t>complaints received</w:t>
      </w:r>
      <w:r>
        <w:rPr>
          <w:rFonts w:eastAsia="Calibri"/>
          <w:lang w:val="en-US"/>
        </w:rPr>
        <w:t xml:space="preserve"> by the Special Rapporteur;</w:t>
      </w:r>
      <w:r w:rsidRPr="00AA75B0">
        <w:rPr>
          <w:rFonts w:eastAsia="Calibri"/>
          <w:lang w:val="en-US"/>
        </w:rPr>
        <w:t xml:space="preserve"> official country visits</w:t>
      </w:r>
      <w:r>
        <w:rPr>
          <w:rFonts w:eastAsia="Calibri"/>
          <w:lang w:val="en-US"/>
        </w:rPr>
        <w:t>;</w:t>
      </w:r>
      <w:r w:rsidRPr="00AA75B0">
        <w:rPr>
          <w:rFonts w:eastAsia="Calibri"/>
          <w:lang w:val="en-US"/>
        </w:rPr>
        <w:t xml:space="preserve"> matters under discussion with States (public domain letters</w:t>
      </w:r>
      <w:r w:rsidRPr="009D53FB">
        <w:rPr>
          <w:rFonts w:eastAsia="Calibri"/>
          <w:lang w:val="en-US"/>
        </w:rPr>
        <w:t>)</w:t>
      </w:r>
      <w:r>
        <w:rPr>
          <w:rFonts w:eastAsia="Calibri"/>
          <w:lang w:val="en-US"/>
        </w:rPr>
        <w:t>;</w:t>
      </w:r>
      <w:r w:rsidRPr="00AA75B0">
        <w:rPr>
          <w:rFonts w:eastAsia="Calibri"/>
          <w:lang w:val="en-US"/>
        </w:rPr>
        <w:t xml:space="preserve"> privacy issues in the digital age.</w:t>
      </w:r>
    </w:p>
    <w:p w:rsidR="000F59E5" w:rsidRDefault="000F59E5" w:rsidP="000F59E5">
      <w:pPr>
        <w:pStyle w:val="SingleTxtG"/>
        <w:rPr>
          <w:rFonts w:eastAsia="Calibri"/>
          <w:lang w:val="en-US"/>
        </w:rPr>
      </w:pPr>
      <w:r>
        <w:rPr>
          <w:rFonts w:eastAsia="Calibri"/>
          <w:lang w:val="en-US"/>
        </w:rPr>
        <w:t>42.</w:t>
      </w:r>
      <w:r>
        <w:rPr>
          <w:rFonts w:eastAsia="Calibri"/>
          <w:lang w:val="en-US"/>
        </w:rPr>
        <w:tab/>
        <w:t>The Special Rapporteur’s next planned</w:t>
      </w:r>
      <w:r w:rsidRPr="00D12410">
        <w:rPr>
          <w:rFonts w:eastAsia="Calibri"/>
          <w:lang w:val="en-US"/>
        </w:rPr>
        <w:t xml:space="preserve"> </w:t>
      </w:r>
      <w:r>
        <w:rPr>
          <w:rFonts w:eastAsia="Calibri"/>
          <w:lang w:val="en-US"/>
        </w:rPr>
        <w:t xml:space="preserve">official </w:t>
      </w:r>
      <w:r w:rsidRPr="00D12410">
        <w:rPr>
          <w:rFonts w:eastAsia="Calibri"/>
          <w:lang w:val="en-US"/>
        </w:rPr>
        <w:t>visits are the U</w:t>
      </w:r>
      <w:r>
        <w:rPr>
          <w:rFonts w:eastAsia="Calibri"/>
          <w:lang w:val="en-US"/>
        </w:rPr>
        <w:t xml:space="preserve">nited </w:t>
      </w:r>
      <w:r w:rsidRPr="00D12410">
        <w:rPr>
          <w:rFonts w:eastAsia="Calibri"/>
          <w:lang w:val="en-US"/>
        </w:rPr>
        <w:t>K</w:t>
      </w:r>
      <w:r>
        <w:rPr>
          <w:rFonts w:eastAsia="Calibri"/>
          <w:lang w:val="en-US"/>
        </w:rPr>
        <w:t>ingdom</w:t>
      </w:r>
      <w:r w:rsidRPr="00492B18">
        <w:rPr>
          <w:rFonts w:eastAsia="Calibri"/>
          <w:lang w:val="en-US"/>
        </w:rPr>
        <w:t xml:space="preserve"> </w:t>
      </w:r>
      <w:r>
        <w:rPr>
          <w:rFonts w:eastAsia="Calibri"/>
          <w:lang w:val="en-US"/>
        </w:rPr>
        <w:t>(</w:t>
      </w:r>
      <w:r w:rsidRPr="00492B18">
        <w:rPr>
          <w:rFonts w:eastAsia="Calibri"/>
          <w:lang w:val="en-US"/>
        </w:rPr>
        <w:t>June 2018</w:t>
      </w:r>
      <w:r>
        <w:rPr>
          <w:rFonts w:eastAsia="Calibri"/>
          <w:lang w:val="en-US"/>
        </w:rPr>
        <w:t>)</w:t>
      </w:r>
      <w:r w:rsidRPr="00492B18">
        <w:rPr>
          <w:rFonts w:eastAsia="Calibri"/>
          <w:lang w:val="en-US"/>
        </w:rPr>
        <w:t xml:space="preserve"> and Germany </w:t>
      </w:r>
      <w:r>
        <w:rPr>
          <w:rFonts w:eastAsia="Calibri"/>
          <w:lang w:val="en-US"/>
        </w:rPr>
        <w:t>(</w:t>
      </w:r>
      <w:r w:rsidRPr="00492B18">
        <w:rPr>
          <w:rFonts w:eastAsia="Calibri"/>
          <w:lang w:val="en-US"/>
        </w:rPr>
        <w:t>autumn 2018</w:t>
      </w:r>
      <w:r>
        <w:rPr>
          <w:rFonts w:eastAsia="Calibri"/>
          <w:lang w:val="en-US"/>
        </w:rPr>
        <w:t>)</w:t>
      </w:r>
      <w:r w:rsidRPr="00492B18">
        <w:rPr>
          <w:rFonts w:eastAsia="Calibri"/>
          <w:lang w:val="en-US"/>
        </w:rPr>
        <w:t>.</w:t>
      </w:r>
    </w:p>
    <w:p w:rsidR="000F59E5" w:rsidRPr="009D53FB" w:rsidRDefault="00FA45DB" w:rsidP="000F59E5">
      <w:pPr>
        <w:pStyle w:val="SingleTxtG"/>
        <w:rPr>
          <w:rFonts w:eastAsia="Calibri"/>
          <w:lang w:val="en-US"/>
        </w:rPr>
      </w:pPr>
      <w:r>
        <w:rPr>
          <w:rFonts w:eastAsia="Calibri"/>
          <w:lang w:val="en-US"/>
        </w:rPr>
        <w:t>43.</w:t>
      </w:r>
      <w:r>
        <w:rPr>
          <w:rFonts w:eastAsia="Calibri"/>
          <w:lang w:val="en-US"/>
        </w:rPr>
        <w:tab/>
      </w:r>
      <w:r w:rsidR="000F59E5">
        <w:rPr>
          <w:rFonts w:eastAsia="Calibri"/>
          <w:lang w:val="en-US"/>
        </w:rPr>
        <w:t xml:space="preserve">The Special Rapporteur will </w:t>
      </w:r>
      <w:r w:rsidR="000F59E5" w:rsidRPr="009D53FB">
        <w:rPr>
          <w:rFonts w:eastAsia="Calibri"/>
          <w:lang w:val="en-US"/>
        </w:rPr>
        <w:t>continue</w:t>
      </w:r>
      <w:r w:rsidR="000F59E5">
        <w:rPr>
          <w:rFonts w:eastAsia="Calibri"/>
          <w:lang w:val="en-US"/>
        </w:rPr>
        <w:t xml:space="preserve"> consulting</w:t>
      </w:r>
      <w:r w:rsidR="000F59E5" w:rsidRPr="009D53FB">
        <w:rPr>
          <w:rFonts w:eastAsia="Calibri"/>
          <w:lang w:val="en-US"/>
        </w:rPr>
        <w:t xml:space="preserve"> with </w:t>
      </w:r>
      <w:r w:rsidR="000F59E5">
        <w:rPr>
          <w:rFonts w:eastAsia="Calibri"/>
          <w:lang w:val="en-US"/>
        </w:rPr>
        <w:t xml:space="preserve">state institutions, </w:t>
      </w:r>
      <w:r w:rsidR="000F59E5" w:rsidRPr="009D53FB">
        <w:rPr>
          <w:rFonts w:eastAsia="Calibri"/>
          <w:lang w:val="en-US"/>
        </w:rPr>
        <w:t>individuals</w:t>
      </w:r>
      <w:r w:rsidR="000F59E5">
        <w:rPr>
          <w:rFonts w:eastAsia="Calibri"/>
          <w:lang w:val="en-US"/>
        </w:rPr>
        <w:t xml:space="preserve"> and</w:t>
      </w:r>
      <w:r w:rsidR="000F59E5" w:rsidRPr="009D53FB">
        <w:rPr>
          <w:rFonts w:eastAsia="Calibri"/>
          <w:lang w:val="en-US"/>
        </w:rPr>
        <w:t xml:space="preserve"> organizations </w:t>
      </w:r>
      <w:r w:rsidR="000F59E5">
        <w:rPr>
          <w:rFonts w:eastAsia="Calibri"/>
          <w:lang w:val="en-US"/>
        </w:rPr>
        <w:t>on the right to privacy</w:t>
      </w:r>
      <w:r w:rsidR="000F59E5" w:rsidRPr="009D53FB">
        <w:rPr>
          <w:rFonts w:eastAsia="Calibri"/>
          <w:lang w:val="en-US"/>
        </w:rPr>
        <w:t xml:space="preserve">. Major events in 2018 include the </w:t>
      </w:r>
      <w:r w:rsidR="000F59E5">
        <w:rPr>
          <w:rFonts w:eastAsia="Calibri"/>
          <w:lang w:val="en-US"/>
        </w:rPr>
        <w:t xml:space="preserve">MAPPING </w:t>
      </w:r>
      <w:r w:rsidR="000F59E5" w:rsidRPr="009D53FB">
        <w:rPr>
          <w:rFonts w:eastAsia="Calibri"/>
          <w:lang w:val="en-US"/>
        </w:rPr>
        <w:t xml:space="preserve">conference held in Rome </w:t>
      </w:r>
      <w:r w:rsidR="000F59E5">
        <w:rPr>
          <w:rFonts w:eastAsia="Calibri"/>
          <w:lang w:val="en-US"/>
        </w:rPr>
        <w:t>on 19-20</w:t>
      </w:r>
      <w:r w:rsidR="000F59E5" w:rsidRPr="009D53FB">
        <w:rPr>
          <w:rFonts w:eastAsia="Calibri"/>
          <w:lang w:val="en-US"/>
        </w:rPr>
        <w:t xml:space="preserve"> January, the Latin America Privacy, Personality and flows of information event </w:t>
      </w:r>
      <w:r w:rsidR="000F59E5">
        <w:rPr>
          <w:rFonts w:eastAsia="Calibri"/>
          <w:lang w:val="en-US"/>
        </w:rPr>
        <w:t xml:space="preserve">planned to be held </w:t>
      </w:r>
      <w:r w:rsidR="000F59E5" w:rsidRPr="009D53FB">
        <w:rPr>
          <w:rFonts w:eastAsia="Calibri"/>
          <w:lang w:val="en-US"/>
        </w:rPr>
        <w:t xml:space="preserve">in May 2018 and the Health Data Taskforce consultation and </w:t>
      </w:r>
      <w:r w:rsidR="000F59E5">
        <w:rPr>
          <w:rFonts w:eastAsia="Calibri"/>
          <w:lang w:val="en-US"/>
        </w:rPr>
        <w:t xml:space="preserve">the </w:t>
      </w:r>
      <w:r w:rsidR="000F59E5" w:rsidRPr="009D53FB">
        <w:rPr>
          <w:rFonts w:eastAsia="Calibri"/>
          <w:lang w:val="en-US"/>
        </w:rPr>
        <w:t xml:space="preserve">consultation </w:t>
      </w:r>
      <w:r w:rsidR="000F59E5">
        <w:rPr>
          <w:rFonts w:eastAsia="Calibri"/>
          <w:lang w:val="en-US"/>
        </w:rPr>
        <w:t xml:space="preserve">on Big Data and Open data to be held in </w:t>
      </w:r>
      <w:r w:rsidR="000F59E5" w:rsidRPr="009D53FB">
        <w:rPr>
          <w:rFonts w:eastAsia="Calibri"/>
          <w:lang w:val="en-US"/>
        </w:rPr>
        <w:t xml:space="preserve">Australia </w:t>
      </w:r>
      <w:r w:rsidR="000F59E5">
        <w:rPr>
          <w:rFonts w:eastAsia="Calibri"/>
          <w:lang w:val="en-US"/>
        </w:rPr>
        <w:t>in</w:t>
      </w:r>
      <w:r w:rsidR="000F59E5" w:rsidRPr="009D53FB">
        <w:rPr>
          <w:rFonts w:eastAsia="Calibri"/>
          <w:lang w:val="en-US"/>
        </w:rPr>
        <w:t xml:space="preserve"> July 2018. </w:t>
      </w:r>
    </w:p>
    <w:p w:rsidR="000F59E5" w:rsidRPr="00022DCD" w:rsidRDefault="000F59E5" w:rsidP="00EF1266">
      <w:pPr>
        <w:pStyle w:val="H23G"/>
        <w:rPr>
          <w:sz w:val="10"/>
        </w:rPr>
      </w:pPr>
      <w:r w:rsidRPr="00022DCD">
        <w:tab/>
      </w:r>
      <w:r>
        <w:t>2</w:t>
      </w:r>
      <w:r w:rsidRPr="00022DCD">
        <w:t>.</w:t>
      </w:r>
      <w:r w:rsidRPr="00022DCD">
        <w:tab/>
      </w:r>
      <w:r w:rsidRPr="00583A7E">
        <w:t>Seeking, receiving and responding to information</w:t>
      </w:r>
    </w:p>
    <w:p w:rsidR="000F59E5" w:rsidRPr="0073647C" w:rsidRDefault="00EF1266" w:rsidP="00EF1266">
      <w:pPr>
        <w:pStyle w:val="H23G"/>
        <w:rPr>
          <w:rFonts w:eastAsia="Calibri"/>
          <w:lang w:val="en-US"/>
        </w:rPr>
      </w:pPr>
      <w:r>
        <w:rPr>
          <w:rFonts w:eastAsia="Calibri"/>
          <w:lang w:val="en-US"/>
        </w:rPr>
        <w:tab/>
      </w:r>
      <w:r>
        <w:rPr>
          <w:rFonts w:eastAsia="Calibri"/>
          <w:lang w:val="en-US"/>
        </w:rPr>
        <w:tab/>
      </w:r>
      <w:r w:rsidR="000F59E5" w:rsidRPr="0073647C">
        <w:rPr>
          <w:rFonts w:eastAsia="Calibri"/>
          <w:lang w:val="en-US"/>
        </w:rPr>
        <w:t>Consultations</w:t>
      </w:r>
    </w:p>
    <w:p w:rsidR="000F59E5" w:rsidRPr="00AA75B0" w:rsidRDefault="000F59E5" w:rsidP="000F59E5">
      <w:pPr>
        <w:pStyle w:val="SingleTxtG"/>
        <w:rPr>
          <w:rFonts w:eastAsia="Calibri"/>
          <w:lang w:val="en-US"/>
        </w:rPr>
      </w:pPr>
      <w:r>
        <w:rPr>
          <w:rFonts w:eastAsia="Calibri"/>
          <w:lang w:val="en-US"/>
        </w:rPr>
        <w:t>44.</w:t>
      </w:r>
      <w:r>
        <w:rPr>
          <w:rFonts w:eastAsia="Calibri"/>
          <w:lang w:val="en-US"/>
        </w:rPr>
        <w:tab/>
      </w:r>
      <w:r w:rsidRPr="00AA75B0">
        <w:rPr>
          <w:rFonts w:eastAsia="Calibri"/>
          <w:lang w:val="en-US"/>
        </w:rPr>
        <w:t xml:space="preserve">The Special </w:t>
      </w:r>
      <w:r w:rsidRPr="009D53FB">
        <w:rPr>
          <w:rFonts w:eastAsia="Calibri"/>
          <w:lang w:val="en-US"/>
        </w:rPr>
        <w:t>Rapporteur</w:t>
      </w:r>
      <w:r w:rsidRPr="00AA75B0">
        <w:rPr>
          <w:rFonts w:eastAsia="Calibri"/>
          <w:lang w:val="en-US"/>
        </w:rPr>
        <w:t xml:space="preserve"> </w:t>
      </w:r>
      <w:r>
        <w:rPr>
          <w:rFonts w:eastAsia="Calibri"/>
          <w:lang w:val="en-US"/>
        </w:rPr>
        <w:t>exchanged</w:t>
      </w:r>
      <w:r w:rsidRPr="00AA75B0">
        <w:rPr>
          <w:rFonts w:eastAsia="Calibri"/>
          <w:lang w:val="en-US"/>
        </w:rPr>
        <w:t xml:space="preserve"> information with</w:t>
      </w:r>
      <w:r>
        <w:rPr>
          <w:rFonts w:eastAsia="Calibri"/>
          <w:lang w:val="en-US"/>
        </w:rPr>
        <w:t xml:space="preserve"> </w:t>
      </w:r>
      <w:r w:rsidRPr="00AA75B0">
        <w:rPr>
          <w:rFonts w:eastAsia="Calibri"/>
          <w:lang w:val="en-US"/>
        </w:rPr>
        <w:t>officials and minis</w:t>
      </w:r>
      <w:r>
        <w:rPr>
          <w:rFonts w:eastAsia="Calibri"/>
          <w:lang w:val="en-US"/>
        </w:rPr>
        <w:t>tries and institutions</w:t>
      </w:r>
      <w:r w:rsidRPr="00AA75B0">
        <w:rPr>
          <w:rFonts w:eastAsia="Calibri"/>
          <w:lang w:val="en-US"/>
        </w:rPr>
        <w:t xml:space="preserve"> of various </w:t>
      </w:r>
      <w:r>
        <w:rPr>
          <w:rFonts w:eastAsia="Calibri"/>
          <w:lang w:val="en-US"/>
        </w:rPr>
        <w:t>G</w:t>
      </w:r>
      <w:r w:rsidRPr="009D53FB">
        <w:rPr>
          <w:rFonts w:eastAsia="Calibri"/>
          <w:lang w:val="en-US"/>
        </w:rPr>
        <w:t>overnments (</w:t>
      </w:r>
      <w:r>
        <w:rPr>
          <w:rFonts w:eastAsia="Calibri"/>
          <w:lang w:val="en-US"/>
        </w:rPr>
        <w:t xml:space="preserve">at </w:t>
      </w:r>
      <w:r w:rsidRPr="00AA75B0">
        <w:rPr>
          <w:rFonts w:eastAsia="Calibri"/>
          <w:lang w:val="en-US"/>
        </w:rPr>
        <w:t xml:space="preserve">national and sub-national levels); </w:t>
      </w:r>
      <w:r>
        <w:rPr>
          <w:rFonts w:eastAsia="Calibri"/>
          <w:lang w:val="en-US"/>
        </w:rPr>
        <w:t>d</w:t>
      </w:r>
      <w:r w:rsidRPr="009D53FB">
        <w:rPr>
          <w:rFonts w:eastAsia="Calibri"/>
          <w:lang w:val="en-US"/>
        </w:rPr>
        <w:t xml:space="preserve">ata </w:t>
      </w:r>
      <w:r>
        <w:rPr>
          <w:rFonts w:eastAsia="Calibri"/>
          <w:lang w:val="en-US"/>
        </w:rPr>
        <w:t>p</w:t>
      </w:r>
      <w:r w:rsidRPr="009D53FB">
        <w:rPr>
          <w:rFonts w:eastAsia="Calibri"/>
          <w:lang w:val="en-US"/>
        </w:rPr>
        <w:t>rotection</w:t>
      </w:r>
      <w:r w:rsidRPr="00AA75B0">
        <w:rPr>
          <w:rFonts w:eastAsia="Calibri"/>
          <w:lang w:val="en-US"/>
        </w:rPr>
        <w:t xml:space="preserve"> and </w:t>
      </w:r>
      <w:r>
        <w:rPr>
          <w:rFonts w:eastAsia="Calibri"/>
          <w:lang w:val="en-US"/>
        </w:rPr>
        <w:t>p</w:t>
      </w:r>
      <w:r w:rsidRPr="009D53FB">
        <w:rPr>
          <w:rFonts w:eastAsia="Calibri"/>
          <w:lang w:val="en-US"/>
        </w:rPr>
        <w:t xml:space="preserve">rivacy </w:t>
      </w:r>
      <w:r>
        <w:rPr>
          <w:rFonts w:eastAsia="Calibri"/>
          <w:lang w:val="en-US"/>
        </w:rPr>
        <w:t>c</w:t>
      </w:r>
      <w:r w:rsidRPr="009D53FB">
        <w:rPr>
          <w:rFonts w:eastAsia="Calibri"/>
          <w:lang w:val="en-US"/>
        </w:rPr>
        <w:t>ommissioners</w:t>
      </w:r>
      <w:r>
        <w:rPr>
          <w:rFonts w:eastAsia="Calibri"/>
          <w:lang w:val="en-US"/>
        </w:rPr>
        <w:t xml:space="preserve">; </w:t>
      </w:r>
      <w:r w:rsidRPr="00AA75B0">
        <w:rPr>
          <w:rFonts w:eastAsia="Calibri"/>
          <w:lang w:val="en-US"/>
        </w:rPr>
        <w:t xml:space="preserve">the Chairperson of the </w:t>
      </w:r>
      <w:r>
        <w:rPr>
          <w:rFonts w:eastAsia="Calibri"/>
          <w:lang w:val="en-US"/>
        </w:rPr>
        <w:t>European Union’s</w:t>
      </w:r>
      <w:r w:rsidRPr="009D53FB">
        <w:rPr>
          <w:rFonts w:eastAsia="Calibri"/>
          <w:lang w:val="en-US"/>
        </w:rPr>
        <w:t xml:space="preserve"> </w:t>
      </w:r>
      <w:r w:rsidRPr="00BB6E1A">
        <w:rPr>
          <w:rFonts w:eastAsia="Calibri"/>
          <w:lang w:val="en-US"/>
        </w:rPr>
        <w:t>"Article</w:t>
      </w:r>
      <w:r w:rsidRPr="00AA75B0">
        <w:rPr>
          <w:rFonts w:eastAsia="Calibri"/>
          <w:lang w:val="en-US"/>
        </w:rPr>
        <w:t xml:space="preserve"> 29 </w:t>
      </w:r>
      <w:r w:rsidRPr="00BB6E1A">
        <w:rPr>
          <w:rFonts w:eastAsia="Calibri"/>
          <w:lang w:val="en-US"/>
        </w:rPr>
        <w:t>Working Party"</w:t>
      </w:r>
      <w:r>
        <w:rPr>
          <w:rStyle w:val="FootnoteReference"/>
          <w:rFonts w:eastAsia="Calibri"/>
          <w:lang w:val="en-US"/>
        </w:rPr>
        <w:footnoteReference w:id="18"/>
      </w:r>
      <w:r>
        <w:rPr>
          <w:rFonts w:eastAsia="Calibri"/>
          <w:lang w:val="en-US"/>
        </w:rPr>
        <w:t xml:space="preserve">; </w:t>
      </w:r>
      <w:r w:rsidRPr="00AA75B0">
        <w:rPr>
          <w:rFonts w:eastAsia="Calibri"/>
          <w:lang w:val="en-US"/>
        </w:rPr>
        <w:t>the Chairperson of the Council of Europe’s Consultative Committee on Data Protection (T-PD</w:t>
      </w:r>
      <w:r>
        <w:rPr>
          <w:rFonts w:eastAsia="Calibri"/>
          <w:lang w:val="en-US"/>
        </w:rPr>
        <w:t>); s</w:t>
      </w:r>
      <w:r w:rsidRPr="00AA75B0">
        <w:rPr>
          <w:rFonts w:eastAsia="Calibri"/>
          <w:lang w:val="en-US"/>
        </w:rPr>
        <w:t xml:space="preserve">tandards </w:t>
      </w:r>
      <w:r>
        <w:rPr>
          <w:rFonts w:eastAsia="Calibri"/>
          <w:lang w:val="en-US"/>
        </w:rPr>
        <w:t>setting organizations,</w:t>
      </w:r>
      <w:r w:rsidRPr="00AA75B0">
        <w:rPr>
          <w:rFonts w:eastAsia="Calibri"/>
          <w:lang w:val="en-US"/>
        </w:rPr>
        <w:t xml:space="preserve"> such as the </w:t>
      </w:r>
      <w:r w:rsidRPr="00BB6E1A">
        <w:rPr>
          <w:rFonts w:eastAsia="Calibri"/>
          <w:lang w:val="en-US"/>
        </w:rPr>
        <w:t xml:space="preserve">International Telecommunication Union </w:t>
      </w:r>
      <w:r>
        <w:rPr>
          <w:rFonts w:eastAsia="Calibri"/>
          <w:lang w:val="en-US"/>
        </w:rPr>
        <w:t xml:space="preserve">(ITU) </w:t>
      </w:r>
      <w:r w:rsidRPr="009D53FB">
        <w:rPr>
          <w:rFonts w:eastAsia="Calibri"/>
          <w:lang w:val="en-US"/>
        </w:rPr>
        <w:t xml:space="preserve">and </w:t>
      </w:r>
      <w:r>
        <w:rPr>
          <w:rFonts w:eastAsia="Calibri"/>
          <w:lang w:val="en-US"/>
        </w:rPr>
        <w:t xml:space="preserve">the </w:t>
      </w:r>
      <w:r w:rsidRPr="00BB6E1A">
        <w:rPr>
          <w:rFonts w:eastAsia="Calibri"/>
          <w:lang w:val="en-US"/>
        </w:rPr>
        <w:t>Institute of Electrical and Electronics Engineers</w:t>
      </w:r>
      <w:r>
        <w:rPr>
          <w:rFonts w:eastAsia="Calibri"/>
          <w:lang w:val="en-US"/>
        </w:rPr>
        <w:t xml:space="preserve">; </w:t>
      </w:r>
      <w:r w:rsidRPr="00AA75B0">
        <w:rPr>
          <w:rFonts w:eastAsia="Calibri"/>
          <w:lang w:val="en-US"/>
        </w:rPr>
        <w:t xml:space="preserve"> civil society </w:t>
      </w:r>
      <w:r>
        <w:rPr>
          <w:rFonts w:eastAsia="Calibri"/>
          <w:lang w:val="en-US"/>
        </w:rPr>
        <w:t xml:space="preserve">organizations; </w:t>
      </w:r>
      <w:r w:rsidRPr="00AA75B0">
        <w:rPr>
          <w:rFonts w:eastAsia="Calibri"/>
          <w:lang w:val="en-US"/>
        </w:rPr>
        <w:t xml:space="preserve">Permanent Missions to the </w:t>
      </w:r>
      <w:r w:rsidRPr="009D53FB">
        <w:rPr>
          <w:rFonts w:eastAsia="Calibri"/>
          <w:lang w:val="en-US"/>
        </w:rPr>
        <w:t>U</w:t>
      </w:r>
      <w:r>
        <w:rPr>
          <w:rFonts w:eastAsia="Calibri"/>
          <w:lang w:val="en-US"/>
        </w:rPr>
        <w:t xml:space="preserve">nited </w:t>
      </w:r>
      <w:r w:rsidRPr="009D53FB">
        <w:rPr>
          <w:rFonts w:eastAsia="Calibri"/>
          <w:lang w:val="en-US"/>
        </w:rPr>
        <w:t>N</w:t>
      </w:r>
      <w:r>
        <w:rPr>
          <w:rFonts w:eastAsia="Calibri"/>
          <w:lang w:val="en-US"/>
        </w:rPr>
        <w:t>ations</w:t>
      </w:r>
      <w:r w:rsidRPr="00AA75B0">
        <w:rPr>
          <w:rFonts w:eastAsia="Calibri"/>
          <w:lang w:val="en-US"/>
        </w:rPr>
        <w:t xml:space="preserve"> in Geneva</w:t>
      </w:r>
      <w:r>
        <w:rPr>
          <w:rFonts w:eastAsia="Calibri"/>
          <w:lang w:val="en-US"/>
        </w:rPr>
        <w:t>; o</w:t>
      </w:r>
      <w:r w:rsidRPr="00AA75B0">
        <w:rPr>
          <w:rFonts w:eastAsia="Calibri"/>
          <w:lang w:val="en-US"/>
        </w:rPr>
        <w:t xml:space="preserve">ther Special </w:t>
      </w:r>
      <w:r>
        <w:rPr>
          <w:rFonts w:eastAsia="Calibri"/>
          <w:lang w:val="en-US"/>
        </w:rPr>
        <w:t xml:space="preserve">Procedures mandate holders, officials of the Office of the High Commissioner for Human Rights, researchers, academics and professional bodies. He has delivered </w:t>
      </w:r>
      <w:r w:rsidRPr="00AA75B0">
        <w:rPr>
          <w:rFonts w:eastAsia="Calibri"/>
          <w:lang w:val="en-US"/>
        </w:rPr>
        <w:t>keynote speeche</w:t>
      </w:r>
      <w:r>
        <w:rPr>
          <w:rFonts w:eastAsia="Calibri"/>
          <w:lang w:val="en-US"/>
        </w:rPr>
        <w:t>s and</w:t>
      </w:r>
      <w:r w:rsidRPr="00AA75B0">
        <w:rPr>
          <w:rFonts w:eastAsia="Calibri"/>
          <w:lang w:val="en-US"/>
        </w:rPr>
        <w:t xml:space="preserve"> participat</w:t>
      </w:r>
      <w:r>
        <w:rPr>
          <w:rFonts w:eastAsia="Calibri"/>
          <w:lang w:val="en-US"/>
        </w:rPr>
        <w:t xml:space="preserve">ed extensively </w:t>
      </w:r>
      <w:r w:rsidRPr="00AA75B0">
        <w:rPr>
          <w:rFonts w:eastAsia="Calibri"/>
          <w:lang w:val="en-US"/>
        </w:rPr>
        <w:t xml:space="preserve">in conferences and </w:t>
      </w:r>
      <w:r>
        <w:rPr>
          <w:rFonts w:eastAsia="Calibri"/>
          <w:lang w:val="en-US"/>
        </w:rPr>
        <w:t xml:space="preserve">civil society </w:t>
      </w:r>
      <w:r w:rsidRPr="00AA75B0">
        <w:rPr>
          <w:rFonts w:eastAsia="Calibri"/>
          <w:lang w:val="en-US"/>
        </w:rPr>
        <w:t>meetings</w:t>
      </w:r>
      <w:r>
        <w:rPr>
          <w:rFonts w:eastAsia="Calibri"/>
          <w:lang w:val="en-US"/>
        </w:rPr>
        <w:t>.</w:t>
      </w:r>
    </w:p>
    <w:p w:rsidR="000F59E5" w:rsidRPr="00AA75B0" w:rsidRDefault="000F59E5" w:rsidP="000F59E5">
      <w:pPr>
        <w:pStyle w:val="SingleTxtG"/>
        <w:rPr>
          <w:rFonts w:eastAsia="Calibri"/>
          <w:lang w:val="en-US"/>
        </w:rPr>
      </w:pPr>
      <w:r>
        <w:rPr>
          <w:rFonts w:eastAsia="Calibri"/>
          <w:lang w:val="en-US"/>
        </w:rPr>
        <w:t>45.</w:t>
      </w:r>
      <w:r>
        <w:rPr>
          <w:rFonts w:eastAsia="Calibri"/>
          <w:lang w:val="en-US"/>
        </w:rPr>
        <w:tab/>
        <w:t xml:space="preserve">The Special Rapporteur held particularly </w:t>
      </w:r>
      <w:r w:rsidRPr="00AA75B0">
        <w:rPr>
          <w:rFonts w:eastAsia="Calibri"/>
          <w:lang w:val="en-US"/>
        </w:rPr>
        <w:t>productive engagement</w:t>
      </w:r>
      <w:r>
        <w:rPr>
          <w:rFonts w:eastAsia="Calibri"/>
          <w:lang w:val="en-US"/>
        </w:rPr>
        <w:t>s</w:t>
      </w:r>
      <w:r w:rsidRPr="00AA75B0">
        <w:rPr>
          <w:rFonts w:eastAsia="Calibri"/>
          <w:lang w:val="en-US"/>
        </w:rPr>
        <w:t xml:space="preserve"> with </w:t>
      </w:r>
      <w:r>
        <w:rPr>
          <w:rFonts w:eastAsia="Calibri"/>
          <w:lang w:val="en-US"/>
        </w:rPr>
        <w:t>d</w:t>
      </w:r>
      <w:r w:rsidRPr="00AA75B0">
        <w:rPr>
          <w:rFonts w:eastAsia="Calibri"/>
          <w:lang w:val="en-US"/>
        </w:rPr>
        <w:t xml:space="preserve">ata </w:t>
      </w:r>
      <w:r>
        <w:rPr>
          <w:rFonts w:eastAsia="Calibri"/>
          <w:lang w:val="en-US"/>
        </w:rPr>
        <w:t>p</w:t>
      </w:r>
      <w:r w:rsidRPr="00AA75B0">
        <w:rPr>
          <w:rFonts w:eastAsia="Calibri"/>
          <w:lang w:val="en-US"/>
        </w:rPr>
        <w:t>rotection and privacy commissioners</w:t>
      </w:r>
      <w:r>
        <w:rPr>
          <w:rFonts w:eastAsia="Calibri"/>
          <w:lang w:val="en-US"/>
        </w:rPr>
        <w:t xml:space="preserve"> -</w:t>
      </w:r>
      <w:r w:rsidRPr="00AA75B0">
        <w:rPr>
          <w:rFonts w:eastAsia="Calibri"/>
          <w:lang w:val="en-US"/>
        </w:rPr>
        <w:t xml:space="preserve"> a core constituency for </w:t>
      </w:r>
      <w:r>
        <w:rPr>
          <w:rFonts w:eastAsia="Calibri"/>
          <w:lang w:val="en-US"/>
        </w:rPr>
        <w:t>his mandate</w:t>
      </w:r>
      <w:r w:rsidRPr="00AA75B0">
        <w:rPr>
          <w:rFonts w:eastAsia="Calibri"/>
          <w:lang w:val="en-US"/>
        </w:rPr>
        <w:t xml:space="preserve">. At </w:t>
      </w:r>
      <w:r>
        <w:rPr>
          <w:rFonts w:eastAsia="Calibri"/>
          <w:lang w:val="en-US"/>
        </w:rPr>
        <w:t xml:space="preserve">the </w:t>
      </w:r>
      <w:r w:rsidRPr="00AA75B0">
        <w:rPr>
          <w:rFonts w:eastAsia="Calibri"/>
          <w:lang w:val="en-US"/>
        </w:rPr>
        <w:t xml:space="preserve">2015 </w:t>
      </w:r>
      <w:r>
        <w:rPr>
          <w:rFonts w:eastAsia="Calibri"/>
          <w:lang w:val="en-US"/>
        </w:rPr>
        <w:t xml:space="preserve">edition of the </w:t>
      </w:r>
      <w:r w:rsidRPr="00AA75B0">
        <w:rPr>
          <w:rFonts w:eastAsia="Calibri"/>
          <w:lang w:val="en-US"/>
        </w:rPr>
        <w:t xml:space="preserve">International Conference of Data Protection and Privacy Commissioners, the Special Rapporteur </w:t>
      </w:r>
      <w:r>
        <w:rPr>
          <w:rFonts w:eastAsia="Calibri"/>
          <w:lang w:val="en-US"/>
        </w:rPr>
        <w:t>s</w:t>
      </w:r>
      <w:r w:rsidRPr="00AA75B0">
        <w:rPr>
          <w:rFonts w:eastAsia="Calibri"/>
          <w:lang w:val="en-US"/>
        </w:rPr>
        <w:t xml:space="preserve">ought </w:t>
      </w:r>
      <w:r>
        <w:rPr>
          <w:rFonts w:eastAsia="Calibri"/>
          <w:lang w:val="en-US"/>
        </w:rPr>
        <w:t xml:space="preserve">their </w:t>
      </w:r>
      <w:r w:rsidRPr="00AA75B0">
        <w:rPr>
          <w:rFonts w:eastAsia="Calibri"/>
          <w:lang w:val="en-US"/>
        </w:rPr>
        <w:t>feedback on the mandate’s ten-point plan. At the 2016 conference, the Special Rapporteur reported progress</w:t>
      </w:r>
      <w:r>
        <w:rPr>
          <w:rFonts w:eastAsia="Calibri"/>
          <w:lang w:val="en-US"/>
        </w:rPr>
        <w:t xml:space="preserve"> </w:t>
      </w:r>
      <w:r w:rsidRPr="00AA75B0">
        <w:rPr>
          <w:rFonts w:eastAsia="Calibri"/>
          <w:lang w:val="en-US"/>
        </w:rPr>
        <w:t>on the ten-point plan and</w:t>
      </w:r>
      <w:r>
        <w:rPr>
          <w:rFonts w:eastAsia="Calibri"/>
          <w:lang w:val="en-US"/>
        </w:rPr>
        <w:t>,</w:t>
      </w:r>
      <w:r w:rsidRPr="00AA75B0">
        <w:rPr>
          <w:rFonts w:eastAsia="Calibri"/>
          <w:lang w:val="en-US"/>
        </w:rPr>
        <w:t xml:space="preserve"> at the 2017 Conference in Hong Kong, China</w:t>
      </w:r>
      <w:r>
        <w:rPr>
          <w:rFonts w:eastAsia="Calibri"/>
          <w:lang w:val="en-US"/>
        </w:rPr>
        <w:t>,</w:t>
      </w:r>
      <w:r w:rsidRPr="00AA75B0">
        <w:rPr>
          <w:rFonts w:eastAsia="Calibri"/>
          <w:lang w:val="en-US"/>
        </w:rPr>
        <w:t xml:space="preserve"> </w:t>
      </w:r>
      <w:r>
        <w:rPr>
          <w:rFonts w:eastAsia="Calibri"/>
          <w:lang w:val="en-US"/>
        </w:rPr>
        <w:t>he</w:t>
      </w:r>
      <w:r w:rsidRPr="00AA75B0">
        <w:rPr>
          <w:rFonts w:eastAsia="Calibri"/>
          <w:lang w:val="en-US"/>
        </w:rPr>
        <w:t xml:space="preserve"> </w:t>
      </w:r>
      <w:r>
        <w:rPr>
          <w:rFonts w:eastAsia="Calibri"/>
          <w:lang w:val="en-US"/>
        </w:rPr>
        <w:t>spoke and</w:t>
      </w:r>
      <w:r w:rsidRPr="00AA75B0">
        <w:rPr>
          <w:rFonts w:eastAsia="Calibri"/>
          <w:lang w:val="en-US"/>
        </w:rPr>
        <w:t xml:space="preserve"> participated in parallel events and held his third </w:t>
      </w:r>
      <w:r w:rsidRPr="00107B92">
        <w:rPr>
          <w:rFonts w:eastAsia="Calibri"/>
          <w:lang w:val="en-US"/>
        </w:rPr>
        <w:t xml:space="preserve">“Privacy, Personality and Flows of Information” </w:t>
      </w:r>
      <w:r>
        <w:rPr>
          <w:rFonts w:eastAsia="Calibri"/>
          <w:lang w:val="en-US"/>
        </w:rPr>
        <w:t>event</w:t>
      </w:r>
      <w:r w:rsidRPr="00AA75B0">
        <w:rPr>
          <w:rFonts w:eastAsia="Calibri"/>
          <w:lang w:val="en-US"/>
        </w:rPr>
        <w:t xml:space="preserve"> complementing the Conference.</w:t>
      </w:r>
    </w:p>
    <w:p w:rsidR="000F59E5" w:rsidRPr="008C6E59" w:rsidRDefault="00EF1266" w:rsidP="00EF1266">
      <w:pPr>
        <w:pStyle w:val="H23G"/>
        <w:rPr>
          <w:rFonts w:eastAsia="Calibri"/>
          <w:lang w:val="en-US"/>
        </w:rPr>
      </w:pPr>
      <w:r>
        <w:rPr>
          <w:rFonts w:eastAsia="Calibri"/>
          <w:lang w:val="en-US"/>
        </w:rPr>
        <w:tab/>
      </w:r>
      <w:r>
        <w:rPr>
          <w:rFonts w:eastAsia="Calibri"/>
          <w:lang w:val="en-US"/>
        </w:rPr>
        <w:tab/>
      </w:r>
      <w:r w:rsidR="000F59E5">
        <w:rPr>
          <w:rFonts w:eastAsia="Calibri"/>
          <w:lang w:val="en-US"/>
        </w:rPr>
        <w:t>Correspondence</w:t>
      </w:r>
    </w:p>
    <w:p w:rsidR="000F59E5" w:rsidRPr="00AA75B0" w:rsidRDefault="000F59E5" w:rsidP="000F59E5">
      <w:pPr>
        <w:pStyle w:val="SingleTxtG"/>
        <w:rPr>
          <w:rFonts w:eastAsia="Calibri"/>
          <w:lang w:val="en-US"/>
        </w:rPr>
      </w:pPr>
      <w:r>
        <w:rPr>
          <w:rFonts w:eastAsia="Calibri"/>
          <w:lang w:val="en-US"/>
        </w:rPr>
        <w:t>46.</w:t>
      </w:r>
      <w:r>
        <w:rPr>
          <w:rFonts w:eastAsia="Calibri"/>
          <w:lang w:val="en-US"/>
        </w:rPr>
        <w:tab/>
      </w:r>
      <w:r w:rsidRPr="00AA75B0">
        <w:rPr>
          <w:rFonts w:eastAsia="Calibri"/>
          <w:lang w:val="en-US"/>
        </w:rPr>
        <w:t xml:space="preserve">The Special Rapporteur receives </w:t>
      </w:r>
      <w:r>
        <w:rPr>
          <w:rFonts w:eastAsia="Calibri"/>
          <w:lang w:val="en-US"/>
        </w:rPr>
        <w:t>correspondence from various sources</w:t>
      </w:r>
      <w:r w:rsidRPr="00AA75B0">
        <w:rPr>
          <w:rFonts w:eastAsia="Calibri"/>
          <w:lang w:val="en-US"/>
        </w:rPr>
        <w:t xml:space="preserve">. Of </w:t>
      </w:r>
      <w:r>
        <w:rPr>
          <w:rFonts w:eastAsia="Calibri"/>
          <w:lang w:val="en-US"/>
        </w:rPr>
        <w:t xml:space="preserve">those, only those </w:t>
      </w:r>
      <w:r w:rsidRPr="00AA75B0">
        <w:rPr>
          <w:rFonts w:eastAsia="Calibri"/>
          <w:lang w:val="en-US"/>
        </w:rPr>
        <w:t xml:space="preserve">received via the </w:t>
      </w:r>
      <w:r>
        <w:rPr>
          <w:rFonts w:eastAsia="Calibri"/>
          <w:lang w:val="en-US"/>
        </w:rPr>
        <w:t>official r</w:t>
      </w:r>
      <w:r w:rsidRPr="00AA75B0">
        <w:rPr>
          <w:rFonts w:eastAsia="Calibri"/>
          <w:lang w:val="en-US"/>
        </w:rPr>
        <w:t>egistry</w:t>
      </w:r>
      <w:r>
        <w:rPr>
          <w:rFonts w:eastAsia="Calibri"/>
          <w:lang w:val="en-US"/>
        </w:rPr>
        <w:t xml:space="preserve"> of</w:t>
      </w:r>
      <w:r w:rsidRPr="00AA75B0">
        <w:rPr>
          <w:rFonts w:eastAsia="Calibri"/>
          <w:lang w:val="en-US"/>
        </w:rPr>
        <w:t xml:space="preserve"> </w:t>
      </w:r>
      <w:r>
        <w:rPr>
          <w:rFonts w:eastAsia="Calibri"/>
          <w:lang w:val="en-US"/>
        </w:rPr>
        <w:t xml:space="preserve">the Office of the High Commissioner for Human Rights </w:t>
      </w:r>
      <w:r w:rsidRPr="00AA75B0">
        <w:rPr>
          <w:rFonts w:eastAsia="Calibri"/>
          <w:lang w:val="en-US"/>
        </w:rPr>
        <w:t>are registered</w:t>
      </w:r>
      <w:r>
        <w:rPr>
          <w:rFonts w:eastAsia="Calibri"/>
          <w:lang w:val="en-US"/>
        </w:rPr>
        <w:t xml:space="preserve"> and counted, making it</w:t>
      </w:r>
      <w:r w:rsidRPr="00AA75B0">
        <w:rPr>
          <w:rFonts w:eastAsia="Calibri"/>
          <w:lang w:val="en-US"/>
        </w:rPr>
        <w:t xml:space="preserve"> difficult to report the </w:t>
      </w:r>
      <w:r>
        <w:rPr>
          <w:rFonts w:eastAsia="Calibri"/>
          <w:lang w:val="en-US"/>
        </w:rPr>
        <w:t xml:space="preserve">total </w:t>
      </w:r>
      <w:r w:rsidRPr="00AA75B0">
        <w:rPr>
          <w:rFonts w:eastAsia="Calibri"/>
          <w:lang w:val="en-US"/>
        </w:rPr>
        <w:t>number of communications received</w:t>
      </w:r>
      <w:r>
        <w:rPr>
          <w:rFonts w:eastAsia="Calibri"/>
          <w:lang w:val="en-US"/>
        </w:rPr>
        <w:t>.</w:t>
      </w:r>
      <w:r w:rsidRPr="00AA75B0">
        <w:rPr>
          <w:rFonts w:eastAsia="Calibri"/>
          <w:lang w:val="en-US"/>
        </w:rPr>
        <w:t xml:space="preserve"> </w:t>
      </w:r>
      <w:r>
        <w:rPr>
          <w:rFonts w:eastAsia="Calibri"/>
          <w:lang w:val="en-US"/>
        </w:rPr>
        <w:t>N</w:t>
      </w:r>
      <w:r w:rsidRPr="00AA75B0">
        <w:rPr>
          <w:rFonts w:eastAsia="Calibri"/>
          <w:lang w:val="en-US"/>
        </w:rPr>
        <w:t>evertheless, since the commencement of the mandate</w:t>
      </w:r>
      <w:r>
        <w:rPr>
          <w:rFonts w:eastAsia="Calibri"/>
          <w:lang w:val="en-US"/>
        </w:rPr>
        <w:t>,</w:t>
      </w:r>
      <w:r w:rsidRPr="00AA75B0">
        <w:rPr>
          <w:rFonts w:eastAsia="Calibri"/>
          <w:lang w:val="en-US"/>
        </w:rPr>
        <w:t xml:space="preserve"> the </w:t>
      </w:r>
      <w:r>
        <w:rPr>
          <w:rFonts w:eastAsia="Calibri"/>
          <w:lang w:val="en-US"/>
        </w:rPr>
        <w:t>Office of the High Commissioner for Human Rights</w:t>
      </w:r>
      <w:r w:rsidRPr="00AA75B0">
        <w:rPr>
          <w:rFonts w:eastAsia="Calibri"/>
          <w:lang w:val="en-US"/>
        </w:rPr>
        <w:t xml:space="preserve"> has registered </w:t>
      </w:r>
      <w:r>
        <w:rPr>
          <w:rFonts w:eastAsia="Calibri"/>
          <w:lang w:val="en-US"/>
        </w:rPr>
        <w:t xml:space="preserve">the following correspondence received on </w:t>
      </w:r>
      <w:r w:rsidRPr="00AA75B0">
        <w:rPr>
          <w:rFonts w:eastAsia="Calibri"/>
          <w:lang w:val="en-US"/>
        </w:rPr>
        <w:t>behalf of the Special Rapporteur</w:t>
      </w:r>
      <w:r>
        <w:rPr>
          <w:rFonts w:eastAsia="Calibri"/>
          <w:lang w:val="en-US"/>
        </w:rPr>
        <w:t>.</w:t>
      </w:r>
    </w:p>
    <w:p w:rsidR="000F59E5" w:rsidRDefault="000F59E5" w:rsidP="000F59E5">
      <w:pPr>
        <w:pStyle w:val="SingleTxtG"/>
        <w:rPr>
          <w:rFonts w:eastAsia="Calibri"/>
          <w:lang w:val="en-US"/>
        </w:rPr>
      </w:pPr>
      <w:r>
        <w:rPr>
          <w:rFonts w:eastAsia="Calibri"/>
          <w:lang w:val="en-US"/>
        </w:rPr>
        <w:t>47.</w:t>
      </w:r>
      <w:r>
        <w:rPr>
          <w:rFonts w:eastAsia="Calibri"/>
          <w:lang w:val="en-US"/>
        </w:rPr>
        <w:tab/>
      </w:r>
      <w:r w:rsidRPr="00AA75B0">
        <w:rPr>
          <w:rFonts w:eastAsia="Calibri"/>
          <w:lang w:val="en-US"/>
        </w:rPr>
        <w:t xml:space="preserve">Registered Special Rapporteur </w:t>
      </w:r>
      <w:r>
        <w:rPr>
          <w:rFonts w:eastAsia="Calibri"/>
          <w:lang w:val="en-US"/>
        </w:rPr>
        <w:t>correspondence</w:t>
      </w:r>
      <w:r w:rsidRPr="00AA75B0">
        <w:rPr>
          <w:rFonts w:eastAsia="Calibri"/>
          <w:lang w:val="en-US"/>
        </w:rPr>
        <w:t xml:space="preserve"> 2015-2017</w:t>
      </w:r>
      <w:r w:rsidRPr="008C6E59">
        <w:rPr>
          <w:rFonts w:eastAsia="Calibri"/>
          <w:vertAlign w:val="superscript"/>
          <w:lang w:val="en-US"/>
        </w:rPr>
        <w:footnoteReference w:id="19"/>
      </w:r>
      <w:r>
        <w:rPr>
          <w:rFonts w:eastAsia="Calibri"/>
          <w:lang w:val="en-US"/>
        </w:rPr>
        <w:t>:</w:t>
      </w:r>
    </w:p>
    <w:tbl>
      <w:tblPr>
        <w:tblStyle w:val="TableGrid"/>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1917"/>
        <w:gridCol w:w="1815"/>
        <w:gridCol w:w="1815"/>
        <w:gridCol w:w="1823"/>
      </w:tblGrid>
      <w:tr w:rsidR="000F59E5" w:rsidRPr="00C46E60" w:rsidTr="00C46E60">
        <w:trPr>
          <w:tblHeader/>
        </w:trPr>
        <w:tc>
          <w:tcPr>
            <w:tcW w:w="2211" w:type="dxa"/>
            <w:shd w:val="clear" w:color="auto" w:fill="auto"/>
            <w:vAlign w:val="bottom"/>
          </w:tcPr>
          <w:p w:rsidR="000F59E5" w:rsidRPr="00C46E60" w:rsidRDefault="000F59E5" w:rsidP="00C46E60">
            <w:pPr>
              <w:pStyle w:val="SingleTxtG"/>
              <w:suppressAutoHyphens w:val="0"/>
              <w:spacing w:before="80" w:after="80" w:line="200" w:lineRule="exact"/>
              <w:ind w:left="0" w:right="0"/>
              <w:jc w:val="left"/>
              <w:rPr>
                <w:rFonts w:eastAsia="Calibri"/>
                <w:i/>
                <w:sz w:val="16"/>
                <w:lang w:val="en-US"/>
              </w:rPr>
            </w:pPr>
            <w:r w:rsidRPr="00C46E60">
              <w:rPr>
                <w:rFonts w:eastAsia="Calibri"/>
                <w:i/>
                <w:sz w:val="16"/>
                <w:lang w:val="en-US"/>
              </w:rPr>
              <w:t>2015</w:t>
            </w:r>
          </w:p>
        </w:tc>
        <w:tc>
          <w:tcPr>
            <w:tcW w:w="2095" w:type="dxa"/>
            <w:shd w:val="clear" w:color="auto" w:fill="auto"/>
            <w:vAlign w:val="bottom"/>
          </w:tcPr>
          <w:p w:rsidR="000F59E5" w:rsidRPr="00C46E60" w:rsidRDefault="000F59E5" w:rsidP="00C46E60">
            <w:pPr>
              <w:pStyle w:val="SingleTxtG"/>
              <w:suppressAutoHyphens w:val="0"/>
              <w:spacing w:before="80" w:after="80" w:line="200" w:lineRule="exact"/>
              <w:ind w:left="0" w:right="0"/>
              <w:jc w:val="right"/>
              <w:rPr>
                <w:rFonts w:eastAsia="Calibri"/>
                <w:i/>
                <w:sz w:val="16"/>
                <w:lang w:val="en-US"/>
              </w:rPr>
            </w:pPr>
            <w:r w:rsidRPr="00C46E60">
              <w:rPr>
                <w:rFonts w:eastAsia="Calibri"/>
                <w:i/>
                <w:sz w:val="16"/>
                <w:lang w:val="en-US"/>
              </w:rPr>
              <w:t>2016</w:t>
            </w:r>
          </w:p>
        </w:tc>
        <w:tc>
          <w:tcPr>
            <w:tcW w:w="2095" w:type="dxa"/>
            <w:shd w:val="clear" w:color="auto" w:fill="auto"/>
            <w:vAlign w:val="bottom"/>
          </w:tcPr>
          <w:p w:rsidR="000F59E5" w:rsidRPr="00C46E60" w:rsidRDefault="000F59E5" w:rsidP="00C46E60">
            <w:pPr>
              <w:pStyle w:val="SingleTxtG"/>
              <w:suppressAutoHyphens w:val="0"/>
              <w:spacing w:before="80" w:after="80" w:line="200" w:lineRule="exact"/>
              <w:ind w:left="0" w:right="0"/>
              <w:jc w:val="right"/>
              <w:rPr>
                <w:rFonts w:eastAsia="Calibri"/>
                <w:i/>
                <w:sz w:val="16"/>
                <w:lang w:val="en-US"/>
              </w:rPr>
            </w:pPr>
            <w:r w:rsidRPr="00C46E60">
              <w:rPr>
                <w:rFonts w:eastAsia="Calibri"/>
                <w:i/>
                <w:sz w:val="16"/>
                <w:lang w:val="en-US"/>
              </w:rPr>
              <w:t>2017</w:t>
            </w:r>
          </w:p>
        </w:tc>
        <w:tc>
          <w:tcPr>
            <w:tcW w:w="2104" w:type="dxa"/>
            <w:shd w:val="clear" w:color="auto" w:fill="auto"/>
            <w:vAlign w:val="bottom"/>
          </w:tcPr>
          <w:p w:rsidR="000F59E5" w:rsidRPr="00C46E60" w:rsidRDefault="000F59E5" w:rsidP="00C46E60">
            <w:pPr>
              <w:pStyle w:val="SingleTxtG"/>
              <w:suppressAutoHyphens w:val="0"/>
              <w:spacing w:before="80" w:after="80" w:line="200" w:lineRule="exact"/>
              <w:ind w:left="0" w:right="0"/>
              <w:jc w:val="right"/>
              <w:rPr>
                <w:rFonts w:eastAsia="Calibri"/>
                <w:i/>
                <w:sz w:val="16"/>
                <w:lang w:val="en-US"/>
              </w:rPr>
            </w:pPr>
            <w:r w:rsidRPr="00C46E60">
              <w:rPr>
                <w:rFonts w:eastAsia="Calibri"/>
                <w:i/>
                <w:sz w:val="16"/>
                <w:lang w:val="en-US"/>
              </w:rPr>
              <w:t>Total</w:t>
            </w:r>
          </w:p>
        </w:tc>
      </w:tr>
      <w:tr w:rsidR="000F59E5" w:rsidRPr="00C46E60" w:rsidTr="00C46E60">
        <w:tc>
          <w:tcPr>
            <w:tcW w:w="2211" w:type="dxa"/>
            <w:shd w:val="clear" w:color="auto" w:fill="auto"/>
          </w:tcPr>
          <w:p w:rsidR="000F59E5" w:rsidRPr="00C46E60" w:rsidRDefault="000F59E5" w:rsidP="00C46E60">
            <w:pPr>
              <w:pStyle w:val="SingleTxtG"/>
              <w:suppressAutoHyphens w:val="0"/>
              <w:spacing w:before="40" w:after="40" w:line="220" w:lineRule="exact"/>
              <w:ind w:left="0" w:right="0"/>
              <w:jc w:val="left"/>
              <w:rPr>
                <w:rFonts w:eastAsia="Calibri"/>
                <w:sz w:val="18"/>
                <w:lang w:val="en-US"/>
              </w:rPr>
            </w:pPr>
            <w:r w:rsidRPr="00C46E60">
              <w:rPr>
                <w:rFonts w:eastAsia="Calibri"/>
                <w:sz w:val="18"/>
                <w:lang w:val="en-US"/>
              </w:rPr>
              <w:t>Not available</w:t>
            </w:r>
          </w:p>
        </w:tc>
        <w:tc>
          <w:tcPr>
            <w:tcW w:w="2095" w:type="dxa"/>
            <w:shd w:val="clear" w:color="auto" w:fill="auto"/>
            <w:vAlign w:val="bottom"/>
          </w:tcPr>
          <w:p w:rsidR="000F59E5" w:rsidRPr="00C46E60" w:rsidRDefault="000F59E5" w:rsidP="00C46E60">
            <w:pPr>
              <w:pStyle w:val="SingleTxtG"/>
              <w:suppressAutoHyphens w:val="0"/>
              <w:spacing w:before="40" w:after="40" w:line="220" w:lineRule="exact"/>
              <w:ind w:left="0" w:right="0"/>
              <w:jc w:val="right"/>
              <w:rPr>
                <w:rFonts w:eastAsia="Calibri"/>
                <w:sz w:val="18"/>
                <w:lang w:val="en-US"/>
              </w:rPr>
            </w:pPr>
            <w:r w:rsidRPr="00C46E60">
              <w:rPr>
                <w:rFonts w:eastAsia="Calibri"/>
                <w:sz w:val="18"/>
                <w:lang w:val="en-US"/>
              </w:rPr>
              <w:t>3</w:t>
            </w:r>
          </w:p>
        </w:tc>
        <w:tc>
          <w:tcPr>
            <w:tcW w:w="2095" w:type="dxa"/>
            <w:shd w:val="clear" w:color="auto" w:fill="auto"/>
            <w:vAlign w:val="bottom"/>
          </w:tcPr>
          <w:p w:rsidR="000F59E5" w:rsidRPr="00C46E60" w:rsidRDefault="000F59E5" w:rsidP="00C46E60">
            <w:pPr>
              <w:pStyle w:val="SingleTxtG"/>
              <w:suppressAutoHyphens w:val="0"/>
              <w:spacing w:before="40" w:after="40" w:line="220" w:lineRule="exact"/>
              <w:ind w:left="0" w:right="0"/>
              <w:jc w:val="right"/>
              <w:rPr>
                <w:rFonts w:eastAsia="Calibri"/>
                <w:sz w:val="18"/>
                <w:lang w:val="en-US"/>
              </w:rPr>
            </w:pPr>
            <w:r w:rsidRPr="00C46E60">
              <w:rPr>
                <w:rFonts w:eastAsia="Calibri"/>
                <w:sz w:val="18"/>
                <w:lang w:val="en-US"/>
              </w:rPr>
              <w:t>47</w:t>
            </w:r>
          </w:p>
        </w:tc>
        <w:tc>
          <w:tcPr>
            <w:tcW w:w="2104" w:type="dxa"/>
            <w:shd w:val="clear" w:color="auto" w:fill="auto"/>
            <w:vAlign w:val="bottom"/>
          </w:tcPr>
          <w:p w:rsidR="000F59E5" w:rsidRPr="00C46E60" w:rsidRDefault="000F59E5" w:rsidP="00C46E60">
            <w:pPr>
              <w:pStyle w:val="SingleTxtG"/>
              <w:suppressAutoHyphens w:val="0"/>
              <w:spacing w:before="40" w:after="40" w:line="220" w:lineRule="exact"/>
              <w:ind w:left="0" w:right="0"/>
              <w:jc w:val="right"/>
              <w:rPr>
                <w:rFonts w:eastAsia="Calibri"/>
                <w:sz w:val="18"/>
                <w:lang w:val="en-US"/>
              </w:rPr>
            </w:pPr>
            <w:r w:rsidRPr="00C46E60">
              <w:rPr>
                <w:rFonts w:eastAsia="Calibri"/>
                <w:sz w:val="18"/>
                <w:lang w:val="en-US"/>
              </w:rPr>
              <w:t>50</w:t>
            </w:r>
          </w:p>
        </w:tc>
      </w:tr>
    </w:tbl>
    <w:p w:rsidR="000F59E5" w:rsidRPr="00AA75B0" w:rsidRDefault="000F59E5" w:rsidP="00FA45DB">
      <w:pPr>
        <w:pStyle w:val="SingleTxtG"/>
        <w:spacing w:before="240"/>
        <w:rPr>
          <w:rFonts w:eastAsia="Calibri"/>
          <w:lang w:val="en-US"/>
        </w:rPr>
      </w:pPr>
      <w:r>
        <w:rPr>
          <w:rFonts w:eastAsia="Calibri"/>
          <w:lang w:val="en-US"/>
        </w:rPr>
        <w:t>48.</w:t>
      </w:r>
      <w:r>
        <w:rPr>
          <w:rFonts w:eastAsia="Calibri"/>
          <w:lang w:val="en-US"/>
        </w:rPr>
        <w:tab/>
        <w:t>The d</w:t>
      </w:r>
      <w:r w:rsidRPr="00AA75B0">
        <w:rPr>
          <w:rFonts w:eastAsia="Calibri"/>
          <w:lang w:val="en-US"/>
        </w:rPr>
        <w:t xml:space="preserve">isaggregation </w:t>
      </w:r>
      <w:r>
        <w:rPr>
          <w:rFonts w:eastAsia="Calibri"/>
          <w:lang w:val="en-US"/>
        </w:rPr>
        <w:t xml:space="preserve">of the letters received </w:t>
      </w:r>
      <w:r w:rsidRPr="00AA75B0">
        <w:rPr>
          <w:rFonts w:eastAsia="Calibri"/>
          <w:lang w:val="en-US"/>
        </w:rPr>
        <w:t xml:space="preserve">by country or issue is not available, but in 2017 </w:t>
      </w:r>
      <w:r>
        <w:rPr>
          <w:rFonts w:eastAsia="Calibri"/>
          <w:lang w:val="en-US"/>
        </w:rPr>
        <w:t>most of the</w:t>
      </w:r>
      <w:r w:rsidRPr="00AA75B0">
        <w:rPr>
          <w:rFonts w:eastAsia="Calibri"/>
          <w:lang w:val="en-US"/>
        </w:rPr>
        <w:t xml:space="preserve"> correspondence </w:t>
      </w:r>
      <w:r>
        <w:rPr>
          <w:rFonts w:eastAsia="Calibri"/>
          <w:lang w:val="en-US"/>
        </w:rPr>
        <w:t xml:space="preserve">was received </w:t>
      </w:r>
      <w:r w:rsidRPr="00AA75B0">
        <w:rPr>
          <w:rFonts w:eastAsia="Calibri"/>
          <w:lang w:val="en-US"/>
        </w:rPr>
        <w:t xml:space="preserve">from Permanent Missions, </w:t>
      </w:r>
      <w:r>
        <w:rPr>
          <w:rFonts w:eastAsia="Calibri"/>
          <w:lang w:val="en-US"/>
        </w:rPr>
        <w:t>non-governmental organizations</w:t>
      </w:r>
      <w:r w:rsidRPr="00AA75B0">
        <w:rPr>
          <w:rFonts w:eastAsia="Calibri"/>
          <w:lang w:val="en-US"/>
        </w:rPr>
        <w:t xml:space="preserve"> and international organi</w:t>
      </w:r>
      <w:r>
        <w:rPr>
          <w:rFonts w:eastAsia="Calibri"/>
          <w:lang w:val="en-US"/>
        </w:rPr>
        <w:t>z</w:t>
      </w:r>
      <w:r w:rsidRPr="00AA75B0">
        <w:rPr>
          <w:rFonts w:eastAsia="Calibri"/>
          <w:lang w:val="en-US"/>
        </w:rPr>
        <w:t>ations.</w:t>
      </w:r>
      <w:r w:rsidRPr="008C6E59">
        <w:rPr>
          <w:rFonts w:eastAsia="Calibri"/>
          <w:vertAlign w:val="superscript"/>
          <w:lang w:val="en-US"/>
        </w:rPr>
        <w:footnoteReference w:id="20"/>
      </w:r>
      <w:r w:rsidRPr="00AA75B0">
        <w:rPr>
          <w:rFonts w:eastAsia="Calibri"/>
          <w:lang w:val="en-US"/>
        </w:rPr>
        <w:t xml:space="preserve"> These figures do not take into account the hundreds, possibly thousands, of other e-mail messages received</w:t>
      </w:r>
      <w:r>
        <w:rPr>
          <w:rFonts w:eastAsia="Calibri"/>
          <w:lang w:val="en-US"/>
        </w:rPr>
        <w:t xml:space="preserve"> at the mandate’s official email address: srprivacy@ohchr.org</w:t>
      </w:r>
      <w:r w:rsidRPr="00AA75B0">
        <w:rPr>
          <w:rFonts w:eastAsia="Calibri"/>
          <w:lang w:val="en-US"/>
        </w:rPr>
        <w:t>.</w:t>
      </w:r>
    </w:p>
    <w:p w:rsidR="000F59E5" w:rsidRPr="008C6E59" w:rsidRDefault="00EF1266" w:rsidP="00EF1266">
      <w:pPr>
        <w:pStyle w:val="H23G"/>
        <w:rPr>
          <w:rFonts w:eastAsia="Calibri"/>
          <w:lang w:val="en-US"/>
        </w:rPr>
      </w:pPr>
      <w:r>
        <w:rPr>
          <w:rFonts w:eastAsia="Calibri"/>
          <w:lang w:val="en-US"/>
        </w:rPr>
        <w:tab/>
      </w:r>
      <w:r>
        <w:rPr>
          <w:rFonts w:eastAsia="Calibri"/>
          <w:lang w:val="en-US"/>
        </w:rPr>
        <w:tab/>
      </w:r>
      <w:r w:rsidR="000F59E5" w:rsidRPr="008C6E59">
        <w:rPr>
          <w:rFonts w:eastAsia="Calibri"/>
          <w:lang w:val="en-US"/>
        </w:rPr>
        <w:t>Achievements</w:t>
      </w:r>
    </w:p>
    <w:p w:rsidR="000F59E5" w:rsidRPr="00AA75B0" w:rsidRDefault="00871CC9" w:rsidP="000F59E5">
      <w:pPr>
        <w:pStyle w:val="SingleTxtG"/>
        <w:rPr>
          <w:rFonts w:eastAsia="Calibri"/>
          <w:lang w:val="en-US"/>
        </w:rPr>
      </w:pPr>
      <w:r>
        <w:rPr>
          <w:rFonts w:eastAsia="Calibri"/>
          <w:lang w:val="en-US"/>
        </w:rPr>
        <w:t>49.</w:t>
      </w:r>
      <w:r w:rsidR="000F59E5">
        <w:rPr>
          <w:rFonts w:eastAsia="Calibri"/>
          <w:lang w:val="en-US"/>
        </w:rPr>
        <w:tab/>
        <w:t xml:space="preserve">The </w:t>
      </w:r>
      <w:r w:rsidR="000F59E5" w:rsidRPr="00AA75B0">
        <w:rPr>
          <w:rFonts w:eastAsia="Calibri"/>
          <w:lang w:val="en-US"/>
        </w:rPr>
        <w:t xml:space="preserve">International Conference of Data Protection and Privacy Commissioners </w:t>
      </w:r>
      <w:r w:rsidR="000F59E5">
        <w:rPr>
          <w:rFonts w:eastAsia="Calibri"/>
          <w:lang w:val="en-US"/>
        </w:rPr>
        <w:t xml:space="preserve">adopted a </w:t>
      </w:r>
      <w:r w:rsidR="000F59E5" w:rsidRPr="00AA75B0">
        <w:rPr>
          <w:rFonts w:eastAsia="Calibri"/>
          <w:lang w:val="en-US"/>
        </w:rPr>
        <w:t>Resolution on Co-operation with the U</w:t>
      </w:r>
      <w:r w:rsidR="000F59E5">
        <w:rPr>
          <w:rFonts w:eastAsia="Calibri"/>
          <w:lang w:val="en-US"/>
        </w:rPr>
        <w:t xml:space="preserve">nited </w:t>
      </w:r>
      <w:r w:rsidR="000F59E5" w:rsidRPr="00AA75B0">
        <w:rPr>
          <w:rFonts w:eastAsia="Calibri"/>
          <w:lang w:val="en-US"/>
        </w:rPr>
        <w:t>N</w:t>
      </w:r>
      <w:r w:rsidR="000F59E5">
        <w:rPr>
          <w:rFonts w:eastAsia="Calibri"/>
          <w:lang w:val="en-US"/>
        </w:rPr>
        <w:t>ations</w:t>
      </w:r>
      <w:r w:rsidR="000F59E5" w:rsidRPr="00AA75B0">
        <w:rPr>
          <w:rFonts w:eastAsia="Calibri"/>
          <w:lang w:val="en-US"/>
        </w:rPr>
        <w:t xml:space="preserve"> Special Rapporteur </w:t>
      </w:r>
      <w:r w:rsidR="000F59E5">
        <w:rPr>
          <w:rFonts w:eastAsia="Calibri"/>
          <w:lang w:val="en-US"/>
        </w:rPr>
        <w:t>on the right to</w:t>
      </w:r>
      <w:r w:rsidR="000F59E5" w:rsidRPr="00AA75B0">
        <w:rPr>
          <w:rFonts w:eastAsia="Calibri"/>
          <w:lang w:val="en-US"/>
        </w:rPr>
        <w:t xml:space="preserve"> </w:t>
      </w:r>
      <w:r w:rsidR="000F59E5">
        <w:rPr>
          <w:rFonts w:eastAsia="Calibri"/>
          <w:lang w:val="en-US"/>
        </w:rPr>
        <w:t>p</w:t>
      </w:r>
      <w:r w:rsidR="000F59E5" w:rsidRPr="00AA75B0">
        <w:rPr>
          <w:rFonts w:eastAsia="Calibri"/>
          <w:lang w:val="en-US"/>
        </w:rPr>
        <w:t>rivacy</w:t>
      </w:r>
      <w:r w:rsidR="000F59E5" w:rsidRPr="008C6E59">
        <w:rPr>
          <w:rFonts w:eastAsia="Calibri"/>
          <w:vertAlign w:val="superscript"/>
          <w:lang w:val="en-US"/>
        </w:rPr>
        <w:footnoteReference w:id="21"/>
      </w:r>
      <w:r w:rsidR="000F59E5" w:rsidRPr="00AA75B0">
        <w:rPr>
          <w:rFonts w:eastAsia="Calibri"/>
          <w:lang w:val="en-US"/>
        </w:rPr>
        <w:t xml:space="preserve"> in October 2015.</w:t>
      </w:r>
    </w:p>
    <w:p w:rsidR="000F59E5" w:rsidRPr="00AA75B0" w:rsidRDefault="000F59E5" w:rsidP="000F59E5">
      <w:pPr>
        <w:pStyle w:val="SingleTxtG"/>
        <w:rPr>
          <w:rFonts w:eastAsia="Calibri"/>
          <w:lang w:val="en-US"/>
        </w:rPr>
      </w:pPr>
      <w:r>
        <w:rPr>
          <w:rFonts w:eastAsia="Calibri"/>
          <w:lang w:val="en-US"/>
        </w:rPr>
        <w:t>50.</w:t>
      </w:r>
      <w:r>
        <w:rPr>
          <w:rFonts w:eastAsia="Calibri"/>
          <w:lang w:val="en-US"/>
        </w:rPr>
        <w:tab/>
        <w:t xml:space="preserve">The Special Rapporteur issued joint communications with other mandate holders on situations in </w:t>
      </w:r>
      <w:r w:rsidRPr="00AA75B0">
        <w:rPr>
          <w:rFonts w:eastAsia="Calibri"/>
          <w:lang w:val="en-US"/>
        </w:rPr>
        <w:t>Honduras, Mexico, Spain, Haiti and Egypt.</w:t>
      </w:r>
    </w:p>
    <w:p w:rsidR="000F59E5" w:rsidRPr="00AA75B0" w:rsidRDefault="000F59E5" w:rsidP="000F59E5">
      <w:pPr>
        <w:pStyle w:val="SingleTxtG"/>
        <w:rPr>
          <w:rFonts w:eastAsia="Calibri"/>
          <w:lang w:val="en-US"/>
        </w:rPr>
      </w:pPr>
      <w:r>
        <w:rPr>
          <w:rFonts w:eastAsia="Calibri"/>
          <w:lang w:val="en-US"/>
        </w:rPr>
        <w:t>51.</w:t>
      </w:r>
      <w:r>
        <w:rPr>
          <w:rFonts w:eastAsia="Calibri"/>
          <w:lang w:val="en-US"/>
        </w:rPr>
        <w:tab/>
        <w:t>The Special Rapporteur i</w:t>
      </w:r>
      <w:r w:rsidRPr="00AA75B0">
        <w:rPr>
          <w:rFonts w:eastAsia="Calibri"/>
          <w:lang w:val="en-US"/>
        </w:rPr>
        <w:t>dentifi</w:t>
      </w:r>
      <w:r>
        <w:rPr>
          <w:rFonts w:eastAsia="Calibri"/>
          <w:lang w:val="en-US"/>
        </w:rPr>
        <w:t>ed</w:t>
      </w:r>
      <w:r w:rsidRPr="00AA75B0">
        <w:rPr>
          <w:rFonts w:eastAsia="Calibri"/>
          <w:lang w:val="en-US"/>
        </w:rPr>
        <w:t xml:space="preserve"> and respon</w:t>
      </w:r>
      <w:r>
        <w:rPr>
          <w:rFonts w:eastAsia="Calibri"/>
          <w:lang w:val="en-US"/>
        </w:rPr>
        <w:t>ded</w:t>
      </w:r>
      <w:r w:rsidRPr="00AA75B0">
        <w:rPr>
          <w:rFonts w:eastAsia="Calibri"/>
          <w:lang w:val="en-US"/>
        </w:rPr>
        <w:t xml:space="preserve"> to emerging matters </w:t>
      </w:r>
      <w:r>
        <w:rPr>
          <w:rFonts w:eastAsia="Calibri"/>
          <w:lang w:val="en-US"/>
        </w:rPr>
        <w:t xml:space="preserve">and </w:t>
      </w:r>
      <w:r w:rsidRPr="00AA75B0">
        <w:rPr>
          <w:rFonts w:eastAsia="Calibri"/>
          <w:lang w:val="en-US"/>
        </w:rPr>
        <w:t>allegations of privacy breaches</w:t>
      </w:r>
      <w:r>
        <w:rPr>
          <w:rFonts w:eastAsia="Calibri"/>
          <w:lang w:val="en-US"/>
        </w:rPr>
        <w:t>, and</w:t>
      </w:r>
      <w:r w:rsidRPr="00AA75B0">
        <w:rPr>
          <w:rFonts w:eastAsia="Calibri"/>
          <w:lang w:val="en-US"/>
        </w:rPr>
        <w:t xml:space="preserve"> </w:t>
      </w:r>
      <w:r>
        <w:rPr>
          <w:rFonts w:eastAsia="Calibri"/>
          <w:lang w:val="en-US"/>
        </w:rPr>
        <w:t xml:space="preserve">potential </w:t>
      </w:r>
      <w:r w:rsidRPr="00AA75B0">
        <w:rPr>
          <w:rFonts w:eastAsia="Calibri"/>
          <w:lang w:val="en-US"/>
        </w:rPr>
        <w:t>technology</w:t>
      </w:r>
      <w:r>
        <w:rPr>
          <w:rFonts w:eastAsia="Calibri"/>
          <w:lang w:val="en-US"/>
        </w:rPr>
        <w:t>-</w:t>
      </w:r>
      <w:r w:rsidRPr="00AA75B0">
        <w:rPr>
          <w:rFonts w:eastAsia="Calibri"/>
          <w:lang w:val="en-US"/>
        </w:rPr>
        <w:t>based incursions into privacy such as facial recognition software.</w:t>
      </w:r>
    </w:p>
    <w:p w:rsidR="000F59E5" w:rsidRPr="008C6E59" w:rsidRDefault="00EF1266" w:rsidP="00EF1266">
      <w:pPr>
        <w:pStyle w:val="H23G"/>
        <w:rPr>
          <w:rFonts w:eastAsia="Calibri"/>
          <w:lang w:val="en-US"/>
        </w:rPr>
      </w:pPr>
      <w:r>
        <w:rPr>
          <w:rFonts w:eastAsia="Calibri"/>
          <w:lang w:val="en-US"/>
        </w:rPr>
        <w:tab/>
      </w:r>
      <w:r>
        <w:rPr>
          <w:rFonts w:eastAsia="Calibri"/>
          <w:lang w:val="en-US"/>
        </w:rPr>
        <w:tab/>
      </w:r>
      <w:r w:rsidR="000F59E5" w:rsidRPr="008C6E59">
        <w:rPr>
          <w:rFonts w:eastAsia="Calibri"/>
          <w:lang w:val="en-US"/>
        </w:rPr>
        <w:t>Future activities and opportunities</w:t>
      </w:r>
    </w:p>
    <w:p w:rsidR="000F59E5" w:rsidRPr="003556CF" w:rsidRDefault="000F59E5" w:rsidP="000F59E5">
      <w:pPr>
        <w:pStyle w:val="SingleTxtG"/>
        <w:rPr>
          <w:rFonts w:eastAsia="Calibri"/>
          <w:spacing w:val="-2"/>
          <w:lang w:val="en-US"/>
        </w:rPr>
      </w:pPr>
      <w:r w:rsidRPr="003556CF">
        <w:rPr>
          <w:rFonts w:eastAsia="Calibri"/>
          <w:spacing w:val="-2"/>
          <w:lang w:val="en-US"/>
        </w:rPr>
        <w:t>52.</w:t>
      </w:r>
      <w:r w:rsidRPr="003556CF">
        <w:rPr>
          <w:rFonts w:eastAsia="Calibri"/>
          <w:spacing w:val="-2"/>
          <w:lang w:val="en-US"/>
        </w:rPr>
        <w:tab/>
        <w:t>The Special Rapporteur will continue activities, emphasizing engagement with all stakeholders (particularly security and surveillance issues, including cyber security for information systems), the drafting of guidance material and recommendations on emerging issues with the input of civil society organizations and other stakeholders, technical assistance on the growing and diverse risks to the right to privacy in the digital age and the collaboration with other Special Procedures mandate holders in the protection of human rights.</w:t>
      </w:r>
    </w:p>
    <w:p w:rsidR="000F59E5" w:rsidRPr="00022DCD" w:rsidRDefault="000F59E5" w:rsidP="00EF1266">
      <w:pPr>
        <w:pStyle w:val="H23G"/>
        <w:rPr>
          <w:sz w:val="10"/>
        </w:rPr>
      </w:pPr>
      <w:r w:rsidRPr="00022DCD">
        <w:tab/>
      </w:r>
      <w:r>
        <w:t>3</w:t>
      </w:r>
      <w:r w:rsidRPr="00022DCD">
        <w:t>.</w:t>
      </w:r>
      <w:r w:rsidRPr="00022DCD">
        <w:tab/>
      </w:r>
      <w:r w:rsidRPr="00DB1763">
        <w:t>Identifying obstacles, promoting principles and submitting recommendations</w:t>
      </w:r>
    </w:p>
    <w:p w:rsidR="000F59E5" w:rsidRPr="008C6E59" w:rsidRDefault="00EF1266" w:rsidP="00EF1266">
      <w:pPr>
        <w:pStyle w:val="H23G"/>
        <w:rPr>
          <w:rFonts w:eastAsia="Calibri"/>
          <w:lang w:val="en-US"/>
        </w:rPr>
      </w:pPr>
      <w:r>
        <w:rPr>
          <w:rFonts w:eastAsia="Calibri"/>
          <w:lang w:val="en-US"/>
        </w:rPr>
        <w:tab/>
      </w:r>
      <w:r>
        <w:rPr>
          <w:rFonts w:eastAsia="Calibri"/>
          <w:lang w:val="en-US"/>
        </w:rPr>
        <w:tab/>
      </w:r>
      <w:r w:rsidR="000F59E5">
        <w:rPr>
          <w:rFonts w:eastAsia="Calibri"/>
          <w:lang w:val="en-US"/>
        </w:rPr>
        <w:t>O</w:t>
      </w:r>
      <w:r w:rsidR="000F59E5" w:rsidRPr="008C6E59">
        <w:rPr>
          <w:rFonts w:eastAsia="Calibri"/>
          <w:lang w:val="en-US"/>
        </w:rPr>
        <w:t>bstacles to privacy</w:t>
      </w:r>
    </w:p>
    <w:p w:rsidR="000F59E5" w:rsidRPr="00AA75B0" w:rsidRDefault="000F59E5" w:rsidP="000F59E5">
      <w:pPr>
        <w:pStyle w:val="SingleTxtG"/>
        <w:rPr>
          <w:rFonts w:eastAsia="Calibri"/>
          <w:lang w:val="en-US"/>
        </w:rPr>
      </w:pPr>
      <w:r>
        <w:rPr>
          <w:rFonts w:eastAsia="Calibri"/>
          <w:lang w:val="en-US"/>
        </w:rPr>
        <w:t>53.</w:t>
      </w:r>
      <w:r>
        <w:rPr>
          <w:rFonts w:eastAsia="Calibri"/>
          <w:lang w:val="en-US"/>
        </w:rPr>
        <w:tab/>
      </w:r>
      <w:r w:rsidRPr="00AA75B0">
        <w:rPr>
          <w:rFonts w:eastAsia="Calibri"/>
          <w:lang w:val="en-US"/>
        </w:rPr>
        <w:t>One of the Special Rapporteur’s most important initiatives is in the security and surveillance field as befitting the core issue leading to the creation of the Special Rapporteur</w:t>
      </w:r>
      <w:r>
        <w:rPr>
          <w:rFonts w:eastAsia="Calibri"/>
          <w:lang w:val="en-US"/>
        </w:rPr>
        <w:t>’s</w:t>
      </w:r>
      <w:r w:rsidRPr="00AA75B0">
        <w:rPr>
          <w:rFonts w:eastAsia="Calibri"/>
          <w:lang w:val="en-US"/>
        </w:rPr>
        <w:t xml:space="preserve"> mandate by the Human Rights Council. Obstacles</w:t>
      </w:r>
      <w:r>
        <w:rPr>
          <w:rFonts w:eastAsia="Calibri"/>
          <w:lang w:val="en-US"/>
        </w:rPr>
        <w:t xml:space="preserve"> to protecting the right to privacy under surveillance</w:t>
      </w:r>
      <w:r w:rsidRPr="00AA75B0">
        <w:rPr>
          <w:rFonts w:eastAsia="Calibri"/>
          <w:lang w:val="en-US"/>
        </w:rPr>
        <w:t xml:space="preserve"> include the current lack </w:t>
      </w:r>
      <w:r>
        <w:rPr>
          <w:rFonts w:eastAsia="Calibri"/>
          <w:lang w:val="en-US"/>
        </w:rPr>
        <w:t xml:space="preserve">or inadequacy </w:t>
      </w:r>
      <w:r w:rsidRPr="00AA75B0">
        <w:rPr>
          <w:rFonts w:eastAsia="Calibri"/>
          <w:lang w:val="en-US"/>
        </w:rPr>
        <w:t xml:space="preserve">of </w:t>
      </w:r>
      <w:r>
        <w:rPr>
          <w:rFonts w:eastAsia="Calibri"/>
          <w:lang w:val="en-US"/>
        </w:rPr>
        <w:t>detailed</w:t>
      </w:r>
      <w:r w:rsidRPr="00AA75B0">
        <w:rPr>
          <w:rFonts w:eastAsia="Calibri"/>
          <w:lang w:val="en-US"/>
        </w:rPr>
        <w:t xml:space="preserve"> rules</w:t>
      </w:r>
      <w:r>
        <w:rPr>
          <w:rFonts w:eastAsia="Calibri"/>
          <w:lang w:val="en-US"/>
        </w:rPr>
        <w:t xml:space="preserve">, practical procedures </w:t>
      </w:r>
      <w:r w:rsidRPr="00AA75B0">
        <w:rPr>
          <w:rFonts w:eastAsia="Calibri"/>
          <w:lang w:val="en-US"/>
        </w:rPr>
        <w:t xml:space="preserve">and </w:t>
      </w:r>
      <w:r>
        <w:rPr>
          <w:rFonts w:eastAsia="Calibri"/>
          <w:lang w:val="en-US"/>
        </w:rPr>
        <w:t xml:space="preserve">appropriate </w:t>
      </w:r>
      <w:r w:rsidRPr="00AA75B0">
        <w:rPr>
          <w:rFonts w:eastAsia="Calibri"/>
          <w:lang w:val="en-US"/>
        </w:rPr>
        <w:t xml:space="preserve">oversight mechanisms </w:t>
      </w:r>
      <w:r>
        <w:rPr>
          <w:rFonts w:eastAsia="Calibri"/>
          <w:lang w:val="en-US"/>
        </w:rPr>
        <w:t xml:space="preserve">to ensure an independent, reliable and efficient control of </w:t>
      </w:r>
      <w:r w:rsidRPr="00AA75B0">
        <w:rPr>
          <w:rFonts w:eastAsia="Calibri"/>
          <w:lang w:val="en-US"/>
        </w:rPr>
        <w:t>surveillance</w:t>
      </w:r>
      <w:r>
        <w:rPr>
          <w:rFonts w:eastAsia="Calibri"/>
          <w:lang w:val="en-US"/>
        </w:rPr>
        <w:t xml:space="preserve">, domestically and </w:t>
      </w:r>
      <w:r w:rsidRPr="00AA75B0">
        <w:rPr>
          <w:rFonts w:eastAsia="Calibri"/>
          <w:lang w:val="en-US"/>
        </w:rPr>
        <w:t>globally</w:t>
      </w:r>
      <w:r>
        <w:rPr>
          <w:rFonts w:eastAsia="Calibri"/>
          <w:lang w:val="en-US"/>
        </w:rPr>
        <w:t>. An overview of the gaps identified in privacy protection may be found in the Annex.</w:t>
      </w:r>
    </w:p>
    <w:p w:rsidR="000F59E5" w:rsidRPr="00AA75B0" w:rsidRDefault="000F59E5" w:rsidP="000F59E5">
      <w:pPr>
        <w:pStyle w:val="SingleTxtG"/>
        <w:rPr>
          <w:rFonts w:eastAsia="Calibri"/>
          <w:lang w:val="en-US"/>
        </w:rPr>
      </w:pPr>
      <w:r>
        <w:rPr>
          <w:rFonts w:eastAsia="Calibri"/>
          <w:lang w:val="en-US"/>
        </w:rPr>
        <w:t>54.</w:t>
      </w:r>
      <w:r>
        <w:rPr>
          <w:rFonts w:eastAsia="Calibri"/>
          <w:lang w:val="en-US"/>
        </w:rPr>
        <w:tab/>
      </w:r>
      <w:r w:rsidRPr="00AA75B0">
        <w:rPr>
          <w:rFonts w:eastAsia="Calibri"/>
          <w:lang w:val="en-US"/>
        </w:rPr>
        <w:t>In Big Data, information no longer needs to be ‘personal’ to identify an individual.</w:t>
      </w:r>
      <w:r w:rsidRPr="00FC17D8">
        <w:rPr>
          <w:rFonts w:eastAsia="Calibri"/>
          <w:vertAlign w:val="superscript"/>
          <w:lang w:val="en-US"/>
        </w:rPr>
        <w:footnoteReference w:id="22"/>
      </w:r>
      <w:r w:rsidRPr="00AA75B0">
        <w:rPr>
          <w:rFonts w:eastAsia="Calibri"/>
          <w:lang w:val="en-US"/>
        </w:rPr>
        <w:t xml:space="preserve"> Technological capacities and data analytics only require information that ‘lead to’ an individual and their connections, to pose a threat to privacy.</w:t>
      </w:r>
    </w:p>
    <w:p w:rsidR="000F59E5" w:rsidRPr="00AA75B0" w:rsidRDefault="000F59E5" w:rsidP="000F59E5">
      <w:pPr>
        <w:pStyle w:val="SingleTxtG"/>
        <w:rPr>
          <w:rFonts w:eastAsia="Calibri"/>
          <w:lang w:val="en-US"/>
        </w:rPr>
      </w:pPr>
      <w:r>
        <w:rPr>
          <w:rFonts w:eastAsia="Calibri"/>
          <w:lang w:val="en-US"/>
        </w:rPr>
        <w:t>55.</w:t>
      </w:r>
      <w:r>
        <w:rPr>
          <w:rFonts w:eastAsia="Calibri"/>
          <w:lang w:val="en-US"/>
        </w:rPr>
        <w:tab/>
      </w:r>
      <w:r w:rsidRPr="00AA75B0">
        <w:rPr>
          <w:rFonts w:eastAsia="Calibri"/>
          <w:lang w:val="en-US"/>
        </w:rPr>
        <w:t>The Thematic Action Streams are identifying contemporary obstacles to protecting and promoting the right to privacy</w:t>
      </w:r>
      <w:r>
        <w:rPr>
          <w:rFonts w:eastAsia="Calibri"/>
          <w:lang w:val="en-US"/>
        </w:rPr>
        <w:t>,</w:t>
      </w:r>
      <w:r w:rsidRPr="00AA75B0">
        <w:rPr>
          <w:rFonts w:eastAsia="Calibri"/>
          <w:lang w:val="en-US"/>
        </w:rPr>
        <w:t xml:space="preserve"> such as technologically based incursions in the health sphere; the smartphone in the witness box; cyber</w:t>
      </w:r>
      <w:r>
        <w:rPr>
          <w:rFonts w:eastAsia="Calibri"/>
          <w:lang w:val="en-US"/>
        </w:rPr>
        <w:t>-</w:t>
      </w:r>
      <w:r w:rsidRPr="00AA75B0">
        <w:rPr>
          <w:rFonts w:eastAsia="Calibri"/>
          <w:lang w:val="en-US"/>
        </w:rPr>
        <w:t xml:space="preserve">based violence; differential vulnerability across communities; embedded gender and other biases in algorithms; government access of private sector data; facial recognition and other </w:t>
      </w:r>
      <w:r>
        <w:rPr>
          <w:rFonts w:eastAsia="Calibri"/>
          <w:lang w:val="en-US"/>
        </w:rPr>
        <w:t xml:space="preserve">technological </w:t>
      </w:r>
      <w:r w:rsidRPr="00AA75B0">
        <w:rPr>
          <w:rFonts w:eastAsia="Calibri"/>
          <w:lang w:val="en-US"/>
        </w:rPr>
        <w:t>tools.</w:t>
      </w:r>
    </w:p>
    <w:p w:rsidR="000F59E5" w:rsidRPr="00FC17D8" w:rsidRDefault="00EF1266" w:rsidP="00EF1266">
      <w:pPr>
        <w:pStyle w:val="H23G"/>
        <w:rPr>
          <w:rFonts w:eastAsia="Calibri"/>
          <w:lang w:val="en-US"/>
        </w:rPr>
      </w:pPr>
      <w:r>
        <w:rPr>
          <w:rFonts w:eastAsia="Calibri"/>
          <w:lang w:val="en-US"/>
        </w:rPr>
        <w:tab/>
      </w:r>
      <w:r>
        <w:rPr>
          <w:rFonts w:eastAsia="Calibri"/>
          <w:lang w:val="en-US"/>
        </w:rPr>
        <w:tab/>
      </w:r>
      <w:r w:rsidR="000F59E5" w:rsidRPr="00FC17D8">
        <w:rPr>
          <w:rFonts w:eastAsia="Calibri"/>
          <w:lang w:val="en-US"/>
        </w:rPr>
        <w:t xml:space="preserve">Responding to obstacles – promoting privacy </w:t>
      </w:r>
    </w:p>
    <w:p w:rsidR="000F59E5" w:rsidRPr="00AA75B0" w:rsidRDefault="000F59E5" w:rsidP="000F59E5">
      <w:pPr>
        <w:pStyle w:val="SingleTxtG"/>
        <w:rPr>
          <w:rFonts w:eastAsia="Calibri"/>
          <w:lang w:val="en-US"/>
        </w:rPr>
      </w:pPr>
      <w:r>
        <w:rPr>
          <w:rFonts w:eastAsia="Calibri"/>
          <w:lang w:val="en-US"/>
        </w:rPr>
        <w:t>56.</w:t>
      </w:r>
      <w:r>
        <w:rPr>
          <w:rFonts w:eastAsia="Calibri"/>
          <w:lang w:val="en-US"/>
        </w:rPr>
        <w:tab/>
        <w:t>For</w:t>
      </w:r>
      <w:r w:rsidRPr="00AA75B0">
        <w:rPr>
          <w:rFonts w:eastAsia="Calibri"/>
          <w:lang w:val="en-US"/>
        </w:rPr>
        <w:t xml:space="preserve"> surveillance, the Special Rapporteur has embarked upon a strategy to build a consensus about the means to </w:t>
      </w:r>
      <w:r>
        <w:rPr>
          <w:rFonts w:eastAsia="Calibri"/>
          <w:lang w:val="en-US"/>
        </w:rPr>
        <w:t>strengthen the international legal framework</w:t>
      </w:r>
      <w:r w:rsidRPr="00AA75B0">
        <w:rPr>
          <w:rFonts w:eastAsia="Calibri"/>
          <w:lang w:val="en-US"/>
        </w:rPr>
        <w:t xml:space="preserve"> and </w:t>
      </w:r>
      <w:r>
        <w:rPr>
          <w:rFonts w:eastAsia="Calibri"/>
          <w:lang w:val="en-US"/>
        </w:rPr>
        <w:t xml:space="preserve">create </w:t>
      </w:r>
      <w:r w:rsidRPr="00AA75B0">
        <w:rPr>
          <w:rFonts w:eastAsia="Calibri"/>
          <w:lang w:val="en-US"/>
        </w:rPr>
        <w:t>adequate oversight mechanisms for surveillance globally.</w:t>
      </w:r>
    </w:p>
    <w:p w:rsidR="000F59E5" w:rsidRPr="00AA75B0" w:rsidRDefault="000F59E5" w:rsidP="000F59E5">
      <w:pPr>
        <w:pStyle w:val="SingleTxtG"/>
        <w:rPr>
          <w:rFonts w:eastAsia="Calibri"/>
          <w:lang w:val="en-US"/>
        </w:rPr>
      </w:pPr>
      <w:r>
        <w:rPr>
          <w:rFonts w:eastAsia="Calibri"/>
          <w:lang w:val="en-US"/>
        </w:rPr>
        <w:t>57.</w:t>
      </w:r>
      <w:r>
        <w:rPr>
          <w:rFonts w:eastAsia="Calibri"/>
          <w:lang w:val="en-US"/>
        </w:rPr>
        <w:tab/>
      </w:r>
      <w:r w:rsidRPr="00AA75B0">
        <w:rPr>
          <w:rFonts w:eastAsia="Calibri"/>
          <w:lang w:val="en-US"/>
        </w:rPr>
        <w:t xml:space="preserve">The Special Rapporteur has issued formal communications in response to topical privacy issues, official country visits or matters requiring a joint response with other mandate holders (see Appendix </w:t>
      </w:r>
      <w:r>
        <w:rPr>
          <w:rFonts w:eastAsia="Calibri"/>
          <w:lang w:val="en-US"/>
        </w:rPr>
        <w:t>3</w:t>
      </w:r>
      <w:r w:rsidRPr="00AA75B0">
        <w:rPr>
          <w:rFonts w:eastAsia="Calibri"/>
          <w:lang w:val="en-US"/>
        </w:rPr>
        <w:t xml:space="preserve">). </w:t>
      </w:r>
    </w:p>
    <w:p w:rsidR="000F59E5" w:rsidRPr="00FC17D8" w:rsidRDefault="00EF1266" w:rsidP="00EF1266">
      <w:pPr>
        <w:pStyle w:val="H23G"/>
        <w:rPr>
          <w:rFonts w:eastAsia="Calibri"/>
          <w:lang w:val="en-US"/>
        </w:rPr>
      </w:pPr>
      <w:r>
        <w:rPr>
          <w:rFonts w:eastAsia="Calibri"/>
          <w:lang w:val="en-US"/>
        </w:rPr>
        <w:tab/>
      </w:r>
      <w:r>
        <w:rPr>
          <w:rFonts w:eastAsia="Calibri"/>
          <w:lang w:val="en-US"/>
        </w:rPr>
        <w:tab/>
      </w:r>
      <w:r w:rsidR="000F59E5" w:rsidRPr="00FC17D8">
        <w:rPr>
          <w:rFonts w:eastAsia="Calibri"/>
          <w:lang w:val="en-US"/>
        </w:rPr>
        <w:t>Promot</w:t>
      </w:r>
      <w:r w:rsidR="000F59E5">
        <w:rPr>
          <w:rFonts w:eastAsia="Calibri"/>
          <w:lang w:val="en-US"/>
        </w:rPr>
        <w:t>ion of</w:t>
      </w:r>
      <w:r w:rsidR="000F59E5" w:rsidRPr="00FC17D8">
        <w:rPr>
          <w:rFonts w:eastAsia="Calibri"/>
          <w:lang w:val="en-US"/>
        </w:rPr>
        <w:t xml:space="preserve"> principles and best practice</w:t>
      </w:r>
      <w:r w:rsidR="000F59E5">
        <w:rPr>
          <w:rFonts w:eastAsia="Calibri"/>
          <w:lang w:val="en-US"/>
        </w:rPr>
        <w:t>s</w:t>
      </w:r>
    </w:p>
    <w:p w:rsidR="000F59E5" w:rsidRPr="00AA75B0" w:rsidRDefault="000F59E5" w:rsidP="000F59E5">
      <w:pPr>
        <w:pStyle w:val="SingleTxtG"/>
        <w:rPr>
          <w:rFonts w:eastAsia="Calibri"/>
          <w:lang w:val="en-US"/>
        </w:rPr>
      </w:pPr>
      <w:r>
        <w:rPr>
          <w:rFonts w:eastAsia="Calibri"/>
          <w:lang w:val="en-US"/>
        </w:rPr>
        <w:t>58.</w:t>
      </w:r>
      <w:r>
        <w:rPr>
          <w:rFonts w:eastAsia="Calibri"/>
          <w:lang w:val="en-US"/>
        </w:rPr>
        <w:tab/>
      </w:r>
      <w:r w:rsidRPr="00AA75B0">
        <w:rPr>
          <w:rFonts w:eastAsia="Calibri"/>
          <w:lang w:val="en-US"/>
        </w:rPr>
        <w:t xml:space="preserve">The Special Rapporteur has provided </w:t>
      </w:r>
      <w:r>
        <w:rPr>
          <w:rFonts w:eastAsia="Calibri"/>
          <w:lang w:val="en-US"/>
        </w:rPr>
        <w:t>inputs, among others,</w:t>
      </w:r>
      <w:r w:rsidRPr="00AA75B0">
        <w:rPr>
          <w:rFonts w:eastAsia="Calibri"/>
          <w:lang w:val="en-US"/>
        </w:rPr>
        <w:t xml:space="preserve"> to</w:t>
      </w:r>
      <w:r>
        <w:rPr>
          <w:rFonts w:eastAsia="Calibri"/>
          <w:lang w:val="en-US"/>
        </w:rPr>
        <w:t xml:space="preserve"> public consultations on draft legislation by</w:t>
      </w:r>
      <w:r w:rsidRPr="00AA75B0">
        <w:rPr>
          <w:rFonts w:eastAsia="Calibri"/>
          <w:lang w:val="en-US"/>
        </w:rPr>
        <w:t xml:space="preserve"> the Indian Government</w:t>
      </w:r>
      <w:r>
        <w:rPr>
          <w:rFonts w:eastAsia="Calibri"/>
          <w:lang w:val="en-US"/>
        </w:rPr>
        <w:t>, the United Kingdom Government</w:t>
      </w:r>
      <w:r w:rsidRPr="00AA75B0">
        <w:rPr>
          <w:rFonts w:eastAsia="Calibri"/>
          <w:lang w:val="en-US"/>
        </w:rPr>
        <w:t xml:space="preserve"> and the Australian Parliament.</w:t>
      </w:r>
      <w:r w:rsidRPr="00FC17D8">
        <w:rPr>
          <w:rFonts w:eastAsia="Calibri"/>
          <w:vertAlign w:val="superscript"/>
          <w:lang w:val="en-US"/>
        </w:rPr>
        <w:footnoteReference w:id="23"/>
      </w:r>
      <w:r w:rsidRPr="00AA75B0">
        <w:rPr>
          <w:rFonts w:eastAsia="Calibri"/>
          <w:lang w:val="en-US"/>
        </w:rPr>
        <w:t xml:space="preserve"> </w:t>
      </w:r>
      <w:r>
        <w:rPr>
          <w:rFonts w:eastAsia="Calibri"/>
          <w:lang w:val="en-US"/>
        </w:rPr>
        <w:t>The Special Rapporteur also submitted letters expressing his concern, some of which</w:t>
      </w:r>
      <w:r w:rsidRPr="00AA75B0">
        <w:rPr>
          <w:rFonts w:eastAsia="Calibri"/>
          <w:lang w:val="en-US"/>
        </w:rPr>
        <w:t xml:space="preserve"> remain confidential</w:t>
      </w:r>
      <w:r w:rsidR="00DC634C">
        <w:rPr>
          <w:rFonts w:eastAsia="Calibri"/>
          <w:lang w:val="en-US"/>
        </w:rPr>
        <w:t>,</w:t>
      </w:r>
      <w:r w:rsidRPr="00FC17D8">
        <w:rPr>
          <w:rFonts w:eastAsia="Calibri"/>
          <w:vertAlign w:val="superscript"/>
          <w:lang w:val="en-US"/>
        </w:rPr>
        <w:footnoteReference w:id="24"/>
      </w:r>
      <w:r w:rsidRPr="00AA75B0">
        <w:rPr>
          <w:rFonts w:eastAsia="Calibri"/>
          <w:lang w:val="en-US"/>
        </w:rPr>
        <w:t xml:space="preserve"> and </w:t>
      </w:r>
      <w:r>
        <w:rPr>
          <w:rFonts w:eastAsia="Calibri"/>
          <w:lang w:val="en-US"/>
        </w:rPr>
        <w:t>some</w:t>
      </w:r>
      <w:r w:rsidRPr="00AA75B0">
        <w:rPr>
          <w:rFonts w:eastAsia="Calibri"/>
          <w:lang w:val="en-US"/>
        </w:rPr>
        <w:t xml:space="preserve"> are in the public domain</w:t>
      </w:r>
      <w:r>
        <w:rPr>
          <w:rFonts w:eastAsia="Calibri"/>
          <w:lang w:val="en-US"/>
        </w:rPr>
        <w:t>,</w:t>
      </w:r>
      <w:r w:rsidRPr="00AA75B0">
        <w:rPr>
          <w:rFonts w:eastAsia="Calibri"/>
          <w:lang w:val="en-US"/>
        </w:rPr>
        <w:t xml:space="preserve"> such as those </w:t>
      </w:r>
      <w:r>
        <w:rPr>
          <w:rFonts w:eastAsia="Calibri"/>
          <w:lang w:val="en-US"/>
        </w:rPr>
        <w:t xml:space="preserve">written </w:t>
      </w:r>
      <w:r w:rsidRPr="00AA75B0">
        <w:rPr>
          <w:rFonts w:eastAsia="Calibri"/>
          <w:lang w:val="en-US"/>
        </w:rPr>
        <w:t>to the Governments of Japan and Mexico.</w:t>
      </w:r>
    </w:p>
    <w:p w:rsidR="000F59E5" w:rsidRPr="00FC17D8" w:rsidRDefault="00EF1266" w:rsidP="00EF1266">
      <w:pPr>
        <w:pStyle w:val="H23G"/>
        <w:rPr>
          <w:rFonts w:eastAsia="Calibri"/>
          <w:lang w:val="en-US"/>
        </w:rPr>
      </w:pPr>
      <w:r>
        <w:rPr>
          <w:rFonts w:eastAsia="Calibri"/>
          <w:lang w:val="en-US"/>
        </w:rPr>
        <w:tab/>
      </w:r>
      <w:r>
        <w:rPr>
          <w:rFonts w:eastAsia="Calibri"/>
          <w:lang w:val="en-US"/>
        </w:rPr>
        <w:tab/>
      </w:r>
      <w:r w:rsidR="000F59E5">
        <w:rPr>
          <w:rFonts w:eastAsia="Calibri"/>
          <w:lang w:val="en-US"/>
        </w:rPr>
        <w:t>P</w:t>
      </w:r>
      <w:r w:rsidR="000F59E5" w:rsidRPr="00FC17D8">
        <w:rPr>
          <w:rFonts w:eastAsia="Calibri"/>
          <w:lang w:val="en-US"/>
        </w:rPr>
        <w:t>roposals and recommendations to the Human Rights Council</w:t>
      </w:r>
    </w:p>
    <w:p w:rsidR="000F59E5" w:rsidRPr="00AA75B0" w:rsidRDefault="000F59E5" w:rsidP="000F59E5">
      <w:pPr>
        <w:pStyle w:val="SingleTxtG"/>
        <w:rPr>
          <w:rFonts w:eastAsia="Calibri"/>
          <w:lang w:val="en-US"/>
        </w:rPr>
      </w:pPr>
      <w:r>
        <w:rPr>
          <w:rFonts w:eastAsia="Calibri"/>
          <w:lang w:val="en-US"/>
        </w:rPr>
        <w:t>59.</w:t>
      </w:r>
      <w:r>
        <w:rPr>
          <w:rFonts w:eastAsia="Calibri"/>
          <w:lang w:val="en-US"/>
        </w:rPr>
        <w:tab/>
      </w:r>
      <w:r w:rsidRPr="00AA75B0">
        <w:rPr>
          <w:rFonts w:eastAsia="Calibri"/>
          <w:lang w:val="en-US"/>
        </w:rPr>
        <w:t xml:space="preserve">The </w:t>
      </w:r>
      <w:r>
        <w:rPr>
          <w:rFonts w:eastAsia="Calibri"/>
          <w:lang w:val="en-US"/>
        </w:rPr>
        <w:t xml:space="preserve">Special Rapporteur’s </w:t>
      </w:r>
      <w:r w:rsidRPr="00AA75B0">
        <w:rPr>
          <w:rFonts w:eastAsia="Calibri"/>
          <w:lang w:val="en-US"/>
        </w:rPr>
        <w:t>recommendations</w:t>
      </w:r>
      <w:r>
        <w:rPr>
          <w:rFonts w:eastAsia="Calibri"/>
          <w:lang w:val="en-US"/>
        </w:rPr>
        <w:t xml:space="preserve"> on</w:t>
      </w:r>
      <w:r w:rsidRPr="00AA75B0">
        <w:rPr>
          <w:rFonts w:eastAsia="Calibri"/>
          <w:lang w:val="en-US"/>
        </w:rPr>
        <w:t xml:space="preserve"> Big Data </w:t>
      </w:r>
      <w:r>
        <w:rPr>
          <w:rFonts w:eastAsia="Calibri"/>
          <w:lang w:val="en-US"/>
        </w:rPr>
        <w:t xml:space="preserve">- </w:t>
      </w:r>
      <w:r w:rsidRPr="00AA75B0">
        <w:rPr>
          <w:rFonts w:eastAsia="Calibri"/>
          <w:lang w:val="en-US"/>
        </w:rPr>
        <w:t>Open Data are</w:t>
      </w:r>
      <w:r>
        <w:rPr>
          <w:rFonts w:eastAsia="Calibri"/>
          <w:lang w:val="en-US"/>
        </w:rPr>
        <w:t xml:space="preserve"> in</w:t>
      </w:r>
      <w:r w:rsidR="00CC3C95">
        <w:rPr>
          <w:rFonts w:eastAsia="Calibri"/>
          <w:lang w:val="en-US"/>
        </w:rPr>
        <w:t xml:space="preserve"> Appendix </w:t>
      </w:r>
      <w:r>
        <w:rPr>
          <w:rFonts w:eastAsia="Calibri"/>
          <w:lang w:val="en-US"/>
        </w:rPr>
        <w:t>4 to this report</w:t>
      </w:r>
      <w:r w:rsidRPr="00AA75B0">
        <w:rPr>
          <w:rFonts w:eastAsia="Calibri"/>
          <w:lang w:val="en-US"/>
        </w:rPr>
        <w:t>.</w:t>
      </w:r>
    </w:p>
    <w:p w:rsidR="000F59E5" w:rsidRPr="00AA75B0" w:rsidRDefault="000F59E5" w:rsidP="000F59E5">
      <w:pPr>
        <w:pStyle w:val="SingleTxtG"/>
        <w:rPr>
          <w:rFonts w:eastAsia="Calibri"/>
          <w:lang w:val="en-US"/>
        </w:rPr>
      </w:pPr>
      <w:r>
        <w:rPr>
          <w:rFonts w:eastAsia="Calibri"/>
          <w:lang w:val="en-US"/>
        </w:rPr>
        <w:t>60.</w:t>
      </w:r>
      <w:r>
        <w:rPr>
          <w:rFonts w:eastAsia="Calibri"/>
          <w:lang w:val="en-US"/>
        </w:rPr>
        <w:tab/>
      </w:r>
      <w:r w:rsidRPr="00AA75B0">
        <w:rPr>
          <w:rFonts w:eastAsia="Calibri"/>
          <w:lang w:val="en-US"/>
        </w:rPr>
        <w:t xml:space="preserve">The preliminary recommendations of the Special Rapporteur following </w:t>
      </w:r>
      <w:r>
        <w:rPr>
          <w:rFonts w:eastAsia="Calibri"/>
          <w:lang w:val="en-US"/>
        </w:rPr>
        <w:t>his</w:t>
      </w:r>
      <w:r w:rsidRPr="00AA75B0">
        <w:rPr>
          <w:rFonts w:eastAsia="Calibri"/>
          <w:lang w:val="en-US"/>
        </w:rPr>
        <w:t xml:space="preserve"> official visit to the U</w:t>
      </w:r>
      <w:r>
        <w:rPr>
          <w:rFonts w:eastAsia="Calibri"/>
          <w:lang w:val="en-US"/>
        </w:rPr>
        <w:t xml:space="preserve">nited </w:t>
      </w:r>
      <w:r w:rsidRPr="00AA75B0">
        <w:rPr>
          <w:rFonts w:eastAsia="Calibri"/>
          <w:lang w:val="en-US"/>
        </w:rPr>
        <w:t>S</w:t>
      </w:r>
      <w:r>
        <w:rPr>
          <w:rFonts w:eastAsia="Calibri"/>
          <w:lang w:val="en-US"/>
        </w:rPr>
        <w:t>tates</w:t>
      </w:r>
      <w:r w:rsidRPr="00AA75B0">
        <w:rPr>
          <w:rFonts w:eastAsia="Calibri"/>
          <w:lang w:val="en-US"/>
        </w:rPr>
        <w:t xml:space="preserve"> cover surveillance for national security purposes (</w:t>
      </w:r>
      <w:r>
        <w:rPr>
          <w:rFonts w:eastAsia="Calibri"/>
          <w:lang w:val="en-US"/>
        </w:rPr>
        <w:t xml:space="preserve">membership of the </w:t>
      </w:r>
      <w:r w:rsidRPr="001876FF">
        <w:rPr>
          <w:rFonts w:eastAsia="Calibri"/>
          <w:lang w:val="en-US"/>
        </w:rPr>
        <w:t>Privacy and Civil Liberties Oversight Board</w:t>
      </w:r>
      <w:r w:rsidRPr="001876FF" w:rsidDel="001876FF">
        <w:rPr>
          <w:rFonts w:eastAsia="Calibri"/>
          <w:lang w:val="en-US"/>
        </w:rPr>
        <w:t xml:space="preserve"> </w:t>
      </w:r>
      <w:r w:rsidRPr="00AA75B0">
        <w:rPr>
          <w:rFonts w:eastAsia="Calibri"/>
          <w:lang w:val="en-US"/>
        </w:rPr>
        <w:t>and S</w:t>
      </w:r>
      <w:r>
        <w:rPr>
          <w:rFonts w:eastAsia="Calibri"/>
          <w:lang w:val="en-US"/>
        </w:rPr>
        <w:t xml:space="preserve">ection </w:t>
      </w:r>
      <w:r w:rsidRPr="00AA75B0">
        <w:rPr>
          <w:rFonts w:eastAsia="Calibri"/>
          <w:lang w:val="en-US"/>
        </w:rPr>
        <w:t>702</w:t>
      </w:r>
      <w:r>
        <w:rPr>
          <w:rFonts w:eastAsia="Calibri"/>
          <w:lang w:val="en-US"/>
        </w:rPr>
        <w:t xml:space="preserve"> of the 2008 </w:t>
      </w:r>
      <w:r w:rsidRPr="001876FF">
        <w:rPr>
          <w:rFonts w:eastAsia="Calibri"/>
          <w:lang w:val="en-US"/>
        </w:rPr>
        <w:t xml:space="preserve">Amendments Act </w:t>
      </w:r>
      <w:r>
        <w:rPr>
          <w:rFonts w:eastAsia="Calibri"/>
          <w:lang w:val="en-US"/>
        </w:rPr>
        <w:t xml:space="preserve">of the 1978 </w:t>
      </w:r>
      <w:r w:rsidRPr="001876FF">
        <w:rPr>
          <w:rFonts w:eastAsia="Calibri"/>
          <w:lang w:val="en-US"/>
        </w:rPr>
        <w:t>Foreign Intelligence Surveillance Act</w:t>
      </w:r>
      <w:r w:rsidRPr="00AA75B0">
        <w:rPr>
          <w:rFonts w:eastAsia="Calibri"/>
          <w:lang w:val="en-US"/>
        </w:rPr>
        <w:t xml:space="preserve">); smart surveillance in urban environments and surveillance carried out for law enforcement purposes; Executive Order 12333 situations; personal data held by corporations; </w:t>
      </w:r>
      <w:r>
        <w:rPr>
          <w:rFonts w:eastAsia="Calibri"/>
          <w:lang w:val="en-US"/>
        </w:rPr>
        <w:t xml:space="preserve">extending the protection provided by the 1996 </w:t>
      </w:r>
      <w:r w:rsidRPr="001876FF">
        <w:rPr>
          <w:rFonts w:eastAsia="Calibri"/>
          <w:lang w:val="en-US"/>
        </w:rPr>
        <w:t>Health Insurance Portability and Accountability Act</w:t>
      </w:r>
      <w:r w:rsidRPr="00AA75B0">
        <w:rPr>
          <w:rFonts w:eastAsia="Calibri"/>
          <w:lang w:val="en-US"/>
        </w:rPr>
        <w:t xml:space="preserve"> to all health data; identity management of sex workers; the simplification of privacy</w:t>
      </w:r>
      <w:r>
        <w:rPr>
          <w:rFonts w:eastAsia="Calibri"/>
          <w:lang w:val="en-US"/>
        </w:rPr>
        <w:t>;</w:t>
      </w:r>
      <w:r w:rsidRPr="00AA75B0">
        <w:rPr>
          <w:rFonts w:eastAsia="Calibri"/>
          <w:lang w:val="en-US"/>
        </w:rPr>
        <w:t xml:space="preserve"> and fostering privacy-positive initiatives at State level. </w:t>
      </w:r>
      <w:r>
        <w:rPr>
          <w:rFonts w:eastAsia="Calibri"/>
          <w:lang w:val="en-US"/>
        </w:rPr>
        <w:t>On</w:t>
      </w:r>
      <w:r w:rsidRPr="00AA75B0">
        <w:rPr>
          <w:rFonts w:eastAsia="Calibri"/>
          <w:lang w:val="en-US"/>
        </w:rPr>
        <w:t xml:space="preserve"> surveillance, the Special Rapporteur recommended the cessation of any discrimination between U</w:t>
      </w:r>
      <w:r>
        <w:rPr>
          <w:rFonts w:eastAsia="Calibri"/>
          <w:lang w:val="en-US"/>
        </w:rPr>
        <w:t xml:space="preserve">nited </w:t>
      </w:r>
      <w:r w:rsidRPr="00AA75B0">
        <w:rPr>
          <w:rFonts w:eastAsia="Calibri"/>
          <w:lang w:val="en-US"/>
        </w:rPr>
        <w:t>S</w:t>
      </w:r>
      <w:r>
        <w:rPr>
          <w:rFonts w:eastAsia="Calibri"/>
          <w:lang w:val="en-US"/>
        </w:rPr>
        <w:t>tates</w:t>
      </w:r>
      <w:r w:rsidRPr="00AA75B0">
        <w:rPr>
          <w:rFonts w:eastAsia="Calibri"/>
          <w:lang w:val="en-US"/>
        </w:rPr>
        <w:t xml:space="preserve"> </w:t>
      </w:r>
      <w:r>
        <w:rPr>
          <w:rFonts w:eastAsia="Calibri"/>
          <w:lang w:val="en-US"/>
        </w:rPr>
        <w:t>citizens and residents and those who are neither citizens nor residents in the country,</w:t>
      </w:r>
      <w:r w:rsidRPr="00AA75B0">
        <w:rPr>
          <w:rFonts w:eastAsia="Calibri"/>
          <w:lang w:val="en-US"/>
        </w:rPr>
        <w:t xml:space="preserve"> when it comes to privacy safeguards and remedies, and action by </w:t>
      </w:r>
      <w:r>
        <w:rPr>
          <w:rFonts w:eastAsia="Calibri"/>
          <w:lang w:val="en-US"/>
        </w:rPr>
        <w:t xml:space="preserve">the United States </w:t>
      </w:r>
      <w:r w:rsidRPr="00AA75B0">
        <w:rPr>
          <w:rFonts w:eastAsia="Calibri"/>
          <w:lang w:val="en-US"/>
        </w:rPr>
        <w:t>Congress to introduce new legislation that treats mass surveillance as disproportionate and unnecessary in a democratic society.</w:t>
      </w:r>
    </w:p>
    <w:p w:rsidR="000F59E5" w:rsidRPr="00AA75B0" w:rsidRDefault="000F59E5" w:rsidP="000F59E5">
      <w:pPr>
        <w:pStyle w:val="SingleTxtG"/>
        <w:rPr>
          <w:rFonts w:eastAsia="Calibri"/>
          <w:lang w:val="en-US"/>
        </w:rPr>
      </w:pPr>
      <w:r>
        <w:rPr>
          <w:rFonts w:eastAsia="Calibri"/>
          <w:lang w:val="en-US"/>
        </w:rPr>
        <w:t>61.</w:t>
      </w:r>
      <w:r>
        <w:rPr>
          <w:rFonts w:eastAsia="Calibri"/>
          <w:lang w:val="en-US"/>
        </w:rPr>
        <w:tab/>
        <w:t>The Special Rapporteur has also made other r</w:t>
      </w:r>
      <w:r w:rsidRPr="00AA75B0">
        <w:rPr>
          <w:rFonts w:eastAsia="Calibri"/>
          <w:lang w:val="en-US"/>
        </w:rPr>
        <w:t xml:space="preserve">ecommendations concerning ‘Security and Surveillance’ in </w:t>
      </w:r>
      <w:r>
        <w:rPr>
          <w:rFonts w:eastAsia="Calibri"/>
          <w:lang w:val="en-US"/>
        </w:rPr>
        <w:t xml:space="preserve">his </w:t>
      </w:r>
      <w:r w:rsidRPr="00AA75B0">
        <w:rPr>
          <w:rFonts w:eastAsia="Calibri"/>
          <w:lang w:val="en-US"/>
        </w:rPr>
        <w:t>annual reports to the Human Rights Council.</w:t>
      </w:r>
    </w:p>
    <w:p w:rsidR="000F59E5" w:rsidRPr="00FC17D8" w:rsidRDefault="00EF1266" w:rsidP="00EF1266">
      <w:pPr>
        <w:pStyle w:val="H23G"/>
        <w:rPr>
          <w:rFonts w:eastAsia="Calibri"/>
          <w:lang w:val="en-US"/>
        </w:rPr>
      </w:pPr>
      <w:r>
        <w:rPr>
          <w:rFonts w:eastAsia="Calibri"/>
          <w:lang w:val="en-US"/>
        </w:rPr>
        <w:tab/>
      </w:r>
      <w:r>
        <w:rPr>
          <w:rFonts w:eastAsia="Calibri"/>
          <w:lang w:val="en-US"/>
        </w:rPr>
        <w:tab/>
      </w:r>
      <w:r w:rsidR="000F59E5" w:rsidRPr="00FC17D8">
        <w:rPr>
          <w:rFonts w:eastAsia="Calibri"/>
          <w:lang w:val="en-US"/>
        </w:rPr>
        <w:t>Achievements</w:t>
      </w:r>
    </w:p>
    <w:p w:rsidR="000F59E5" w:rsidRDefault="000F59E5" w:rsidP="000F59E5">
      <w:pPr>
        <w:pStyle w:val="SingleTxtG"/>
        <w:rPr>
          <w:rFonts w:eastAsia="Calibri"/>
          <w:lang w:val="en-US"/>
        </w:rPr>
      </w:pPr>
      <w:r>
        <w:rPr>
          <w:rFonts w:eastAsia="Calibri"/>
          <w:lang w:val="en-US"/>
        </w:rPr>
        <w:t>62.</w:t>
      </w:r>
      <w:r>
        <w:rPr>
          <w:rFonts w:eastAsia="Calibri"/>
          <w:lang w:val="en-US"/>
        </w:rPr>
        <w:tab/>
        <w:t xml:space="preserve">The Special Rapporteur has reported </w:t>
      </w:r>
      <w:r w:rsidRPr="00AA75B0">
        <w:rPr>
          <w:rFonts w:eastAsia="Calibri"/>
          <w:lang w:val="en-US"/>
        </w:rPr>
        <w:t>emerging obstacles</w:t>
      </w:r>
      <w:r>
        <w:rPr>
          <w:rFonts w:eastAsia="Calibri"/>
          <w:lang w:val="en-US"/>
        </w:rPr>
        <w:t xml:space="preserve"> in his annual reports to the General Assembly and the Human Rights Council (2015-2017) and in c</w:t>
      </w:r>
      <w:r w:rsidRPr="00AA75B0">
        <w:rPr>
          <w:rFonts w:eastAsia="Calibri"/>
          <w:lang w:val="en-US"/>
        </w:rPr>
        <w:t xml:space="preserve">ommunications concerning </w:t>
      </w:r>
      <w:r>
        <w:rPr>
          <w:rFonts w:eastAsia="Calibri"/>
          <w:lang w:val="en-US"/>
        </w:rPr>
        <w:t xml:space="preserve">violations of the right to privacy by Member </w:t>
      </w:r>
      <w:r w:rsidRPr="00AA75B0">
        <w:rPr>
          <w:rFonts w:eastAsia="Calibri"/>
          <w:lang w:val="en-US"/>
        </w:rPr>
        <w:t>States</w:t>
      </w:r>
      <w:r>
        <w:rPr>
          <w:rFonts w:eastAsia="Calibri"/>
          <w:lang w:val="en-US"/>
        </w:rPr>
        <w:t>.</w:t>
      </w:r>
    </w:p>
    <w:p w:rsidR="000F59E5" w:rsidRPr="00AA75B0" w:rsidRDefault="000F59E5" w:rsidP="000F59E5">
      <w:pPr>
        <w:pStyle w:val="SingleTxtG"/>
        <w:rPr>
          <w:rFonts w:eastAsia="Calibri"/>
          <w:lang w:val="en-US"/>
        </w:rPr>
      </w:pPr>
      <w:r>
        <w:rPr>
          <w:rFonts w:eastAsia="Calibri"/>
          <w:lang w:val="en-US"/>
        </w:rPr>
        <w:t>63.</w:t>
      </w:r>
      <w:r>
        <w:rPr>
          <w:rFonts w:eastAsia="Calibri"/>
          <w:lang w:val="en-US"/>
        </w:rPr>
        <w:tab/>
        <w:t>The Special Rapporteur has r</w:t>
      </w:r>
      <w:r w:rsidRPr="00AA75B0">
        <w:rPr>
          <w:rFonts w:eastAsia="Calibri"/>
          <w:lang w:val="en-US"/>
        </w:rPr>
        <w:t>espond</w:t>
      </w:r>
      <w:r>
        <w:rPr>
          <w:rFonts w:eastAsia="Calibri"/>
          <w:lang w:val="en-US"/>
        </w:rPr>
        <w:t>ed</w:t>
      </w:r>
      <w:r w:rsidRPr="00AA75B0">
        <w:rPr>
          <w:rFonts w:eastAsia="Calibri"/>
          <w:lang w:val="en-US"/>
        </w:rPr>
        <w:t xml:space="preserve"> to </w:t>
      </w:r>
      <w:r>
        <w:rPr>
          <w:rFonts w:eastAsia="Calibri"/>
          <w:lang w:val="en-US"/>
        </w:rPr>
        <w:t>the obstacles to the enjoyment of the right to privacy through advocacy with Governments in order</w:t>
      </w:r>
      <w:r w:rsidRPr="00AA75B0">
        <w:rPr>
          <w:rFonts w:eastAsia="Calibri"/>
          <w:lang w:val="en-US"/>
        </w:rPr>
        <w:t xml:space="preserve"> to address initiatives and programs </w:t>
      </w:r>
      <w:r>
        <w:rPr>
          <w:rFonts w:eastAsia="Calibri"/>
          <w:lang w:val="en-US"/>
        </w:rPr>
        <w:t>that could violate the right to privacy; the creation of</w:t>
      </w:r>
      <w:r w:rsidRPr="00AA75B0">
        <w:rPr>
          <w:rFonts w:eastAsia="Calibri"/>
          <w:lang w:val="en-US"/>
        </w:rPr>
        <w:t xml:space="preserve"> Thematic Action Stream Taskforces</w:t>
      </w:r>
      <w:r>
        <w:rPr>
          <w:rFonts w:eastAsia="Calibri"/>
          <w:lang w:val="en-US"/>
        </w:rPr>
        <w:t>; the promotion of</w:t>
      </w:r>
      <w:r w:rsidRPr="00AA75B0">
        <w:rPr>
          <w:rFonts w:eastAsia="Calibri"/>
          <w:lang w:val="en-US"/>
        </w:rPr>
        <w:t xml:space="preserve"> ‘privacy by design’</w:t>
      </w:r>
      <w:r>
        <w:rPr>
          <w:rFonts w:eastAsia="Calibri"/>
          <w:lang w:val="en-US"/>
        </w:rPr>
        <w:t xml:space="preserve"> among</w:t>
      </w:r>
      <w:r w:rsidRPr="00AA75B0">
        <w:rPr>
          <w:rFonts w:eastAsia="Calibri"/>
          <w:lang w:val="en-US"/>
        </w:rPr>
        <w:t xml:space="preserve"> technology companies</w:t>
      </w:r>
      <w:r>
        <w:rPr>
          <w:rFonts w:eastAsia="Calibri"/>
          <w:lang w:val="en-US"/>
        </w:rPr>
        <w:t>; the development of a d</w:t>
      </w:r>
      <w:r w:rsidRPr="00AA75B0">
        <w:rPr>
          <w:rFonts w:eastAsia="Calibri"/>
          <w:lang w:val="en-US"/>
        </w:rPr>
        <w:t xml:space="preserve">raft </w:t>
      </w:r>
      <w:r>
        <w:rPr>
          <w:rFonts w:eastAsia="Calibri"/>
          <w:lang w:val="en-US"/>
        </w:rPr>
        <w:t>l</w:t>
      </w:r>
      <w:r w:rsidRPr="00AA75B0">
        <w:rPr>
          <w:rFonts w:eastAsia="Calibri"/>
          <w:lang w:val="en-US"/>
        </w:rPr>
        <w:t xml:space="preserve">egal </w:t>
      </w:r>
      <w:r>
        <w:rPr>
          <w:rFonts w:eastAsia="Calibri"/>
          <w:lang w:val="en-US"/>
        </w:rPr>
        <w:t>i</w:t>
      </w:r>
      <w:r w:rsidRPr="00AA75B0">
        <w:rPr>
          <w:rFonts w:eastAsia="Calibri"/>
          <w:lang w:val="en-US"/>
        </w:rPr>
        <w:t xml:space="preserve">nstrument on </w:t>
      </w:r>
      <w:r>
        <w:rPr>
          <w:rFonts w:eastAsia="Calibri"/>
          <w:lang w:val="en-US"/>
        </w:rPr>
        <w:t>g</w:t>
      </w:r>
      <w:r w:rsidRPr="00AA75B0">
        <w:rPr>
          <w:rFonts w:eastAsia="Calibri"/>
          <w:lang w:val="en-US"/>
        </w:rPr>
        <w:t xml:space="preserve">overnment </w:t>
      </w:r>
      <w:r>
        <w:rPr>
          <w:rFonts w:eastAsia="Calibri"/>
          <w:lang w:val="en-US"/>
        </w:rPr>
        <w:t>l</w:t>
      </w:r>
      <w:r w:rsidRPr="00AA75B0">
        <w:rPr>
          <w:rFonts w:eastAsia="Calibri"/>
          <w:lang w:val="en-US"/>
        </w:rPr>
        <w:t xml:space="preserve">ed </w:t>
      </w:r>
      <w:r>
        <w:rPr>
          <w:rFonts w:eastAsia="Calibri"/>
          <w:lang w:val="en-US"/>
        </w:rPr>
        <w:t>s</w:t>
      </w:r>
      <w:r w:rsidRPr="00AA75B0">
        <w:rPr>
          <w:rFonts w:eastAsia="Calibri"/>
          <w:lang w:val="en-US"/>
        </w:rPr>
        <w:t>urveillance (see Part II)</w:t>
      </w:r>
      <w:r>
        <w:rPr>
          <w:rFonts w:eastAsia="Calibri"/>
          <w:lang w:val="en-US"/>
        </w:rPr>
        <w:t>; public c</w:t>
      </w:r>
      <w:r w:rsidRPr="00AA75B0">
        <w:rPr>
          <w:rFonts w:eastAsia="Calibri"/>
          <w:lang w:val="en-US"/>
        </w:rPr>
        <w:t>onsultations</w:t>
      </w:r>
      <w:r>
        <w:rPr>
          <w:rFonts w:eastAsia="Calibri"/>
          <w:lang w:val="en-US"/>
        </w:rPr>
        <w:t>; p</w:t>
      </w:r>
      <w:r w:rsidRPr="00AA75B0">
        <w:rPr>
          <w:rFonts w:eastAsia="Calibri"/>
          <w:lang w:val="en-US"/>
        </w:rPr>
        <w:t>articipation in international events</w:t>
      </w:r>
      <w:r>
        <w:rPr>
          <w:rFonts w:eastAsia="Calibri"/>
          <w:lang w:val="en-US"/>
        </w:rPr>
        <w:t>,</w:t>
      </w:r>
      <w:r w:rsidRPr="00AA75B0">
        <w:rPr>
          <w:rFonts w:eastAsia="Calibri"/>
          <w:lang w:val="en-US"/>
        </w:rPr>
        <w:t xml:space="preserve"> and </w:t>
      </w:r>
      <w:r>
        <w:rPr>
          <w:rFonts w:eastAsia="Calibri"/>
          <w:lang w:val="en-US"/>
        </w:rPr>
        <w:t xml:space="preserve">the </w:t>
      </w:r>
      <w:r w:rsidRPr="00AA75B0">
        <w:rPr>
          <w:rFonts w:eastAsia="Calibri"/>
          <w:lang w:val="en-US"/>
        </w:rPr>
        <w:t xml:space="preserve">publication of </w:t>
      </w:r>
      <w:r>
        <w:rPr>
          <w:rFonts w:eastAsia="Calibri"/>
          <w:lang w:val="en-US"/>
        </w:rPr>
        <w:t>papers.</w:t>
      </w:r>
    </w:p>
    <w:p w:rsidR="000F59E5" w:rsidRPr="00AA75B0" w:rsidRDefault="000F59E5" w:rsidP="000F59E5">
      <w:pPr>
        <w:pStyle w:val="SingleTxtG"/>
        <w:rPr>
          <w:rFonts w:eastAsia="Calibri"/>
          <w:lang w:val="en-US"/>
        </w:rPr>
      </w:pPr>
      <w:r>
        <w:rPr>
          <w:rFonts w:eastAsia="Calibri"/>
          <w:lang w:val="en-US"/>
        </w:rPr>
        <w:t>64.</w:t>
      </w:r>
      <w:r>
        <w:rPr>
          <w:rFonts w:eastAsia="Calibri"/>
          <w:lang w:val="en-US"/>
        </w:rPr>
        <w:tab/>
        <w:t>The Special Rapporteur has s</w:t>
      </w:r>
      <w:r w:rsidRPr="00AA75B0">
        <w:rPr>
          <w:rFonts w:eastAsia="Calibri"/>
          <w:lang w:val="en-US"/>
        </w:rPr>
        <w:t>ubmi</w:t>
      </w:r>
      <w:r>
        <w:rPr>
          <w:rFonts w:eastAsia="Calibri"/>
          <w:lang w:val="en-US"/>
        </w:rPr>
        <w:t>tted</w:t>
      </w:r>
      <w:r w:rsidRPr="00AA75B0">
        <w:rPr>
          <w:rFonts w:eastAsia="Calibri"/>
          <w:lang w:val="en-US"/>
        </w:rPr>
        <w:t xml:space="preserve"> </w:t>
      </w:r>
      <w:r>
        <w:rPr>
          <w:rFonts w:eastAsia="Calibri"/>
          <w:lang w:val="en-US"/>
        </w:rPr>
        <w:t xml:space="preserve">the following </w:t>
      </w:r>
      <w:r w:rsidRPr="00AA75B0">
        <w:rPr>
          <w:rFonts w:eastAsia="Calibri"/>
          <w:lang w:val="en-US"/>
        </w:rPr>
        <w:t>proposals and recommendations</w:t>
      </w:r>
      <w:r>
        <w:rPr>
          <w:rFonts w:eastAsia="Calibri"/>
          <w:lang w:val="en-US"/>
        </w:rPr>
        <w:t xml:space="preserve">, some outlined above: </w:t>
      </w:r>
      <w:r w:rsidRPr="00AA75B0">
        <w:rPr>
          <w:rFonts w:eastAsia="Calibri"/>
          <w:lang w:val="en-US"/>
        </w:rPr>
        <w:t>Ten Point Action Plan</w:t>
      </w:r>
      <w:r>
        <w:rPr>
          <w:rFonts w:eastAsia="Calibri"/>
          <w:lang w:val="en-US"/>
        </w:rPr>
        <w:t>,</w:t>
      </w:r>
      <w:r w:rsidRPr="00AA75B0">
        <w:rPr>
          <w:rFonts w:eastAsia="Calibri"/>
          <w:lang w:val="en-US"/>
        </w:rPr>
        <w:t xml:space="preserve"> 2015</w:t>
      </w:r>
      <w:r>
        <w:rPr>
          <w:rFonts w:eastAsia="Calibri"/>
          <w:lang w:val="en-US"/>
        </w:rPr>
        <w:t xml:space="preserve">; the </w:t>
      </w:r>
      <w:r w:rsidRPr="00AA75B0">
        <w:rPr>
          <w:rFonts w:eastAsia="Calibri"/>
          <w:lang w:val="en-US"/>
        </w:rPr>
        <w:t>Mandate Priorities (Thematic Action Streams)</w:t>
      </w:r>
      <w:r>
        <w:rPr>
          <w:rFonts w:eastAsia="Calibri"/>
          <w:lang w:val="en-US"/>
        </w:rPr>
        <w:t xml:space="preserve">, </w:t>
      </w:r>
      <w:r w:rsidRPr="00AA75B0">
        <w:rPr>
          <w:rFonts w:eastAsia="Calibri"/>
          <w:lang w:val="en-US"/>
        </w:rPr>
        <w:t>2016</w:t>
      </w:r>
      <w:r>
        <w:rPr>
          <w:rFonts w:eastAsia="Calibri"/>
          <w:lang w:val="en-US"/>
        </w:rPr>
        <w:t>; pr</w:t>
      </w:r>
      <w:r w:rsidRPr="00AA75B0">
        <w:rPr>
          <w:rFonts w:eastAsia="Calibri"/>
          <w:lang w:val="en-US"/>
        </w:rPr>
        <w:t xml:space="preserve">eliminary recommendations </w:t>
      </w:r>
      <w:r>
        <w:rPr>
          <w:rFonts w:eastAsia="Calibri"/>
          <w:lang w:val="en-US"/>
        </w:rPr>
        <w:t>in the end of mission statement</w:t>
      </w:r>
      <w:r w:rsidRPr="00AA75B0">
        <w:rPr>
          <w:rFonts w:eastAsia="Calibri"/>
          <w:lang w:val="en-US"/>
        </w:rPr>
        <w:t xml:space="preserve"> </w:t>
      </w:r>
      <w:r>
        <w:rPr>
          <w:rFonts w:eastAsia="Calibri"/>
          <w:lang w:val="en-US"/>
        </w:rPr>
        <w:t>on his</w:t>
      </w:r>
      <w:r w:rsidRPr="00AA75B0">
        <w:rPr>
          <w:rFonts w:eastAsia="Calibri"/>
          <w:lang w:val="en-US"/>
        </w:rPr>
        <w:t xml:space="preserve"> official </w:t>
      </w:r>
      <w:r>
        <w:rPr>
          <w:rFonts w:eastAsia="Calibri"/>
          <w:lang w:val="en-US"/>
        </w:rPr>
        <w:t>United States</w:t>
      </w:r>
      <w:r w:rsidRPr="00AA75B0">
        <w:rPr>
          <w:rFonts w:eastAsia="Calibri"/>
          <w:lang w:val="en-US"/>
        </w:rPr>
        <w:t xml:space="preserve"> visit</w:t>
      </w:r>
      <w:r>
        <w:rPr>
          <w:rFonts w:eastAsia="Calibri"/>
          <w:lang w:val="en-US"/>
        </w:rPr>
        <w:t>, 2</w:t>
      </w:r>
      <w:r w:rsidRPr="00AA75B0">
        <w:rPr>
          <w:rFonts w:eastAsia="Calibri"/>
          <w:lang w:val="en-US"/>
        </w:rPr>
        <w:t>017</w:t>
      </w:r>
      <w:r w:rsidRPr="000C1F12">
        <w:rPr>
          <w:rFonts w:eastAsia="Calibri"/>
          <w:vertAlign w:val="superscript"/>
        </w:rPr>
        <w:footnoteReference w:id="25"/>
      </w:r>
      <w:r w:rsidRPr="00C25942">
        <w:rPr>
          <w:rFonts w:eastAsia="Calibri"/>
          <w:vertAlign w:val="superscript"/>
          <w:lang w:val="en-US"/>
        </w:rPr>
        <w:t xml:space="preserve"> </w:t>
      </w:r>
      <w:r>
        <w:rPr>
          <w:rFonts w:eastAsia="Calibri"/>
          <w:lang w:val="en-US"/>
        </w:rPr>
        <w:t xml:space="preserve">and those on </w:t>
      </w:r>
      <w:r w:rsidRPr="00AA75B0">
        <w:rPr>
          <w:rFonts w:eastAsia="Calibri"/>
          <w:lang w:val="en-US"/>
        </w:rPr>
        <w:t>Government led surveillance</w:t>
      </w:r>
      <w:r>
        <w:rPr>
          <w:rStyle w:val="FootnoteReference"/>
          <w:rFonts w:eastAsia="Calibri"/>
          <w:lang w:val="en-US"/>
        </w:rPr>
        <w:footnoteReference w:id="26"/>
      </w:r>
      <w:r w:rsidRPr="00AA75B0">
        <w:rPr>
          <w:rFonts w:eastAsia="Calibri"/>
          <w:lang w:val="en-US"/>
        </w:rPr>
        <w:t xml:space="preserve"> and Big Data Open Data</w:t>
      </w:r>
      <w:r w:rsidR="008B6C7A">
        <w:rPr>
          <w:rFonts w:eastAsia="Calibri"/>
          <w:lang w:val="en-US"/>
        </w:rPr>
        <w:t>,</w:t>
      </w:r>
      <w:r>
        <w:rPr>
          <w:rStyle w:val="FootnoteReference"/>
          <w:rFonts w:eastAsia="Calibri"/>
          <w:lang w:val="en-US"/>
        </w:rPr>
        <w:footnoteReference w:id="27"/>
      </w:r>
      <w:r>
        <w:rPr>
          <w:rFonts w:eastAsia="Calibri"/>
          <w:lang w:val="en-US"/>
        </w:rPr>
        <w:t xml:space="preserve"> 2017</w:t>
      </w:r>
      <w:r w:rsidRPr="00AA75B0">
        <w:rPr>
          <w:rFonts w:eastAsia="Calibri"/>
          <w:lang w:val="en-US"/>
        </w:rPr>
        <w:t>.</w:t>
      </w:r>
    </w:p>
    <w:p w:rsidR="000F59E5" w:rsidRPr="00C25942" w:rsidRDefault="00EF1266" w:rsidP="00EF1266">
      <w:pPr>
        <w:pStyle w:val="H23G"/>
        <w:rPr>
          <w:rFonts w:eastAsia="Calibri"/>
          <w:lang w:val="en-US"/>
        </w:rPr>
      </w:pPr>
      <w:r>
        <w:rPr>
          <w:rFonts w:eastAsia="Calibri"/>
          <w:lang w:val="en-US"/>
        </w:rPr>
        <w:tab/>
      </w:r>
      <w:r>
        <w:rPr>
          <w:rFonts w:eastAsia="Calibri"/>
          <w:lang w:val="en-US"/>
        </w:rPr>
        <w:tab/>
      </w:r>
      <w:r w:rsidR="000F59E5" w:rsidRPr="00C25942">
        <w:rPr>
          <w:rFonts w:eastAsia="Calibri"/>
          <w:lang w:val="en-US"/>
        </w:rPr>
        <w:t>Future activities and opportunities</w:t>
      </w:r>
    </w:p>
    <w:p w:rsidR="000F59E5" w:rsidRPr="00AA75B0" w:rsidRDefault="000F59E5" w:rsidP="000F59E5">
      <w:pPr>
        <w:pStyle w:val="SingleTxtG"/>
        <w:rPr>
          <w:rFonts w:eastAsia="Calibri"/>
          <w:lang w:val="en-US"/>
        </w:rPr>
      </w:pPr>
      <w:r>
        <w:rPr>
          <w:rFonts w:eastAsia="Calibri"/>
          <w:lang w:val="en-US"/>
        </w:rPr>
        <w:t>65.</w:t>
      </w:r>
      <w:r>
        <w:rPr>
          <w:rFonts w:eastAsia="Calibri"/>
          <w:lang w:val="en-US"/>
        </w:rPr>
        <w:tab/>
        <w:t>The Special Rapporteur will present his final report on his official visit to the United States in March 2019, focusing on</w:t>
      </w:r>
      <w:r w:rsidRPr="00AA75B0">
        <w:rPr>
          <w:rFonts w:eastAsia="Calibri"/>
          <w:lang w:val="en-US"/>
        </w:rPr>
        <w:t xml:space="preserve"> </w:t>
      </w:r>
      <w:r>
        <w:rPr>
          <w:rFonts w:eastAsia="Calibri"/>
          <w:lang w:val="en-US"/>
        </w:rPr>
        <w:t xml:space="preserve">existing </w:t>
      </w:r>
      <w:r w:rsidRPr="00AA75B0">
        <w:rPr>
          <w:rFonts w:eastAsia="Calibri"/>
          <w:lang w:val="en-US"/>
        </w:rPr>
        <w:t>oversight mechanisms in situations</w:t>
      </w:r>
      <w:r>
        <w:rPr>
          <w:rFonts w:eastAsia="Calibri"/>
          <w:lang w:val="en-US"/>
        </w:rPr>
        <w:t xml:space="preserve"> where</w:t>
      </w:r>
      <w:r w:rsidRPr="00AA75B0">
        <w:rPr>
          <w:rFonts w:eastAsia="Calibri"/>
          <w:lang w:val="en-US"/>
        </w:rPr>
        <w:t xml:space="preserve"> Executive Order 12333</w:t>
      </w:r>
      <w:r>
        <w:rPr>
          <w:rFonts w:eastAsia="Calibri"/>
          <w:lang w:val="en-US"/>
        </w:rPr>
        <w:t xml:space="preserve"> applies</w:t>
      </w:r>
      <w:r w:rsidRPr="00AA75B0">
        <w:rPr>
          <w:rFonts w:eastAsia="Calibri"/>
          <w:lang w:val="en-US"/>
        </w:rPr>
        <w:t>.</w:t>
      </w:r>
      <w:r>
        <w:rPr>
          <w:rFonts w:eastAsia="Calibri"/>
          <w:lang w:val="en-US"/>
        </w:rPr>
        <w:t xml:space="preserve"> His report on the official visit to France is due March 2019 as announced on the website. </w:t>
      </w:r>
    </w:p>
    <w:p w:rsidR="000F59E5" w:rsidRPr="00AA75B0" w:rsidRDefault="000F59E5" w:rsidP="000F59E5">
      <w:pPr>
        <w:pStyle w:val="SingleTxtG"/>
        <w:rPr>
          <w:rFonts w:eastAsia="Calibri"/>
          <w:lang w:val="en-US"/>
        </w:rPr>
      </w:pPr>
      <w:r>
        <w:rPr>
          <w:rFonts w:eastAsia="Calibri"/>
          <w:lang w:val="en-US"/>
        </w:rPr>
        <w:t>66.</w:t>
      </w:r>
      <w:r>
        <w:rPr>
          <w:rFonts w:eastAsia="Calibri"/>
          <w:lang w:val="en-US"/>
        </w:rPr>
        <w:tab/>
        <w:t xml:space="preserve">Presentation of the </w:t>
      </w:r>
      <w:r w:rsidRPr="00AA75B0">
        <w:rPr>
          <w:rFonts w:eastAsia="Calibri"/>
          <w:lang w:val="en-US"/>
        </w:rPr>
        <w:t>report o</w:t>
      </w:r>
      <w:r>
        <w:rPr>
          <w:rFonts w:eastAsia="Calibri"/>
          <w:lang w:val="en-US"/>
        </w:rPr>
        <w:t>n privacy and health data to the General Assembly October 2018</w:t>
      </w:r>
      <w:r w:rsidRPr="00AA75B0">
        <w:rPr>
          <w:rFonts w:eastAsia="Calibri"/>
          <w:lang w:val="en-US"/>
        </w:rPr>
        <w:t>.</w:t>
      </w:r>
    </w:p>
    <w:p w:rsidR="000F59E5" w:rsidRDefault="000F59E5" w:rsidP="000F59E5">
      <w:pPr>
        <w:pStyle w:val="SingleTxtG"/>
        <w:rPr>
          <w:rFonts w:eastAsia="Calibri"/>
          <w:lang w:val="en-US"/>
        </w:rPr>
      </w:pPr>
      <w:r>
        <w:rPr>
          <w:rFonts w:eastAsia="Calibri"/>
          <w:lang w:val="en-US"/>
        </w:rPr>
        <w:t>67.</w:t>
      </w:r>
      <w:r>
        <w:rPr>
          <w:rFonts w:eastAsia="Calibri"/>
          <w:lang w:val="en-US"/>
        </w:rPr>
        <w:tab/>
        <w:t>Submission of</w:t>
      </w:r>
      <w:r w:rsidRPr="00AA75B0">
        <w:rPr>
          <w:rFonts w:eastAsia="Calibri"/>
          <w:lang w:val="en-US"/>
        </w:rPr>
        <w:t xml:space="preserve"> </w:t>
      </w:r>
      <w:r>
        <w:rPr>
          <w:rFonts w:eastAsia="Calibri"/>
          <w:lang w:val="en-US"/>
        </w:rPr>
        <w:t xml:space="preserve">his </w:t>
      </w:r>
      <w:r w:rsidRPr="00AA75B0">
        <w:rPr>
          <w:rFonts w:eastAsia="Calibri"/>
          <w:lang w:val="en-US"/>
        </w:rPr>
        <w:t xml:space="preserve">final proposals and recommendations </w:t>
      </w:r>
      <w:r>
        <w:rPr>
          <w:rFonts w:eastAsia="Calibri"/>
          <w:lang w:val="en-US"/>
        </w:rPr>
        <w:t>on</w:t>
      </w:r>
      <w:r w:rsidRPr="00AA75B0">
        <w:rPr>
          <w:rFonts w:eastAsia="Calibri"/>
          <w:lang w:val="en-US"/>
        </w:rPr>
        <w:t xml:space="preserve"> Big Data </w:t>
      </w:r>
      <w:r>
        <w:rPr>
          <w:rFonts w:eastAsia="Calibri"/>
          <w:lang w:val="en-US"/>
        </w:rPr>
        <w:t xml:space="preserve">and </w:t>
      </w:r>
      <w:r w:rsidRPr="00AA75B0">
        <w:rPr>
          <w:rFonts w:eastAsia="Calibri"/>
          <w:lang w:val="en-US"/>
        </w:rPr>
        <w:t>Open Data following international consultation</w:t>
      </w:r>
      <w:r>
        <w:rPr>
          <w:rFonts w:eastAsia="Calibri"/>
          <w:lang w:val="en-US"/>
        </w:rPr>
        <w:t xml:space="preserve"> in </w:t>
      </w:r>
      <w:proofErr w:type="spellStart"/>
      <w:r>
        <w:rPr>
          <w:rFonts w:eastAsia="Calibri"/>
          <w:lang w:val="en-US"/>
        </w:rPr>
        <w:t>mid 2018</w:t>
      </w:r>
      <w:proofErr w:type="spellEnd"/>
      <w:r w:rsidRPr="00AA75B0">
        <w:rPr>
          <w:rFonts w:eastAsia="Calibri"/>
          <w:lang w:val="en-US"/>
        </w:rPr>
        <w:t>.</w:t>
      </w:r>
    </w:p>
    <w:p w:rsidR="000F59E5" w:rsidRPr="006F40CB" w:rsidRDefault="000F59E5" w:rsidP="00EF1266">
      <w:pPr>
        <w:pStyle w:val="H23G"/>
        <w:rPr>
          <w:b w:val="0"/>
          <w:sz w:val="10"/>
        </w:rPr>
      </w:pPr>
      <w:r w:rsidRPr="00022DCD">
        <w:tab/>
      </w:r>
      <w:r>
        <w:t>4</w:t>
      </w:r>
      <w:r w:rsidRPr="00022DCD">
        <w:t>.</w:t>
      </w:r>
      <w:r w:rsidRPr="00022DCD">
        <w:tab/>
      </w:r>
      <w:r w:rsidRPr="00541BC7">
        <w:t xml:space="preserve">Contributing to international events to promote </w:t>
      </w:r>
      <w:r>
        <w:t xml:space="preserve">a </w:t>
      </w:r>
      <w:r w:rsidRPr="00541BC7">
        <w:t>systematic and coherent approach</w:t>
      </w:r>
      <w:r>
        <w:t xml:space="preserve"> to the right to privacy</w:t>
      </w:r>
    </w:p>
    <w:p w:rsidR="000F59E5" w:rsidRPr="00E76E52" w:rsidRDefault="00EF1266" w:rsidP="006F40CB">
      <w:pPr>
        <w:pStyle w:val="H23G"/>
        <w:ind w:left="0" w:firstLine="0"/>
        <w:rPr>
          <w:rFonts w:eastAsia="Calibri"/>
          <w:lang w:val="en-US"/>
        </w:rPr>
      </w:pPr>
      <w:r>
        <w:rPr>
          <w:rFonts w:eastAsia="Calibri"/>
          <w:lang w:val="en-US"/>
        </w:rPr>
        <w:tab/>
      </w:r>
      <w:r>
        <w:rPr>
          <w:rFonts w:eastAsia="Calibri"/>
          <w:lang w:val="en-US"/>
        </w:rPr>
        <w:tab/>
      </w:r>
      <w:r w:rsidR="000F59E5" w:rsidRPr="00E76E52">
        <w:rPr>
          <w:rFonts w:eastAsia="Calibri"/>
          <w:lang w:val="en-US"/>
        </w:rPr>
        <w:t>Activities</w:t>
      </w:r>
    </w:p>
    <w:p w:rsidR="000F59E5" w:rsidRPr="00AA75B0" w:rsidRDefault="000F59E5" w:rsidP="000F59E5">
      <w:pPr>
        <w:pStyle w:val="SingleTxtG"/>
        <w:rPr>
          <w:rFonts w:eastAsia="Calibri"/>
          <w:lang w:val="en-US"/>
        </w:rPr>
      </w:pPr>
      <w:r>
        <w:rPr>
          <w:rFonts w:eastAsia="Calibri"/>
          <w:lang w:val="en-US"/>
        </w:rPr>
        <w:t>68.</w:t>
      </w:r>
      <w:r>
        <w:rPr>
          <w:rFonts w:eastAsia="Calibri"/>
          <w:lang w:val="en-US"/>
        </w:rPr>
        <w:tab/>
        <w:t>The</w:t>
      </w:r>
      <w:r w:rsidRPr="00AA75B0">
        <w:rPr>
          <w:rFonts w:eastAsia="Calibri"/>
          <w:lang w:val="en-US"/>
        </w:rPr>
        <w:t xml:space="preserve"> Special Rapporteur </w:t>
      </w:r>
      <w:r>
        <w:rPr>
          <w:rFonts w:eastAsia="Calibri"/>
          <w:lang w:val="en-US"/>
        </w:rPr>
        <w:t>speaks at many events, including as keynote speaker thereby reaching key stakeholders, and widely reflected in the media</w:t>
      </w:r>
      <w:r w:rsidRPr="00AA75B0">
        <w:rPr>
          <w:rFonts w:eastAsia="Calibri"/>
          <w:lang w:val="en-US"/>
        </w:rPr>
        <w:t>.</w:t>
      </w:r>
    </w:p>
    <w:p w:rsidR="000F59E5" w:rsidRPr="00AA75B0" w:rsidRDefault="000F59E5" w:rsidP="000F59E5">
      <w:pPr>
        <w:pStyle w:val="SingleTxtG"/>
        <w:rPr>
          <w:rFonts w:eastAsia="Calibri"/>
          <w:lang w:val="en-US"/>
        </w:rPr>
      </w:pPr>
      <w:r>
        <w:rPr>
          <w:rFonts w:eastAsia="Calibri"/>
          <w:lang w:val="en-US"/>
        </w:rPr>
        <w:t>69.</w:t>
      </w:r>
      <w:r>
        <w:rPr>
          <w:rFonts w:eastAsia="Calibri"/>
          <w:lang w:val="en-US"/>
        </w:rPr>
        <w:tab/>
      </w:r>
      <w:r w:rsidRPr="00AA75B0">
        <w:rPr>
          <w:rFonts w:eastAsia="Calibri"/>
          <w:lang w:val="en-US"/>
        </w:rPr>
        <w:t>An ongoing strategic contribution</w:t>
      </w:r>
      <w:r>
        <w:rPr>
          <w:rFonts w:eastAsia="Calibri"/>
          <w:lang w:val="en-US"/>
        </w:rPr>
        <w:t xml:space="preserve"> of the mandate holder</w:t>
      </w:r>
      <w:r w:rsidRPr="00AA75B0">
        <w:rPr>
          <w:rFonts w:eastAsia="Calibri"/>
          <w:lang w:val="en-US"/>
        </w:rPr>
        <w:t xml:space="preserve"> is t</w:t>
      </w:r>
      <w:r>
        <w:rPr>
          <w:rFonts w:eastAsia="Calibri"/>
          <w:lang w:val="en-US"/>
        </w:rPr>
        <w:t>he cooperation with</w:t>
      </w:r>
      <w:r w:rsidRPr="00AA75B0">
        <w:rPr>
          <w:rFonts w:eastAsia="Calibri"/>
          <w:lang w:val="en-US"/>
        </w:rPr>
        <w:t xml:space="preserve"> the International Conference of Data Protection and Privacy Commissioners</w:t>
      </w:r>
      <w:r w:rsidRPr="00E76E52">
        <w:rPr>
          <w:rFonts w:eastAsia="Calibri"/>
          <w:lang w:val="en-US"/>
        </w:rPr>
        <w:t>.</w:t>
      </w:r>
      <w:r w:rsidRPr="00AA75B0">
        <w:rPr>
          <w:rFonts w:eastAsia="Calibri"/>
          <w:lang w:val="en-US"/>
        </w:rPr>
        <w:t xml:space="preserve"> </w:t>
      </w:r>
      <w:r>
        <w:rPr>
          <w:rFonts w:eastAsia="Calibri"/>
          <w:lang w:val="en-US"/>
        </w:rPr>
        <w:t>On</w:t>
      </w:r>
      <w:r w:rsidRPr="00AA75B0">
        <w:rPr>
          <w:rFonts w:eastAsia="Calibri"/>
          <w:lang w:val="en-US"/>
        </w:rPr>
        <w:t xml:space="preserve"> </w:t>
      </w:r>
      <w:r>
        <w:rPr>
          <w:rFonts w:eastAsia="Calibri"/>
          <w:lang w:val="en-US"/>
        </w:rPr>
        <w:t xml:space="preserve">19-20 </w:t>
      </w:r>
      <w:r w:rsidRPr="00AA75B0">
        <w:rPr>
          <w:rFonts w:eastAsia="Calibri"/>
          <w:lang w:val="en-US"/>
        </w:rPr>
        <w:t>February 2018, the Special Rapporteur present</w:t>
      </w:r>
      <w:r>
        <w:rPr>
          <w:rFonts w:eastAsia="Calibri"/>
          <w:lang w:val="en-US"/>
        </w:rPr>
        <w:t xml:space="preserve">ed and </w:t>
      </w:r>
      <w:r w:rsidRPr="00AA75B0">
        <w:rPr>
          <w:rFonts w:eastAsia="Calibri"/>
          <w:lang w:val="en-US"/>
        </w:rPr>
        <w:t>moderate</w:t>
      </w:r>
      <w:r>
        <w:rPr>
          <w:rFonts w:eastAsia="Calibri"/>
          <w:lang w:val="en-US"/>
        </w:rPr>
        <w:t>d</w:t>
      </w:r>
      <w:r w:rsidRPr="00AA75B0">
        <w:rPr>
          <w:rFonts w:eastAsia="Calibri"/>
          <w:lang w:val="en-US"/>
        </w:rPr>
        <w:t xml:space="preserve"> </w:t>
      </w:r>
      <w:r>
        <w:rPr>
          <w:rFonts w:eastAsia="Calibri"/>
          <w:lang w:val="en-US"/>
        </w:rPr>
        <w:t>a</w:t>
      </w:r>
      <w:r w:rsidRPr="00AA75B0">
        <w:rPr>
          <w:rFonts w:eastAsia="Calibri"/>
          <w:lang w:val="en-US"/>
        </w:rPr>
        <w:t xml:space="preserve"> </w:t>
      </w:r>
      <w:r>
        <w:rPr>
          <w:rFonts w:eastAsia="Calibri"/>
          <w:lang w:val="en-US"/>
        </w:rPr>
        <w:t>session at the</w:t>
      </w:r>
      <w:r w:rsidRPr="00AA75B0">
        <w:rPr>
          <w:rFonts w:eastAsia="Calibri"/>
          <w:lang w:val="en-US"/>
        </w:rPr>
        <w:t xml:space="preserve"> ‘Expert workshop on the right to privacy in the digital age’,</w:t>
      </w:r>
      <w:r>
        <w:rPr>
          <w:rFonts w:eastAsia="Calibri"/>
          <w:lang w:val="en-US"/>
        </w:rPr>
        <w:t xml:space="preserve"> for the Office of the High Commissioner for Human Rights. Following this </w:t>
      </w:r>
      <w:r w:rsidRPr="00D471BF">
        <w:rPr>
          <w:rFonts w:eastAsia="Calibri"/>
          <w:lang w:val="en-US"/>
        </w:rPr>
        <w:t>workshop</w:t>
      </w:r>
      <w:r>
        <w:rPr>
          <w:rFonts w:eastAsia="Calibri"/>
          <w:lang w:val="en-US"/>
        </w:rPr>
        <w:t xml:space="preserve"> a report will go to the Human Rights Council’s </w:t>
      </w:r>
      <w:r w:rsidRPr="00D471BF">
        <w:rPr>
          <w:rFonts w:eastAsia="Calibri"/>
          <w:lang w:val="en-US"/>
        </w:rPr>
        <w:t>thirty-ninth session</w:t>
      </w:r>
      <w:r>
        <w:rPr>
          <w:rFonts w:eastAsia="Calibri"/>
          <w:lang w:val="en-US"/>
        </w:rPr>
        <w:t xml:space="preserve"> as per Human Rights Council (R</w:t>
      </w:r>
      <w:r w:rsidRPr="00D471BF">
        <w:rPr>
          <w:rFonts w:eastAsia="Calibri"/>
          <w:lang w:val="en-US"/>
        </w:rPr>
        <w:t>esolution 34/7</w:t>
      </w:r>
      <w:r>
        <w:rPr>
          <w:rFonts w:eastAsia="Calibri"/>
          <w:lang w:val="en-US"/>
        </w:rPr>
        <w:t>)</w:t>
      </w:r>
      <w:r w:rsidRPr="00AA75B0">
        <w:rPr>
          <w:rFonts w:eastAsia="Calibri"/>
          <w:lang w:val="en-US"/>
        </w:rPr>
        <w:t>.</w:t>
      </w:r>
    </w:p>
    <w:p w:rsidR="000F59E5" w:rsidRPr="00AA75B0" w:rsidRDefault="000F59E5" w:rsidP="000F59E5">
      <w:pPr>
        <w:pStyle w:val="SingleTxtG"/>
        <w:rPr>
          <w:rFonts w:eastAsia="Calibri"/>
          <w:lang w:val="en-US"/>
        </w:rPr>
      </w:pPr>
      <w:r>
        <w:rPr>
          <w:rFonts w:eastAsia="Calibri"/>
          <w:lang w:val="en-US"/>
        </w:rPr>
        <w:t>70.</w:t>
      </w:r>
      <w:r>
        <w:rPr>
          <w:rFonts w:eastAsia="Calibri"/>
          <w:lang w:val="en-US"/>
        </w:rPr>
        <w:tab/>
        <w:t>The Special Rapporteur is implementing his</w:t>
      </w:r>
      <w:r w:rsidRPr="00AA75B0">
        <w:rPr>
          <w:rFonts w:eastAsia="Calibri"/>
          <w:lang w:val="en-US"/>
        </w:rPr>
        <w:t xml:space="preserve"> Ten Point Action Plan presented to the Human Rights Council</w:t>
      </w:r>
      <w:r>
        <w:rPr>
          <w:rFonts w:eastAsia="Calibri"/>
          <w:lang w:val="en-US"/>
        </w:rPr>
        <w:t xml:space="preserve"> in</w:t>
      </w:r>
      <w:r w:rsidRPr="00AA75B0">
        <w:rPr>
          <w:rFonts w:eastAsia="Calibri"/>
          <w:lang w:val="en-US"/>
        </w:rPr>
        <w:t xml:space="preserve"> March 2016</w:t>
      </w:r>
      <w:r>
        <w:rPr>
          <w:rFonts w:eastAsia="Calibri"/>
          <w:lang w:val="en-US"/>
        </w:rPr>
        <w:t>, comprising:</w:t>
      </w:r>
      <w:r w:rsidRPr="00E76E52">
        <w:rPr>
          <w:rFonts w:eastAsia="Calibri"/>
          <w:vertAlign w:val="superscript"/>
          <w:lang w:val="en-US"/>
        </w:rPr>
        <w:footnoteReference w:id="28"/>
      </w:r>
      <w:r w:rsidRPr="00AA75B0">
        <w:rPr>
          <w:rFonts w:eastAsia="Calibri"/>
          <w:lang w:val="en-US"/>
        </w:rPr>
        <w:t xml:space="preserve"> </w:t>
      </w:r>
    </w:p>
    <w:p w:rsidR="000F59E5" w:rsidRPr="00AA75B0" w:rsidRDefault="006F40CB" w:rsidP="00012D0C">
      <w:pPr>
        <w:pStyle w:val="SingleTxtG"/>
        <w:ind w:firstLine="567"/>
        <w:rPr>
          <w:rFonts w:eastAsia="Calibri"/>
          <w:lang w:val="en-US"/>
        </w:rPr>
      </w:pPr>
      <w:r>
        <w:rPr>
          <w:rFonts w:eastAsia="Calibri"/>
          <w:lang w:val="en-US"/>
        </w:rPr>
        <w:t>(a)</w:t>
      </w:r>
      <w:r w:rsidR="000F59E5">
        <w:rPr>
          <w:rFonts w:eastAsia="Calibri"/>
          <w:lang w:val="en-US"/>
        </w:rPr>
        <w:tab/>
        <w:t>Research</w:t>
      </w:r>
      <w:r w:rsidR="000F59E5" w:rsidRPr="00AA75B0">
        <w:rPr>
          <w:rFonts w:eastAsia="Calibri"/>
          <w:lang w:val="en-US"/>
        </w:rPr>
        <w:t xml:space="preserve"> and consultations</w:t>
      </w:r>
      <w:r w:rsidR="000F59E5">
        <w:rPr>
          <w:rFonts w:eastAsia="Calibri"/>
          <w:lang w:val="en-US"/>
        </w:rPr>
        <w:t xml:space="preserve"> on </w:t>
      </w:r>
      <w:r w:rsidR="000F59E5" w:rsidRPr="00AA75B0">
        <w:rPr>
          <w:rFonts w:eastAsia="Calibri"/>
          <w:lang w:val="en-US"/>
        </w:rPr>
        <w:t>protect</w:t>
      </w:r>
      <w:r w:rsidR="000F59E5">
        <w:rPr>
          <w:rFonts w:eastAsia="Calibri"/>
          <w:lang w:val="en-US"/>
        </w:rPr>
        <w:t>ing the right to privacy</w:t>
      </w:r>
      <w:r w:rsidR="000F59E5" w:rsidRPr="00AA75B0">
        <w:rPr>
          <w:rFonts w:eastAsia="Calibri"/>
          <w:lang w:val="en-US"/>
        </w:rPr>
        <w:t xml:space="preserve"> in the digital age</w:t>
      </w:r>
      <w:r w:rsidR="000F59E5">
        <w:rPr>
          <w:rFonts w:eastAsia="Calibri"/>
          <w:lang w:val="en-US"/>
        </w:rPr>
        <w:t>, highlighting the</w:t>
      </w:r>
      <w:r w:rsidR="000F59E5" w:rsidRPr="00AA75B0">
        <w:rPr>
          <w:rFonts w:eastAsia="Calibri"/>
          <w:lang w:val="en-US"/>
        </w:rPr>
        <w:t xml:space="preserve"> need to </w:t>
      </w:r>
      <w:r w:rsidR="000F59E5">
        <w:rPr>
          <w:rFonts w:eastAsia="Calibri"/>
          <w:lang w:val="en-US"/>
        </w:rPr>
        <w:t>increase the protection of the right to privacy of</w:t>
      </w:r>
      <w:r w:rsidR="000F59E5" w:rsidRPr="00AA75B0">
        <w:rPr>
          <w:rFonts w:eastAsia="Calibri"/>
          <w:lang w:val="en-US"/>
        </w:rPr>
        <w:t xml:space="preserve"> children and young </w:t>
      </w:r>
      <w:r w:rsidR="000F59E5" w:rsidRPr="00012D0C">
        <w:rPr>
          <w:rFonts w:eastAsia="Calibri"/>
        </w:rPr>
        <w:t>persons</w:t>
      </w:r>
      <w:r w:rsidR="000F59E5" w:rsidRPr="00AA75B0">
        <w:rPr>
          <w:rFonts w:eastAsia="Calibri"/>
          <w:lang w:val="en-US"/>
        </w:rPr>
        <w:t xml:space="preserve">, and privacy </w:t>
      </w:r>
      <w:r w:rsidR="000F59E5">
        <w:rPr>
          <w:rFonts w:eastAsia="Calibri"/>
          <w:lang w:val="en-US"/>
        </w:rPr>
        <w:t xml:space="preserve">and </w:t>
      </w:r>
      <w:r>
        <w:rPr>
          <w:rFonts w:eastAsia="Calibri"/>
          <w:lang w:val="en-US"/>
        </w:rPr>
        <w:t>gender issues;</w:t>
      </w:r>
    </w:p>
    <w:p w:rsidR="000F59E5" w:rsidRPr="00AA75B0" w:rsidRDefault="006F40CB" w:rsidP="00012D0C">
      <w:pPr>
        <w:pStyle w:val="SingleTxtG"/>
        <w:ind w:firstLine="567"/>
        <w:rPr>
          <w:rFonts w:eastAsia="Calibri"/>
          <w:lang w:val="en-US"/>
        </w:rPr>
      </w:pPr>
      <w:r>
        <w:rPr>
          <w:rFonts w:eastAsia="Calibri"/>
          <w:lang w:val="en-US"/>
        </w:rPr>
        <w:t>(b)</w:t>
      </w:r>
      <w:r w:rsidR="000F59E5">
        <w:rPr>
          <w:rFonts w:eastAsia="Calibri"/>
          <w:lang w:val="en-US"/>
        </w:rPr>
        <w:tab/>
        <w:t xml:space="preserve">Awareness-raising efforts, such as the </w:t>
      </w:r>
      <w:r w:rsidR="000F59E5" w:rsidRPr="00AA75B0">
        <w:rPr>
          <w:rFonts w:eastAsia="Calibri"/>
          <w:lang w:val="en-US"/>
        </w:rPr>
        <w:t xml:space="preserve">Asia Pacific Privacy Authorities’ Privacy </w:t>
      </w:r>
      <w:r w:rsidR="000F59E5" w:rsidRPr="00012D0C">
        <w:rPr>
          <w:rFonts w:eastAsia="Calibri"/>
        </w:rPr>
        <w:t>Awareness</w:t>
      </w:r>
      <w:r w:rsidR="000F59E5" w:rsidRPr="00AA75B0">
        <w:rPr>
          <w:rFonts w:eastAsia="Calibri"/>
          <w:lang w:val="en-US"/>
        </w:rPr>
        <w:t xml:space="preserve"> Week</w:t>
      </w:r>
      <w:r w:rsidR="000F59E5">
        <w:rPr>
          <w:rFonts w:eastAsia="Calibri"/>
          <w:lang w:val="en-US"/>
        </w:rPr>
        <w:t>, and other</w:t>
      </w:r>
      <w:r w:rsidR="000F59E5" w:rsidRPr="00AA75B0">
        <w:rPr>
          <w:rFonts w:eastAsia="Calibri"/>
          <w:lang w:val="en-US"/>
        </w:rPr>
        <w:t xml:space="preserve"> events for community members, regulators, and public and private sector organi</w:t>
      </w:r>
      <w:r w:rsidR="000F59E5">
        <w:rPr>
          <w:rFonts w:eastAsia="Calibri"/>
          <w:lang w:val="en-US"/>
        </w:rPr>
        <w:t>z</w:t>
      </w:r>
      <w:r>
        <w:rPr>
          <w:rFonts w:eastAsia="Calibri"/>
          <w:lang w:val="en-US"/>
        </w:rPr>
        <w:t>ations;</w:t>
      </w:r>
    </w:p>
    <w:p w:rsidR="000F59E5" w:rsidRPr="00AA75B0" w:rsidRDefault="006F40CB" w:rsidP="00012D0C">
      <w:pPr>
        <w:pStyle w:val="SingleTxtG"/>
        <w:ind w:firstLine="567"/>
        <w:rPr>
          <w:rFonts w:eastAsia="Calibri"/>
          <w:lang w:val="en-US"/>
        </w:rPr>
      </w:pPr>
      <w:r>
        <w:rPr>
          <w:rFonts w:eastAsia="Calibri"/>
          <w:lang w:val="en-US"/>
        </w:rPr>
        <w:t>(c)</w:t>
      </w:r>
      <w:r w:rsidR="000F59E5">
        <w:rPr>
          <w:rFonts w:eastAsia="Calibri"/>
          <w:lang w:val="en-US"/>
        </w:rPr>
        <w:tab/>
      </w:r>
      <w:r w:rsidR="000F59E5" w:rsidRPr="00012D0C">
        <w:rPr>
          <w:rFonts w:eastAsia="Calibri"/>
        </w:rPr>
        <w:t>Structured</w:t>
      </w:r>
      <w:r w:rsidR="000F59E5" w:rsidRPr="00AA75B0">
        <w:rPr>
          <w:rFonts w:eastAsia="Calibri"/>
          <w:lang w:val="en-US"/>
        </w:rPr>
        <w:t xml:space="preserve"> dialogue about privacy</w:t>
      </w:r>
      <w:r w:rsidR="000F59E5">
        <w:rPr>
          <w:rFonts w:eastAsia="Calibri"/>
          <w:lang w:val="en-US"/>
        </w:rPr>
        <w:t xml:space="preserve"> </w:t>
      </w:r>
      <w:r w:rsidR="000F59E5" w:rsidRPr="00AA75B0">
        <w:rPr>
          <w:rFonts w:eastAsia="Calibri"/>
          <w:lang w:val="en-US"/>
        </w:rPr>
        <w:t>in security and surveillance</w:t>
      </w:r>
      <w:r w:rsidR="000F59E5">
        <w:rPr>
          <w:rFonts w:eastAsia="Calibri"/>
          <w:lang w:val="en-US"/>
        </w:rPr>
        <w:t>, including</w:t>
      </w:r>
      <w:r w:rsidR="000F59E5" w:rsidRPr="00AA75B0">
        <w:rPr>
          <w:rFonts w:eastAsia="Calibri"/>
          <w:lang w:val="en-US"/>
        </w:rPr>
        <w:t xml:space="preserve"> </w:t>
      </w:r>
      <w:r w:rsidR="000F59E5">
        <w:rPr>
          <w:rFonts w:eastAsia="Calibri"/>
          <w:lang w:val="en-US"/>
        </w:rPr>
        <w:t>non-governmental organizations</w:t>
      </w:r>
      <w:r w:rsidR="000F59E5" w:rsidRPr="00AA75B0">
        <w:rPr>
          <w:rFonts w:eastAsia="Calibri"/>
          <w:lang w:val="en-US"/>
        </w:rPr>
        <w:t>, data protection and privacy commissioners, law enforcement agencies and security and intelligence services</w:t>
      </w:r>
      <w:r w:rsidR="000F59E5">
        <w:rPr>
          <w:rFonts w:eastAsia="Calibri"/>
          <w:lang w:val="en-US"/>
        </w:rPr>
        <w:t xml:space="preserve"> as interlocutors</w:t>
      </w:r>
      <w:r w:rsidR="00E46DD4">
        <w:rPr>
          <w:rFonts w:eastAsia="Calibri"/>
          <w:lang w:val="en-US"/>
        </w:rPr>
        <w:t>;</w:t>
      </w:r>
    </w:p>
    <w:p w:rsidR="000F59E5" w:rsidRPr="00AA75B0" w:rsidRDefault="008B7BFD" w:rsidP="00012D0C">
      <w:pPr>
        <w:pStyle w:val="SingleTxtG"/>
        <w:ind w:firstLine="567"/>
        <w:rPr>
          <w:rFonts w:eastAsia="Calibri"/>
          <w:lang w:val="en-US"/>
        </w:rPr>
      </w:pPr>
      <w:r>
        <w:rPr>
          <w:rFonts w:eastAsia="Calibri"/>
          <w:lang w:val="en-US"/>
        </w:rPr>
        <w:t>(d)</w:t>
      </w:r>
      <w:r w:rsidR="000F59E5">
        <w:rPr>
          <w:rFonts w:eastAsia="Calibri"/>
          <w:lang w:val="en-US"/>
        </w:rPr>
        <w:tab/>
        <w:t>C</w:t>
      </w:r>
      <w:r w:rsidR="000F59E5" w:rsidRPr="00AA75B0">
        <w:rPr>
          <w:rFonts w:eastAsia="Calibri"/>
          <w:lang w:val="en-US"/>
        </w:rPr>
        <w:t xml:space="preserve">omprehensive approach to legal, procedural and operational safeguards and remedies: </w:t>
      </w:r>
      <w:r w:rsidR="000F59E5" w:rsidRPr="00012D0C">
        <w:rPr>
          <w:rFonts w:eastAsia="Calibri"/>
        </w:rPr>
        <w:t>for</w:t>
      </w:r>
      <w:r w:rsidR="000F59E5" w:rsidRPr="00AA75B0">
        <w:rPr>
          <w:rFonts w:eastAsia="Calibri"/>
          <w:lang w:val="en-US"/>
        </w:rPr>
        <w:t xml:space="preserve"> example, the draft legal </w:t>
      </w:r>
      <w:r w:rsidR="000F59E5">
        <w:rPr>
          <w:rFonts w:eastAsia="Calibri"/>
          <w:lang w:val="en-US"/>
        </w:rPr>
        <w:t>i</w:t>
      </w:r>
      <w:r w:rsidR="000F59E5" w:rsidRPr="00AA75B0">
        <w:rPr>
          <w:rFonts w:eastAsia="Calibri"/>
          <w:lang w:val="en-US"/>
        </w:rPr>
        <w:t xml:space="preserve">nstrument and the </w:t>
      </w:r>
      <w:r w:rsidR="000F59E5">
        <w:rPr>
          <w:rFonts w:eastAsia="Calibri"/>
          <w:lang w:val="en-US"/>
        </w:rPr>
        <w:t>a</w:t>
      </w:r>
      <w:r w:rsidR="000F59E5" w:rsidRPr="00AA75B0">
        <w:rPr>
          <w:rFonts w:eastAsia="Calibri"/>
          <w:lang w:val="en-US"/>
        </w:rPr>
        <w:t xml:space="preserve">micus </w:t>
      </w:r>
      <w:r w:rsidR="000F59E5">
        <w:rPr>
          <w:rFonts w:eastAsia="Calibri"/>
          <w:lang w:val="en-US"/>
        </w:rPr>
        <w:t>c</w:t>
      </w:r>
      <w:r w:rsidR="000F59E5" w:rsidRPr="00AA75B0">
        <w:rPr>
          <w:rFonts w:eastAsia="Calibri"/>
          <w:lang w:val="en-US"/>
        </w:rPr>
        <w:t xml:space="preserve">uriae </w:t>
      </w:r>
      <w:r w:rsidR="000F59E5">
        <w:rPr>
          <w:rFonts w:eastAsia="Calibri"/>
          <w:lang w:val="en-US"/>
        </w:rPr>
        <w:t xml:space="preserve">brief submitted in the </w:t>
      </w:r>
      <w:r w:rsidR="000F59E5" w:rsidRPr="00FF1227">
        <w:rPr>
          <w:rFonts w:eastAsia="Calibri"/>
          <w:lang w:val="en-US"/>
        </w:rPr>
        <w:t>United States v. Microsoft Corp. (No. 17-2</w:t>
      </w:r>
      <w:r w:rsidR="000F59E5">
        <w:rPr>
          <w:rFonts w:eastAsia="Calibri"/>
          <w:lang w:val="en-US"/>
        </w:rPr>
        <w:t>) case</w:t>
      </w:r>
      <w:r w:rsidR="00E46DD4">
        <w:rPr>
          <w:rFonts w:eastAsia="Calibri"/>
          <w:lang w:val="en-US"/>
        </w:rPr>
        <w:t>;</w:t>
      </w:r>
    </w:p>
    <w:p w:rsidR="000F59E5" w:rsidRPr="00AA75B0" w:rsidRDefault="008B7BFD" w:rsidP="00012D0C">
      <w:pPr>
        <w:pStyle w:val="SingleTxtG"/>
        <w:ind w:firstLine="567"/>
        <w:rPr>
          <w:rFonts w:eastAsia="Calibri"/>
          <w:lang w:val="en-US"/>
        </w:rPr>
      </w:pPr>
      <w:r>
        <w:rPr>
          <w:rFonts w:eastAsia="Calibri"/>
          <w:lang w:val="en-US"/>
        </w:rPr>
        <w:t>(e)</w:t>
      </w:r>
      <w:r w:rsidR="000F59E5">
        <w:rPr>
          <w:rFonts w:eastAsia="Calibri"/>
          <w:lang w:val="en-US"/>
        </w:rPr>
        <w:tab/>
        <w:t>T</w:t>
      </w:r>
      <w:r w:rsidR="000F59E5" w:rsidRPr="00AA75B0">
        <w:rPr>
          <w:rFonts w:eastAsia="Calibri"/>
          <w:lang w:val="en-US"/>
        </w:rPr>
        <w:t>echnical safeguards</w:t>
      </w:r>
      <w:r w:rsidR="000F59E5">
        <w:rPr>
          <w:rFonts w:eastAsia="Calibri"/>
          <w:lang w:val="en-US"/>
        </w:rPr>
        <w:t xml:space="preserve"> d</w:t>
      </w:r>
      <w:r w:rsidR="000F59E5" w:rsidRPr="00AA75B0">
        <w:rPr>
          <w:rFonts w:eastAsia="Calibri"/>
          <w:lang w:val="en-US"/>
        </w:rPr>
        <w:t xml:space="preserve">iscussed </w:t>
      </w:r>
      <w:r w:rsidR="000F59E5">
        <w:rPr>
          <w:rFonts w:eastAsia="Calibri"/>
          <w:lang w:val="en-US"/>
        </w:rPr>
        <w:t>with the General Assembly, October 2017, and</w:t>
      </w:r>
      <w:r w:rsidR="000F59E5" w:rsidRPr="00AA75B0">
        <w:rPr>
          <w:rFonts w:eastAsia="Calibri"/>
          <w:lang w:val="en-US"/>
        </w:rPr>
        <w:t xml:space="preserve"> </w:t>
      </w:r>
      <w:r w:rsidR="000F59E5">
        <w:rPr>
          <w:rFonts w:eastAsia="Calibri"/>
          <w:lang w:val="en-US"/>
        </w:rPr>
        <w:t xml:space="preserve">ongoing </w:t>
      </w:r>
      <w:r w:rsidR="000F59E5" w:rsidRPr="00AA75B0">
        <w:rPr>
          <w:rFonts w:eastAsia="Calibri"/>
          <w:lang w:val="en-US"/>
        </w:rPr>
        <w:t>engage</w:t>
      </w:r>
      <w:r w:rsidR="000F59E5">
        <w:rPr>
          <w:rFonts w:eastAsia="Calibri"/>
          <w:lang w:val="en-US"/>
        </w:rPr>
        <w:t>ment</w:t>
      </w:r>
      <w:r w:rsidR="000F59E5" w:rsidRPr="00AA75B0">
        <w:rPr>
          <w:rFonts w:eastAsia="Calibri"/>
          <w:lang w:val="en-US"/>
        </w:rPr>
        <w:t xml:space="preserve"> with the technical community to promote effective technical </w:t>
      </w:r>
      <w:r w:rsidR="000F59E5" w:rsidRPr="00012D0C">
        <w:rPr>
          <w:rFonts w:eastAsia="Calibri"/>
        </w:rPr>
        <w:t>safeguards</w:t>
      </w:r>
      <w:r w:rsidR="00E46DD4">
        <w:rPr>
          <w:rFonts w:eastAsia="Calibri"/>
          <w:lang w:val="en-US"/>
        </w:rPr>
        <w:t>;</w:t>
      </w:r>
    </w:p>
    <w:p w:rsidR="000F59E5" w:rsidRPr="00AA75B0" w:rsidRDefault="008B7BFD" w:rsidP="00676A98">
      <w:pPr>
        <w:pStyle w:val="SingleTxtG"/>
        <w:ind w:firstLine="567"/>
        <w:rPr>
          <w:rFonts w:eastAsia="Calibri"/>
          <w:lang w:val="en-US"/>
        </w:rPr>
      </w:pPr>
      <w:r>
        <w:rPr>
          <w:rFonts w:eastAsia="Calibri"/>
          <w:lang w:val="en-US"/>
        </w:rPr>
        <w:t>(f)</w:t>
      </w:r>
      <w:r w:rsidR="000F59E5">
        <w:rPr>
          <w:rFonts w:eastAsia="Calibri"/>
          <w:lang w:val="en-US"/>
        </w:rPr>
        <w:tab/>
      </w:r>
      <w:r w:rsidR="000F59E5" w:rsidRPr="00012D0C">
        <w:rPr>
          <w:rFonts w:eastAsia="Calibri"/>
        </w:rPr>
        <w:t>Dialogue</w:t>
      </w:r>
      <w:r w:rsidR="000F59E5" w:rsidRPr="00AA75B0">
        <w:rPr>
          <w:rFonts w:eastAsia="Calibri"/>
          <w:lang w:val="en-US"/>
        </w:rPr>
        <w:t xml:space="preserve"> with the corporate </w:t>
      </w:r>
      <w:r w:rsidR="00E46DD4">
        <w:rPr>
          <w:rFonts w:eastAsia="Calibri"/>
          <w:lang w:val="en-US"/>
        </w:rPr>
        <w:t>sector, as outlined above;</w:t>
      </w:r>
    </w:p>
    <w:p w:rsidR="000F59E5" w:rsidRPr="00AA75B0" w:rsidRDefault="008B7BFD" w:rsidP="00012D0C">
      <w:pPr>
        <w:pStyle w:val="SingleTxtG"/>
        <w:ind w:firstLine="567"/>
        <w:rPr>
          <w:rFonts w:eastAsia="Calibri"/>
          <w:lang w:val="en-US"/>
        </w:rPr>
      </w:pPr>
      <w:r>
        <w:rPr>
          <w:rFonts w:eastAsia="Calibri"/>
          <w:lang w:val="en-US"/>
        </w:rPr>
        <w:t>(g)</w:t>
      </w:r>
      <w:r w:rsidR="000F59E5">
        <w:rPr>
          <w:rFonts w:eastAsia="Calibri"/>
          <w:lang w:val="en-US"/>
        </w:rPr>
        <w:tab/>
      </w:r>
      <w:r w:rsidR="000F59E5" w:rsidRPr="00AA75B0">
        <w:rPr>
          <w:rFonts w:eastAsia="Calibri"/>
          <w:lang w:val="en-US"/>
        </w:rPr>
        <w:t xml:space="preserve">Promoting national and regional developments in privacy-protection </w:t>
      </w:r>
      <w:r w:rsidR="000F59E5" w:rsidRPr="00012D0C">
        <w:rPr>
          <w:rFonts w:eastAsia="Calibri"/>
        </w:rPr>
        <w:t>mechanisms</w:t>
      </w:r>
      <w:r w:rsidR="000F59E5" w:rsidRPr="00AA75B0">
        <w:rPr>
          <w:rFonts w:eastAsia="Calibri"/>
          <w:lang w:val="en-US"/>
        </w:rPr>
        <w:t>: the Special Rapporteur emphasizes the value at the global level, of national and regional developments in privacy-protection mechanisms.</w:t>
      </w:r>
      <w:r w:rsidR="000F59E5" w:rsidRPr="00E76E52">
        <w:rPr>
          <w:rFonts w:eastAsia="Calibri"/>
          <w:vertAlign w:val="superscript"/>
          <w:lang w:val="en-US"/>
        </w:rPr>
        <w:footnoteReference w:id="29"/>
      </w:r>
      <w:r w:rsidR="000F59E5">
        <w:rPr>
          <w:rFonts w:eastAsia="Calibri"/>
          <w:lang w:val="en-US"/>
        </w:rPr>
        <w:t xml:space="preserve"> C</w:t>
      </w:r>
      <w:r w:rsidR="000F59E5" w:rsidRPr="00AA75B0">
        <w:rPr>
          <w:rFonts w:eastAsia="Calibri"/>
          <w:lang w:val="en-US"/>
        </w:rPr>
        <w:t xml:space="preserve">ontact with Privacy and </w:t>
      </w:r>
      <w:r w:rsidR="000F59E5">
        <w:rPr>
          <w:rFonts w:eastAsia="Calibri"/>
          <w:lang w:val="en-US"/>
        </w:rPr>
        <w:t>data protection authorities</w:t>
      </w:r>
      <w:r w:rsidR="000F59E5" w:rsidRPr="00AA75B0">
        <w:rPr>
          <w:rFonts w:eastAsia="Calibri"/>
          <w:lang w:val="en-US"/>
        </w:rPr>
        <w:t xml:space="preserve"> world-</w:t>
      </w:r>
      <w:r w:rsidR="00E46DD4">
        <w:rPr>
          <w:rFonts w:eastAsia="Calibri"/>
          <w:lang w:val="en-US"/>
        </w:rPr>
        <w:t>wide facilitates this promotion;</w:t>
      </w:r>
    </w:p>
    <w:p w:rsidR="000F59E5" w:rsidRPr="00AA75B0" w:rsidRDefault="008B7BFD" w:rsidP="00012D0C">
      <w:pPr>
        <w:pStyle w:val="SingleTxtG"/>
        <w:ind w:firstLine="567"/>
        <w:rPr>
          <w:rFonts w:eastAsia="Calibri"/>
          <w:lang w:val="en-US"/>
        </w:rPr>
      </w:pPr>
      <w:r>
        <w:rPr>
          <w:rFonts w:eastAsia="Calibri"/>
          <w:lang w:val="en-US"/>
        </w:rPr>
        <w:t>(h)</w:t>
      </w:r>
      <w:r w:rsidR="000F59E5">
        <w:rPr>
          <w:rFonts w:eastAsia="Calibri"/>
          <w:lang w:val="en-US"/>
        </w:rPr>
        <w:tab/>
        <w:t>Cooperation with</w:t>
      </w:r>
      <w:r w:rsidR="000F59E5" w:rsidRPr="00AA75B0">
        <w:rPr>
          <w:rFonts w:eastAsia="Calibri"/>
          <w:lang w:val="en-US"/>
        </w:rPr>
        <w:t xml:space="preserve"> civil society. The Special Rapporteur met with 40 </w:t>
      </w:r>
      <w:r w:rsidR="000F59E5">
        <w:rPr>
          <w:rFonts w:eastAsia="Calibri"/>
          <w:lang w:val="en-US"/>
        </w:rPr>
        <w:t>non-governmental organizations</w:t>
      </w:r>
      <w:r w:rsidR="000F59E5" w:rsidRPr="00AA75B0">
        <w:rPr>
          <w:rFonts w:eastAsia="Calibri"/>
          <w:lang w:val="en-US"/>
        </w:rPr>
        <w:t xml:space="preserve"> during his first six months in office and </w:t>
      </w:r>
      <w:r w:rsidR="000F59E5">
        <w:rPr>
          <w:rFonts w:eastAsia="Calibri"/>
          <w:lang w:val="en-US"/>
        </w:rPr>
        <w:t xml:space="preserve">continues to engage via the work of </w:t>
      </w:r>
      <w:r w:rsidR="000F59E5" w:rsidRPr="00AA75B0">
        <w:rPr>
          <w:rFonts w:eastAsia="Calibri"/>
          <w:lang w:val="en-US"/>
        </w:rPr>
        <w:t>Thematic Taskforces</w:t>
      </w:r>
      <w:r w:rsidR="000F59E5">
        <w:rPr>
          <w:rFonts w:eastAsia="Calibri"/>
          <w:lang w:val="en-US"/>
        </w:rPr>
        <w:t>; meetings</w:t>
      </w:r>
      <w:r w:rsidR="000F59E5" w:rsidRPr="00AA75B0">
        <w:rPr>
          <w:rFonts w:eastAsia="Calibri"/>
          <w:lang w:val="en-US"/>
        </w:rPr>
        <w:t xml:space="preserve"> and </w:t>
      </w:r>
      <w:r w:rsidR="000F59E5">
        <w:rPr>
          <w:rFonts w:eastAsia="Calibri"/>
          <w:lang w:val="en-US"/>
        </w:rPr>
        <w:t xml:space="preserve">in public </w:t>
      </w:r>
      <w:r w:rsidR="000F59E5" w:rsidRPr="00AA75B0">
        <w:rPr>
          <w:rFonts w:eastAsia="Calibri"/>
          <w:lang w:val="en-US"/>
        </w:rPr>
        <w:t>events</w:t>
      </w:r>
      <w:r w:rsidR="000F59E5">
        <w:rPr>
          <w:rFonts w:eastAsia="Calibri"/>
          <w:lang w:val="en-US"/>
        </w:rPr>
        <w:t>,</w:t>
      </w:r>
      <w:r w:rsidR="000F59E5" w:rsidRPr="00AA75B0">
        <w:rPr>
          <w:rFonts w:eastAsia="Calibri"/>
          <w:lang w:val="en-US"/>
        </w:rPr>
        <w:t xml:space="preserve"> such as </w:t>
      </w:r>
      <w:r w:rsidR="000F59E5" w:rsidRPr="00FA107B">
        <w:rPr>
          <w:rFonts w:eastAsia="Calibri"/>
          <w:lang w:val="en-US"/>
        </w:rPr>
        <w:t>Privacy and Personality Flows of Information</w:t>
      </w:r>
      <w:r w:rsidR="00E46DD4">
        <w:rPr>
          <w:rFonts w:eastAsia="Calibri"/>
          <w:lang w:val="en-US"/>
        </w:rPr>
        <w:t>;</w:t>
      </w:r>
    </w:p>
    <w:p w:rsidR="000F59E5" w:rsidRPr="00AA75B0" w:rsidRDefault="000137D8" w:rsidP="008B7BFD">
      <w:pPr>
        <w:pStyle w:val="SingleTxtG"/>
        <w:ind w:firstLine="567"/>
        <w:rPr>
          <w:rFonts w:eastAsia="Calibri"/>
          <w:lang w:val="en-US"/>
        </w:rPr>
      </w:pPr>
      <w:r>
        <w:rPr>
          <w:rFonts w:eastAsia="Calibri"/>
          <w:lang w:val="en-US"/>
        </w:rPr>
        <w:t>(</w:t>
      </w:r>
      <w:proofErr w:type="spellStart"/>
      <w:r>
        <w:rPr>
          <w:rFonts w:eastAsia="Calibri"/>
          <w:lang w:val="en-US"/>
        </w:rPr>
        <w:t>i</w:t>
      </w:r>
      <w:proofErr w:type="spellEnd"/>
      <w:r>
        <w:rPr>
          <w:rFonts w:eastAsia="Calibri"/>
          <w:lang w:val="en-US"/>
        </w:rPr>
        <w:t>)</w:t>
      </w:r>
      <w:r w:rsidR="000F59E5">
        <w:rPr>
          <w:rFonts w:eastAsia="Calibri"/>
          <w:lang w:val="en-US"/>
        </w:rPr>
        <w:tab/>
      </w:r>
      <w:r w:rsidR="000F59E5" w:rsidRPr="00AA75B0">
        <w:rPr>
          <w:rFonts w:eastAsia="Calibri"/>
          <w:lang w:val="en-US"/>
        </w:rPr>
        <w:t xml:space="preserve">Cyberspace, Cyber-privacy, Cyber-espionage, Cyberwar and </w:t>
      </w:r>
      <w:proofErr w:type="spellStart"/>
      <w:r w:rsidR="000F59E5" w:rsidRPr="00AA75B0">
        <w:rPr>
          <w:rFonts w:eastAsia="Calibri"/>
          <w:lang w:val="en-US"/>
        </w:rPr>
        <w:t>Cyberpeace</w:t>
      </w:r>
      <w:proofErr w:type="spellEnd"/>
      <w:r w:rsidR="000F59E5" w:rsidRPr="00AA75B0">
        <w:rPr>
          <w:rFonts w:eastAsia="Calibri"/>
          <w:lang w:val="en-US"/>
        </w:rPr>
        <w:t>: These issues regularly feature in the Special Rapporteur’s reports as evidenced in the work of the Thematic Action Stream on Security and Surveillance. Also relevant is cyber-violence</w:t>
      </w:r>
      <w:r w:rsidR="000F59E5" w:rsidRPr="00012D0C">
        <w:rPr>
          <w:rFonts w:eastAsia="Calibri"/>
        </w:rPr>
        <w:t xml:space="preserve"> </w:t>
      </w:r>
      <w:r w:rsidR="000F59E5">
        <w:rPr>
          <w:rFonts w:eastAsia="Calibri"/>
          <w:lang w:val="en-US"/>
        </w:rPr>
        <w:t>against the</w:t>
      </w:r>
      <w:r w:rsidR="000F59E5" w:rsidRPr="00AA75B0">
        <w:rPr>
          <w:rFonts w:eastAsia="Calibri"/>
          <w:lang w:val="en-US"/>
        </w:rPr>
        <w:t xml:space="preserve"> more vulnerable including domestic violence enabled by digital devices, non-consensual distribution of intimate images, and risks to</w:t>
      </w:r>
      <w:r w:rsidR="00E46DD4">
        <w:rPr>
          <w:rFonts w:eastAsia="Calibri"/>
          <w:lang w:val="en-US"/>
        </w:rPr>
        <w:t xml:space="preserve"> the privacy of young children;</w:t>
      </w:r>
    </w:p>
    <w:p w:rsidR="000F59E5" w:rsidRPr="00AA75B0" w:rsidRDefault="000137D8" w:rsidP="00012D0C">
      <w:pPr>
        <w:pStyle w:val="SingleTxtG"/>
        <w:ind w:firstLine="567"/>
        <w:rPr>
          <w:rFonts w:eastAsia="Calibri"/>
          <w:lang w:val="en-US"/>
        </w:rPr>
      </w:pPr>
      <w:r>
        <w:rPr>
          <w:rFonts w:eastAsia="Calibri"/>
          <w:lang w:val="en-US"/>
        </w:rPr>
        <w:t>(j)</w:t>
      </w:r>
      <w:r w:rsidR="000F59E5">
        <w:rPr>
          <w:rFonts w:eastAsia="Calibri"/>
          <w:lang w:val="en-US"/>
        </w:rPr>
        <w:tab/>
        <w:t>Promoting the development of international law.</w:t>
      </w:r>
      <w:r w:rsidR="000F59E5" w:rsidRPr="00AA75B0">
        <w:rPr>
          <w:rFonts w:eastAsia="Calibri"/>
          <w:lang w:val="en-US"/>
        </w:rPr>
        <w:t xml:space="preserve"> In late 2017, the Special Rapporteur collaborated with the Harvard University </w:t>
      </w:r>
      <w:proofErr w:type="spellStart"/>
      <w:r w:rsidR="000F59E5" w:rsidRPr="00AA75B0">
        <w:rPr>
          <w:rFonts w:eastAsia="Calibri"/>
          <w:lang w:val="en-US"/>
        </w:rPr>
        <w:t>Cyberlaw</w:t>
      </w:r>
      <w:proofErr w:type="spellEnd"/>
      <w:r w:rsidR="000F59E5" w:rsidRPr="00AA75B0">
        <w:rPr>
          <w:rFonts w:eastAsia="Calibri"/>
          <w:lang w:val="en-US"/>
        </w:rPr>
        <w:t xml:space="preserve"> Clinic to file an </w:t>
      </w:r>
      <w:r w:rsidR="000F59E5">
        <w:rPr>
          <w:rFonts w:eastAsia="Calibri"/>
          <w:lang w:val="en-US"/>
        </w:rPr>
        <w:t>a</w:t>
      </w:r>
      <w:r w:rsidR="000F59E5" w:rsidRPr="00AA75B0">
        <w:rPr>
          <w:rFonts w:eastAsia="Calibri"/>
          <w:lang w:val="en-US"/>
        </w:rPr>
        <w:t xml:space="preserve">micus </w:t>
      </w:r>
      <w:r w:rsidR="000F59E5">
        <w:rPr>
          <w:rFonts w:eastAsia="Calibri"/>
          <w:lang w:val="en-US"/>
        </w:rPr>
        <w:t>c</w:t>
      </w:r>
      <w:r w:rsidR="000F59E5" w:rsidRPr="00AA75B0">
        <w:rPr>
          <w:rFonts w:eastAsia="Calibri"/>
          <w:lang w:val="en-US"/>
        </w:rPr>
        <w:t xml:space="preserve">uriae </w:t>
      </w:r>
      <w:r w:rsidR="000F59E5">
        <w:rPr>
          <w:rFonts w:eastAsia="Calibri"/>
          <w:lang w:val="en-US"/>
        </w:rPr>
        <w:t xml:space="preserve">brief </w:t>
      </w:r>
      <w:r w:rsidR="000F59E5" w:rsidRPr="00AA75B0">
        <w:rPr>
          <w:rFonts w:eastAsia="Calibri"/>
          <w:lang w:val="en-US"/>
        </w:rPr>
        <w:t>to the U</w:t>
      </w:r>
      <w:r w:rsidR="000F59E5">
        <w:rPr>
          <w:rFonts w:eastAsia="Calibri"/>
          <w:lang w:val="en-US"/>
        </w:rPr>
        <w:t xml:space="preserve">nited </w:t>
      </w:r>
      <w:r w:rsidR="000F59E5" w:rsidRPr="00AA75B0">
        <w:rPr>
          <w:rFonts w:eastAsia="Calibri"/>
          <w:lang w:val="en-US"/>
        </w:rPr>
        <w:t>S</w:t>
      </w:r>
      <w:r w:rsidR="000F59E5">
        <w:rPr>
          <w:rFonts w:eastAsia="Calibri"/>
          <w:lang w:val="en-US"/>
        </w:rPr>
        <w:t>tates</w:t>
      </w:r>
      <w:r w:rsidR="000F59E5" w:rsidRPr="00AA75B0">
        <w:rPr>
          <w:rFonts w:eastAsia="Calibri"/>
          <w:lang w:val="en-US"/>
        </w:rPr>
        <w:t xml:space="preserve"> Supreme Court in the </w:t>
      </w:r>
      <w:r w:rsidR="000F59E5" w:rsidRPr="00AE6849">
        <w:rPr>
          <w:rFonts w:eastAsia="Calibri"/>
          <w:lang w:val="en-US"/>
        </w:rPr>
        <w:t xml:space="preserve">United States v. Microsoft Corp. (No. 17-2) </w:t>
      </w:r>
      <w:r w:rsidR="000F59E5">
        <w:rPr>
          <w:rFonts w:eastAsia="Calibri"/>
          <w:lang w:val="en-US"/>
        </w:rPr>
        <w:t>case,</w:t>
      </w:r>
      <w:r w:rsidR="000F59E5" w:rsidRPr="00AA75B0">
        <w:rPr>
          <w:rFonts w:eastAsia="Calibri"/>
          <w:lang w:val="en-US"/>
        </w:rPr>
        <w:t xml:space="preserve"> due to </w:t>
      </w:r>
      <w:r w:rsidR="000F59E5">
        <w:rPr>
          <w:rFonts w:eastAsia="Calibri"/>
          <w:lang w:val="en-US"/>
        </w:rPr>
        <w:t>its</w:t>
      </w:r>
      <w:r w:rsidR="000F59E5" w:rsidRPr="00AA75B0">
        <w:rPr>
          <w:rFonts w:eastAsia="Calibri"/>
          <w:lang w:val="en-US"/>
        </w:rPr>
        <w:t xml:space="preserve"> potential impact upon international law (Appendix </w:t>
      </w:r>
      <w:r w:rsidR="000F59E5">
        <w:rPr>
          <w:rFonts w:eastAsia="Calibri"/>
          <w:lang w:val="en-US"/>
        </w:rPr>
        <w:t>6</w:t>
      </w:r>
      <w:r w:rsidR="000F59E5" w:rsidRPr="00AA75B0">
        <w:rPr>
          <w:rFonts w:eastAsia="Calibri"/>
          <w:lang w:val="en-US"/>
        </w:rPr>
        <w:t>). On 24 August 2017, the Supreme Court of India handed down its decision in the important constitutional case of</w:t>
      </w:r>
      <w:r w:rsidR="000F59E5">
        <w:rPr>
          <w:rFonts w:eastAsia="Calibri"/>
          <w:lang w:val="en-US"/>
        </w:rPr>
        <w:t xml:space="preserve"> </w:t>
      </w:r>
      <w:r w:rsidR="000F59E5" w:rsidRPr="00AE6849">
        <w:rPr>
          <w:rFonts w:eastAsia="Calibri"/>
          <w:lang w:val="en-US"/>
        </w:rPr>
        <w:t xml:space="preserve">Justice K. S. </w:t>
      </w:r>
      <w:proofErr w:type="spellStart"/>
      <w:r w:rsidR="000F59E5" w:rsidRPr="00AE6849">
        <w:rPr>
          <w:rFonts w:eastAsia="Calibri"/>
          <w:lang w:val="en-US"/>
        </w:rPr>
        <w:t>Puttaswamy</w:t>
      </w:r>
      <w:proofErr w:type="spellEnd"/>
      <w:r w:rsidR="000F59E5" w:rsidRPr="00AE6849">
        <w:rPr>
          <w:rFonts w:eastAsia="Calibri"/>
          <w:lang w:val="en-US"/>
        </w:rPr>
        <w:t xml:space="preserve"> (</w:t>
      </w:r>
      <w:proofErr w:type="spellStart"/>
      <w:r w:rsidR="000F59E5" w:rsidRPr="00AE6849">
        <w:rPr>
          <w:rFonts w:eastAsia="Calibri"/>
          <w:lang w:val="en-US"/>
        </w:rPr>
        <w:t>Retd</w:t>
      </w:r>
      <w:proofErr w:type="spellEnd"/>
      <w:r w:rsidR="000F59E5" w:rsidRPr="00AE6849">
        <w:rPr>
          <w:rFonts w:eastAsia="Calibri"/>
          <w:lang w:val="en-US"/>
        </w:rPr>
        <w:t xml:space="preserve">.) and </w:t>
      </w:r>
      <w:proofErr w:type="spellStart"/>
      <w:r w:rsidR="000F59E5" w:rsidRPr="00AE6849">
        <w:rPr>
          <w:rFonts w:eastAsia="Calibri"/>
          <w:lang w:val="en-US"/>
        </w:rPr>
        <w:t>Anr</w:t>
      </w:r>
      <w:proofErr w:type="spellEnd"/>
      <w:r w:rsidR="000F59E5" w:rsidRPr="00AE6849">
        <w:rPr>
          <w:rFonts w:eastAsia="Calibri"/>
          <w:lang w:val="en-US"/>
        </w:rPr>
        <w:t xml:space="preserve">. </w:t>
      </w:r>
      <w:proofErr w:type="gramStart"/>
      <w:r w:rsidR="000F59E5" w:rsidRPr="00AE6849">
        <w:rPr>
          <w:rFonts w:eastAsia="Calibri"/>
          <w:lang w:val="en-US"/>
        </w:rPr>
        <w:t>vs</w:t>
      </w:r>
      <w:proofErr w:type="gramEnd"/>
      <w:r w:rsidR="000F59E5" w:rsidRPr="00AE6849">
        <w:rPr>
          <w:rFonts w:eastAsia="Calibri"/>
          <w:lang w:val="en-US"/>
        </w:rPr>
        <w:t xml:space="preserve"> Union Of India And </w:t>
      </w:r>
      <w:proofErr w:type="spellStart"/>
      <w:r w:rsidR="000F59E5" w:rsidRPr="00AE6849">
        <w:rPr>
          <w:rFonts w:eastAsia="Calibri"/>
          <w:lang w:val="en-US"/>
        </w:rPr>
        <w:t>Ors</w:t>
      </w:r>
      <w:proofErr w:type="spellEnd"/>
      <w:r w:rsidR="000F59E5">
        <w:rPr>
          <w:rFonts w:eastAsia="Calibri"/>
          <w:lang w:val="en-US"/>
        </w:rPr>
        <w:t xml:space="preserve">, </w:t>
      </w:r>
      <w:r w:rsidR="000F59E5" w:rsidRPr="00AA75B0">
        <w:rPr>
          <w:rFonts w:eastAsia="Calibri"/>
          <w:lang w:val="en-US"/>
        </w:rPr>
        <w:t>ruling unanimously that privacy is a constitutionally protected right in India. This landmark case may lead to constitutional challenges to other Indian legislation</w:t>
      </w:r>
      <w:r w:rsidR="000F59E5" w:rsidRPr="00E76E52">
        <w:rPr>
          <w:rFonts w:eastAsia="Calibri"/>
          <w:vertAlign w:val="superscript"/>
          <w:lang w:val="en-US"/>
        </w:rPr>
        <w:footnoteReference w:id="30"/>
      </w:r>
      <w:r w:rsidR="000F59E5" w:rsidRPr="00AA75B0">
        <w:rPr>
          <w:rFonts w:eastAsia="Calibri"/>
          <w:lang w:val="en-US"/>
        </w:rPr>
        <w:t xml:space="preserve"> </w:t>
      </w:r>
      <w:r w:rsidR="000F59E5">
        <w:rPr>
          <w:rFonts w:eastAsia="Calibri"/>
          <w:lang w:val="en-US"/>
        </w:rPr>
        <w:t>affect</w:t>
      </w:r>
      <w:r w:rsidR="000F59E5" w:rsidRPr="00AA75B0">
        <w:rPr>
          <w:rFonts w:eastAsia="Calibri"/>
          <w:lang w:val="en-US"/>
        </w:rPr>
        <w:t xml:space="preserve">ing gender matters, which the Special Rapporteur will monitor closely. </w:t>
      </w:r>
    </w:p>
    <w:p w:rsidR="000F59E5" w:rsidRPr="00E76E52" w:rsidRDefault="00EF1266" w:rsidP="00EF1266">
      <w:pPr>
        <w:pStyle w:val="H23G"/>
        <w:rPr>
          <w:rFonts w:eastAsia="Calibri"/>
          <w:lang w:val="en-US"/>
        </w:rPr>
      </w:pPr>
      <w:r>
        <w:rPr>
          <w:rFonts w:eastAsia="Calibri"/>
          <w:lang w:val="en-US"/>
        </w:rPr>
        <w:tab/>
      </w:r>
      <w:r>
        <w:rPr>
          <w:rFonts w:eastAsia="Calibri"/>
          <w:lang w:val="en-US"/>
        </w:rPr>
        <w:tab/>
      </w:r>
      <w:r w:rsidR="000F59E5" w:rsidRPr="00E76E52">
        <w:rPr>
          <w:rFonts w:eastAsia="Calibri"/>
          <w:lang w:val="en-US"/>
        </w:rPr>
        <w:t>Achievements</w:t>
      </w:r>
    </w:p>
    <w:p w:rsidR="000F59E5" w:rsidRPr="002056C1" w:rsidRDefault="000F59E5" w:rsidP="000F59E5">
      <w:pPr>
        <w:pStyle w:val="SingleTxtG"/>
        <w:rPr>
          <w:rFonts w:eastAsia="Calibri"/>
          <w:spacing w:val="-2"/>
          <w:lang w:val="en-US"/>
        </w:rPr>
      </w:pPr>
      <w:r w:rsidRPr="002056C1">
        <w:rPr>
          <w:rFonts w:eastAsia="Calibri"/>
          <w:spacing w:val="-2"/>
          <w:lang w:val="en-US"/>
        </w:rPr>
        <w:t>71.</w:t>
      </w:r>
      <w:r w:rsidRPr="002056C1">
        <w:rPr>
          <w:rFonts w:eastAsia="Calibri"/>
          <w:spacing w:val="-2"/>
          <w:lang w:val="en-US"/>
        </w:rPr>
        <w:tab/>
        <w:t>The Special Rapporteur has delivered over 100 addresses since March 2015 promoting the protection of the right to privacy (Appendix 5); created a blog on privacy and personality (</w:t>
      </w:r>
      <w:hyperlink r:id="rId11" w:history="1">
        <w:r w:rsidRPr="002056C1">
          <w:rPr>
            <w:rFonts w:eastAsia="Calibri"/>
            <w:spacing w:val="-2"/>
            <w:lang w:val="en-US"/>
          </w:rPr>
          <w:t>www.privacyandpersonality.org</w:t>
        </w:r>
      </w:hyperlink>
      <w:r w:rsidRPr="002056C1">
        <w:rPr>
          <w:rFonts w:eastAsia="Calibri"/>
          <w:spacing w:val="-2"/>
          <w:lang w:val="en-US"/>
        </w:rPr>
        <w:t>); submitted an amicus curiae brief to the United States Supreme Court in the United States v. Microsoft Corp. (No. 17-2) matter (Appendix 6); provided feedback  to the Consultation of the Government of the United Kingdom on the Investigatory Powers Act 2016 and Proposed Response to the ruling of the Court of Justice of the European Union; provided submissions to the Australian Parliament’s Inquiry into the Impact of Information and Communication Technology</w:t>
      </w:r>
      <w:r w:rsidRPr="002056C1" w:rsidDel="00953E3E">
        <w:rPr>
          <w:rFonts w:eastAsia="Calibri"/>
          <w:spacing w:val="-2"/>
          <w:lang w:val="en-US"/>
        </w:rPr>
        <w:t xml:space="preserve"> </w:t>
      </w:r>
      <w:r w:rsidRPr="002056C1">
        <w:rPr>
          <w:rFonts w:eastAsia="Calibri"/>
          <w:spacing w:val="-2"/>
          <w:lang w:val="en-US"/>
        </w:rPr>
        <w:t xml:space="preserve">Advances on Law Enforcement Agencies, and the Inquiry on the National Security Legislation Amendment (Espionage and Foreign Interference) Bill 2017; provided input to the Indian Government on the White Paper on Data Protection legislation; and collaborated with the Harvard University </w:t>
      </w:r>
      <w:proofErr w:type="spellStart"/>
      <w:r w:rsidRPr="002056C1">
        <w:rPr>
          <w:rFonts w:eastAsia="Calibri"/>
          <w:spacing w:val="-2"/>
          <w:lang w:val="en-US"/>
        </w:rPr>
        <w:t>Cyberlaw</w:t>
      </w:r>
      <w:proofErr w:type="spellEnd"/>
      <w:r w:rsidRPr="002056C1">
        <w:rPr>
          <w:rFonts w:eastAsia="Calibri"/>
          <w:spacing w:val="-2"/>
          <w:lang w:val="en-US"/>
        </w:rPr>
        <w:t xml:space="preserve"> Clinic.</w:t>
      </w:r>
    </w:p>
    <w:p w:rsidR="000F59E5" w:rsidRPr="003D73D1" w:rsidRDefault="00EF1266" w:rsidP="00EF1266">
      <w:pPr>
        <w:pStyle w:val="H23G"/>
        <w:rPr>
          <w:rFonts w:eastAsia="Calibri"/>
          <w:lang w:val="en-US"/>
        </w:rPr>
      </w:pPr>
      <w:r>
        <w:rPr>
          <w:rFonts w:eastAsia="Calibri"/>
          <w:lang w:val="en-US"/>
        </w:rPr>
        <w:tab/>
      </w:r>
      <w:r>
        <w:rPr>
          <w:rFonts w:eastAsia="Calibri"/>
          <w:lang w:val="en-US"/>
        </w:rPr>
        <w:tab/>
      </w:r>
      <w:r w:rsidR="000F59E5" w:rsidRPr="003D73D1">
        <w:rPr>
          <w:rFonts w:eastAsia="Calibri"/>
          <w:lang w:val="en-US"/>
        </w:rPr>
        <w:t>Future activities and opportunities</w:t>
      </w:r>
    </w:p>
    <w:p w:rsidR="000F59E5" w:rsidRPr="00AA75B0" w:rsidRDefault="000F59E5" w:rsidP="000F59E5">
      <w:pPr>
        <w:pStyle w:val="SingleTxtG"/>
        <w:rPr>
          <w:rFonts w:eastAsia="Calibri"/>
          <w:lang w:val="en-US"/>
        </w:rPr>
      </w:pPr>
      <w:r>
        <w:rPr>
          <w:rFonts w:eastAsia="Calibri"/>
          <w:lang w:val="en-US"/>
        </w:rPr>
        <w:t>72.</w:t>
      </w:r>
      <w:r>
        <w:rPr>
          <w:rFonts w:eastAsia="Calibri"/>
          <w:lang w:val="en-US"/>
        </w:rPr>
        <w:tab/>
        <w:t>The Special Rapporteur will continue to c</w:t>
      </w:r>
      <w:r w:rsidRPr="00AA75B0">
        <w:rPr>
          <w:rFonts w:eastAsia="Calibri"/>
          <w:lang w:val="en-US"/>
        </w:rPr>
        <w:t>ontribut</w:t>
      </w:r>
      <w:r>
        <w:rPr>
          <w:rFonts w:eastAsia="Calibri"/>
          <w:lang w:val="en-US"/>
        </w:rPr>
        <w:t>e</w:t>
      </w:r>
      <w:r w:rsidRPr="00AA75B0">
        <w:rPr>
          <w:rFonts w:eastAsia="Calibri"/>
          <w:lang w:val="en-US"/>
        </w:rPr>
        <w:t xml:space="preserve"> to </w:t>
      </w:r>
      <w:r>
        <w:rPr>
          <w:rFonts w:eastAsia="Calibri"/>
          <w:lang w:val="en-US"/>
        </w:rPr>
        <w:t>and organize</w:t>
      </w:r>
      <w:r w:rsidRPr="00AA75B0">
        <w:rPr>
          <w:rFonts w:eastAsia="Calibri"/>
          <w:lang w:val="en-US"/>
        </w:rPr>
        <w:t xml:space="preserve"> international events</w:t>
      </w:r>
      <w:r>
        <w:rPr>
          <w:rFonts w:eastAsia="Calibri"/>
          <w:lang w:val="en-US"/>
        </w:rPr>
        <w:t xml:space="preserve">, such as the </w:t>
      </w:r>
      <w:r w:rsidRPr="00AA75B0">
        <w:rPr>
          <w:rFonts w:eastAsia="Calibri"/>
          <w:lang w:val="en-US"/>
        </w:rPr>
        <w:t>Privacy and Personality and Flows of Information</w:t>
      </w:r>
      <w:r>
        <w:rPr>
          <w:rFonts w:eastAsia="Calibri"/>
          <w:lang w:val="en-US"/>
        </w:rPr>
        <w:t xml:space="preserve"> conferences, and e</w:t>
      </w:r>
      <w:r w:rsidRPr="00AA75B0">
        <w:rPr>
          <w:rFonts w:eastAsia="Calibri"/>
          <w:lang w:val="en-US"/>
        </w:rPr>
        <w:t>xamin</w:t>
      </w:r>
      <w:r>
        <w:rPr>
          <w:rFonts w:eastAsia="Calibri"/>
          <w:lang w:val="en-US"/>
        </w:rPr>
        <w:t>e</w:t>
      </w:r>
      <w:r w:rsidRPr="00AA75B0">
        <w:rPr>
          <w:rFonts w:eastAsia="Calibri"/>
          <w:lang w:val="en-US"/>
        </w:rPr>
        <w:t xml:space="preserve"> landmark </w:t>
      </w:r>
      <w:r>
        <w:rPr>
          <w:rFonts w:eastAsia="Calibri"/>
          <w:lang w:val="en-US"/>
        </w:rPr>
        <w:t>c</w:t>
      </w:r>
      <w:r w:rsidRPr="00AA75B0">
        <w:rPr>
          <w:rFonts w:eastAsia="Calibri"/>
          <w:lang w:val="en-US"/>
        </w:rPr>
        <w:t xml:space="preserve">ourt decisions </w:t>
      </w:r>
      <w:r>
        <w:rPr>
          <w:rFonts w:eastAsia="Calibri"/>
          <w:lang w:val="en-US"/>
        </w:rPr>
        <w:t>concerning</w:t>
      </w:r>
      <w:r w:rsidRPr="00AA75B0">
        <w:rPr>
          <w:rFonts w:eastAsia="Calibri"/>
          <w:lang w:val="en-US"/>
        </w:rPr>
        <w:t xml:space="preserve"> privacy and personality, including</w:t>
      </w:r>
      <w:r>
        <w:rPr>
          <w:rFonts w:eastAsia="Calibri"/>
          <w:lang w:val="en-US"/>
        </w:rPr>
        <w:t xml:space="preserve"> </w:t>
      </w:r>
      <w:r w:rsidRPr="00AA75B0">
        <w:rPr>
          <w:rFonts w:eastAsia="Calibri"/>
          <w:lang w:val="en-US"/>
        </w:rPr>
        <w:t>gender issues.</w:t>
      </w:r>
    </w:p>
    <w:p w:rsidR="000F59E5" w:rsidRPr="00022DCD" w:rsidRDefault="000F59E5" w:rsidP="00EF1266">
      <w:pPr>
        <w:pStyle w:val="H23G"/>
        <w:rPr>
          <w:sz w:val="10"/>
        </w:rPr>
      </w:pPr>
      <w:r w:rsidRPr="00022DCD">
        <w:tab/>
      </w:r>
      <w:r>
        <w:t>5</w:t>
      </w:r>
      <w:r w:rsidRPr="00022DCD">
        <w:t>.</w:t>
      </w:r>
      <w:r w:rsidRPr="00022DCD">
        <w:tab/>
      </w:r>
      <w:r>
        <w:t xml:space="preserve">Raising awareness on </w:t>
      </w:r>
      <w:r w:rsidRPr="008B7A22">
        <w:t xml:space="preserve">the right to privacy, including challenges </w:t>
      </w:r>
      <w:r>
        <w:t>and</w:t>
      </w:r>
      <w:r w:rsidRPr="008B7A22">
        <w:t xml:space="preserve"> </w:t>
      </w:r>
      <w:r>
        <w:t>effective remedies</w:t>
      </w:r>
    </w:p>
    <w:p w:rsidR="000F59E5" w:rsidRPr="00AA75B0" w:rsidRDefault="007915C2" w:rsidP="000F59E5">
      <w:pPr>
        <w:pStyle w:val="SingleTxtG"/>
        <w:rPr>
          <w:rFonts w:eastAsia="Calibri"/>
          <w:lang w:val="en-US"/>
        </w:rPr>
      </w:pPr>
      <w:r>
        <w:rPr>
          <w:rFonts w:eastAsia="Calibri"/>
          <w:lang w:val="en-US"/>
        </w:rPr>
        <w:t>73.</w:t>
      </w:r>
      <w:r>
        <w:rPr>
          <w:rFonts w:eastAsia="Calibri"/>
          <w:lang w:val="en-US"/>
        </w:rPr>
        <w:tab/>
      </w:r>
      <w:r w:rsidR="000F59E5">
        <w:rPr>
          <w:rFonts w:eastAsia="Calibri"/>
          <w:lang w:val="en-US"/>
        </w:rPr>
        <w:t>The Special Rapporteur has continued</w:t>
      </w:r>
      <w:r w:rsidR="000F59E5" w:rsidRPr="00AA75B0">
        <w:rPr>
          <w:rFonts w:eastAsia="Calibri"/>
          <w:lang w:val="en-US"/>
        </w:rPr>
        <w:t xml:space="preserve"> </w:t>
      </w:r>
      <w:r w:rsidR="000F59E5">
        <w:rPr>
          <w:rFonts w:eastAsia="Calibri"/>
          <w:lang w:val="en-US"/>
        </w:rPr>
        <w:t xml:space="preserve">to </w:t>
      </w:r>
      <w:r w:rsidR="000F59E5" w:rsidRPr="00AA75B0">
        <w:rPr>
          <w:rFonts w:eastAsia="Calibri"/>
          <w:lang w:val="en-US"/>
        </w:rPr>
        <w:t xml:space="preserve">raise awareness concerning the importance of promoting and protecting the right to privacy, with a view to particular challenges in the digital age, and the importance of providing individuals whose right to privacy has been violated with access to </w:t>
      </w:r>
      <w:r w:rsidR="000F59E5">
        <w:rPr>
          <w:rFonts w:eastAsia="Calibri"/>
          <w:lang w:val="en-US"/>
        </w:rPr>
        <w:t xml:space="preserve">an </w:t>
      </w:r>
      <w:r w:rsidR="000F59E5" w:rsidRPr="00AA75B0">
        <w:rPr>
          <w:rFonts w:eastAsia="Calibri"/>
          <w:lang w:val="en-US"/>
        </w:rPr>
        <w:t>effective remedy, consistent with international human rights obligations</w:t>
      </w:r>
      <w:r w:rsidR="000F59E5">
        <w:rPr>
          <w:rFonts w:eastAsia="Calibri"/>
          <w:lang w:val="en-US"/>
        </w:rPr>
        <w:t>.</w:t>
      </w:r>
    </w:p>
    <w:p w:rsidR="000F59E5" w:rsidRDefault="000F59E5" w:rsidP="000F59E5">
      <w:pPr>
        <w:pStyle w:val="SingleTxtG"/>
        <w:rPr>
          <w:rFonts w:eastAsia="Calibri"/>
          <w:lang w:val="en-US"/>
        </w:rPr>
      </w:pPr>
      <w:r>
        <w:rPr>
          <w:rFonts w:eastAsia="Calibri"/>
          <w:lang w:val="en-US"/>
        </w:rPr>
        <w:t>74.</w:t>
      </w:r>
      <w:r>
        <w:rPr>
          <w:rFonts w:eastAsia="Calibri"/>
          <w:lang w:val="en-US"/>
        </w:rPr>
        <w:tab/>
      </w:r>
      <w:r w:rsidRPr="00AA75B0">
        <w:rPr>
          <w:rFonts w:eastAsia="Calibri"/>
          <w:lang w:val="en-US"/>
        </w:rPr>
        <w:t>In mid-2016</w:t>
      </w:r>
      <w:r>
        <w:rPr>
          <w:rFonts w:eastAsia="Calibri"/>
          <w:lang w:val="en-US"/>
        </w:rPr>
        <w:t>,</w:t>
      </w:r>
      <w:r w:rsidRPr="00AA75B0">
        <w:rPr>
          <w:rFonts w:eastAsia="Calibri"/>
          <w:lang w:val="en-US"/>
        </w:rPr>
        <w:t xml:space="preserve"> the privacy of one in ten citizens in one </w:t>
      </w:r>
      <w:r>
        <w:rPr>
          <w:rFonts w:eastAsia="Calibri"/>
          <w:lang w:val="en-US"/>
        </w:rPr>
        <w:t xml:space="preserve">Member </w:t>
      </w:r>
      <w:r w:rsidRPr="00AA75B0">
        <w:rPr>
          <w:rFonts w:eastAsia="Calibri"/>
          <w:lang w:val="en-US"/>
        </w:rPr>
        <w:t xml:space="preserve">State was put at risk when a database of supposedly de-identified health and pharmaceutical benefits usage data was publicly released. It was found possible to re-identify practitioners and patients. The Special Rapporteur has written twice to the </w:t>
      </w:r>
      <w:r>
        <w:rPr>
          <w:rFonts w:eastAsia="Calibri"/>
          <w:lang w:val="en-US"/>
        </w:rPr>
        <w:t xml:space="preserve">Member </w:t>
      </w:r>
      <w:r w:rsidRPr="00AA75B0">
        <w:rPr>
          <w:rFonts w:eastAsia="Calibri"/>
          <w:lang w:val="en-US"/>
        </w:rPr>
        <w:t xml:space="preserve">State concerned. </w:t>
      </w:r>
      <w:r>
        <w:rPr>
          <w:rFonts w:eastAsia="Calibri"/>
          <w:lang w:val="en-US"/>
        </w:rPr>
        <w:t>The correspondence</w:t>
      </w:r>
      <w:r w:rsidRPr="00AA75B0">
        <w:rPr>
          <w:rFonts w:eastAsia="Calibri"/>
          <w:lang w:val="en-US"/>
        </w:rPr>
        <w:t xml:space="preserve"> remains confidential for 60 days. This matter is closely linked to </w:t>
      </w:r>
      <w:r>
        <w:rPr>
          <w:rFonts w:eastAsia="Calibri"/>
          <w:lang w:val="en-US"/>
        </w:rPr>
        <w:t xml:space="preserve">the mandate’s </w:t>
      </w:r>
      <w:r w:rsidRPr="00AA75B0">
        <w:rPr>
          <w:rFonts w:eastAsia="Calibri"/>
          <w:lang w:val="en-US"/>
        </w:rPr>
        <w:t>Thematic Action Streams</w:t>
      </w:r>
      <w:r>
        <w:rPr>
          <w:rFonts w:eastAsia="Calibri"/>
          <w:lang w:val="en-US"/>
        </w:rPr>
        <w:t>:</w:t>
      </w:r>
      <w:r w:rsidRPr="00AA75B0">
        <w:rPr>
          <w:rFonts w:eastAsia="Calibri"/>
          <w:lang w:val="en-US"/>
        </w:rPr>
        <w:t xml:space="preserve"> Big Data</w:t>
      </w:r>
      <w:r>
        <w:rPr>
          <w:rFonts w:eastAsia="Calibri"/>
          <w:lang w:val="en-US"/>
        </w:rPr>
        <w:t xml:space="preserve"> - </w:t>
      </w:r>
      <w:r w:rsidRPr="00AA75B0">
        <w:rPr>
          <w:rFonts w:eastAsia="Calibri"/>
          <w:lang w:val="en-US"/>
        </w:rPr>
        <w:t>Open Data and Health Data</w:t>
      </w:r>
      <w:r w:rsidR="007915C2">
        <w:rPr>
          <w:rFonts w:eastAsia="Calibri"/>
          <w:lang w:val="en-US"/>
        </w:rPr>
        <w:t>.</w:t>
      </w:r>
    </w:p>
    <w:p w:rsidR="000F59E5" w:rsidRPr="00AA75B0" w:rsidRDefault="000F59E5" w:rsidP="000F59E5">
      <w:pPr>
        <w:pStyle w:val="SingleTxtG"/>
        <w:rPr>
          <w:rFonts w:eastAsia="Calibri"/>
          <w:lang w:val="en-US"/>
        </w:rPr>
      </w:pPr>
      <w:r>
        <w:rPr>
          <w:rFonts w:eastAsia="Calibri"/>
          <w:lang w:val="en-US"/>
        </w:rPr>
        <w:t>75.</w:t>
      </w:r>
      <w:r>
        <w:rPr>
          <w:rFonts w:eastAsia="Calibri"/>
          <w:lang w:val="en-US"/>
        </w:rPr>
        <w:tab/>
      </w:r>
      <w:r w:rsidRPr="00AA75B0">
        <w:rPr>
          <w:rFonts w:eastAsia="Calibri"/>
          <w:lang w:val="en-US"/>
        </w:rPr>
        <w:t xml:space="preserve">On 18 May 2017, the Special Rapporteur took the unusual step of publishing an open </w:t>
      </w:r>
      <w:r>
        <w:rPr>
          <w:rFonts w:eastAsia="Calibri"/>
          <w:lang w:val="en-US"/>
        </w:rPr>
        <w:t>L</w:t>
      </w:r>
      <w:r w:rsidRPr="00AA75B0">
        <w:rPr>
          <w:rFonts w:eastAsia="Calibri"/>
          <w:lang w:val="en-US"/>
        </w:rPr>
        <w:t xml:space="preserve">etter of Allegation to the Government of Japan on </w:t>
      </w:r>
      <w:r>
        <w:rPr>
          <w:rFonts w:eastAsia="Calibri"/>
          <w:lang w:val="en-US"/>
        </w:rPr>
        <w:t>the</w:t>
      </w:r>
      <w:r w:rsidRPr="00AA75B0">
        <w:rPr>
          <w:rFonts w:eastAsia="Calibri"/>
          <w:lang w:val="en-US"/>
        </w:rPr>
        <w:t xml:space="preserve"> website</w:t>
      </w:r>
      <w:r>
        <w:rPr>
          <w:rFonts w:eastAsia="Calibri"/>
          <w:lang w:val="en-US"/>
        </w:rPr>
        <w:t xml:space="preserve"> of the Office of the High Commissioner for Human Rights</w:t>
      </w:r>
      <w:r w:rsidRPr="007A31F0">
        <w:rPr>
          <w:rFonts w:eastAsia="Calibri"/>
          <w:vertAlign w:val="superscript"/>
          <w:lang w:val="en-US"/>
        </w:rPr>
        <w:footnoteReference w:id="31"/>
      </w:r>
      <w:r w:rsidRPr="00AA75B0">
        <w:rPr>
          <w:rFonts w:eastAsia="Calibri"/>
          <w:lang w:val="en-US"/>
        </w:rPr>
        <w:t xml:space="preserve"> </w:t>
      </w:r>
      <w:r>
        <w:rPr>
          <w:rFonts w:eastAsia="Calibri"/>
          <w:lang w:val="en-US"/>
        </w:rPr>
        <w:t>and</w:t>
      </w:r>
      <w:r w:rsidRPr="00AA75B0">
        <w:rPr>
          <w:rFonts w:eastAsia="Calibri"/>
          <w:lang w:val="en-US"/>
        </w:rPr>
        <w:t xml:space="preserve"> is now awaiting an invitation from the Japanese Government to engage in discussions </w:t>
      </w:r>
      <w:r>
        <w:rPr>
          <w:rFonts w:eastAsia="Calibri"/>
          <w:lang w:val="en-US"/>
        </w:rPr>
        <w:t>regarding standards of international human rights law</w:t>
      </w:r>
      <w:r w:rsidRPr="00AA75B0">
        <w:rPr>
          <w:rFonts w:eastAsia="Calibri"/>
          <w:lang w:val="en-US"/>
        </w:rPr>
        <w:t>.</w:t>
      </w:r>
    </w:p>
    <w:p w:rsidR="000F59E5" w:rsidRPr="00AA75B0" w:rsidRDefault="000F59E5" w:rsidP="000F59E5">
      <w:pPr>
        <w:pStyle w:val="SingleTxtG"/>
        <w:rPr>
          <w:rFonts w:eastAsia="Calibri"/>
          <w:lang w:val="en-US"/>
        </w:rPr>
      </w:pPr>
      <w:r>
        <w:rPr>
          <w:rFonts w:eastAsia="Calibri"/>
          <w:lang w:val="en-US"/>
        </w:rPr>
        <w:t>76.</w:t>
      </w:r>
      <w:r>
        <w:rPr>
          <w:rFonts w:eastAsia="Calibri"/>
          <w:lang w:val="en-US"/>
        </w:rPr>
        <w:tab/>
        <w:t>On</w:t>
      </w:r>
      <w:r w:rsidRPr="00AA75B0">
        <w:rPr>
          <w:rFonts w:eastAsia="Calibri"/>
          <w:lang w:val="en-US"/>
        </w:rPr>
        <w:t xml:space="preserve"> 19 July 2017, the Special Rapporteur </w:t>
      </w:r>
      <w:r>
        <w:rPr>
          <w:rFonts w:eastAsia="Calibri"/>
          <w:lang w:val="en-US"/>
        </w:rPr>
        <w:t>issued, together with other Special Procedures mandate holders, a joint</w:t>
      </w:r>
      <w:r w:rsidRPr="00AA75B0">
        <w:rPr>
          <w:rFonts w:eastAsia="Calibri"/>
          <w:lang w:val="en-US"/>
        </w:rPr>
        <w:t xml:space="preserve"> call on the Government of Mexico to carry out a transparent, independent and impartial investigation into allegations of monitoring and illegal surveillance against human rights defenders, social activists, and journalists.</w:t>
      </w:r>
      <w:r w:rsidRPr="003D73D1">
        <w:rPr>
          <w:rFonts w:eastAsia="Calibri"/>
          <w:vertAlign w:val="superscript"/>
          <w:lang w:val="en-US"/>
        </w:rPr>
        <w:footnoteReference w:id="32"/>
      </w:r>
      <w:r w:rsidRPr="00AA75B0">
        <w:rPr>
          <w:rFonts w:eastAsia="Calibri"/>
          <w:lang w:val="en-US"/>
        </w:rPr>
        <w:t xml:space="preserve"> </w:t>
      </w:r>
    </w:p>
    <w:p w:rsidR="000F59E5" w:rsidRPr="00AA75B0" w:rsidRDefault="000F59E5" w:rsidP="000F59E5">
      <w:pPr>
        <w:pStyle w:val="SingleTxtG"/>
        <w:rPr>
          <w:rFonts w:eastAsia="Calibri"/>
          <w:lang w:val="en-US"/>
        </w:rPr>
      </w:pPr>
      <w:r>
        <w:rPr>
          <w:rFonts w:eastAsia="Calibri"/>
          <w:lang w:val="en-US"/>
        </w:rPr>
        <w:t>77.</w:t>
      </w:r>
      <w:r>
        <w:rPr>
          <w:rFonts w:eastAsia="Calibri"/>
          <w:lang w:val="en-US"/>
        </w:rPr>
        <w:tab/>
      </w:r>
      <w:r w:rsidRPr="00AA75B0">
        <w:rPr>
          <w:rFonts w:eastAsia="Calibri"/>
          <w:lang w:val="en-US"/>
        </w:rPr>
        <w:t xml:space="preserve">The Special Rapporteur wrote to a </w:t>
      </w:r>
      <w:r>
        <w:rPr>
          <w:rFonts w:eastAsia="Calibri"/>
          <w:lang w:val="en-US"/>
        </w:rPr>
        <w:t xml:space="preserve">Member </w:t>
      </w:r>
      <w:r w:rsidRPr="00AA75B0">
        <w:rPr>
          <w:rFonts w:eastAsia="Calibri"/>
          <w:lang w:val="en-US"/>
        </w:rPr>
        <w:t>State concerning the lack of remedies available for a</w:t>
      </w:r>
      <w:r>
        <w:rPr>
          <w:rFonts w:eastAsia="Calibri"/>
          <w:lang w:val="en-US"/>
        </w:rPr>
        <w:t xml:space="preserve">n individual </w:t>
      </w:r>
      <w:r w:rsidRPr="00AA75B0">
        <w:rPr>
          <w:rFonts w:eastAsia="Calibri"/>
          <w:lang w:val="en-US"/>
        </w:rPr>
        <w:t xml:space="preserve">who experienced a gross invasion of her privacy. The Special Rapporteur had the consent of the complainant using the pseudonym requested. The correspondence </w:t>
      </w:r>
      <w:r>
        <w:rPr>
          <w:rFonts w:eastAsia="Calibri"/>
          <w:lang w:val="en-US"/>
        </w:rPr>
        <w:t>is</w:t>
      </w:r>
      <w:r w:rsidRPr="00AA75B0">
        <w:rPr>
          <w:rFonts w:eastAsia="Calibri"/>
          <w:lang w:val="en-US"/>
        </w:rPr>
        <w:t xml:space="preserve"> published </w:t>
      </w:r>
      <w:r>
        <w:rPr>
          <w:rFonts w:eastAsia="Calibri"/>
          <w:lang w:val="en-US"/>
        </w:rPr>
        <w:t>in the Special Procedures communications report</w:t>
      </w:r>
      <w:r w:rsidR="007915C2">
        <w:rPr>
          <w:rFonts w:eastAsia="Calibri"/>
          <w:lang w:val="en-US"/>
        </w:rPr>
        <w:t>.</w:t>
      </w:r>
      <w:r>
        <w:rPr>
          <w:rStyle w:val="FootnoteReference"/>
          <w:rFonts w:eastAsia="Calibri"/>
          <w:lang w:val="en-US"/>
        </w:rPr>
        <w:footnoteReference w:id="33"/>
      </w:r>
    </w:p>
    <w:p w:rsidR="000F59E5" w:rsidRPr="003D73D1" w:rsidRDefault="00EF1266" w:rsidP="004E0636">
      <w:pPr>
        <w:pStyle w:val="H23G"/>
        <w:rPr>
          <w:rFonts w:eastAsia="Calibri"/>
          <w:lang w:val="en-US"/>
        </w:rPr>
      </w:pPr>
      <w:r>
        <w:rPr>
          <w:rFonts w:eastAsia="Calibri"/>
          <w:lang w:val="en-US"/>
        </w:rPr>
        <w:tab/>
      </w:r>
      <w:r>
        <w:rPr>
          <w:rFonts w:eastAsia="Calibri"/>
          <w:lang w:val="en-US"/>
        </w:rPr>
        <w:tab/>
      </w:r>
      <w:r w:rsidR="000F59E5" w:rsidRPr="004E0636">
        <w:rPr>
          <w:rFonts w:eastAsia="Calibri"/>
        </w:rPr>
        <w:t>Achievements</w:t>
      </w:r>
    </w:p>
    <w:p w:rsidR="000F59E5" w:rsidRPr="00AA75B0" w:rsidRDefault="000F59E5" w:rsidP="000F59E5">
      <w:pPr>
        <w:pStyle w:val="SingleTxtG"/>
        <w:rPr>
          <w:rFonts w:eastAsia="Calibri"/>
          <w:lang w:val="en-US"/>
        </w:rPr>
      </w:pPr>
      <w:r>
        <w:rPr>
          <w:rFonts w:eastAsia="Calibri"/>
          <w:lang w:val="en-US"/>
        </w:rPr>
        <w:t>78.</w:t>
      </w:r>
      <w:r>
        <w:rPr>
          <w:rFonts w:eastAsia="Calibri"/>
          <w:lang w:val="en-US"/>
        </w:rPr>
        <w:tab/>
        <w:t>The Special Rapporteur has continued to d</w:t>
      </w:r>
      <w:r w:rsidRPr="00AA75B0">
        <w:rPr>
          <w:rFonts w:eastAsia="Calibri"/>
          <w:lang w:val="en-US"/>
        </w:rPr>
        <w:t>raw to the attention of States apparent deficiencies in the management of privacy</w:t>
      </w:r>
      <w:r>
        <w:rPr>
          <w:rFonts w:eastAsia="Calibri"/>
          <w:lang w:val="en-US"/>
        </w:rPr>
        <w:t xml:space="preserve"> and e</w:t>
      </w:r>
      <w:r w:rsidRPr="00AA75B0">
        <w:rPr>
          <w:rFonts w:eastAsia="Calibri"/>
          <w:lang w:val="en-US"/>
        </w:rPr>
        <w:t>nsur</w:t>
      </w:r>
      <w:r>
        <w:rPr>
          <w:rFonts w:eastAsia="Calibri"/>
          <w:lang w:val="en-US"/>
        </w:rPr>
        <w:t>ed that</w:t>
      </w:r>
      <w:r w:rsidRPr="00AA75B0">
        <w:rPr>
          <w:rFonts w:eastAsia="Calibri"/>
          <w:lang w:val="en-US"/>
        </w:rPr>
        <w:t xml:space="preserve"> appropriate </w:t>
      </w:r>
      <w:r>
        <w:rPr>
          <w:rFonts w:eastAsia="Calibri"/>
          <w:lang w:val="en-US"/>
        </w:rPr>
        <w:t xml:space="preserve">privacy issues </w:t>
      </w:r>
      <w:r w:rsidRPr="00AA75B0">
        <w:rPr>
          <w:rFonts w:eastAsia="Calibri"/>
          <w:lang w:val="en-US"/>
        </w:rPr>
        <w:t>are in the public domain.</w:t>
      </w:r>
    </w:p>
    <w:p w:rsidR="000F59E5" w:rsidRPr="003D73D1" w:rsidRDefault="004E0636" w:rsidP="004E0636">
      <w:pPr>
        <w:pStyle w:val="H23G"/>
        <w:rPr>
          <w:rFonts w:eastAsia="Calibri"/>
        </w:rPr>
      </w:pPr>
      <w:r>
        <w:rPr>
          <w:rFonts w:eastAsia="Calibri"/>
        </w:rPr>
        <w:tab/>
      </w:r>
      <w:r>
        <w:rPr>
          <w:rFonts w:eastAsia="Calibri"/>
        </w:rPr>
        <w:tab/>
      </w:r>
      <w:r w:rsidR="000F59E5" w:rsidRPr="003D73D1">
        <w:rPr>
          <w:rFonts w:eastAsia="Calibri"/>
        </w:rPr>
        <w:t>Futu</w:t>
      </w:r>
      <w:r>
        <w:rPr>
          <w:rFonts w:eastAsia="Calibri"/>
        </w:rPr>
        <w:t>re activities and opportunities</w:t>
      </w:r>
    </w:p>
    <w:p w:rsidR="000F59E5" w:rsidRPr="00AA75B0" w:rsidRDefault="000F59E5" w:rsidP="000F59E5">
      <w:pPr>
        <w:pStyle w:val="SingleTxtG"/>
        <w:rPr>
          <w:rFonts w:eastAsia="Calibri"/>
          <w:lang w:val="en-US"/>
        </w:rPr>
      </w:pPr>
      <w:r>
        <w:rPr>
          <w:rFonts w:eastAsia="Calibri"/>
          <w:lang w:val="en-US"/>
        </w:rPr>
        <w:t>79.</w:t>
      </w:r>
      <w:r>
        <w:rPr>
          <w:rFonts w:eastAsia="Calibri"/>
          <w:lang w:val="en-US"/>
        </w:rPr>
        <w:tab/>
        <w:t>The Special Rapporteur will s</w:t>
      </w:r>
      <w:r w:rsidRPr="00AA75B0">
        <w:rPr>
          <w:rFonts w:eastAsia="Calibri"/>
          <w:lang w:val="en-US"/>
        </w:rPr>
        <w:t>eek remedies consistent with international obligations for complainants raising allegations of violations of privacy</w:t>
      </w:r>
      <w:r>
        <w:rPr>
          <w:rFonts w:eastAsia="Calibri"/>
          <w:lang w:val="en-US"/>
        </w:rPr>
        <w:t>, continue w</w:t>
      </w:r>
      <w:r w:rsidRPr="00AA75B0">
        <w:rPr>
          <w:rFonts w:eastAsia="Calibri"/>
          <w:lang w:val="en-US"/>
        </w:rPr>
        <w:t xml:space="preserve">orking with </w:t>
      </w:r>
      <w:r>
        <w:rPr>
          <w:rFonts w:eastAsia="Calibri"/>
          <w:lang w:val="en-US"/>
        </w:rPr>
        <w:t xml:space="preserve">Member </w:t>
      </w:r>
      <w:r w:rsidRPr="00AA75B0">
        <w:rPr>
          <w:rFonts w:eastAsia="Calibri"/>
          <w:lang w:val="en-US"/>
        </w:rPr>
        <w:t xml:space="preserve">States and </w:t>
      </w:r>
      <w:r>
        <w:rPr>
          <w:rFonts w:eastAsia="Calibri"/>
          <w:lang w:val="en-US"/>
        </w:rPr>
        <w:t>non-governmental organizations</w:t>
      </w:r>
      <w:r w:rsidRPr="00AA75B0">
        <w:rPr>
          <w:rFonts w:eastAsia="Calibri"/>
          <w:lang w:val="en-US"/>
        </w:rPr>
        <w:t xml:space="preserve"> to identify and give a voice to complainants </w:t>
      </w:r>
      <w:r>
        <w:rPr>
          <w:rFonts w:eastAsia="Calibri"/>
          <w:lang w:val="en-US"/>
        </w:rPr>
        <w:t xml:space="preserve">who do not have access to </w:t>
      </w:r>
      <w:r w:rsidRPr="00AA75B0">
        <w:rPr>
          <w:rFonts w:eastAsia="Calibri"/>
          <w:lang w:val="en-US"/>
        </w:rPr>
        <w:t>domestic remed</w:t>
      </w:r>
      <w:r>
        <w:rPr>
          <w:rFonts w:eastAsia="Calibri"/>
          <w:lang w:val="en-US"/>
        </w:rPr>
        <w:t>ies</w:t>
      </w:r>
      <w:r w:rsidRPr="00AA75B0">
        <w:rPr>
          <w:rFonts w:eastAsia="Calibri"/>
          <w:lang w:val="en-US"/>
        </w:rPr>
        <w:t>.</w:t>
      </w:r>
    </w:p>
    <w:p w:rsidR="000F59E5" w:rsidRPr="00022DCD" w:rsidRDefault="000F59E5" w:rsidP="00EF1266">
      <w:pPr>
        <w:pStyle w:val="H23G"/>
        <w:rPr>
          <w:sz w:val="10"/>
        </w:rPr>
      </w:pPr>
      <w:r w:rsidRPr="00022DCD">
        <w:tab/>
      </w:r>
      <w:r>
        <w:t>6</w:t>
      </w:r>
      <w:r w:rsidRPr="00022DCD">
        <w:t>.</w:t>
      </w:r>
      <w:r w:rsidRPr="00022DCD">
        <w:tab/>
      </w:r>
      <w:r>
        <w:t>Integrating a gender perspective</w:t>
      </w:r>
    </w:p>
    <w:p w:rsidR="000F59E5" w:rsidRPr="004901A7" w:rsidRDefault="00EF1266" w:rsidP="00EF1266">
      <w:pPr>
        <w:pStyle w:val="H23G"/>
        <w:rPr>
          <w:rFonts w:eastAsia="Calibri"/>
          <w:lang w:val="en-US"/>
        </w:rPr>
      </w:pPr>
      <w:r>
        <w:rPr>
          <w:rFonts w:eastAsia="Calibri"/>
          <w:lang w:val="en-US"/>
        </w:rPr>
        <w:tab/>
      </w:r>
      <w:r>
        <w:rPr>
          <w:rFonts w:eastAsia="Calibri"/>
          <w:lang w:val="en-US"/>
        </w:rPr>
        <w:tab/>
      </w:r>
      <w:r w:rsidR="000F59E5" w:rsidRPr="004901A7">
        <w:rPr>
          <w:rFonts w:eastAsia="Calibri"/>
          <w:lang w:val="en-US"/>
        </w:rPr>
        <w:t>Activities</w:t>
      </w:r>
    </w:p>
    <w:p w:rsidR="000F59E5" w:rsidRPr="00AA75B0" w:rsidRDefault="000F59E5" w:rsidP="000F59E5">
      <w:pPr>
        <w:pStyle w:val="SingleTxtG"/>
        <w:rPr>
          <w:rFonts w:eastAsia="Calibri"/>
          <w:lang w:val="en-US"/>
        </w:rPr>
      </w:pPr>
      <w:r>
        <w:rPr>
          <w:rFonts w:eastAsia="Calibri"/>
          <w:lang w:val="en-US"/>
        </w:rPr>
        <w:t>80.</w:t>
      </w:r>
      <w:r>
        <w:rPr>
          <w:rFonts w:eastAsia="Calibri"/>
          <w:lang w:val="en-US"/>
        </w:rPr>
        <w:tab/>
      </w:r>
      <w:r w:rsidRPr="00AA75B0">
        <w:rPr>
          <w:rFonts w:eastAsia="Calibri"/>
          <w:lang w:val="en-US"/>
        </w:rPr>
        <w:t xml:space="preserve">The conceptualization of privacy as an essential right </w:t>
      </w:r>
      <w:r>
        <w:rPr>
          <w:rFonts w:eastAsia="Calibri"/>
          <w:lang w:val="en-US"/>
        </w:rPr>
        <w:t xml:space="preserve">in itself, </w:t>
      </w:r>
      <w:r w:rsidRPr="00AA75B0">
        <w:rPr>
          <w:rFonts w:eastAsia="Calibri"/>
          <w:lang w:val="en-US"/>
        </w:rPr>
        <w:t xml:space="preserve">enabling the achievement of an over-arching fundamental right to the free, unhindered development of personality drives the Special Rapporteur’s “Privacy, Personality and Flows of Information” thematic work. This initiative commenced in New York in July 2016 with an event attended by 90 experts, regulators, corporations and civil society </w:t>
      </w:r>
      <w:r>
        <w:rPr>
          <w:rFonts w:eastAsia="Calibri"/>
          <w:lang w:val="en-US"/>
        </w:rPr>
        <w:t>organizations spanning</w:t>
      </w:r>
      <w:r w:rsidRPr="00AA75B0">
        <w:rPr>
          <w:rFonts w:eastAsia="Calibri"/>
          <w:lang w:val="en-US"/>
        </w:rPr>
        <w:t xml:space="preserve"> five continents.</w:t>
      </w:r>
    </w:p>
    <w:p w:rsidR="000F59E5" w:rsidRPr="00AA75B0" w:rsidRDefault="000F59E5" w:rsidP="000F59E5">
      <w:pPr>
        <w:pStyle w:val="SingleTxtG"/>
        <w:rPr>
          <w:rFonts w:eastAsia="Calibri"/>
          <w:lang w:val="en-US"/>
        </w:rPr>
      </w:pPr>
      <w:r>
        <w:rPr>
          <w:rFonts w:eastAsia="Calibri"/>
          <w:lang w:val="en-US"/>
        </w:rPr>
        <w:t>81.</w:t>
      </w:r>
      <w:r>
        <w:rPr>
          <w:rFonts w:eastAsia="Calibri"/>
          <w:lang w:val="en-US"/>
        </w:rPr>
        <w:tab/>
        <w:t>Its second edition</w:t>
      </w:r>
      <w:r w:rsidRPr="00AA75B0">
        <w:rPr>
          <w:rFonts w:eastAsia="Calibri"/>
          <w:lang w:val="en-US"/>
        </w:rPr>
        <w:t xml:space="preserve">, </w:t>
      </w:r>
      <w:r>
        <w:rPr>
          <w:rFonts w:eastAsia="Calibri"/>
          <w:lang w:val="en-US"/>
        </w:rPr>
        <w:t xml:space="preserve">held </w:t>
      </w:r>
      <w:r w:rsidRPr="00AA75B0">
        <w:rPr>
          <w:rFonts w:eastAsia="Calibri"/>
          <w:lang w:val="en-US"/>
        </w:rPr>
        <w:t xml:space="preserve">for the Middle East and North African region in Tunis </w:t>
      </w:r>
      <w:r>
        <w:rPr>
          <w:rFonts w:eastAsia="Calibri"/>
          <w:lang w:val="en-US"/>
        </w:rPr>
        <w:t xml:space="preserve">on </w:t>
      </w:r>
      <w:r w:rsidRPr="00AA75B0">
        <w:rPr>
          <w:rFonts w:eastAsia="Calibri"/>
          <w:lang w:val="en-US"/>
        </w:rPr>
        <w:t>25-26 May 2017</w:t>
      </w:r>
      <w:r>
        <w:rPr>
          <w:rFonts w:eastAsia="Calibri"/>
          <w:lang w:val="en-US"/>
        </w:rPr>
        <w:t>,</w:t>
      </w:r>
      <w:r w:rsidRPr="00AA75B0">
        <w:rPr>
          <w:rFonts w:eastAsia="Calibri"/>
          <w:lang w:val="en-US"/>
        </w:rPr>
        <w:t xml:space="preserve"> was supported by the national data protection authorities. The event welcomed 65-70 participants from Algeria, Egypt, Lebanon, Morocco, Syria, Tunisia and Qatar. </w:t>
      </w:r>
      <w:r w:rsidRPr="004901A7">
        <w:rPr>
          <w:rFonts w:eastAsia="Calibri"/>
          <w:lang w:val="en-US"/>
        </w:rPr>
        <w:t xml:space="preserve">An important contribution was the session dedicated to gender perspective which provided insights into the </w:t>
      </w:r>
      <w:r>
        <w:rPr>
          <w:rFonts w:eastAsia="Calibri"/>
          <w:lang w:val="en-US"/>
        </w:rPr>
        <w:t xml:space="preserve">particular </w:t>
      </w:r>
      <w:r w:rsidRPr="004901A7">
        <w:rPr>
          <w:rFonts w:eastAsia="Calibri"/>
          <w:lang w:val="en-US"/>
        </w:rPr>
        <w:t xml:space="preserve">experiences of </w:t>
      </w:r>
      <w:r>
        <w:rPr>
          <w:rFonts w:eastAsia="Calibri"/>
          <w:lang w:val="en-US"/>
        </w:rPr>
        <w:t xml:space="preserve">women. </w:t>
      </w:r>
    </w:p>
    <w:p w:rsidR="000F59E5" w:rsidRPr="00AA75B0" w:rsidRDefault="000F59E5" w:rsidP="000F59E5">
      <w:pPr>
        <w:pStyle w:val="SingleTxtG"/>
        <w:rPr>
          <w:rFonts w:eastAsia="Calibri"/>
          <w:lang w:val="en-US"/>
        </w:rPr>
      </w:pPr>
      <w:r>
        <w:rPr>
          <w:rFonts w:eastAsia="Calibri"/>
          <w:lang w:val="en-US"/>
        </w:rPr>
        <w:t>82.</w:t>
      </w:r>
      <w:r>
        <w:rPr>
          <w:rFonts w:eastAsia="Calibri"/>
          <w:lang w:val="en-US"/>
        </w:rPr>
        <w:tab/>
      </w:r>
      <w:r w:rsidRPr="00AA75B0">
        <w:rPr>
          <w:rFonts w:eastAsia="Calibri"/>
          <w:lang w:val="en-US"/>
        </w:rPr>
        <w:t xml:space="preserve">The third </w:t>
      </w:r>
      <w:r>
        <w:rPr>
          <w:rFonts w:eastAsia="Calibri"/>
          <w:lang w:val="en-US"/>
        </w:rPr>
        <w:t>edition</w:t>
      </w:r>
      <w:r w:rsidRPr="00AA75B0">
        <w:rPr>
          <w:rFonts w:eastAsia="Calibri"/>
          <w:lang w:val="en-US"/>
        </w:rPr>
        <w:t xml:space="preserve"> was held in Hong Kong, China</w:t>
      </w:r>
      <w:r>
        <w:rPr>
          <w:rFonts w:eastAsia="Calibri"/>
          <w:lang w:val="en-US"/>
        </w:rPr>
        <w:t>,</w:t>
      </w:r>
      <w:r w:rsidRPr="00AA75B0">
        <w:rPr>
          <w:rFonts w:eastAsia="Calibri"/>
          <w:lang w:val="en-US"/>
        </w:rPr>
        <w:t xml:space="preserve"> on </w:t>
      </w:r>
      <w:r>
        <w:rPr>
          <w:rFonts w:eastAsia="Calibri"/>
          <w:lang w:val="en-US"/>
        </w:rPr>
        <w:t xml:space="preserve">29-30 </w:t>
      </w:r>
      <w:r w:rsidRPr="00AA75B0">
        <w:rPr>
          <w:rFonts w:eastAsia="Calibri"/>
          <w:lang w:val="en-US"/>
        </w:rPr>
        <w:t xml:space="preserve">September 2017 </w:t>
      </w:r>
      <w:r>
        <w:rPr>
          <w:rFonts w:eastAsia="Calibri"/>
          <w:lang w:val="en-US"/>
        </w:rPr>
        <w:t>during the</w:t>
      </w:r>
      <w:r w:rsidRPr="00AA75B0">
        <w:rPr>
          <w:rFonts w:eastAsia="Calibri"/>
          <w:lang w:val="en-US"/>
        </w:rPr>
        <w:t xml:space="preserve"> </w:t>
      </w:r>
      <w:r w:rsidRPr="001640FE">
        <w:rPr>
          <w:rFonts w:eastAsia="Calibri"/>
          <w:lang w:val="en-US"/>
        </w:rPr>
        <w:t>International Conference of Data Protection and Privacy Commissioners</w:t>
      </w:r>
      <w:r w:rsidRPr="00AA75B0">
        <w:rPr>
          <w:rFonts w:eastAsia="Calibri"/>
          <w:lang w:val="en-US"/>
        </w:rPr>
        <w:t xml:space="preserve">, </w:t>
      </w:r>
      <w:r>
        <w:rPr>
          <w:rFonts w:eastAsia="Calibri"/>
          <w:lang w:val="en-US"/>
        </w:rPr>
        <w:t>in cooperation</w:t>
      </w:r>
      <w:r w:rsidRPr="00AA75B0">
        <w:rPr>
          <w:rFonts w:eastAsia="Calibri"/>
          <w:lang w:val="en-US"/>
        </w:rPr>
        <w:t xml:space="preserve"> with the Security, Technology &amp; e-Privacy Research Group (STeP) at the University of Groningen, Netherlands, the Department of Information Policy and Governance, University of Malta and the MAPPING Project (Managing Alternatives for Privacy, Property and Internet Governance). Digital Asia Hub</w:t>
      </w:r>
      <w:r>
        <w:rPr>
          <w:rFonts w:eastAsia="Calibri"/>
          <w:lang w:val="en-US"/>
        </w:rPr>
        <w:t xml:space="preserve">, </w:t>
      </w:r>
      <w:r w:rsidRPr="00AA75B0">
        <w:rPr>
          <w:rFonts w:eastAsia="Calibri"/>
          <w:lang w:val="en-US"/>
        </w:rPr>
        <w:t xml:space="preserve">the University Hong Kong </w:t>
      </w:r>
      <w:r>
        <w:rPr>
          <w:rFonts w:eastAsia="Calibri"/>
          <w:lang w:val="en-US"/>
        </w:rPr>
        <w:t>and</w:t>
      </w:r>
      <w:r w:rsidRPr="00AA75B0">
        <w:rPr>
          <w:rFonts w:eastAsia="Calibri"/>
          <w:lang w:val="en-US"/>
        </w:rPr>
        <w:t xml:space="preserve"> the Hong Kong Data Protection Commissioner were local partners and hosts. This engagement focused on developments and trends in Asia</w:t>
      </w:r>
      <w:r>
        <w:rPr>
          <w:rFonts w:eastAsia="Calibri"/>
          <w:lang w:val="en-US"/>
        </w:rPr>
        <w:t>;</w:t>
      </w:r>
      <w:r w:rsidRPr="00AA75B0">
        <w:rPr>
          <w:rFonts w:eastAsia="Calibri"/>
          <w:lang w:val="en-US"/>
        </w:rPr>
        <w:t xml:space="preserve"> </w:t>
      </w:r>
      <w:r>
        <w:rPr>
          <w:rFonts w:eastAsia="Calibri"/>
          <w:lang w:val="en-US"/>
        </w:rPr>
        <w:t xml:space="preserve">with separate sessions dedicated to </w:t>
      </w:r>
      <w:r w:rsidRPr="00AA75B0">
        <w:rPr>
          <w:rFonts w:eastAsia="Calibri"/>
          <w:lang w:val="en-US"/>
        </w:rPr>
        <w:t>Asian traditions in privacy</w:t>
      </w:r>
      <w:r>
        <w:rPr>
          <w:rFonts w:eastAsia="Calibri"/>
          <w:lang w:val="en-US"/>
        </w:rPr>
        <w:t>,</w:t>
      </w:r>
      <w:r w:rsidRPr="00AA75B0">
        <w:rPr>
          <w:rFonts w:eastAsia="Calibri"/>
          <w:lang w:val="en-US"/>
        </w:rPr>
        <w:t xml:space="preserve"> surveillance and privacy in Asia; privacy and its relationship to other human rights in Asia</w:t>
      </w:r>
      <w:r>
        <w:rPr>
          <w:rFonts w:eastAsia="Calibri"/>
          <w:lang w:val="en-US"/>
        </w:rPr>
        <w:t xml:space="preserve">; </w:t>
      </w:r>
      <w:r w:rsidRPr="00AA75B0">
        <w:rPr>
          <w:rFonts w:eastAsia="Calibri"/>
          <w:lang w:val="en-US"/>
        </w:rPr>
        <w:t xml:space="preserve">and Gender and Privacy in Asia. </w:t>
      </w:r>
    </w:p>
    <w:p w:rsidR="000F59E5" w:rsidRPr="00AA75B0" w:rsidRDefault="000F59E5" w:rsidP="000F59E5">
      <w:pPr>
        <w:pStyle w:val="SingleTxtG"/>
        <w:rPr>
          <w:rFonts w:eastAsia="Calibri"/>
          <w:lang w:val="en-US"/>
        </w:rPr>
      </w:pPr>
      <w:r>
        <w:rPr>
          <w:rFonts w:eastAsia="Calibri"/>
          <w:lang w:val="en-US"/>
        </w:rPr>
        <w:t>83.</w:t>
      </w:r>
      <w:r>
        <w:rPr>
          <w:rFonts w:eastAsia="Calibri"/>
          <w:lang w:val="en-US"/>
        </w:rPr>
        <w:tab/>
      </w:r>
      <w:r w:rsidRPr="00AA75B0">
        <w:rPr>
          <w:rFonts w:eastAsia="Calibri"/>
          <w:lang w:val="en-US"/>
        </w:rPr>
        <w:t xml:space="preserve">The fourth </w:t>
      </w:r>
      <w:r>
        <w:rPr>
          <w:rFonts w:eastAsia="Calibri"/>
          <w:lang w:val="en-US"/>
        </w:rPr>
        <w:t>edition</w:t>
      </w:r>
      <w:r w:rsidRPr="00AA75B0">
        <w:rPr>
          <w:rFonts w:eastAsia="Calibri"/>
          <w:lang w:val="en-US"/>
        </w:rPr>
        <w:t xml:space="preserve"> is planned for </w:t>
      </w:r>
      <w:r>
        <w:rPr>
          <w:rFonts w:eastAsia="Calibri"/>
          <w:lang w:val="en-US"/>
        </w:rPr>
        <w:t>s</w:t>
      </w:r>
      <w:r w:rsidRPr="00AA75B0">
        <w:rPr>
          <w:rFonts w:eastAsia="Calibri"/>
          <w:lang w:val="en-US"/>
        </w:rPr>
        <w:t xml:space="preserve">pring 2018 </w:t>
      </w:r>
      <w:r>
        <w:rPr>
          <w:rFonts w:eastAsia="Calibri"/>
          <w:lang w:val="en-US"/>
        </w:rPr>
        <w:t>with</w:t>
      </w:r>
      <w:r w:rsidRPr="00AA75B0">
        <w:rPr>
          <w:rFonts w:eastAsia="Calibri"/>
          <w:lang w:val="en-US"/>
        </w:rPr>
        <w:t xml:space="preserve"> session</w:t>
      </w:r>
      <w:r>
        <w:rPr>
          <w:rFonts w:eastAsia="Calibri"/>
          <w:lang w:val="en-US"/>
        </w:rPr>
        <w:t>(s)</w:t>
      </w:r>
      <w:r w:rsidRPr="00AA75B0">
        <w:rPr>
          <w:rFonts w:eastAsia="Calibri"/>
          <w:lang w:val="en-US"/>
        </w:rPr>
        <w:t xml:space="preserve"> dedicated to gender issues.</w:t>
      </w:r>
    </w:p>
    <w:p w:rsidR="000F59E5" w:rsidRPr="00AA75B0" w:rsidRDefault="000F59E5" w:rsidP="000F59E5">
      <w:pPr>
        <w:pStyle w:val="SingleTxtG"/>
        <w:rPr>
          <w:rFonts w:eastAsia="Calibri"/>
          <w:lang w:val="en-US"/>
        </w:rPr>
      </w:pPr>
      <w:r w:rsidRPr="004901A7">
        <w:rPr>
          <w:rFonts w:eastAsia="Calibri"/>
          <w:lang w:val="en-US"/>
        </w:rPr>
        <w:t>84.</w:t>
      </w:r>
      <w:r w:rsidRPr="004901A7">
        <w:rPr>
          <w:rFonts w:eastAsia="Calibri"/>
          <w:lang w:val="en-US"/>
        </w:rPr>
        <w:tab/>
        <w:t>A matter of serious concern and raised with the State concerned</w:t>
      </w:r>
      <w:r w:rsidRPr="00B41C53">
        <w:rPr>
          <w:rFonts w:eastAsia="Calibri"/>
          <w:lang w:val="en-US"/>
        </w:rPr>
        <w:t>, involves</w:t>
      </w:r>
      <w:r>
        <w:rPr>
          <w:rFonts w:eastAsia="Calibri"/>
          <w:lang w:val="en-US"/>
        </w:rPr>
        <w:t xml:space="preserve"> </w:t>
      </w:r>
      <w:r w:rsidRPr="004901A7">
        <w:rPr>
          <w:rFonts w:eastAsia="Calibri"/>
          <w:lang w:val="en-US"/>
        </w:rPr>
        <w:t>the legal system of one Member State, which does not adequately provide a remedy for a woman whose genitalia were photographed without permission by a healthcare worker on a personal phone for no professional purpose, during a gynecological procedure. The effect of this privacy incursion was severe</w:t>
      </w:r>
      <w:r>
        <w:rPr>
          <w:rFonts w:eastAsia="Calibri"/>
          <w:lang w:val="en-US"/>
        </w:rPr>
        <w:t>,</w:t>
      </w:r>
      <w:r w:rsidRPr="004901A7">
        <w:rPr>
          <w:rFonts w:eastAsia="Calibri"/>
          <w:lang w:val="en-US"/>
        </w:rPr>
        <w:t xml:space="preserve"> resulting in emotional, financial and family stress. </w:t>
      </w:r>
    </w:p>
    <w:p w:rsidR="000F59E5" w:rsidRPr="00AA75B0" w:rsidRDefault="000F59E5" w:rsidP="000F59E5">
      <w:pPr>
        <w:pStyle w:val="SingleTxtG"/>
        <w:rPr>
          <w:rFonts w:eastAsia="Calibri"/>
          <w:lang w:val="en-US"/>
        </w:rPr>
      </w:pPr>
      <w:r>
        <w:rPr>
          <w:rFonts w:eastAsia="Calibri"/>
          <w:lang w:val="en-US"/>
        </w:rPr>
        <w:t>85.</w:t>
      </w:r>
      <w:r>
        <w:rPr>
          <w:rFonts w:eastAsia="Calibri"/>
          <w:lang w:val="en-US"/>
        </w:rPr>
        <w:tab/>
      </w:r>
      <w:r w:rsidRPr="00AA75B0">
        <w:rPr>
          <w:rFonts w:eastAsia="Calibri"/>
          <w:lang w:val="en-US"/>
        </w:rPr>
        <w:t xml:space="preserve">Another </w:t>
      </w:r>
      <w:r>
        <w:rPr>
          <w:rFonts w:eastAsia="Calibri"/>
          <w:lang w:val="en-US"/>
        </w:rPr>
        <w:t xml:space="preserve">matter </w:t>
      </w:r>
      <w:r w:rsidRPr="00AA75B0">
        <w:rPr>
          <w:rFonts w:eastAsia="Calibri"/>
          <w:lang w:val="en-US"/>
        </w:rPr>
        <w:t>concerns the situation where apparently lawful processes for communication of court proceedings appear to have unintended and differential privacy consequences in gender identity matters. The Special Rapporteur is currently examining the concerns raised.</w:t>
      </w:r>
    </w:p>
    <w:p w:rsidR="000F59E5" w:rsidRPr="00AA75B0" w:rsidRDefault="000F59E5" w:rsidP="000F59E5">
      <w:pPr>
        <w:pStyle w:val="SingleTxtG"/>
        <w:rPr>
          <w:rFonts w:eastAsia="Calibri"/>
          <w:lang w:val="en-US"/>
        </w:rPr>
      </w:pPr>
      <w:r>
        <w:rPr>
          <w:rFonts w:eastAsia="Calibri"/>
          <w:lang w:val="en-US"/>
        </w:rPr>
        <w:t>86.</w:t>
      </w:r>
      <w:r>
        <w:rPr>
          <w:rFonts w:eastAsia="Calibri"/>
          <w:lang w:val="en-US"/>
        </w:rPr>
        <w:tab/>
      </w:r>
      <w:r w:rsidRPr="00AA75B0">
        <w:rPr>
          <w:rFonts w:eastAsia="Calibri"/>
          <w:lang w:val="en-US"/>
        </w:rPr>
        <w:t xml:space="preserve">In </w:t>
      </w:r>
      <w:r>
        <w:rPr>
          <w:rFonts w:eastAsia="Calibri"/>
          <w:lang w:val="en-US"/>
        </w:rPr>
        <w:t xml:space="preserve">the </w:t>
      </w:r>
      <w:r w:rsidRPr="00AA75B0">
        <w:rPr>
          <w:rFonts w:eastAsia="Calibri"/>
          <w:lang w:val="en-US"/>
        </w:rPr>
        <w:t xml:space="preserve">official visit to the </w:t>
      </w:r>
      <w:r>
        <w:rPr>
          <w:rFonts w:eastAsia="Calibri"/>
          <w:lang w:val="en-US"/>
        </w:rPr>
        <w:t>United States</w:t>
      </w:r>
      <w:r w:rsidRPr="00AA75B0">
        <w:rPr>
          <w:rFonts w:eastAsia="Calibri"/>
          <w:lang w:val="en-US"/>
        </w:rPr>
        <w:t xml:space="preserve">, </w:t>
      </w:r>
      <w:r>
        <w:rPr>
          <w:rFonts w:eastAsia="Calibri"/>
          <w:lang w:val="en-US"/>
        </w:rPr>
        <w:t>a sex worker</w:t>
      </w:r>
      <w:r w:rsidRPr="00AA75B0">
        <w:rPr>
          <w:rFonts w:eastAsia="Calibri"/>
          <w:lang w:val="en-US"/>
        </w:rPr>
        <w:t xml:space="preserve"> raised issues concerning </w:t>
      </w:r>
      <w:r>
        <w:rPr>
          <w:rFonts w:eastAsia="Calibri"/>
          <w:lang w:val="en-US"/>
        </w:rPr>
        <w:t xml:space="preserve">the impact of </w:t>
      </w:r>
      <w:r w:rsidRPr="00AA75B0">
        <w:rPr>
          <w:rFonts w:eastAsia="Calibri"/>
          <w:lang w:val="en-US"/>
        </w:rPr>
        <w:t>criminali</w:t>
      </w:r>
      <w:r>
        <w:rPr>
          <w:rFonts w:eastAsia="Calibri"/>
          <w:lang w:val="en-US"/>
        </w:rPr>
        <w:t>z</w:t>
      </w:r>
      <w:r w:rsidRPr="00AA75B0">
        <w:rPr>
          <w:rFonts w:eastAsia="Calibri"/>
          <w:lang w:val="en-US"/>
        </w:rPr>
        <w:t>ation of prostitution</w:t>
      </w:r>
      <w:r>
        <w:rPr>
          <w:rFonts w:eastAsia="Calibri"/>
          <w:lang w:val="en-US"/>
        </w:rPr>
        <w:t xml:space="preserve"> on the right of sex workers to</w:t>
      </w:r>
      <w:r w:rsidRPr="00AA75B0">
        <w:rPr>
          <w:rFonts w:eastAsia="Calibri"/>
          <w:lang w:val="en-US"/>
        </w:rPr>
        <w:t xml:space="preserve"> priva</w:t>
      </w:r>
      <w:r>
        <w:rPr>
          <w:rFonts w:eastAsia="Calibri"/>
          <w:lang w:val="en-US"/>
        </w:rPr>
        <w:t>cy</w:t>
      </w:r>
      <w:r w:rsidRPr="00AA75B0">
        <w:rPr>
          <w:rFonts w:eastAsia="Calibri"/>
          <w:lang w:val="en-US"/>
        </w:rPr>
        <w:t>. It appears the rules of engagement for surveillance by law enforcement in cases of sex workers may need revision.</w:t>
      </w:r>
      <w:r w:rsidRPr="004901A7">
        <w:rPr>
          <w:rFonts w:eastAsia="Calibri"/>
          <w:vertAlign w:val="superscript"/>
          <w:lang w:val="en-US"/>
        </w:rPr>
        <w:footnoteReference w:id="34"/>
      </w:r>
    </w:p>
    <w:p w:rsidR="000F59E5" w:rsidRPr="00AA75B0" w:rsidRDefault="000F59E5" w:rsidP="000F59E5">
      <w:pPr>
        <w:pStyle w:val="SingleTxtG"/>
        <w:rPr>
          <w:rFonts w:eastAsia="Calibri"/>
          <w:lang w:val="en-US"/>
        </w:rPr>
      </w:pPr>
      <w:r>
        <w:rPr>
          <w:rFonts w:eastAsia="Calibri"/>
          <w:lang w:val="en-US"/>
        </w:rPr>
        <w:t>87.</w:t>
      </w:r>
      <w:r>
        <w:rPr>
          <w:rFonts w:eastAsia="Calibri"/>
          <w:lang w:val="en-US"/>
        </w:rPr>
        <w:tab/>
        <w:t>J</w:t>
      </w:r>
      <w:r w:rsidRPr="00AA75B0">
        <w:rPr>
          <w:rFonts w:eastAsia="Calibri"/>
          <w:lang w:val="en-US"/>
        </w:rPr>
        <w:t xml:space="preserve">oint communications to States with other mandate holders </w:t>
      </w:r>
      <w:r>
        <w:rPr>
          <w:rFonts w:eastAsia="Calibri"/>
          <w:lang w:val="en-US"/>
        </w:rPr>
        <w:t>in 2017 concerned gender issues</w:t>
      </w:r>
      <w:r w:rsidRPr="004901A7">
        <w:rPr>
          <w:rFonts w:eastAsia="Calibri"/>
          <w:vertAlign w:val="superscript"/>
          <w:lang w:val="en-US"/>
        </w:rPr>
        <w:footnoteReference w:id="35"/>
      </w:r>
      <w:r w:rsidRPr="004901A7">
        <w:rPr>
          <w:rFonts w:eastAsia="Calibri"/>
          <w:lang w:val="en-US"/>
        </w:rPr>
        <w:t xml:space="preserve"> and which relate to the advancing the intent of the Human Rights Council Resolution of 2017</w:t>
      </w:r>
      <w:r w:rsidRPr="004901A7">
        <w:rPr>
          <w:rFonts w:eastAsia="Calibri"/>
          <w:vertAlign w:val="superscript"/>
          <w:lang w:val="en-US"/>
        </w:rPr>
        <w:footnoteReference w:id="36"/>
      </w:r>
      <w:r w:rsidRPr="004901A7">
        <w:rPr>
          <w:rFonts w:eastAsia="Calibri"/>
          <w:lang w:val="en-US"/>
        </w:rPr>
        <w:t xml:space="preserve"> stating privacy enables the development of the personality</w:t>
      </w:r>
      <w:r>
        <w:rPr>
          <w:rFonts w:eastAsia="Calibri"/>
          <w:lang w:val="en-US"/>
        </w:rPr>
        <w:t xml:space="preserve">. </w:t>
      </w:r>
    </w:p>
    <w:p w:rsidR="000F59E5" w:rsidRPr="007755AA" w:rsidRDefault="000F59E5" w:rsidP="000F59E5">
      <w:pPr>
        <w:pStyle w:val="SingleTxtG"/>
        <w:rPr>
          <w:rFonts w:eastAsia="Calibri"/>
          <w:lang w:val="en-AU"/>
        </w:rPr>
      </w:pPr>
      <w:r w:rsidRPr="007755AA">
        <w:rPr>
          <w:rFonts w:eastAsia="Calibri"/>
          <w:lang w:val="en-AU"/>
        </w:rPr>
        <w:t>88.</w:t>
      </w:r>
      <w:r w:rsidRPr="007755AA">
        <w:rPr>
          <w:rFonts w:eastAsia="Calibri"/>
          <w:lang w:val="en-AU"/>
        </w:rPr>
        <w:tab/>
        <w:t>The Special Rapporteur will be closely monitoring subsequent cases</w:t>
      </w:r>
      <w:r>
        <w:rPr>
          <w:rFonts w:eastAsia="Calibri"/>
          <w:lang w:val="en-AU"/>
        </w:rPr>
        <w:t xml:space="preserve"> </w:t>
      </w:r>
      <w:r w:rsidRPr="007755AA">
        <w:rPr>
          <w:rFonts w:eastAsia="Calibri"/>
          <w:lang w:val="en-AU"/>
        </w:rPr>
        <w:t xml:space="preserve">following the Justice K. S. </w:t>
      </w:r>
      <w:proofErr w:type="spellStart"/>
      <w:r w:rsidRPr="007755AA">
        <w:rPr>
          <w:rFonts w:eastAsia="Calibri"/>
          <w:lang w:val="en-AU"/>
        </w:rPr>
        <w:t>Puttaswamy</w:t>
      </w:r>
      <w:proofErr w:type="spellEnd"/>
      <w:r w:rsidRPr="007755AA">
        <w:rPr>
          <w:rFonts w:eastAsia="Calibri"/>
          <w:lang w:val="en-AU"/>
        </w:rPr>
        <w:t xml:space="preserve"> (</w:t>
      </w:r>
      <w:proofErr w:type="spellStart"/>
      <w:r w:rsidRPr="007755AA">
        <w:rPr>
          <w:rFonts w:eastAsia="Calibri"/>
          <w:lang w:val="en-AU"/>
        </w:rPr>
        <w:t>Retd</w:t>
      </w:r>
      <w:proofErr w:type="spellEnd"/>
      <w:r w:rsidRPr="007755AA">
        <w:rPr>
          <w:rFonts w:eastAsia="Calibri"/>
          <w:lang w:val="en-AU"/>
        </w:rPr>
        <w:t xml:space="preserve">.) and </w:t>
      </w:r>
      <w:proofErr w:type="spellStart"/>
      <w:r w:rsidRPr="007755AA">
        <w:rPr>
          <w:rFonts w:eastAsia="Calibri"/>
          <w:lang w:val="en-AU"/>
        </w:rPr>
        <w:t>Anr</w:t>
      </w:r>
      <w:proofErr w:type="spellEnd"/>
      <w:r w:rsidRPr="007755AA">
        <w:rPr>
          <w:rFonts w:eastAsia="Calibri"/>
          <w:lang w:val="en-AU"/>
        </w:rPr>
        <w:t xml:space="preserve">. </w:t>
      </w:r>
      <w:proofErr w:type="gramStart"/>
      <w:r w:rsidRPr="007755AA">
        <w:rPr>
          <w:rFonts w:eastAsia="Calibri"/>
          <w:lang w:val="en-AU"/>
        </w:rPr>
        <w:t>vs</w:t>
      </w:r>
      <w:proofErr w:type="gramEnd"/>
      <w:r w:rsidRPr="007755AA">
        <w:rPr>
          <w:rFonts w:eastAsia="Calibri"/>
          <w:lang w:val="en-AU"/>
        </w:rPr>
        <w:t xml:space="preserve"> Union Of India</w:t>
      </w:r>
      <w:r>
        <w:rPr>
          <w:rFonts w:eastAsia="Calibri"/>
          <w:lang w:val="en-AU"/>
        </w:rPr>
        <w:t xml:space="preserve"> </w:t>
      </w:r>
      <w:r w:rsidRPr="007755AA">
        <w:rPr>
          <w:rFonts w:eastAsia="Calibri"/>
          <w:lang w:val="en-AU"/>
        </w:rPr>
        <w:t xml:space="preserve">And </w:t>
      </w:r>
      <w:proofErr w:type="spellStart"/>
      <w:r w:rsidRPr="007755AA">
        <w:rPr>
          <w:rFonts w:eastAsia="Calibri"/>
          <w:lang w:val="en-AU"/>
        </w:rPr>
        <w:t>Ors</w:t>
      </w:r>
      <w:proofErr w:type="spellEnd"/>
      <w:r w:rsidRPr="007755AA">
        <w:rPr>
          <w:rFonts w:eastAsia="Calibri"/>
          <w:lang w:val="en-AU"/>
        </w:rPr>
        <w:t xml:space="preserve"> decision by the Indian Supreme Court which </w:t>
      </w:r>
      <w:r>
        <w:rPr>
          <w:rFonts w:eastAsia="Calibri"/>
          <w:lang w:val="en-AU"/>
        </w:rPr>
        <w:t xml:space="preserve">considered sexual </w:t>
      </w:r>
      <w:r w:rsidRPr="007755AA">
        <w:rPr>
          <w:rFonts w:eastAsia="Calibri"/>
          <w:lang w:val="en-AU"/>
        </w:rPr>
        <w:t>orientation as an essential attribute of privacy.</w:t>
      </w:r>
    </w:p>
    <w:p w:rsidR="000F59E5" w:rsidRPr="00AA75B0" w:rsidRDefault="000F59E5" w:rsidP="000F59E5">
      <w:pPr>
        <w:pStyle w:val="SingleTxtG"/>
        <w:rPr>
          <w:rFonts w:eastAsia="Calibri"/>
          <w:lang w:val="en-US"/>
        </w:rPr>
      </w:pPr>
      <w:r>
        <w:rPr>
          <w:rFonts w:eastAsia="Calibri"/>
          <w:lang w:val="en-US"/>
        </w:rPr>
        <w:t>89.</w:t>
      </w:r>
      <w:r>
        <w:rPr>
          <w:rFonts w:eastAsia="Calibri"/>
          <w:lang w:val="en-US"/>
        </w:rPr>
        <w:tab/>
      </w:r>
      <w:r w:rsidRPr="00AA75B0">
        <w:rPr>
          <w:rFonts w:eastAsia="Calibri"/>
          <w:lang w:val="en-US"/>
        </w:rPr>
        <w:t>The Special Rapporteur is keen to examine the impacts of loss of privacy. The proposal is drafted but resourcing has not been identified.</w:t>
      </w:r>
    </w:p>
    <w:p w:rsidR="000F59E5" w:rsidRPr="00445790" w:rsidRDefault="00EF1266" w:rsidP="00EF1266">
      <w:pPr>
        <w:pStyle w:val="H23G"/>
        <w:rPr>
          <w:rFonts w:eastAsia="Calibri"/>
          <w:lang w:val="en-US"/>
        </w:rPr>
      </w:pPr>
      <w:r>
        <w:rPr>
          <w:rFonts w:eastAsia="Calibri"/>
          <w:lang w:val="en-US"/>
        </w:rPr>
        <w:tab/>
      </w:r>
      <w:r>
        <w:rPr>
          <w:rFonts w:eastAsia="Calibri"/>
          <w:lang w:val="en-US"/>
        </w:rPr>
        <w:tab/>
      </w:r>
      <w:r w:rsidR="000F59E5" w:rsidRPr="00445790">
        <w:rPr>
          <w:rFonts w:eastAsia="Calibri"/>
          <w:lang w:val="en-US"/>
        </w:rPr>
        <w:t>Achievements</w:t>
      </w:r>
    </w:p>
    <w:p w:rsidR="000F59E5" w:rsidRPr="00AA75B0" w:rsidRDefault="000F59E5" w:rsidP="000F59E5">
      <w:pPr>
        <w:pStyle w:val="SingleTxtG"/>
        <w:rPr>
          <w:rFonts w:eastAsia="Calibri"/>
          <w:lang w:val="en-US"/>
        </w:rPr>
      </w:pPr>
      <w:r>
        <w:rPr>
          <w:rFonts w:eastAsia="Calibri"/>
          <w:lang w:val="en-US"/>
        </w:rPr>
        <w:t>90.</w:t>
      </w:r>
      <w:r>
        <w:rPr>
          <w:rFonts w:eastAsia="Calibri"/>
          <w:lang w:val="en-US"/>
        </w:rPr>
        <w:tab/>
        <w:t>The Special Rapporteur held c</w:t>
      </w:r>
      <w:r w:rsidRPr="00AA75B0">
        <w:rPr>
          <w:rFonts w:eastAsia="Calibri"/>
          <w:lang w:val="en-US"/>
        </w:rPr>
        <w:t>onsultations on privacy and gender within the Thematic Action Streams</w:t>
      </w:r>
      <w:r>
        <w:rPr>
          <w:rFonts w:eastAsia="Calibri"/>
          <w:lang w:val="en-US"/>
        </w:rPr>
        <w:t>, held sessions on gender-related aspects of the right to privacy in the t</w:t>
      </w:r>
      <w:r w:rsidRPr="00AA75B0">
        <w:rPr>
          <w:rFonts w:eastAsia="Calibri"/>
          <w:lang w:val="en-US"/>
        </w:rPr>
        <w:t>hree Privacy, Personality and Flows of Information</w:t>
      </w:r>
      <w:r>
        <w:rPr>
          <w:rFonts w:eastAsia="Calibri"/>
          <w:lang w:val="en-US"/>
        </w:rPr>
        <w:t xml:space="preserve"> editions, promoted the exchange of stakeholder information working on gender-related aspects of the right to privacy, and r</w:t>
      </w:r>
      <w:r w:rsidRPr="00AA75B0">
        <w:rPr>
          <w:rFonts w:eastAsia="Calibri"/>
          <w:lang w:val="en-US"/>
        </w:rPr>
        <w:t>ais</w:t>
      </w:r>
      <w:r>
        <w:rPr>
          <w:rFonts w:eastAsia="Calibri"/>
          <w:lang w:val="en-US"/>
        </w:rPr>
        <w:t>ed</w:t>
      </w:r>
      <w:r w:rsidRPr="00AA75B0">
        <w:rPr>
          <w:rFonts w:eastAsia="Calibri"/>
          <w:lang w:val="en-US"/>
        </w:rPr>
        <w:t xml:space="preserve"> </w:t>
      </w:r>
      <w:r>
        <w:rPr>
          <w:rFonts w:eastAsia="Calibri"/>
          <w:lang w:val="en-US"/>
        </w:rPr>
        <w:t>certain</w:t>
      </w:r>
      <w:r w:rsidRPr="00AA75B0">
        <w:rPr>
          <w:rFonts w:eastAsia="Calibri"/>
          <w:lang w:val="en-US"/>
        </w:rPr>
        <w:t xml:space="preserve"> matters with </w:t>
      </w:r>
      <w:r>
        <w:rPr>
          <w:rFonts w:eastAsia="Calibri"/>
          <w:lang w:val="en-US"/>
        </w:rPr>
        <w:t>Member</w:t>
      </w:r>
      <w:r w:rsidRPr="00AA75B0">
        <w:rPr>
          <w:rFonts w:eastAsia="Calibri"/>
          <w:lang w:val="en-US"/>
        </w:rPr>
        <w:t xml:space="preserve"> States</w:t>
      </w:r>
      <w:r>
        <w:rPr>
          <w:rFonts w:eastAsia="Calibri"/>
          <w:lang w:val="en-US"/>
        </w:rPr>
        <w:t>.</w:t>
      </w:r>
    </w:p>
    <w:p w:rsidR="000F59E5" w:rsidRPr="00445790" w:rsidRDefault="00EF1266" w:rsidP="00EF1266">
      <w:pPr>
        <w:pStyle w:val="H23G"/>
        <w:rPr>
          <w:rFonts w:eastAsia="Calibri"/>
          <w:lang w:val="en-US"/>
        </w:rPr>
      </w:pPr>
      <w:r>
        <w:rPr>
          <w:rFonts w:eastAsia="Calibri"/>
          <w:lang w:val="en-US"/>
        </w:rPr>
        <w:tab/>
      </w:r>
      <w:r>
        <w:rPr>
          <w:rFonts w:eastAsia="Calibri"/>
          <w:lang w:val="en-US"/>
        </w:rPr>
        <w:tab/>
      </w:r>
      <w:r w:rsidR="000F59E5" w:rsidRPr="00445790">
        <w:rPr>
          <w:rFonts w:eastAsia="Calibri"/>
          <w:lang w:val="en-US"/>
        </w:rPr>
        <w:t>Future activities and opportunities</w:t>
      </w:r>
    </w:p>
    <w:p w:rsidR="000F59E5" w:rsidRPr="00AA75B0" w:rsidRDefault="000F59E5" w:rsidP="000F59E5">
      <w:pPr>
        <w:pStyle w:val="SingleTxtG"/>
        <w:rPr>
          <w:rFonts w:eastAsia="Calibri"/>
          <w:lang w:val="en-US"/>
        </w:rPr>
      </w:pPr>
      <w:r>
        <w:rPr>
          <w:rFonts w:eastAsia="Calibri"/>
          <w:lang w:val="en-US"/>
        </w:rPr>
        <w:t>91.</w:t>
      </w:r>
      <w:r>
        <w:rPr>
          <w:rFonts w:eastAsia="Calibri"/>
          <w:lang w:val="en-US"/>
        </w:rPr>
        <w:tab/>
        <w:t xml:space="preserve">The fourth edition of the </w:t>
      </w:r>
      <w:r w:rsidRPr="00AA75B0">
        <w:rPr>
          <w:rFonts w:eastAsia="Calibri"/>
          <w:lang w:val="en-US"/>
        </w:rPr>
        <w:t>Privacy, Personality and Flows of Information</w:t>
      </w:r>
      <w:r w:rsidRPr="00AA75B0" w:rsidDel="009177FE">
        <w:rPr>
          <w:rFonts w:eastAsia="Calibri"/>
          <w:lang w:val="en-US"/>
        </w:rPr>
        <w:t xml:space="preserve"> </w:t>
      </w:r>
      <w:r>
        <w:rPr>
          <w:rFonts w:eastAsia="Calibri"/>
          <w:lang w:val="en-US"/>
        </w:rPr>
        <w:t>in s</w:t>
      </w:r>
      <w:r w:rsidRPr="00AA75B0">
        <w:rPr>
          <w:rFonts w:eastAsia="Calibri"/>
          <w:lang w:val="en-US"/>
        </w:rPr>
        <w:t>pring</w:t>
      </w:r>
      <w:r>
        <w:rPr>
          <w:rFonts w:eastAsia="Calibri"/>
          <w:lang w:val="en-US"/>
        </w:rPr>
        <w:t xml:space="preserve"> </w:t>
      </w:r>
      <w:r w:rsidRPr="00AA75B0">
        <w:rPr>
          <w:rFonts w:eastAsia="Calibri"/>
          <w:lang w:val="en-US"/>
        </w:rPr>
        <w:t>2018</w:t>
      </w:r>
      <w:r>
        <w:rPr>
          <w:rFonts w:eastAsia="Calibri"/>
          <w:lang w:val="en-US"/>
        </w:rPr>
        <w:t>, which will include a session on gender-related aspects of the right to privacy</w:t>
      </w:r>
      <w:r w:rsidRPr="00AA75B0">
        <w:rPr>
          <w:rFonts w:eastAsia="Calibri"/>
          <w:lang w:val="en-US"/>
        </w:rPr>
        <w:t>.</w:t>
      </w:r>
      <w:r>
        <w:rPr>
          <w:rFonts w:eastAsia="Calibri"/>
          <w:lang w:val="en-US"/>
        </w:rPr>
        <w:t xml:space="preserve"> He will continue to analyze</w:t>
      </w:r>
      <w:r w:rsidRPr="00AA75B0">
        <w:rPr>
          <w:rFonts w:eastAsia="Calibri"/>
          <w:lang w:val="en-US"/>
        </w:rPr>
        <w:t xml:space="preserve"> </w:t>
      </w:r>
      <w:r>
        <w:rPr>
          <w:rFonts w:eastAsia="Calibri"/>
          <w:lang w:val="en-US"/>
        </w:rPr>
        <w:t xml:space="preserve">court </w:t>
      </w:r>
      <w:r w:rsidRPr="00AA75B0">
        <w:rPr>
          <w:rFonts w:eastAsia="Calibri"/>
          <w:lang w:val="en-US"/>
        </w:rPr>
        <w:t xml:space="preserve">decisions </w:t>
      </w:r>
      <w:r>
        <w:rPr>
          <w:rFonts w:eastAsia="Calibri"/>
          <w:lang w:val="en-US"/>
        </w:rPr>
        <w:t xml:space="preserve">as indicated above and conduct research on </w:t>
      </w:r>
      <w:r w:rsidRPr="00AA75B0">
        <w:rPr>
          <w:rFonts w:eastAsia="Calibri"/>
          <w:lang w:val="en-US"/>
        </w:rPr>
        <w:t xml:space="preserve">gender </w:t>
      </w:r>
      <w:r>
        <w:rPr>
          <w:rFonts w:eastAsia="Calibri"/>
          <w:lang w:val="en-US"/>
        </w:rPr>
        <w:t>and</w:t>
      </w:r>
      <w:r w:rsidRPr="00AA75B0">
        <w:rPr>
          <w:rFonts w:eastAsia="Calibri"/>
          <w:lang w:val="en-US"/>
        </w:rPr>
        <w:t xml:space="preserve"> </w:t>
      </w:r>
      <w:r>
        <w:rPr>
          <w:rFonts w:eastAsia="Calibri"/>
          <w:lang w:val="en-US"/>
        </w:rPr>
        <w:t xml:space="preserve">the right to </w:t>
      </w:r>
      <w:r w:rsidRPr="00AA75B0">
        <w:rPr>
          <w:rFonts w:eastAsia="Calibri"/>
          <w:lang w:val="en-US"/>
        </w:rPr>
        <w:t>privacy.</w:t>
      </w:r>
    </w:p>
    <w:p w:rsidR="000F59E5" w:rsidRPr="00022DCD" w:rsidRDefault="000F59E5" w:rsidP="00EF1266">
      <w:pPr>
        <w:pStyle w:val="H23G"/>
        <w:rPr>
          <w:sz w:val="10"/>
        </w:rPr>
      </w:pPr>
      <w:r w:rsidRPr="00022DCD">
        <w:tab/>
      </w:r>
      <w:r>
        <w:t>7</w:t>
      </w:r>
      <w:r w:rsidRPr="00022DCD">
        <w:t>.</w:t>
      </w:r>
      <w:r w:rsidRPr="00022DCD">
        <w:tab/>
      </w:r>
      <w:r w:rsidRPr="00CA3585">
        <w:t>Reporting on alleged violations, including challenges arising from new technologies</w:t>
      </w:r>
    </w:p>
    <w:p w:rsidR="000F59E5" w:rsidRPr="00AA75B0" w:rsidRDefault="000F59E5" w:rsidP="000F59E5">
      <w:pPr>
        <w:pStyle w:val="SingleTxtG"/>
        <w:rPr>
          <w:rFonts w:eastAsia="Calibri"/>
          <w:lang w:val="en-US"/>
        </w:rPr>
      </w:pPr>
      <w:r>
        <w:rPr>
          <w:rFonts w:eastAsia="Calibri"/>
          <w:lang w:val="en-US"/>
        </w:rPr>
        <w:t>92.</w:t>
      </w:r>
      <w:r>
        <w:rPr>
          <w:rFonts w:eastAsia="Calibri"/>
          <w:lang w:val="en-US"/>
        </w:rPr>
        <w:tab/>
        <w:t>The Special Rapporteur has</w:t>
      </w:r>
      <w:r w:rsidRPr="00AA75B0">
        <w:rPr>
          <w:rFonts w:eastAsia="Calibri"/>
          <w:lang w:val="en-US"/>
        </w:rPr>
        <w:t xml:space="preserve"> </w:t>
      </w:r>
      <w:r>
        <w:rPr>
          <w:rFonts w:eastAsia="Calibri"/>
          <w:lang w:val="en-US"/>
        </w:rPr>
        <w:t xml:space="preserve">continued </w:t>
      </w:r>
      <w:r w:rsidRPr="00AA75B0">
        <w:rPr>
          <w:rFonts w:eastAsia="Calibri"/>
          <w:lang w:val="en-US"/>
        </w:rPr>
        <w:t>report</w:t>
      </w:r>
      <w:r>
        <w:rPr>
          <w:rFonts w:eastAsia="Calibri"/>
          <w:lang w:val="en-US"/>
        </w:rPr>
        <w:t>ing</w:t>
      </w:r>
      <w:r w:rsidRPr="00AA75B0">
        <w:rPr>
          <w:rFonts w:eastAsia="Calibri"/>
          <w:lang w:val="en-US"/>
        </w:rPr>
        <w:t xml:space="preserve"> on alleged violations of the right to privacy, including challenges arising from new technologies, and draw</w:t>
      </w:r>
      <w:r>
        <w:rPr>
          <w:rFonts w:eastAsia="Calibri"/>
          <w:lang w:val="en-US"/>
        </w:rPr>
        <w:t>n</w:t>
      </w:r>
      <w:r w:rsidRPr="00AA75B0">
        <w:rPr>
          <w:rFonts w:eastAsia="Calibri"/>
          <w:lang w:val="en-US"/>
        </w:rPr>
        <w:t xml:space="preserve"> the attention of the Council and the High Commissioner for Human Rights to situations of particularly serious concern</w:t>
      </w:r>
      <w:r>
        <w:rPr>
          <w:rFonts w:eastAsia="Calibri"/>
          <w:lang w:val="en-US"/>
        </w:rPr>
        <w:t>.</w:t>
      </w:r>
    </w:p>
    <w:p w:rsidR="000F59E5" w:rsidRPr="00445790" w:rsidRDefault="00EF1266" w:rsidP="00EF1266">
      <w:pPr>
        <w:pStyle w:val="H23G"/>
        <w:rPr>
          <w:rFonts w:eastAsia="Calibri"/>
          <w:lang w:val="en-US"/>
        </w:rPr>
      </w:pPr>
      <w:r>
        <w:rPr>
          <w:rFonts w:eastAsia="Calibri"/>
          <w:lang w:val="en-US"/>
        </w:rPr>
        <w:tab/>
      </w:r>
      <w:r>
        <w:rPr>
          <w:rFonts w:eastAsia="Calibri"/>
          <w:lang w:val="en-US"/>
        </w:rPr>
        <w:tab/>
      </w:r>
      <w:r w:rsidR="000F59E5" w:rsidRPr="00445790">
        <w:rPr>
          <w:rFonts w:eastAsia="Calibri"/>
          <w:lang w:val="en-US"/>
        </w:rPr>
        <w:t>Activities</w:t>
      </w:r>
    </w:p>
    <w:p w:rsidR="000F59E5" w:rsidRPr="00AA75B0" w:rsidRDefault="000F59E5" w:rsidP="000F59E5">
      <w:pPr>
        <w:pStyle w:val="SingleTxtG"/>
        <w:rPr>
          <w:rFonts w:eastAsia="Calibri"/>
          <w:lang w:val="en-US"/>
        </w:rPr>
      </w:pPr>
      <w:r>
        <w:rPr>
          <w:rFonts w:eastAsia="Calibri"/>
          <w:lang w:val="en-US"/>
        </w:rPr>
        <w:t>93.</w:t>
      </w:r>
      <w:r>
        <w:rPr>
          <w:rFonts w:eastAsia="Calibri"/>
          <w:lang w:val="en-US"/>
        </w:rPr>
        <w:tab/>
      </w:r>
      <w:r w:rsidRPr="00445790">
        <w:rPr>
          <w:rFonts w:eastAsia="Calibri"/>
          <w:lang w:val="en-US"/>
        </w:rPr>
        <w:t>The matter described above by the Special Rapporteur regarding the grievous loss of privacy in a health setting is also relevant here as it involves the need for remedies for such cases.</w:t>
      </w:r>
      <w:r w:rsidRPr="00445790">
        <w:rPr>
          <w:rFonts w:eastAsia="Calibri"/>
          <w:vertAlign w:val="superscript"/>
          <w:lang w:val="en-US"/>
        </w:rPr>
        <w:footnoteReference w:id="37"/>
      </w:r>
      <w:r w:rsidRPr="00445790">
        <w:rPr>
          <w:rFonts w:eastAsia="Calibri"/>
          <w:lang w:val="en-US"/>
        </w:rPr>
        <w:t xml:space="preserve"> Discussions continue </w:t>
      </w:r>
      <w:r>
        <w:rPr>
          <w:rFonts w:eastAsia="Calibri"/>
          <w:lang w:val="en-US"/>
        </w:rPr>
        <w:t>w</w:t>
      </w:r>
      <w:r w:rsidRPr="00445790">
        <w:rPr>
          <w:rFonts w:eastAsia="Calibri"/>
          <w:lang w:val="en-US"/>
        </w:rPr>
        <w:t>ith the State concerned.</w:t>
      </w:r>
    </w:p>
    <w:p w:rsidR="000F59E5" w:rsidRPr="0042792C" w:rsidRDefault="00EF1266" w:rsidP="00EF1266">
      <w:pPr>
        <w:pStyle w:val="H23G"/>
        <w:rPr>
          <w:rFonts w:eastAsia="Calibri"/>
          <w:lang w:val="en-US"/>
        </w:rPr>
      </w:pPr>
      <w:r>
        <w:rPr>
          <w:rFonts w:eastAsia="Calibri"/>
          <w:lang w:val="en-US"/>
        </w:rPr>
        <w:tab/>
      </w:r>
      <w:r>
        <w:rPr>
          <w:rFonts w:eastAsia="Calibri"/>
          <w:lang w:val="en-US"/>
        </w:rPr>
        <w:tab/>
      </w:r>
      <w:r w:rsidR="000F59E5" w:rsidRPr="0042792C">
        <w:rPr>
          <w:rFonts w:eastAsia="Calibri"/>
          <w:lang w:val="en-US"/>
        </w:rPr>
        <w:t>Achievements</w:t>
      </w:r>
    </w:p>
    <w:p w:rsidR="000F59E5" w:rsidRPr="00AA75B0" w:rsidRDefault="000F59E5" w:rsidP="000F59E5">
      <w:pPr>
        <w:pStyle w:val="SingleTxtG"/>
        <w:rPr>
          <w:rFonts w:eastAsia="Calibri"/>
          <w:lang w:val="en-US"/>
        </w:rPr>
      </w:pPr>
      <w:r>
        <w:rPr>
          <w:rFonts w:eastAsia="Calibri"/>
          <w:lang w:val="en-US"/>
        </w:rPr>
        <w:t>94.</w:t>
      </w:r>
      <w:r>
        <w:rPr>
          <w:rFonts w:eastAsia="Calibri"/>
          <w:lang w:val="en-US"/>
        </w:rPr>
        <w:tab/>
        <w:t>The Special Rapporteur has continued to d</w:t>
      </w:r>
      <w:r w:rsidRPr="00AA75B0">
        <w:rPr>
          <w:rFonts w:eastAsia="Calibri"/>
          <w:lang w:val="en-US"/>
        </w:rPr>
        <w:t xml:space="preserve">raw </w:t>
      </w:r>
      <w:r>
        <w:rPr>
          <w:rFonts w:eastAsia="Calibri"/>
          <w:lang w:val="en-US"/>
        </w:rPr>
        <w:t xml:space="preserve">the attention of </w:t>
      </w:r>
      <w:r w:rsidRPr="00AA75B0">
        <w:rPr>
          <w:rFonts w:eastAsia="Calibri"/>
          <w:lang w:val="en-US"/>
        </w:rPr>
        <w:t xml:space="preserve">relevant </w:t>
      </w:r>
      <w:r>
        <w:rPr>
          <w:rFonts w:eastAsia="Calibri"/>
          <w:lang w:val="en-US"/>
        </w:rPr>
        <w:t xml:space="preserve">Member </w:t>
      </w:r>
      <w:r w:rsidRPr="00AA75B0">
        <w:rPr>
          <w:rFonts w:eastAsia="Calibri"/>
          <w:lang w:val="en-US"/>
        </w:rPr>
        <w:t xml:space="preserve">States </w:t>
      </w:r>
      <w:r>
        <w:rPr>
          <w:rFonts w:eastAsia="Calibri"/>
          <w:lang w:val="en-US"/>
        </w:rPr>
        <w:t xml:space="preserve">to </w:t>
      </w:r>
      <w:r w:rsidRPr="00AA75B0">
        <w:rPr>
          <w:rFonts w:eastAsia="Calibri"/>
          <w:lang w:val="en-US"/>
        </w:rPr>
        <w:t>alleg</w:t>
      </w:r>
      <w:r>
        <w:rPr>
          <w:rFonts w:eastAsia="Calibri"/>
          <w:lang w:val="en-US"/>
        </w:rPr>
        <w:t>ations of</w:t>
      </w:r>
      <w:r w:rsidRPr="00AA75B0">
        <w:rPr>
          <w:rFonts w:eastAsia="Calibri"/>
          <w:lang w:val="en-US"/>
        </w:rPr>
        <w:t xml:space="preserve"> violations </w:t>
      </w:r>
      <w:r>
        <w:rPr>
          <w:rFonts w:eastAsia="Calibri"/>
          <w:lang w:val="en-US"/>
        </w:rPr>
        <w:t>of the right to privacy. The Special Rapporteur has also i</w:t>
      </w:r>
      <w:r w:rsidRPr="00AA75B0">
        <w:rPr>
          <w:rFonts w:eastAsia="Calibri"/>
          <w:lang w:val="en-US"/>
        </w:rPr>
        <w:t>ncreas</w:t>
      </w:r>
      <w:r>
        <w:rPr>
          <w:rFonts w:eastAsia="Calibri"/>
          <w:lang w:val="en-US"/>
        </w:rPr>
        <w:t>ed</w:t>
      </w:r>
      <w:r w:rsidRPr="00AA75B0">
        <w:rPr>
          <w:rFonts w:eastAsia="Calibri"/>
          <w:lang w:val="en-US"/>
        </w:rPr>
        <w:t xml:space="preserve"> awareness of the Human Rights Council </w:t>
      </w:r>
      <w:r>
        <w:rPr>
          <w:rFonts w:eastAsia="Calibri"/>
          <w:lang w:val="en-US"/>
        </w:rPr>
        <w:t>on</w:t>
      </w:r>
      <w:r w:rsidRPr="00AA75B0">
        <w:rPr>
          <w:rFonts w:eastAsia="Calibri"/>
          <w:lang w:val="en-US"/>
        </w:rPr>
        <w:t xml:space="preserve"> violations of article 12 </w:t>
      </w:r>
      <w:r>
        <w:rPr>
          <w:rFonts w:eastAsia="Calibri"/>
          <w:lang w:val="en-US"/>
        </w:rPr>
        <w:t>of the UDHR</w:t>
      </w:r>
      <w:r w:rsidR="006C4EF1">
        <w:rPr>
          <w:rFonts w:eastAsia="Calibri"/>
          <w:lang w:val="en-US"/>
        </w:rPr>
        <w:t xml:space="preserve"> and article </w:t>
      </w:r>
      <w:r w:rsidRPr="00AA75B0">
        <w:rPr>
          <w:rFonts w:eastAsia="Calibri"/>
          <w:lang w:val="en-US"/>
        </w:rPr>
        <w:t xml:space="preserve">17 </w:t>
      </w:r>
      <w:r>
        <w:rPr>
          <w:rFonts w:eastAsia="Calibri"/>
          <w:lang w:val="en-US"/>
        </w:rPr>
        <w:t>of the ICCPR.</w:t>
      </w:r>
    </w:p>
    <w:p w:rsidR="000F59E5" w:rsidRPr="0042792C" w:rsidRDefault="00EF1266" w:rsidP="00EF1266">
      <w:pPr>
        <w:pStyle w:val="H23G"/>
        <w:rPr>
          <w:rFonts w:eastAsia="Calibri"/>
          <w:lang w:val="en-US"/>
        </w:rPr>
      </w:pPr>
      <w:r>
        <w:rPr>
          <w:rFonts w:eastAsia="Calibri"/>
          <w:lang w:val="en-US"/>
        </w:rPr>
        <w:tab/>
      </w:r>
      <w:r>
        <w:rPr>
          <w:rFonts w:eastAsia="Calibri"/>
          <w:lang w:val="en-US"/>
        </w:rPr>
        <w:tab/>
      </w:r>
      <w:r w:rsidR="000F59E5" w:rsidRPr="0042792C">
        <w:rPr>
          <w:rFonts w:eastAsia="Calibri"/>
          <w:lang w:val="en-US"/>
        </w:rPr>
        <w:t>Future activities and opportunities</w:t>
      </w:r>
    </w:p>
    <w:p w:rsidR="000F59E5" w:rsidRPr="00AA75B0" w:rsidRDefault="000F59E5" w:rsidP="000F59E5">
      <w:pPr>
        <w:pStyle w:val="SingleTxtG"/>
        <w:rPr>
          <w:rFonts w:eastAsia="Calibri"/>
          <w:lang w:val="en-US"/>
        </w:rPr>
      </w:pPr>
      <w:r>
        <w:rPr>
          <w:rFonts w:eastAsia="Calibri"/>
          <w:lang w:val="en-US"/>
        </w:rPr>
        <w:t>95.</w:t>
      </w:r>
      <w:r>
        <w:rPr>
          <w:rFonts w:eastAsia="Calibri"/>
          <w:lang w:val="en-US"/>
        </w:rPr>
        <w:tab/>
        <w:t>The Special Rapporteur will continue to r</w:t>
      </w:r>
      <w:r w:rsidRPr="00AA75B0">
        <w:rPr>
          <w:rFonts w:eastAsia="Calibri"/>
          <w:lang w:val="en-US"/>
        </w:rPr>
        <w:t xml:space="preserve">eport on alleged violations </w:t>
      </w:r>
      <w:r>
        <w:rPr>
          <w:rFonts w:eastAsia="Calibri"/>
          <w:lang w:val="en-US"/>
        </w:rPr>
        <w:t xml:space="preserve">of the right to privacy and </w:t>
      </w:r>
      <w:r w:rsidRPr="00AA75B0">
        <w:rPr>
          <w:rFonts w:eastAsia="Calibri"/>
          <w:lang w:val="en-US"/>
        </w:rPr>
        <w:t>to work with Member States</w:t>
      </w:r>
      <w:r>
        <w:rPr>
          <w:rFonts w:eastAsia="Calibri"/>
          <w:lang w:val="en-US"/>
        </w:rPr>
        <w:t xml:space="preserve"> </w:t>
      </w:r>
      <w:r w:rsidRPr="00AA75B0">
        <w:rPr>
          <w:rFonts w:eastAsia="Calibri"/>
          <w:lang w:val="en-US"/>
        </w:rPr>
        <w:t>to address matters of serious concern.</w:t>
      </w:r>
    </w:p>
    <w:p w:rsidR="000F59E5" w:rsidRPr="00022DCD" w:rsidRDefault="000F59E5" w:rsidP="00EF1266">
      <w:pPr>
        <w:pStyle w:val="H23G"/>
        <w:rPr>
          <w:sz w:val="10"/>
        </w:rPr>
      </w:pPr>
      <w:r w:rsidRPr="00022DCD">
        <w:tab/>
      </w:r>
      <w:r>
        <w:t>8</w:t>
      </w:r>
      <w:r w:rsidRPr="00022DCD">
        <w:t>.</w:t>
      </w:r>
      <w:r w:rsidRPr="00022DCD">
        <w:tab/>
      </w:r>
      <w:r>
        <w:t>Annual reports</w:t>
      </w:r>
      <w:r w:rsidRPr="00C560FA">
        <w:t xml:space="preserve"> to the Human Rights Council and the General Assembly</w:t>
      </w:r>
    </w:p>
    <w:p w:rsidR="000F59E5" w:rsidRPr="00AA75B0" w:rsidRDefault="000F59E5" w:rsidP="000F59E5">
      <w:pPr>
        <w:pStyle w:val="SingleTxtG"/>
        <w:rPr>
          <w:rFonts w:eastAsia="Calibri"/>
          <w:lang w:val="en-US"/>
        </w:rPr>
      </w:pPr>
      <w:r>
        <w:rPr>
          <w:rFonts w:eastAsia="Calibri"/>
          <w:lang w:val="en-US"/>
        </w:rPr>
        <w:t>96.</w:t>
      </w:r>
      <w:r>
        <w:rPr>
          <w:rFonts w:eastAsia="Calibri"/>
          <w:lang w:val="en-US"/>
        </w:rPr>
        <w:tab/>
        <w:t xml:space="preserve">According to his mandate, the Special Rapporteur has reported annually </w:t>
      </w:r>
      <w:r w:rsidRPr="00AA75B0">
        <w:rPr>
          <w:rFonts w:eastAsia="Calibri"/>
          <w:lang w:val="en-US"/>
        </w:rPr>
        <w:t>to the Human Rights Council and the General Assembly</w:t>
      </w:r>
      <w:r>
        <w:rPr>
          <w:rFonts w:eastAsia="Calibri"/>
          <w:lang w:val="en-US"/>
        </w:rPr>
        <w:t>.</w:t>
      </w:r>
    </w:p>
    <w:p w:rsidR="000F59E5" w:rsidRPr="0042792C" w:rsidRDefault="00B1210E" w:rsidP="00B1210E">
      <w:pPr>
        <w:pStyle w:val="H23G"/>
        <w:rPr>
          <w:rFonts w:eastAsia="Calibri"/>
          <w:lang w:val="en-US"/>
        </w:rPr>
      </w:pPr>
      <w:r>
        <w:rPr>
          <w:rFonts w:eastAsia="Calibri"/>
          <w:lang w:val="en-US"/>
        </w:rPr>
        <w:tab/>
      </w:r>
      <w:r>
        <w:rPr>
          <w:rFonts w:eastAsia="Calibri"/>
          <w:lang w:val="en-US"/>
        </w:rPr>
        <w:tab/>
      </w:r>
      <w:r w:rsidR="000F59E5" w:rsidRPr="0042792C">
        <w:rPr>
          <w:rFonts w:eastAsia="Calibri"/>
          <w:lang w:val="en-US"/>
        </w:rPr>
        <w:t xml:space="preserve">Annual </w:t>
      </w:r>
      <w:r w:rsidR="000F59E5">
        <w:rPr>
          <w:rFonts w:eastAsia="Calibri"/>
          <w:lang w:val="en-US"/>
        </w:rPr>
        <w:t>r</w:t>
      </w:r>
      <w:r w:rsidR="000F59E5" w:rsidRPr="0042792C">
        <w:rPr>
          <w:rFonts w:eastAsia="Calibri"/>
          <w:lang w:val="en-US"/>
        </w:rPr>
        <w:t xml:space="preserve">eports to the Human Rights Council </w:t>
      </w:r>
    </w:p>
    <w:p w:rsidR="000F59E5" w:rsidRPr="00AA75B0" w:rsidRDefault="000F59E5" w:rsidP="000F59E5">
      <w:pPr>
        <w:pStyle w:val="SingleTxtG"/>
        <w:rPr>
          <w:rFonts w:eastAsia="Calibri"/>
          <w:lang w:val="en-US"/>
        </w:rPr>
      </w:pPr>
      <w:r>
        <w:rPr>
          <w:rFonts w:eastAsia="Calibri"/>
          <w:lang w:val="en-US"/>
        </w:rPr>
        <w:t>97.</w:t>
      </w:r>
      <w:r>
        <w:rPr>
          <w:rFonts w:eastAsia="Calibri"/>
          <w:lang w:val="en-US"/>
        </w:rPr>
        <w:tab/>
      </w:r>
      <w:r w:rsidRPr="00AA75B0">
        <w:rPr>
          <w:rFonts w:eastAsia="Calibri"/>
          <w:lang w:val="en-US"/>
        </w:rPr>
        <w:t xml:space="preserve">The 2018 report is before the Human Rights Council. It outlines the Special Rapporteur’s activities since 2015; </w:t>
      </w:r>
      <w:r>
        <w:rPr>
          <w:rFonts w:eastAsia="Calibri"/>
          <w:lang w:val="en-US"/>
        </w:rPr>
        <w:t xml:space="preserve">gives an account of </w:t>
      </w:r>
      <w:r w:rsidRPr="00AA75B0">
        <w:rPr>
          <w:rFonts w:eastAsia="Calibri"/>
          <w:lang w:val="en-US"/>
        </w:rPr>
        <w:t xml:space="preserve">the successful work on </w:t>
      </w:r>
      <w:r>
        <w:rPr>
          <w:rFonts w:eastAsia="Calibri"/>
          <w:lang w:val="en-US"/>
        </w:rPr>
        <w:t xml:space="preserve">the protection of the right to </w:t>
      </w:r>
      <w:r w:rsidRPr="00AA75B0">
        <w:rPr>
          <w:rFonts w:eastAsia="Calibri"/>
          <w:lang w:val="en-US"/>
        </w:rPr>
        <w:t xml:space="preserve">privacy and </w:t>
      </w:r>
      <w:r>
        <w:rPr>
          <w:rFonts w:eastAsia="Calibri"/>
          <w:lang w:val="en-US"/>
        </w:rPr>
        <w:t xml:space="preserve">on </w:t>
      </w:r>
      <w:r w:rsidRPr="00AA75B0">
        <w:rPr>
          <w:rFonts w:eastAsia="Calibri"/>
          <w:lang w:val="en-US"/>
        </w:rPr>
        <w:t>government surveillance</w:t>
      </w:r>
      <w:r>
        <w:rPr>
          <w:rFonts w:eastAsia="Calibri"/>
          <w:lang w:val="en-US"/>
        </w:rPr>
        <w:t>;</w:t>
      </w:r>
      <w:r w:rsidRPr="00AA75B0">
        <w:rPr>
          <w:rFonts w:eastAsia="Calibri"/>
          <w:lang w:val="en-US"/>
        </w:rPr>
        <w:t xml:space="preserve"> and </w:t>
      </w:r>
      <w:r>
        <w:rPr>
          <w:rFonts w:eastAsia="Calibri"/>
          <w:lang w:val="en-US"/>
        </w:rPr>
        <w:t>analyzes the</w:t>
      </w:r>
      <w:r w:rsidRPr="00AA75B0">
        <w:rPr>
          <w:rFonts w:eastAsia="Calibri"/>
          <w:lang w:val="en-US"/>
        </w:rPr>
        <w:t xml:space="preserve"> mandate provided by the Human Rights Council.</w:t>
      </w:r>
    </w:p>
    <w:p w:rsidR="000F59E5" w:rsidRPr="00AA75B0" w:rsidRDefault="000F59E5" w:rsidP="000F59E5">
      <w:pPr>
        <w:pStyle w:val="SingleTxtG"/>
        <w:rPr>
          <w:rFonts w:eastAsia="Calibri"/>
          <w:lang w:val="en-US"/>
        </w:rPr>
      </w:pPr>
      <w:r>
        <w:rPr>
          <w:rFonts w:eastAsia="Calibri"/>
          <w:lang w:val="en-US"/>
        </w:rPr>
        <w:t>98.</w:t>
      </w:r>
      <w:r>
        <w:rPr>
          <w:rFonts w:eastAsia="Calibri"/>
          <w:lang w:val="en-US"/>
        </w:rPr>
        <w:tab/>
        <w:t xml:space="preserve">Previous points above have outlined the content of the reports to the Human Rights Council. </w:t>
      </w:r>
    </w:p>
    <w:p w:rsidR="000F59E5" w:rsidRPr="0042792C" w:rsidRDefault="00B1210E" w:rsidP="00B1210E">
      <w:pPr>
        <w:pStyle w:val="H23G"/>
        <w:rPr>
          <w:rFonts w:eastAsia="Calibri"/>
          <w:lang w:val="en-US"/>
        </w:rPr>
      </w:pPr>
      <w:r>
        <w:rPr>
          <w:rFonts w:eastAsia="Calibri"/>
          <w:lang w:val="en-US"/>
        </w:rPr>
        <w:tab/>
      </w:r>
      <w:r>
        <w:rPr>
          <w:rFonts w:eastAsia="Calibri"/>
          <w:lang w:val="en-US"/>
        </w:rPr>
        <w:tab/>
      </w:r>
      <w:r w:rsidR="000F59E5" w:rsidRPr="0042792C">
        <w:rPr>
          <w:rFonts w:eastAsia="Calibri"/>
          <w:lang w:val="en-US"/>
        </w:rPr>
        <w:t xml:space="preserve">Annual </w:t>
      </w:r>
      <w:r w:rsidR="000F59E5">
        <w:rPr>
          <w:rFonts w:eastAsia="Calibri"/>
          <w:lang w:val="en-US"/>
        </w:rPr>
        <w:t>r</w:t>
      </w:r>
      <w:r w:rsidR="000F59E5" w:rsidRPr="0042792C">
        <w:rPr>
          <w:rFonts w:eastAsia="Calibri"/>
          <w:lang w:val="en-US"/>
        </w:rPr>
        <w:t xml:space="preserve">eports to the General Assembly </w:t>
      </w:r>
    </w:p>
    <w:p w:rsidR="000F59E5" w:rsidRPr="00AA75B0" w:rsidRDefault="000F59E5" w:rsidP="000F59E5">
      <w:pPr>
        <w:pStyle w:val="SingleTxtG"/>
        <w:rPr>
          <w:rFonts w:eastAsia="Calibri"/>
          <w:lang w:val="en-US"/>
        </w:rPr>
      </w:pPr>
      <w:r>
        <w:rPr>
          <w:rFonts w:eastAsia="Calibri"/>
          <w:lang w:val="en-US"/>
        </w:rPr>
        <w:t>99.</w:t>
      </w:r>
      <w:r>
        <w:rPr>
          <w:rFonts w:eastAsia="Calibri"/>
          <w:lang w:val="en-US"/>
        </w:rPr>
        <w:tab/>
      </w:r>
      <w:r w:rsidRPr="00AA75B0">
        <w:rPr>
          <w:rFonts w:eastAsia="Calibri"/>
          <w:lang w:val="en-US"/>
        </w:rPr>
        <w:t xml:space="preserve">In </w:t>
      </w:r>
      <w:r>
        <w:rPr>
          <w:rFonts w:eastAsia="Calibri"/>
          <w:lang w:val="en-US"/>
        </w:rPr>
        <w:t>his</w:t>
      </w:r>
      <w:r w:rsidRPr="00AA75B0">
        <w:rPr>
          <w:rFonts w:eastAsia="Calibri"/>
          <w:lang w:val="en-US"/>
        </w:rPr>
        <w:t xml:space="preserve"> 2017 annual report, the Special Rapporteur provided a progress report on the thematic action streams and presented the “Big Data &amp; Open Data” Interim Report.</w:t>
      </w:r>
      <w:r w:rsidRPr="0042792C">
        <w:rPr>
          <w:rFonts w:eastAsia="Calibri"/>
          <w:vertAlign w:val="superscript"/>
          <w:lang w:val="en-US"/>
        </w:rPr>
        <w:footnoteReference w:id="38"/>
      </w:r>
      <w:r w:rsidRPr="0042792C">
        <w:rPr>
          <w:rFonts w:eastAsia="Calibri"/>
          <w:vertAlign w:val="superscript"/>
          <w:lang w:val="en-US"/>
        </w:rPr>
        <w:t xml:space="preserve"> </w:t>
      </w:r>
      <w:r w:rsidRPr="00AA75B0">
        <w:rPr>
          <w:rFonts w:eastAsia="Calibri"/>
          <w:lang w:val="en-US"/>
        </w:rPr>
        <w:t>The Special Rapporteur set out the proposed consultation process and refer</w:t>
      </w:r>
      <w:r>
        <w:rPr>
          <w:rFonts w:eastAsia="Calibri"/>
          <w:lang w:val="en-US"/>
        </w:rPr>
        <w:t>r</w:t>
      </w:r>
      <w:r w:rsidRPr="00AA75B0">
        <w:rPr>
          <w:rFonts w:eastAsia="Calibri"/>
          <w:lang w:val="en-US"/>
        </w:rPr>
        <w:t>e</w:t>
      </w:r>
      <w:r>
        <w:rPr>
          <w:rFonts w:eastAsia="Calibri"/>
          <w:lang w:val="en-US"/>
        </w:rPr>
        <w:t>d</w:t>
      </w:r>
      <w:r w:rsidRPr="00AA75B0">
        <w:rPr>
          <w:rFonts w:eastAsia="Calibri"/>
          <w:lang w:val="en-US"/>
        </w:rPr>
        <w:t xml:space="preserve"> to a matter where supposedly de-identified health data was publicly released </w:t>
      </w:r>
      <w:r>
        <w:rPr>
          <w:rFonts w:eastAsia="Calibri"/>
          <w:lang w:val="en-US"/>
        </w:rPr>
        <w:t>but re-identification was possible.</w:t>
      </w:r>
      <w:r w:rsidRPr="00AA75B0">
        <w:rPr>
          <w:rFonts w:eastAsia="Calibri"/>
          <w:lang w:val="en-US"/>
        </w:rPr>
        <w:t xml:space="preserve"> This matter is being raised with the State concerned. </w:t>
      </w:r>
    </w:p>
    <w:p w:rsidR="000F59E5" w:rsidRDefault="000F59E5" w:rsidP="000F59E5">
      <w:pPr>
        <w:pStyle w:val="SingleTxtG"/>
        <w:rPr>
          <w:rFonts w:eastAsia="Calibri"/>
          <w:lang w:val="en-US"/>
        </w:rPr>
      </w:pPr>
      <w:r>
        <w:rPr>
          <w:rFonts w:eastAsia="Calibri"/>
          <w:lang w:val="en-US"/>
        </w:rPr>
        <w:t>100.</w:t>
      </w:r>
      <w:r>
        <w:rPr>
          <w:rFonts w:eastAsia="Calibri"/>
          <w:lang w:val="en-US"/>
        </w:rPr>
        <w:tab/>
        <w:t xml:space="preserve">Previous points above have outlined the content of the reports to the Human Rights Council. </w:t>
      </w:r>
    </w:p>
    <w:p w:rsidR="000F59E5" w:rsidRPr="0042792C" w:rsidRDefault="00B1210E" w:rsidP="00B1210E">
      <w:pPr>
        <w:pStyle w:val="H23G"/>
        <w:rPr>
          <w:rFonts w:eastAsia="Calibri"/>
          <w:lang w:val="en-US"/>
        </w:rPr>
      </w:pPr>
      <w:r>
        <w:rPr>
          <w:rFonts w:eastAsia="Calibri"/>
          <w:lang w:val="en-US"/>
        </w:rPr>
        <w:tab/>
      </w:r>
      <w:r>
        <w:rPr>
          <w:rFonts w:eastAsia="Calibri"/>
          <w:lang w:val="en-US"/>
        </w:rPr>
        <w:tab/>
      </w:r>
      <w:r w:rsidR="000F59E5" w:rsidRPr="0042792C">
        <w:rPr>
          <w:rFonts w:eastAsia="Calibri"/>
          <w:lang w:val="en-US"/>
        </w:rPr>
        <w:t xml:space="preserve">Future </w:t>
      </w:r>
      <w:r w:rsidR="000F59E5">
        <w:rPr>
          <w:rFonts w:eastAsia="Calibri"/>
          <w:lang w:val="en-US"/>
        </w:rPr>
        <w:t>a</w:t>
      </w:r>
      <w:r w:rsidR="000F59E5" w:rsidRPr="0042792C">
        <w:rPr>
          <w:rFonts w:eastAsia="Calibri"/>
          <w:lang w:val="en-US"/>
        </w:rPr>
        <w:t>ctivities</w:t>
      </w:r>
      <w:r w:rsidR="000F59E5">
        <w:rPr>
          <w:rFonts w:eastAsia="Calibri"/>
          <w:lang w:val="en-US"/>
        </w:rPr>
        <w:t xml:space="preserve"> and o</w:t>
      </w:r>
      <w:r w:rsidR="000F59E5" w:rsidRPr="0042792C">
        <w:rPr>
          <w:rFonts w:eastAsia="Calibri"/>
          <w:lang w:val="en-US"/>
        </w:rPr>
        <w:t>pportunities</w:t>
      </w:r>
    </w:p>
    <w:p w:rsidR="000F59E5" w:rsidRPr="002821FF" w:rsidRDefault="000F59E5" w:rsidP="000F59E5">
      <w:pPr>
        <w:pStyle w:val="SingleTxtG"/>
        <w:rPr>
          <w:rFonts w:cstheme="minorHAnsi"/>
          <w:lang w:val="en-US"/>
        </w:rPr>
      </w:pPr>
      <w:r>
        <w:rPr>
          <w:rFonts w:eastAsia="Calibri"/>
          <w:lang w:val="en-US"/>
        </w:rPr>
        <w:t>101.</w:t>
      </w:r>
      <w:r>
        <w:rPr>
          <w:rFonts w:eastAsia="Calibri"/>
          <w:lang w:val="en-US"/>
        </w:rPr>
        <w:tab/>
      </w:r>
      <w:r w:rsidRPr="00AA75B0">
        <w:rPr>
          <w:rFonts w:eastAsia="Calibri"/>
          <w:lang w:val="en-US"/>
        </w:rPr>
        <w:t xml:space="preserve">The Special Rapporteur will continue to provide </w:t>
      </w:r>
      <w:r>
        <w:rPr>
          <w:rFonts w:eastAsia="Calibri"/>
          <w:lang w:val="en-US"/>
        </w:rPr>
        <w:t>a</w:t>
      </w:r>
      <w:r w:rsidRPr="00AA75B0">
        <w:rPr>
          <w:rFonts w:eastAsia="Calibri"/>
          <w:lang w:val="en-US"/>
        </w:rPr>
        <w:t xml:space="preserve">nnual </w:t>
      </w:r>
      <w:r>
        <w:rPr>
          <w:rFonts w:eastAsia="Calibri"/>
          <w:lang w:val="en-US"/>
        </w:rPr>
        <w:t>r</w:t>
      </w:r>
      <w:r w:rsidRPr="00AA75B0">
        <w:rPr>
          <w:rFonts w:eastAsia="Calibri"/>
          <w:lang w:val="en-US"/>
        </w:rPr>
        <w:t>eports outlining activities and emerging issues</w:t>
      </w:r>
      <w:r>
        <w:rPr>
          <w:rFonts w:eastAsia="Calibri"/>
          <w:lang w:val="en-US"/>
        </w:rPr>
        <w:t xml:space="preserve"> and to present the </w:t>
      </w:r>
      <w:r w:rsidRPr="00AA75B0">
        <w:rPr>
          <w:rFonts w:eastAsia="Calibri"/>
          <w:lang w:val="en-US"/>
        </w:rPr>
        <w:t xml:space="preserve">reports of </w:t>
      </w:r>
      <w:r>
        <w:rPr>
          <w:rFonts w:eastAsia="Calibri"/>
          <w:lang w:val="en-US"/>
        </w:rPr>
        <w:t xml:space="preserve">the </w:t>
      </w:r>
      <w:r w:rsidRPr="00AA75B0">
        <w:rPr>
          <w:rFonts w:eastAsia="Calibri"/>
          <w:lang w:val="en-US"/>
        </w:rPr>
        <w:t>Thematic Action Stream Taskforces as per schedule.</w:t>
      </w:r>
    </w:p>
    <w:p w:rsidR="000F59E5" w:rsidRPr="002821FF" w:rsidRDefault="000F59E5" w:rsidP="000F59E5">
      <w:pPr>
        <w:pStyle w:val="H1G"/>
        <w:rPr>
          <w:rFonts w:eastAsia="Calibri"/>
          <w:lang w:val="en-US"/>
        </w:rPr>
      </w:pPr>
      <w:r w:rsidRPr="002821FF">
        <w:rPr>
          <w:rFonts w:eastAsia="Calibri"/>
          <w:lang w:val="en-US"/>
        </w:rPr>
        <w:tab/>
      </w:r>
      <w:r>
        <w:rPr>
          <w:rFonts w:eastAsia="Calibri"/>
          <w:lang w:val="en-US"/>
        </w:rPr>
        <w:t>B</w:t>
      </w:r>
      <w:r w:rsidR="001B4178">
        <w:rPr>
          <w:rFonts w:eastAsia="Calibri"/>
          <w:lang w:val="en-US"/>
        </w:rPr>
        <w:t>.</w:t>
      </w:r>
      <w:r w:rsidRPr="002821FF">
        <w:rPr>
          <w:rFonts w:eastAsia="Calibri"/>
          <w:lang w:val="en-US"/>
        </w:rPr>
        <w:tab/>
      </w:r>
      <w:r>
        <w:rPr>
          <w:rFonts w:eastAsia="Calibri"/>
          <w:lang w:val="en-US"/>
        </w:rPr>
        <w:t>Work of the Special Rapporteur in the priority a</w:t>
      </w:r>
      <w:r w:rsidRPr="00EF573B">
        <w:rPr>
          <w:rFonts w:eastAsia="Calibri"/>
          <w:lang w:val="en-US"/>
        </w:rPr>
        <w:t>rea ‘Security, Surveillance and Privacy’</w:t>
      </w:r>
    </w:p>
    <w:p w:rsidR="000F59E5" w:rsidRPr="00EF573B" w:rsidRDefault="000F59E5" w:rsidP="000F59E5">
      <w:pPr>
        <w:pStyle w:val="SingleTxtG"/>
        <w:rPr>
          <w:rFonts w:eastAsia="Calibri"/>
        </w:rPr>
      </w:pPr>
      <w:r>
        <w:rPr>
          <w:rFonts w:eastAsia="Calibri"/>
          <w:lang w:val="en-US"/>
        </w:rPr>
        <w:t>102</w:t>
      </w:r>
      <w:r w:rsidRPr="002821FF">
        <w:rPr>
          <w:rFonts w:eastAsia="Calibri"/>
          <w:lang w:val="en-US"/>
        </w:rPr>
        <w:t>.</w:t>
      </w:r>
      <w:r w:rsidRPr="002821FF">
        <w:rPr>
          <w:rFonts w:eastAsia="Calibri"/>
          <w:lang w:val="en-US"/>
        </w:rPr>
        <w:tab/>
      </w:r>
      <w:r w:rsidRPr="00EF573B">
        <w:rPr>
          <w:rFonts w:eastAsia="Calibri"/>
        </w:rPr>
        <w:t>“The right to privacy in recent years has attracted increasing attention from the United Nations General Assembly and human rights mechanisms, in particular with regard to surveillance policies and practices of many governments across the globe. In 2013, the General Assembly adopted resolution 68/167, in which it expressed deep concern at the negative impact that surveillance and interception of communications may have on human rights. The General Assembly affirmed that the rights held by people offline must also be protected online, and called upon all States to respect and protect the right to privacy in digital communication. Domestic oversight mechanisms, where they exist, often are ineffective as they fail to ensure transparency, as appropriate, and accountability for State surveillance of communications, their interception and the collection of personal data.”</w:t>
      </w:r>
      <w:r w:rsidRPr="00EF573B">
        <w:rPr>
          <w:rFonts w:eastAsia="Calibri"/>
          <w:vertAlign w:val="superscript"/>
        </w:rPr>
        <w:footnoteReference w:id="39"/>
      </w:r>
      <w:r w:rsidRPr="00EF573B">
        <w:rPr>
          <w:rFonts w:eastAsia="Calibri"/>
        </w:rPr>
        <w:t xml:space="preserve"> </w:t>
      </w:r>
    </w:p>
    <w:p w:rsidR="000F59E5" w:rsidRPr="00EF573B" w:rsidRDefault="000F59E5" w:rsidP="000F59E5">
      <w:pPr>
        <w:pStyle w:val="SingleTxtG"/>
        <w:rPr>
          <w:rFonts w:eastAsia="Calibri"/>
        </w:rPr>
      </w:pPr>
      <w:r>
        <w:rPr>
          <w:rFonts w:eastAsia="Calibri"/>
        </w:rPr>
        <w:t>103.</w:t>
      </w:r>
      <w:r>
        <w:rPr>
          <w:rFonts w:eastAsia="Calibri"/>
        </w:rPr>
        <w:tab/>
      </w:r>
      <w:r w:rsidRPr="00EF573B">
        <w:rPr>
          <w:rFonts w:eastAsia="Calibri"/>
        </w:rPr>
        <w:t>The terrorist attacks in Belgium, France, Germany and the United Kingdom created national and sometimes international moods</w:t>
      </w:r>
      <w:r>
        <w:rPr>
          <w:rFonts w:eastAsia="Calibri"/>
        </w:rPr>
        <w:t xml:space="preserve">, </w:t>
      </w:r>
      <w:r w:rsidRPr="00EF573B">
        <w:rPr>
          <w:rFonts w:eastAsia="Calibri"/>
        </w:rPr>
        <w:t xml:space="preserve">which gave priority to reactive and high-profile security responses over carefully nuanced approaches </w:t>
      </w:r>
      <w:r>
        <w:rPr>
          <w:rFonts w:eastAsia="Calibri"/>
        </w:rPr>
        <w:t>that would take into account security interests and the responsibility to protect their citizens’ privacy</w:t>
      </w:r>
      <w:r w:rsidRPr="00EF573B">
        <w:rPr>
          <w:rFonts w:eastAsia="Calibri"/>
        </w:rPr>
        <w:t xml:space="preserve">. During </w:t>
      </w:r>
      <w:r>
        <w:rPr>
          <w:rFonts w:eastAsia="Calibri"/>
        </w:rPr>
        <w:t xml:space="preserve">the period from </w:t>
      </w:r>
      <w:r w:rsidRPr="00EF573B">
        <w:rPr>
          <w:rFonts w:eastAsia="Calibri"/>
        </w:rPr>
        <w:t>2016</w:t>
      </w:r>
      <w:r>
        <w:rPr>
          <w:rFonts w:eastAsia="Calibri"/>
        </w:rPr>
        <w:t xml:space="preserve"> to </w:t>
      </w:r>
      <w:r w:rsidRPr="00EF573B">
        <w:rPr>
          <w:rFonts w:eastAsia="Calibri"/>
        </w:rPr>
        <w:t>2017 Belgium, Germany, the Netherlands</w:t>
      </w:r>
      <w:r>
        <w:rPr>
          <w:rFonts w:eastAsia="Calibri"/>
        </w:rPr>
        <w:t xml:space="preserve">, France </w:t>
      </w:r>
      <w:r w:rsidRPr="00EF573B">
        <w:rPr>
          <w:rFonts w:eastAsia="Calibri"/>
        </w:rPr>
        <w:t xml:space="preserve">and the </w:t>
      </w:r>
      <w:r>
        <w:rPr>
          <w:rFonts w:eastAsia="Calibri"/>
        </w:rPr>
        <w:t>United Kingdom</w:t>
      </w:r>
      <w:r w:rsidRPr="00EF573B">
        <w:rPr>
          <w:rFonts w:eastAsia="Calibri"/>
        </w:rPr>
        <w:t xml:space="preserve">, to mention a few examples, introduced legislation </w:t>
      </w:r>
      <w:r>
        <w:rPr>
          <w:rFonts w:eastAsia="Calibri"/>
        </w:rPr>
        <w:t>whose</w:t>
      </w:r>
      <w:r w:rsidRPr="00EF573B">
        <w:rPr>
          <w:rFonts w:eastAsia="Calibri"/>
        </w:rPr>
        <w:t xml:space="preserve"> effectiveness, proportionality and scope varies considerably. There is no one piece of national surveillance legislation perfectly compliant with and respectful of </w:t>
      </w:r>
      <w:r>
        <w:rPr>
          <w:rFonts w:eastAsia="Calibri"/>
        </w:rPr>
        <w:t>international standards on the</w:t>
      </w:r>
      <w:r w:rsidRPr="00EF573B">
        <w:rPr>
          <w:rFonts w:eastAsia="Calibri"/>
        </w:rPr>
        <w:t xml:space="preserve"> right to privacy.</w:t>
      </w:r>
    </w:p>
    <w:p w:rsidR="000F59E5" w:rsidRPr="00EF573B" w:rsidRDefault="000F59E5" w:rsidP="000F59E5">
      <w:pPr>
        <w:pStyle w:val="SingleTxtG"/>
        <w:rPr>
          <w:rFonts w:eastAsia="Calibri"/>
        </w:rPr>
      </w:pPr>
      <w:r>
        <w:rPr>
          <w:rFonts w:eastAsia="Calibri"/>
        </w:rPr>
        <w:t>104.</w:t>
      </w:r>
      <w:r>
        <w:rPr>
          <w:rFonts w:eastAsia="Calibri"/>
        </w:rPr>
        <w:tab/>
      </w:r>
      <w:r w:rsidRPr="00EF573B">
        <w:rPr>
          <w:rFonts w:eastAsia="Calibri"/>
        </w:rPr>
        <w:t>Despite the momentum created by the revelations of Edward Snowd</w:t>
      </w:r>
      <w:r>
        <w:rPr>
          <w:rFonts w:eastAsia="Calibri"/>
        </w:rPr>
        <w:t>e</w:t>
      </w:r>
      <w:r w:rsidRPr="00EF573B">
        <w:rPr>
          <w:rFonts w:eastAsia="Calibri"/>
        </w:rPr>
        <w:t>n, privacy and surveillance are topics that few countries are keen to discuss. Civil society, academia and other stakeholders</w:t>
      </w:r>
      <w:r>
        <w:rPr>
          <w:rFonts w:eastAsia="Calibri"/>
        </w:rPr>
        <w:t>,</w:t>
      </w:r>
      <w:r w:rsidRPr="00EF573B">
        <w:rPr>
          <w:rFonts w:eastAsia="Calibri"/>
        </w:rPr>
        <w:t xml:space="preserve"> including a growing number of </w:t>
      </w:r>
      <w:r>
        <w:rPr>
          <w:rFonts w:eastAsia="Calibri"/>
        </w:rPr>
        <w:t>G</w:t>
      </w:r>
      <w:r w:rsidRPr="00EF573B">
        <w:rPr>
          <w:rFonts w:eastAsia="Calibri"/>
        </w:rPr>
        <w:t xml:space="preserve">overnments have however expressed genuine interest in a proper, constructive, international discussion about privacy and surveillance. </w:t>
      </w:r>
    </w:p>
    <w:p w:rsidR="000F59E5" w:rsidRPr="001A6C02" w:rsidRDefault="000F59E5" w:rsidP="000F59E5">
      <w:pPr>
        <w:pStyle w:val="SingleTxtG"/>
        <w:rPr>
          <w:rFonts w:eastAsia="Calibri"/>
        </w:rPr>
      </w:pPr>
      <w:r>
        <w:rPr>
          <w:rFonts w:eastAsia="Calibri"/>
        </w:rPr>
        <w:t>105.</w:t>
      </w:r>
      <w:r>
        <w:rPr>
          <w:rFonts w:eastAsia="Calibri"/>
        </w:rPr>
        <w:tab/>
      </w:r>
      <w:r w:rsidRPr="00EF573B">
        <w:rPr>
          <w:rFonts w:eastAsia="Calibri"/>
        </w:rPr>
        <w:t xml:space="preserve">Consistent with the action plans provided to the Human Rights Council in </w:t>
      </w:r>
      <w:r>
        <w:rPr>
          <w:rFonts w:eastAsia="Calibri"/>
        </w:rPr>
        <w:t>his</w:t>
      </w:r>
      <w:r w:rsidRPr="00EF573B">
        <w:rPr>
          <w:rFonts w:eastAsia="Calibri"/>
        </w:rPr>
        <w:t xml:space="preserve"> first annual report and subsequent reports to the General Assembly, the </w:t>
      </w:r>
      <w:r>
        <w:rPr>
          <w:rFonts w:eastAsia="Calibri"/>
        </w:rPr>
        <w:t>Special Rapporteur</w:t>
      </w:r>
      <w:r w:rsidRPr="00EF573B">
        <w:rPr>
          <w:rFonts w:eastAsia="Calibri"/>
        </w:rPr>
        <w:t xml:space="preserve"> has </w:t>
      </w:r>
      <w:r>
        <w:rPr>
          <w:rFonts w:eastAsia="Calibri"/>
        </w:rPr>
        <w:t xml:space="preserve">sought to respond to the concerns expressed by these different actors and to bridge the gap between them, through his convening of various fora for exchange and discussions. He has </w:t>
      </w:r>
      <w:r w:rsidRPr="00EF573B">
        <w:rPr>
          <w:rFonts w:eastAsia="Calibri"/>
        </w:rPr>
        <w:t>addressed the major privacy issue of surveillance</w:t>
      </w:r>
      <w:r>
        <w:rPr>
          <w:rFonts w:eastAsia="Calibri"/>
        </w:rPr>
        <w:t xml:space="preserve"> in </w:t>
      </w:r>
      <w:r w:rsidRPr="00EF573B">
        <w:rPr>
          <w:rFonts w:eastAsia="Calibri"/>
        </w:rPr>
        <w:t>collaborati</w:t>
      </w:r>
      <w:r>
        <w:rPr>
          <w:rFonts w:eastAsia="Calibri"/>
        </w:rPr>
        <w:t>on with</w:t>
      </w:r>
      <w:r w:rsidRPr="00EF573B">
        <w:rPr>
          <w:rFonts w:eastAsia="Calibri"/>
        </w:rPr>
        <w:t xml:space="preserve"> Member States, the E</w:t>
      </w:r>
      <w:r>
        <w:rPr>
          <w:rFonts w:eastAsia="Calibri"/>
        </w:rPr>
        <w:t xml:space="preserve">uropean </w:t>
      </w:r>
      <w:r w:rsidRPr="00EF573B">
        <w:rPr>
          <w:rFonts w:eastAsia="Calibri"/>
        </w:rPr>
        <w:t>U</w:t>
      </w:r>
      <w:r>
        <w:rPr>
          <w:rFonts w:eastAsia="Calibri"/>
        </w:rPr>
        <w:t>nion</w:t>
      </w:r>
      <w:r w:rsidRPr="00EF573B">
        <w:rPr>
          <w:rFonts w:eastAsia="Calibri"/>
        </w:rPr>
        <w:t>-supported MAPPING project</w:t>
      </w:r>
      <w:r w:rsidRPr="00EF573B">
        <w:rPr>
          <w:rFonts w:eastAsia="Calibri"/>
          <w:vertAlign w:val="superscript"/>
        </w:rPr>
        <w:footnoteReference w:id="40"/>
      </w:r>
      <w:r w:rsidRPr="00EF573B">
        <w:rPr>
          <w:rFonts w:eastAsia="Calibri"/>
        </w:rPr>
        <w:t xml:space="preserve"> and </w:t>
      </w:r>
      <w:r>
        <w:rPr>
          <w:rFonts w:eastAsia="Calibri"/>
        </w:rPr>
        <w:t>civil society organizations in order to avoid the duplication of efforts.</w:t>
      </w:r>
    </w:p>
    <w:p w:rsidR="000F59E5" w:rsidRPr="00022DCD" w:rsidRDefault="000F59E5" w:rsidP="00B1210E">
      <w:pPr>
        <w:pStyle w:val="H23G"/>
        <w:rPr>
          <w:sz w:val="10"/>
        </w:rPr>
      </w:pPr>
      <w:r w:rsidRPr="00022DCD">
        <w:tab/>
      </w:r>
      <w:r>
        <w:t>1</w:t>
      </w:r>
      <w:r w:rsidRPr="00022DCD">
        <w:t>.</w:t>
      </w:r>
      <w:r w:rsidRPr="00022DCD">
        <w:tab/>
      </w:r>
      <w:r w:rsidRPr="001A6C02">
        <w:t>The path to an International Legal Instrument on Surveillance and Privacy</w:t>
      </w:r>
    </w:p>
    <w:p w:rsidR="000F59E5" w:rsidRPr="00EF573B" w:rsidRDefault="000F59E5" w:rsidP="000F59E5">
      <w:pPr>
        <w:pStyle w:val="SingleTxtG"/>
        <w:rPr>
          <w:rFonts w:eastAsia="Calibri"/>
        </w:rPr>
      </w:pPr>
      <w:r>
        <w:rPr>
          <w:rFonts w:eastAsia="Calibri"/>
        </w:rPr>
        <w:t>106.</w:t>
      </w:r>
      <w:r>
        <w:rPr>
          <w:rFonts w:eastAsia="Calibri"/>
        </w:rPr>
        <w:tab/>
      </w:r>
      <w:r w:rsidRPr="00EF573B">
        <w:rPr>
          <w:rFonts w:eastAsia="Calibri"/>
        </w:rPr>
        <w:t>Research and discussions with public policy leaders, law enforcement and intelligence communities</w:t>
      </w:r>
      <w:r>
        <w:rPr>
          <w:rFonts w:eastAsia="Calibri"/>
        </w:rPr>
        <w:t xml:space="preserve"> and civil society organizations </w:t>
      </w:r>
      <w:r w:rsidRPr="00EF573B">
        <w:rPr>
          <w:rFonts w:eastAsia="Calibri"/>
        </w:rPr>
        <w:t xml:space="preserve">indicated </w:t>
      </w:r>
      <w:r>
        <w:rPr>
          <w:rFonts w:eastAsia="Calibri"/>
        </w:rPr>
        <w:t xml:space="preserve">that </w:t>
      </w:r>
      <w:r w:rsidRPr="00EF573B">
        <w:rPr>
          <w:rFonts w:eastAsia="Calibri"/>
        </w:rPr>
        <w:t xml:space="preserve">an essential part of the solution in avoiding a surveillance society </w:t>
      </w:r>
      <w:r>
        <w:rPr>
          <w:rFonts w:eastAsia="Calibri"/>
        </w:rPr>
        <w:t xml:space="preserve">is </w:t>
      </w:r>
      <w:r w:rsidRPr="00EF573B">
        <w:rPr>
          <w:rFonts w:eastAsia="Calibri"/>
        </w:rPr>
        <w:t xml:space="preserve">a standard </w:t>
      </w:r>
      <w:r>
        <w:rPr>
          <w:rFonts w:eastAsia="Calibri"/>
        </w:rPr>
        <w:t xml:space="preserve">that would be </w:t>
      </w:r>
      <w:r w:rsidRPr="00EF573B">
        <w:rPr>
          <w:rFonts w:eastAsia="Calibri"/>
        </w:rPr>
        <w:t xml:space="preserve">useful both </w:t>
      </w:r>
      <w:r>
        <w:rPr>
          <w:rFonts w:eastAsia="Calibri"/>
        </w:rPr>
        <w:t>in</w:t>
      </w:r>
      <w:r w:rsidRPr="00EF573B">
        <w:rPr>
          <w:rFonts w:eastAsia="Calibri"/>
        </w:rPr>
        <w:t xml:space="preserve"> national and international law. </w:t>
      </w:r>
    </w:p>
    <w:p w:rsidR="000F59E5" w:rsidRPr="00EF573B" w:rsidRDefault="000F59E5" w:rsidP="000F59E5">
      <w:pPr>
        <w:pStyle w:val="SingleTxtG"/>
        <w:rPr>
          <w:rFonts w:eastAsia="Calibri"/>
        </w:rPr>
      </w:pPr>
      <w:r>
        <w:rPr>
          <w:rFonts w:eastAsia="Calibri"/>
        </w:rPr>
        <w:t>107.</w:t>
      </w:r>
      <w:r>
        <w:rPr>
          <w:rFonts w:eastAsia="Calibri"/>
        </w:rPr>
        <w:tab/>
      </w:r>
      <w:r w:rsidRPr="00EF573B">
        <w:rPr>
          <w:rFonts w:eastAsia="Calibri"/>
        </w:rPr>
        <w:t xml:space="preserve">Mindful of the concerns for the right to privacy held by the Human Rights Council and the General Assembly, the </w:t>
      </w:r>
      <w:r>
        <w:rPr>
          <w:rFonts w:eastAsia="Calibri"/>
        </w:rPr>
        <w:t>Special Rapporteur, in cooperation</w:t>
      </w:r>
      <w:r w:rsidRPr="00EF573B">
        <w:rPr>
          <w:rFonts w:eastAsia="Calibri"/>
        </w:rPr>
        <w:t xml:space="preserve"> with the MAPPING project, ha</w:t>
      </w:r>
      <w:r>
        <w:rPr>
          <w:rFonts w:eastAsia="Calibri"/>
        </w:rPr>
        <w:t>s</w:t>
      </w:r>
      <w:r w:rsidRPr="00EF573B">
        <w:rPr>
          <w:rFonts w:eastAsia="Calibri"/>
        </w:rPr>
        <w:t xml:space="preserve"> held stakeholder consultations commencing in Washington D.C. in 2015. Workshops were held in Malta and New York in 2016. Participants’ thoughts, positions and suggestions were recorded in a document which took the form of a very rough draft of a legal instrument to be utilised for a wide range of purposes, whether as guidelines or model for domestic surveillance law, through to hard law such as a multilateral international treaty on surveillance.</w:t>
      </w:r>
    </w:p>
    <w:p w:rsidR="000F59E5" w:rsidRDefault="000F59E5" w:rsidP="000F59E5">
      <w:pPr>
        <w:pStyle w:val="SingleTxtG"/>
        <w:rPr>
          <w:rFonts w:eastAsia="Calibri"/>
        </w:rPr>
      </w:pPr>
      <w:r>
        <w:rPr>
          <w:rFonts w:eastAsia="Calibri"/>
        </w:rPr>
        <w:t>108.</w:t>
      </w:r>
      <w:r>
        <w:rPr>
          <w:rFonts w:eastAsia="Calibri"/>
        </w:rPr>
        <w:tab/>
      </w:r>
      <w:r w:rsidRPr="00EF573B">
        <w:rPr>
          <w:rFonts w:eastAsia="Calibri"/>
        </w:rPr>
        <w:t xml:space="preserve">Encouraged by the support within </w:t>
      </w:r>
      <w:r>
        <w:rPr>
          <w:rFonts w:eastAsia="Calibri"/>
        </w:rPr>
        <w:t>IIOF</w:t>
      </w:r>
      <w:r w:rsidRPr="00EF573B">
        <w:rPr>
          <w:rFonts w:eastAsia="Calibri"/>
        </w:rPr>
        <w:t xml:space="preserve">, the </w:t>
      </w:r>
      <w:r>
        <w:rPr>
          <w:rFonts w:eastAsia="Calibri"/>
        </w:rPr>
        <w:t>Special Rapporteur</w:t>
      </w:r>
      <w:r w:rsidRPr="00EF573B">
        <w:rPr>
          <w:rFonts w:eastAsia="Calibri"/>
        </w:rPr>
        <w:t xml:space="preserve"> and the MAPPING project undertook further joint consultations on new legal measures at international law to improve the protection of privacy in response to growing surveillance</w:t>
      </w:r>
      <w:r>
        <w:rPr>
          <w:rFonts w:eastAsia="Calibri"/>
        </w:rPr>
        <w:t xml:space="preserve">, also </w:t>
      </w:r>
      <w:r w:rsidRPr="00EF573B">
        <w:rPr>
          <w:rFonts w:eastAsia="Calibri"/>
        </w:rPr>
        <w:t>provid</w:t>
      </w:r>
      <w:r>
        <w:rPr>
          <w:rFonts w:eastAsia="Calibri"/>
        </w:rPr>
        <w:t>ing</w:t>
      </w:r>
      <w:r w:rsidRPr="00EF573B">
        <w:rPr>
          <w:rFonts w:eastAsia="Calibri"/>
        </w:rPr>
        <w:t xml:space="preserve"> a common base for </w:t>
      </w:r>
      <w:r>
        <w:rPr>
          <w:rFonts w:eastAsia="Calibri"/>
        </w:rPr>
        <w:t xml:space="preserve">effective </w:t>
      </w:r>
      <w:r w:rsidRPr="00EF573B">
        <w:rPr>
          <w:rFonts w:eastAsia="Calibri"/>
        </w:rPr>
        <w:t>oversight of surveillance practices globally.</w:t>
      </w:r>
    </w:p>
    <w:p w:rsidR="000F59E5" w:rsidRPr="00022DCD" w:rsidRDefault="000F59E5" w:rsidP="00B1210E">
      <w:pPr>
        <w:pStyle w:val="H23G"/>
        <w:rPr>
          <w:sz w:val="10"/>
        </w:rPr>
      </w:pPr>
      <w:r w:rsidRPr="00022DCD">
        <w:tab/>
      </w:r>
      <w:r>
        <w:t>2</w:t>
      </w:r>
      <w:r w:rsidRPr="00022DCD">
        <w:t>.</w:t>
      </w:r>
      <w:r w:rsidRPr="00022DCD">
        <w:tab/>
      </w:r>
      <w:r w:rsidRPr="009A5761">
        <w:t>Development by an expert group</w:t>
      </w:r>
    </w:p>
    <w:p w:rsidR="000F59E5" w:rsidRPr="00EF573B" w:rsidRDefault="000F59E5" w:rsidP="000F59E5">
      <w:pPr>
        <w:pStyle w:val="SingleTxtG"/>
        <w:rPr>
          <w:rFonts w:eastAsia="Calibri"/>
        </w:rPr>
      </w:pPr>
      <w:r>
        <w:rPr>
          <w:rFonts w:eastAsia="Calibri"/>
        </w:rPr>
        <w:t>109.</w:t>
      </w:r>
      <w:r>
        <w:rPr>
          <w:rFonts w:eastAsia="Calibri"/>
        </w:rPr>
        <w:tab/>
      </w:r>
      <w:r w:rsidRPr="00EF573B">
        <w:rPr>
          <w:rFonts w:eastAsia="Calibri"/>
        </w:rPr>
        <w:t>Following the joint meeting with the MAPPING W</w:t>
      </w:r>
      <w:r>
        <w:rPr>
          <w:rFonts w:eastAsia="Calibri"/>
        </w:rPr>
        <w:t xml:space="preserve">ork </w:t>
      </w:r>
      <w:r w:rsidRPr="00EF573B">
        <w:rPr>
          <w:rFonts w:eastAsia="Calibri"/>
        </w:rPr>
        <w:t>P</w:t>
      </w:r>
      <w:r>
        <w:rPr>
          <w:rFonts w:eastAsia="Calibri"/>
        </w:rPr>
        <w:t xml:space="preserve">ackage </w:t>
      </w:r>
      <w:r w:rsidRPr="00EF573B">
        <w:rPr>
          <w:rFonts w:eastAsia="Calibri"/>
        </w:rPr>
        <w:t>4 Working Group on Internet Governance and Surveillance in Miami, U</w:t>
      </w:r>
      <w:r>
        <w:rPr>
          <w:rFonts w:eastAsia="Calibri"/>
        </w:rPr>
        <w:t>nited States</w:t>
      </w:r>
      <w:r w:rsidRPr="00EF573B">
        <w:rPr>
          <w:rFonts w:eastAsia="Calibri"/>
        </w:rPr>
        <w:t>, in February 2017, a revised draft was produced in March 2017.</w:t>
      </w:r>
    </w:p>
    <w:p w:rsidR="000F59E5" w:rsidRPr="00EF573B" w:rsidRDefault="000F59E5" w:rsidP="000F59E5">
      <w:pPr>
        <w:pStyle w:val="SingleTxtG"/>
        <w:rPr>
          <w:rFonts w:eastAsia="Calibri"/>
        </w:rPr>
      </w:pPr>
      <w:r>
        <w:rPr>
          <w:rFonts w:eastAsia="Calibri"/>
        </w:rPr>
        <w:t>110.</w:t>
      </w:r>
      <w:r>
        <w:rPr>
          <w:rFonts w:eastAsia="Calibri"/>
        </w:rPr>
        <w:tab/>
        <w:t>Encouraged by the</w:t>
      </w:r>
      <w:r w:rsidRPr="00EF573B">
        <w:rPr>
          <w:rFonts w:eastAsia="Calibri"/>
        </w:rPr>
        <w:t xml:space="preserve"> positive reception to the idea of a legal instrument, the </w:t>
      </w:r>
      <w:r>
        <w:rPr>
          <w:rFonts w:eastAsia="Calibri"/>
        </w:rPr>
        <w:t>Special Rapporteur</w:t>
      </w:r>
      <w:r w:rsidRPr="00EF573B">
        <w:rPr>
          <w:rFonts w:eastAsia="Calibri"/>
        </w:rPr>
        <w:t xml:space="preserve"> and the MAPPING Project extensively consulted world-wide during 2017. A working group composed of experts from civil society, the MAPPING Project and major internet </w:t>
      </w:r>
      <w:proofErr w:type="gramStart"/>
      <w:r w:rsidRPr="00EF573B">
        <w:rPr>
          <w:rFonts w:eastAsia="Calibri"/>
        </w:rPr>
        <w:t>corporations</w:t>
      </w:r>
      <w:proofErr w:type="gramEnd"/>
      <w:r w:rsidRPr="00EF573B">
        <w:rPr>
          <w:rFonts w:eastAsia="Calibri"/>
        </w:rPr>
        <w:t xml:space="preserve"> workshopped the draft legal instrument and surveillance in Malta in May 2017 and in Paris</w:t>
      </w:r>
      <w:r>
        <w:rPr>
          <w:rFonts w:eastAsia="Calibri"/>
        </w:rPr>
        <w:t>,</w:t>
      </w:r>
      <w:r w:rsidRPr="00EF573B">
        <w:rPr>
          <w:rFonts w:eastAsia="Calibri"/>
        </w:rPr>
        <w:t xml:space="preserve"> 13-14 September 2017 </w:t>
      </w:r>
      <w:r>
        <w:rPr>
          <w:rFonts w:eastAsia="Calibri"/>
        </w:rPr>
        <w:t xml:space="preserve">with </w:t>
      </w:r>
      <w:r w:rsidRPr="00EF573B">
        <w:rPr>
          <w:rFonts w:eastAsia="Calibri"/>
        </w:rPr>
        <w:t>some 50 experts. The Paris event was followed by a consultation with law enforcement practitioners at INTERPOL</w:t>
      </w:r>
      <w:r>
        <w:rPr>
          <w:rFonts w:eastAsia="Calibri"/>
        </w:rPr>
        <w:t>’s</w:t>
      </w:r>
      <w:r w:rsidRPr="00EF573B">
        <w:rPr>
          <w:rFonts w:eastAsia="Calibri"/>
        </w:rPr>
        <w:t xml:space="preserve"> headquarters in Lyon</w:t>
      </w:r>
      <w:r>
        <w:rPr>
          <w:rFonts w:eastAsia="Calibri"/>
        </w:rPr>
        <w:t>,</w:t>
      </w:r>
      <w:r w:rsidRPr="00EF573B">
        <w:rPr>
          <w:rFonts w:eastAsia="Calibri"/>
        </w:rPr>
        <w:t xml:space="preserve"> France</w:t>
      </w:r>
      <w:r>
        <w:rPr>
          <w:rFonts w:eastAsia="Calibri"/>
        </w:rPr>
        <w:t>,</w:t>
      </w:r>
      <w:r w:rsidRPr="00EF573B">
        <w:rPr>
          <w:rFonts w:eastAsia="Calibri"/>
        </w:rPr>
        <w:t xml:space="preserve"> on 15 September 2017. </w:t>
      </w:r>
    </w:p>
    <w:p w:rsidR="000F59E5" w:rsidRPr="00EF573B" w:rsidRDefault="000F59E5" w:rsidP="000F59E5">
      <w:pPr>
        <w:pStyle w:val="SingleTxtG"/>
        <w:rPr>
          <w:rFonts w:eastAsia="Calibri"/>
        </w:rPr>
      </w:pPr>
      <w:r>
        <w:rPr>
          <w:rFonts w:eastAsia="Calibri"/>
        </w:rPr>
        <w:t>111.</w:t>
      </w:r>
      <w:r>
        <w:rPr>
          <w:rFonts w:eastAsia="Calibri"/>
        </w:rPr>
        <w:tab/>
      </w:r>
      <w:r w:rsidRPr="00EF573B">
        <w:rPr>
          <w:rFonts w:eastAsia="Calibri"/>
        </w:rPr>
        <w:t xml:space="preserve">The outcomes of </w:t>
      </w:r>
      <w:r>
        <w:rPr>
          <w:rFonts w:eastAsia="Calibri"/>
        </w:rPr>
        <w:t xml:space="preserve">the </w:t>
      </w:r>
      <w:r w:rsidRPr="00EF573B">
        <w:rPr>
          <w:rFonts w:eastAsia="Calibri"/>
        </w:rPr>
        <w:t xml:space="preserve">meetings </w:t>
      </w:r>
      <w:r>
        <w:rPr>
          <w:rFonts w:eastAsia="Calibri"/>
        </w:rPr>
        <w:t>in</w:t>
      </w:r>
      <w:r w:rsidRPr="00EF573B">
        <w:rPr>
          <w:rFonts w:eastAsia="Calibri"/>
        </w:rPr>
        <w:t xml:space="preserve"> Paris and Lyon </w:t>
      </w:r>
      <w:r>
        <w:rPr>
          <w:rFonts w:eastAsia="Calibri"/>
        </w:rPr>
        <w:t xml:space="preserve">in </w:t>
      </w:r>
      <w:r w:rsidRPr="00EF573B">
        <w:rPr>
          <w:rFonts w:eastAsia="Calibri"/>
        </w:rPr>
        <w:t xml:space="preserve">September </w:t>
      </w:r>
      <w:r>
        <w:rPr>
          <w:rFonts w:eastAsia="Calibri"/>
        </w:rPr>
        <w:t xml:space="preserve">2017 </w:t>
      </w:r>
      <w:r w:rsidRPr="00EF573B">
        <w:rPr>
          <w:rFonts w:eastAsia="Calibri"/>
        </w:rPr>
        <w:t xml:space="preserve">and the revised draft were circulated </w:t>
      </w:r>
      <w:r>
        <w:rPr>
          <w:rFonts w:eastAsia="Calibri"/>
        </w:rPr>
        <w:t>at</w:t>
      </w:r>
      <w:r w:rsidRPr="00EF573B">
        <w:rPr>
          <w:rFonts w:eastAsia="Calibri"/>
        </w:rPr>
        <w:t xml:space="preserve"> the International Intelligence Oversight Forum in Brussels</w:t>
      </w:r>
      <w:r>
        <w:rPr>
          <w:rFonts w:eastAsia="Calibri"/>
        </w:rPr>
        <w:t>,</w:t>
      </w:r>
      <w:r w:rsidRPr="00EF573B">
        <w:rPr>
          <w:rFonts w:eastAsia="Calibri"/>
        </w:rPr>
        <w:t xml:space="preserve"> 20- 21 November 2017. This allowed intelligence oversight authorities and intelligence practitioners to comment on the draft legal instrument</w:t>
      </w:r>
      <w:r>
        <w:rPr>
          <w:rFonts w:eastAsia="Calibri"/>
        </w:rPr>
        <w:t xml:space="preserve"> and </w:t>
      </w:r>
      <w:r w:rsidRPr="00EF573B">
        <w:rPr>
          <w:rFonts w:eastAsia="Calibri"/>
        </w:rPr>
        <w:t xml:space="preserve">the notions of an </w:t>
      </w:r>
      <w:r>
        <w:rPr>
          <w:rFonts w:eastAsia="Calibri"/>
        </w:rPr>
        <w:t>i</w:t>
      </w:r>
      <w:r w:rsidRPr="00EF573B">
        <w:rPr>
          <w:rFonts w:eastAsia="Calibri"/>
        </w:rPr>
        <w:t xml:space="preserve">nternational panel of judges and an </w:t>
      </w:r>
      <w:r>
        <w:rPr>
          <w:rFonts w:eastAsia="Calibri"/>
        </w:rPr>
        <w:t>i</w:t>
      </w:r>
      <w:r w:rsidRPr="00EF573B">
        <w:rPr>
          <w:rFonts w:eastAsia="Calibri"/>
        </w:rPr>
        <w:t xml:space="preserve">nternational </w:t>
      </w:r>
      <w:r>
        <w:rPr>
          <w:rFonts w:eastAsia="Calibri"/>
        </w:rPr>
        <w:t>d</w:t>
      </w:r>
      <w:r w:rsidRPr="00EF573B">
        <w:rPr>
          <w:rFonts w:eastAsia="Calibri"/>
        </w:rPr>
        <w:t xml:space="preserve">ata </w:t>
      </w:r>
      <w:r>
        <w:rPr>
          <w:rFonts w:eastAsia="Calibri"/>
        </w:rPr>
        <w:t>a</w:t>
      </w:r>
      <w:r w:rsidRPr="00EF573B">
        <w:rPr>
          <w:rFonts w:eastAsia="Calibri"/>
        </w:rPr>
        <w:t xml:space="preserve">ccess </w:t>
      </w:r>
      <w:r>
        <w:rPr>
          <w:rFonts w:eastAsia="Calibri"/>
        </w:rPr>
        <w:t>w</w:t>
      </w:r>
      <w:r w:rsidRPr="00EF573B">
        <w:rPr>
          <w:rFonts w:eastAsia="Calibri"/>
        </w:rPr>
        <w:t xml:space="preserve">arrant. </w:t>
      </w:r>
    </w:p>
    <w:p w:rsidR="000F59E5" w:rsidRPr="00EF573B" w:rsidRDefault="000F59E5" w:rsidP="000F59E5">
      <w:pPr>
        <w:pStyle w:val="SingleTxtG"/>
        <w:rPr>
          <w:rFonts w:eastAsia="Calibri"/>
        </w:rPr>
      </w:pPr>
      <w:r>
        <w:rPr>
          <w:rFonts w:eastAsia="Calibri"/>
        </w:rPr>
        <w:t>112.</w:t>
      </w:r>
      <w:r>
        <w:rPr>
          <w:rFonts w:eastAsia="Calibri"/>
        </w:rPr>
        <w:tab/>
      </w:r>
      <w:r w:rsidRPr="00EF573B">
        <w:rPr>
          <w:rFonts w:eastAsia="Calibri"/>
        </w:rPr>
        <w:t xml:space="preserve">These consultations and other measures produced a text sufficiently mature for wider public consultation during 2018. The draft legal instrument was made available online in early January 2018 coinciding with the first public discussion in Rome </w:t>
      </w:r>
      <w:r>
        <w:rPr>
          <w:rFonts w:eastAsia="Calibri"/>
        </w:rPr>
        <w:t xml:space="preserve">on </w:t>
      </w:r>
      <w:r w:rsidRPr="00EF573B">
        <w:rPr>
          <w:rFonts w:eastAsia="Calibri"/>
          <w:bCs/>
        </w:rPr>
        <w:t>17-19 January 2018</w:t>
      </w:r>
      <w:r w:rsidR="003F2276">
        <w:rPr>
          <w:rFonts w:eastAsia="Calibri"/>
          <w:bCs/>
        </w:rPr>
        <w:t>.</w:t>
      </w:r>
    </w:p>
    <w:p w:rsidR="000F59E5" w:rsidRPr="00EF573B" w:rsidRDefault="000F59E5" w:rsidP="000F59E5">
      <w:pPr>
        <w:pStyle w:val="SingleTxtG"/>
        <w:rPr>
          <w:rFonts w:eastAsia="Calibri"/>
        </w:rPr>
      </w:pPr>
      <w:r>
        <w:rPr>
          <w:rFonts w:eastAsia="Calibri"/>
          <w:lang w:val="mt-MT"/>
        </w:rPr>
        <w:t>113.</w:t>
      </w:r>
      <w:r>
        <w:rPr>
          <w:rFonts w:eastAsia="Calibri"/>
          <w:lang w:val="mt-MT"/>
        </w:rPr>
        <w:tab/>
      </w:r>
      <w:r w:rsidRPr="00EF573B">
        <w:rPr>
          <w:rFonts w:eastAsia="Calibri"/>
          <w:lang w:val="mt-MT"/>
        </w:rPr>
        <w:t xml:space="preserve">The </w:t>
      </w:r>
      <w:r w:rsidRPr="00EE77CF">
        <w:rPr>
          <w:rFonts w:eastAsia="Calibri"/>
          <w:lang w:val="mt-MT"/>
        </w:rPr>
        <w:t xml:space="preserve">current draft </w:t>
      </w:r>
      <w:r w:rsidRPr="006467D7">
        <w:rPr>
          <w:rFonts w:eastAsia="Calibri"/>
          <w:lang w:val="mt-MT"/>
        </w:rPr>
        <w:t xml:space="preserve">legal instrument on government-led surveillance and privacy </w:t>
      </w:r>
      <w:r w:rsidRPr="00EE77CF">
        <w:rPr>
          <w:rFonts w:eastAsia="Calibri"/>
          <w:lang w:val="mt-MT"/>
        </w:rPr>
        <w:t>covers</w:t>
      </w:r>
      <w:r w:rsidRPr="00EF573B">
        <w:rPr>
          <w:rFonts w:eastAsia="Calibri"/>
          <w:lang w:val="mt-MT"/>
        </w:rPr>
        <w:t xml:space="preserve"> general principles and basic requirements for government-led surveillance covering application, scope, rights, systems and data, </w:t>
      </w:r>
      <w:r w:rsidRPr="00EF573B">
        <w:rPr>
          <w:rFonts w:eastAsia="Calibri"/>
        </w:rPr>
        <w:t>multi-stakeholder collaboration</w:t>
      </w:r>
      <w:r w:rsidRPr="00EF573B">
        <w:rPr>
          <w:rFonts w:eastAsia="Calibri"/>
          <w:lang w:val="mt-MT"/>
        </w:rPr>
        <w:t xml:space="preserve"> and </w:t>
      </w:r>
      <w:r w:rsidRPr="00EF573B">
        <w:rPr>
          <w:rFonts w:eastAsia="Calibri"/>
        </w:rPr>
        <w:t xml:space="preserve">mechanisms for </w:t>
      </w:r>
      <w:proofErr w:type="spellStart"/>
      <w:r w:rsidRPr="00EF573B">
        <w:rPr>
          <w:rFonts w:eastAsia="Calibri"/>
        </w:rPr>
        <w:t>transborder</w:t>
      </w:r>
      <w:proofErr w:type="spellEnd"/>
      <w:r w:rsidRPr="00EF573B">
        <w:rPr>
          <w:rFonts w:eastAsia="Calibri"/>
        </w:rPr>
        <w:t xml:space="preserve"> access to personal </w:t>
      </w:r>
      <w:r w:rsidRPr="00571F39">
        <w:rPr>
          <w:rFonts w:eastAsia="Calibri"/>
        </w:rPr>
        <w:t xml:space="preserve">data (see Appendix </w:t>
      </w:r>
      <w:r>
        <w:rPr>
          <w:rFonts w:eastAsia="Calibri"/>
        </w:rPr>
        <w:t>7</w:t>
      </w:r>
      <w:r w:rsidRPr="00254435">
        <w:rPr>
          <w:rFonts w:eastAsia="Calibri"/>
        </w:rPr>
        <w:t xml:space="preserve"> to this</w:t>
      </w:r>
      <w:r>
        <w:rPr>
          <w:rFonts w:eastAsia="Calibri"/>
        </w:rPr>
        <w:t xml:space="preserve"> report).</w:t>
      </w:r>
    </w:p>
    <w:p w:rsidR="000F59E5" w:rsidRPr="00022DCD" w:rsidRDefault="000F59E5" w:rsidP="00B1210E">
      <w:pPr>
        <w:pStyle w:val="H23G"/>
        <w:rPr>
          <w:sz w:val="10"/>
        </w:rPr>
      </w:pPr>
      <w:r w:rsidRPr="00022DCD">
        <w:tab/>
      </w:r>
      <w:r>
        <w:t>3</w:t>
      </w:r>
      <w:r w:rsidRPr="00022DCD">
        <w:t>.</w:t>
      </w:r>
      <w:r w:rsidRPr="00022DCD">
        <w:tab/>
      </w:r>
      <w:r w:rsidRPr="008A3512">
        <w:t xml:space="preserve">Preliminary options within </w:t>
      </w:r>
      <w:r>
        <w:t>internet g</w:t>
      </w:r>
      <w:r w:rsidRPr="008A3512">
        <w:t>overnance for an international legal instrument on government surveillance</w:t>
      </w:r>
    </w:p>
    <w:p w:rsidR="000F59E5" w:rsidRPr="00EF573B" w:rsidRDefault="000F59E5" w:rsidP="000F59E5">
      <w:pPr>
        <w:pStyle w:val="SingleTxtG"/>
        <w:rPr>
          <w:rFonts w:eastAsia="Calibri"/>
        </w:rPr>
      </w:pPr>
      <w:r>
        <w:rPr>
          <w:rFonts w:eastAsia="Calibri"/>
        </w:rPr>
        <w:t>114.</w:t>
      </w:r>
      <w:r>
        <w:rPr>
          <w:rFonts w:eastAsia="Calibri"/>
        </w:rPr>
        <w:tab/>
      </w:r>
      <w:r w:rsidRPr="00EF573B">
        <w:rPr>
          <w:rFonts w:eastAsia="Calibri"/>
        </w:rPr>
        <w:t xml:space="preserve">There is no question that the global community needs to undertake urgent action to </w:t>
      </w:r>
      <w:r>
        <w:rPr>
          <w:rFonts w:eastAsia="Calibri"/>
        </w:rPr>
        <w:t>effectively respect and implement a</w:t>
      </w:r>
      <w:r w:rsidRPr="00EF573B">
        <w:rPr>
          <w:rFonts w:eastAsia="Calibri"/>
        </w:rPr>
        <w:t>rt</w:t>
      </w:r>
      <w:r>
        <w:rPr>
          <w:rFonts w:eastAsia="Calibri"/>
        </w:rPr>
        <w:t>icle</w:t>
      </w:r>
      <w:r w:rsidRPr="00EF573B">
        <w:rPr>
          <w:rFonts w:eastAsia="Calibri"/>
        </w:rPr>
        <w:t xml:space="preserve"> 12</w:t>
      </w:r>
      <w:r>
        <w:rPr>
          <w:rFonts w:eastAsia="Calibri"/>
        </w:rPr>
        <w:t xml:space="preserve"> of the</w:t>
      </w:r>
      <w:r w:rsidRPr="00EF573B">
        <w:rPr>
          <w:rFonts w:eastAsia="Calibri"/>
        </w:rPr>
        <w:t xml:space="preserve"> UDHR and </w:t>
      </w:r>
      <w:r>
        <w:rPr>
          <w:rFonts w:eastAsia="Calibri"/>
        </w:rPr>
        <w:t>article</w:t>
      </w:r>
      <w:r w:rsidRPr="00EF573B">
        <w:rPr>
          <w:rFonts w:eastAsia="Calibri"/>
        </w:rPr>
        <w:t xml:space="preserve"> 17</w:t>
      </w:r>
      <w:r>
        <w:rPr>
          <w:rFonts w:eastAsia="Calibri"/>
        </w:rPr>
        <w:t xml:space="preserve"> of the</w:t>
      </w:r>
      <w:r w:rsidRPr="00EF573B">
        <w:rPr>
          <w:rFonts w:eastAsia="Calibri"/>
        </w:rPr>
        <w:t xml:space="preserve"> ICPPR by developing a clear and comprehensive legal framework on privacy and surveillance in cyberspace</w:t>
      </w:r>
      <w:r>
        <w:rPr>
          <w:rFonts w:eastAsia="Calibri"/>
        </w:rPr>
        <w:t>, to operationalise the respect of this right, domestically and across borders</w:t>
      </w:r>
      <w:r w:rsidRPr="00EF573B">
        <w:rPr>
          <w:rFonts w:eastAsia="Calibri"/>
        </w:rPr>
        <w:t xml:space="preserve">. While </w:t>
      </w:r>
      <w:r>
        <w:rPr>
          <w:rFonts w:eastAsia="Calibri"/>
        </w:rPr>
        <w:t xml:space="preserve">international human rights law provides  high level universal rules for </w:t>
      </w:r>
      <w:r w:rsidRPr="00EF573B">
        <w:rPr>
          <w:rFonts w:eastAsia="Calibri"/>
        </w:rPr>
        <w:t>the</w:t>
      </w:r>
      <w:r>
        <w:rPr>
          <w:rFonts w:eastAsia="Calibri"/>
        </w:rPr>
        <w:t xml:space="preserve"> protection of the</w:t>
      </w:r>
      <w:r w:rsidRPr="00EF573B">
        <w:rPr>
          <w:rFonts w:eastAsia="Calibri"/>
        </w:rPr>
        <w:t xml:space="preserve"> right to</w:t>
      </w:r>
      <w:r>
        <w:rPr>
          <w:rFonts w:eastAsia="Calibri"/>
        </w:rPr>
        <w:t xml:space="preserve"> privacy,</w:t>
      </w:r>
      <w:r w:rsidRPr="00146F56">
        <w:rPr>
          <w:rFonts w:eastAsia="Calibri"/>
        </w:rPr>
        <w:t xml:space="preserve"> </w:t>
      </w:r>
      <w:r>
        <w:rPr>
          <w:rFonts w:eastAsia="Calibri"/>
        </w:rPr>
        <w:t xml:space="preserve">it lacks the level of detail which would constitute the comprehensive legal framework essential to provide adequate protection in a number of applied contexts including that of domestic and extra territorial surveillance. Most regions in the world lack enforcement mechanisms such as those created over the past 40 years in Europe and North America. </w:t>
      </w:r>
      <w:r w:rsidRPr="00EF573B">
        <w:rPr>
          <w:rFonts w:eastAsia="Calibri"/>
        </w:rPr>
        <w:t xml:space="preserve">Thus the international legal framework </w:t>
      </w:r>
      <w:r>
        <w:rPr>
          <w:rFonts w:eastAsia="Calibri"/>
        </w:rPr>
        <w:t>would benefit from</w:t>
      </w:r>
      <w:r w:rsidRPr="00EF573B">
        <w:rPr>
          <w:rFonts w:eastAsia="Calibri"/>
        </w:rPr>
        <w:t xml:space="preserve"> </w:t>
      </w:r>
      <w:r>
        <w:rPr>
          <w:rFonts w:eastAsia="Calibri"/>
        </w:rPr>
        <w:t xml:space="preserve">vastly increased </w:t>
      </w:r>
      <w:r w:rsidRPr="00EF573B">
        <w:rPr>
          <w:rFonts w:eastAsia="Calibri"/>
        </w:rPr>
        <w:t>detail, clarity and comprehensiveness</w:t>
      </w:r>
      <w:r>
        <w:rPr>
          <w:rFonts w:eastAsia="Calibri"/>
        </w:rPr>
        <w:t xml:space="preserve">, </w:t>
      </w:r>
      <w:r w:rsidRPr="00EF573B">
        <w:rPr>
          <w:rFonts w:eastAsia="Calibri"/>
        </w:rPr>
        <w:t xml:space="preserve">safeguards and remedies for the daily </w:t>
      </w:r>
      <w:r>
        <w:rPr>
          <w:rFonts w:eastAsia="Calibri"/>
        </w:rPr>
        <w:t>violations</w:t>
      </w:r>
      <w:r w:rsidRPr="00EF573B">
        <w:rPr>
          <w:rFonts w:eastAsia="Calibri"/>
        </w:rPr>
        <w:t xml:space="preserve"> of </w:t>
      </w:r>
      <w:r>
        <w:rPr>
          <w:rFonts w:eastAsia="Calibri"/>
        </w:rPr>
        <w:t xml:space="preserve">the right to </w:t>
      </w:r>
      <w:r w:rsidRPr="00EF573B">
        <w:rPr>
          <w:rFonts w:eastAsia="Calibri"/>
        </w:rPr>
        <w:t xml:space="preserve">privacy occurring in cyberspace. </w:t>
      </w:r>
      <w:r>
        <w:rPr>
          <w:rFonts w:eastAsia="Calibri"/>
        </w:rPr>
        <w:t>The ‘devil is in the detail’.</w:t>
      </w:r>
    </w:p>
    <w:p w:rsidR="000F59E5" w:rsidRPr="00EF573B" w:rsidRDefault="000F59E5" w:rsidP="000F59E5">
      <w:pPr>
        <w:pStyle w:val="SingleTxtG"/>
        <w:rPr>
          <w:rFonts w:eastAsia="Calibri"/>
        </w:rPr>
      </w:pPr>
      <w:r>
        <w:rPr>
          <w:rFonts w:eastAsia="Calibri"/>
        </w:rPr>
        <w:t>115.</w:t>
      </w:r>
      <w:r>
        <w:rPr>
          <w:rFonts w:eastAsia="Calibri"/>
        </w:rPr>
        <w:tab/>
      </w:r>
      <w:r w:rsidRPr="00EF573B">
        <w:rPr>
          <w:rFonts w:eastAsia="Calibri"/>
        </w:rPr>
        <w:t xml:space="preserve">The draft legal instrument has been complimented by many for its vision and comprehensiveness. </w:t>
      </w:r>
      <w:r>
        <w:rPr>
          <w:rFonts w:eastAsia="Calibri"/>
        </w:rPr>
        <w:t>I</w:t>
      </w:r>
      <w:r w:rsidRPr="00EF573B">
        <w:rPr>
          <w:rFonts w:eastAsia="Calibri"/>
        </w:rPr>
        <w:t xml:space="preserve">mportant stakeholders have encouraged its continued development. The recent (18-19 January 2018) consultation co-organised by the </w:t>
      </w:r>
      <w:r>
        <w:rPr>
          <w:rFonts w:eastAsia="Calibri"/>
        </w:rPr>
        <w:t>Special Rapporteur</w:t>
      </w:r>
      <w:r w:rsidRPr="00EF573B">
        <w:rPr>
          <w:rFonts w:eastAsia="Calibri"/>
        </w:rPr>
        <w:t xml:space="preserve"> mandate with the MAPPING project in Rome, Italy raised a number of important considerations:</w:t>
      </w:r>
    </w:p>
    <w:p w:rsidR="000F59E5" w:rsidRPr="00EF573B" w:rsidRDefault="001D61D9" w:rsidP="00012D0C">
      <w:pPr>
        <w:pStyle w:val="SingleTxtG"/>
        <w:ind w:firstLine="567"/>
        <w:rPr>
          <w:rFonts w:eastAsia="Calibri"/>
        </w:rPr>
      </w:pPr>
      <w:r>
        <w:rPr>
          <w:rFonts w:eastAsia="Calibri"/>
        </w:rPr>
        <w:t>(a)</w:t>
      </w:r>
      <w:r w:rsidR="000F59E5">
        <w:rPr>
          <w:rFonts w:eastAsia="Calibri"/>
        </w:rPr>
        <w:tab/>
      </w:r>
      <w:r w:rsidR="000F59E5" w:rsidRPr="00EF573B">
        <w:rPr>
          <w:rFonts w:eastAsia="Calibri"/>
        </w:rPr>
        <w:t xml:space="preserve">The work achieved to date has identified issues, established potential standards and possible remedies for surveillance in cyberspace and should be </w:t>
      </w:r>
      <w:r w:rsidR="000F59E5">
        <w:rPr>
          <w:rFonts w:eastAsia="Calibri"/>
        </w:rPr>
        <w:t xml:space="preserve">publicly released as a tool to nurture thinking and discussion on the subject, and </w:t>
      </w:r>
      <w:r w:rsidR="000F59E5" w:rsidRPr="00EF573B">
        <w:rPr>
          <w:rFonts w:eastAsia="Calibri"/>
        </w:rPr>
        <w:t xml:space="preserve">provide a </w:t>
      </w:r>
      <w:r w:rsidR="000F59E5">
        <w:rPr>
          <w:rFonts w:eastAsia="Calibri"/>
        </w:rPr>
        <w:t xml:space="preserve">draft </w:t>
      </w:r>
      <w:r w:rsidR="000F59E5" w:rsidRPr="00EF573B">
        <w:rPr>
          <w:rFonts w:eastAsia="Calibri"/>
        </w:rPr>
        <w:t xml:space="preserve">model for </w:t>
      </w:r>
      <w:r w:rsidR="000F59E5">
        <w:rPr>
          <w:rFonts w:eastAsia="Calibri"/>
        </w:rPr>
        <w:t>Member S</w:t>
      </w:r>
      <w:r w:rsidR="000F59E5" w:rsidRPr="00EF573B">
        <w:rPr>
          <w:rFonts w:eastAsia="Calibri"/>
        </w:rPr>
        <w:t xml:space="preserve">tates currently considering the introduction of legislation, </w:t>
      </w:r>
      <w:r w:rsidR="000F59E5">
        <w:rPr>
          <w:rFonts w:eastAsia="Calibri"/>
        </w:rPr>
        <w:t xml:space="preserve">and institutional arrangements aimed at ensuring an effective </w:t>
      </w:r>
      <w:r w:rsidR="000F59E5" w:rsidRPr="00EF573B">
        <w:rPr>
          <w:rFonts w:eastAsia="Calibri"/>
        </w:rPr>
        <w:t>oversight of intelligence activities</w:t>
      </w:r>
      <w:r>
        <w:rPr>
          <w:rFonts w:eastAsia="Calibri"/>
        </w:rPr>
        <w:t>;</w:t>
      </w:r>
    </w:p>
    <w:p w:rsidR="000F59E5" w:rsidRPr="00EF573B" w:rsidRDefault="001D61D9" w:rsidP="00012D0C">
      <w:pPr>
        <w:pStyle w:val="SingleTxtG"/>
        <w:ind w:firstLine="567"/>
        <w:rPr>
          <w:rFonts w:eastAsia="Calibri"/>
        </w:rPr>
      </w:pPr>
      <w:r>
        <w:rPr>
          <w:rFonts w:eastAsia="Calibri"/>
        </w:rPr>
        <w:t>(b)</w:t>
      </w:r>
      <w:r w:rsidR="000F59E5">
        <w:rPr>
          <w:rFonts w:eastAsia="Calibri"/>
        </w:rPr>
        <w:tab/>
      </w:r>
      <w:r w:rsidR="000F59E5" w:rsidRPr="00EF573B">
        <w:rPr>
          <w:rFonts w:eastAsia="Calibri"/>
        </w:rPr>
        <w:t>The current draft covers a wide number of issues</w:t>
      </w:r>
      <w:r w:rsidR="000F59E5">
        <w:rPr>
          <w:rFonts w:eastAsia="Calibri"/>
        </w:rPr>
        <w:t>,</w:t>
      </w:r>
      <w:r w:rsidR="000F59E5" w:rsidRPr="00EF573B">
        <w:rPr>
          <w:rFonts w:eastAsia="Calibri"/>
        </w:rPr>
        <w:t xml:space="preserve"> and there are strategic and tactical advantages in retaining its current form</w:t>
      </w:r>
      <w:r w:rsidR="000F59E5">
        <w:rPr>
          <w:rFonts w:eastAsia="Calibri"/>
        </w:rPr>
        <w:t>,</w:t>
      </w:r>
      <w:r w:rsidR="000F59E5" w:rsidRPr="00EF573B">
        <w:rPr>
          <w:rFonts w:eastAsia="Calibri"/>
        </w:rPr>
        <w:t xml:space="preserve"> but reducing it to </w:t>
      </w:r>
      <w:r w:rsidR="000F59E5">
        <w:rPr>
          <w:rFonts w:eastAsia="Calibri"/>
        </w:rPr>
        <w:t>two</w:t>
      </w:r>
      <w:r w:rsidR="000F59E5" w:rsidRPr="00EF573B">
        <w:rPr>
          <w:rFonts w:eastAsia="Calibri"/>
        </w:rPr>
        <w:t xml:space="preserve"> or </w:t>
      </w:r>
      <w:proofErr w:type="gramStart"/>
      <w:r w:rsidR="000F59E5" w:rsidRPr="00EF573B">
        <w:rPr>
          <w:rFonts w:eastAsia="Calibri"/>
        </w:rPr>
        <w:t>more smaller</w:t>
      </w:r>
      <w:proofErr w:type="gramEnd"/>
      <w:r w:rsidR="000F59E5" w:rsidRPr="00EF573B">
        <w:rPr>
          <w:rFonts w:eastAsia="Calibri"/>
        </w:rPr>
        <w:t xml:space="preserve"> instruments </w:t>
      </w:r>
      <w:r w:rsidR="000F59E5">
        <w:rPr>
          <w:rFonts w:eastAsia="Calibri"/>
        </w:rPr>
        <w:t>of</w:t>
      </w:r>
      <w:r w:rsidR="000F59E5" w:rsidRPr="00EF573B">
        <w:rPr>
          <w:rFonts w:eastAsia="Calibri"/>
        </w:rPr>
        <w:t xml:space="preserve"> more limited scope may facilitate </w:t>
      </w:r>
      <w:r w:rsidR="000F59E5">
        <w:rPr>
          <w:rFonts w:eastAsia="Calibri"/>
        </w:rPr>
        <w:t xml:space="preserve">their </w:t>
      </w:r>
      <w:r w:rsidR="000F59E5" w:rsidRPr="00EF573B">
        <w:rPr>
          <w:rFonts w:eastAsia="Calibri"/>
        </w:rPr>
        <w:t>adoption</w:t>
      </w:r>
      <w:r>
        <w:rPr>
          <w:rFonts w:eastAsia="Calibri"/>
        </w:rPr>
        <w:t>;</w:t>
      </w:r>
    </w:p>
    <w:p w:rsidR="000F59E5" w:rsidRPr="00EF573B" w:rsidRDefault="001D61D9" w:rsidP="00012D0C">
      <w:pPr>
        <w:pStyle w:val="SingleTxtG"/>
        <w:ind w:firstLine="567"/>
        <w:rPr>
          <w:rFonts w:eastAsia="Calibri"/>
        </w:rPr>
      </w:pPr>
      <w:r>
        <w:rPr>
          <w:rFonts w:eastAsia="Calibri"/>
        </w:rPr>
        <w:t>(c)</w:t>
      </w:r>
      <w:r w:rsidR="000F59E5">
        <w:rPr>
          <w:rFonts w:eastAsia="Calibri"/>
        </w:rPr>
        <w:tab/>
      </w:r>
      <w:r w:rsidR="000F59E5" w:rsidRPr="0046571E">
        <w:rPr>
          <w:rFonts w:eastAsia="Calibri"/>
        </w:rPr>
        <w:t>Strategies are required that address the short and longer term timeframes required to achieve wide acceptance and su</w:t>
      </w:r>
      <w:r w:rsidR="00435A89">
        <w:rPr>
          <w:rFonts w:eastAsia="Calibri"/>
        </w:rPr>
        <w:t>stainability of the instrument;</w:t>
      </w:r>
    </w:p>
    <w:p w:rsidR="000F59E5" w:rsidRPr="00EF573B" w:rsidRDefault="000F59E5" w:rsidP="00012D0C">
      <w:pPr>
        <w:pStyle w:val="SingleTxtG"/>
        <w:ind w:firstLine="567"/>
        <w:rPr>
          <w:rFonts w:eastAsia="Calibri"/>
        </w:rPr>
      </w:pPr>
      <w:r>
        <w:rPr>
          <w:rFonts w:eastAsia="Calibri"/>
        </w:rPr>
        <w:t>d.</w:t>
      </w:r>
      <w:r>
        <w:rPr>
          <w:rFonts w:eastAsia="Calibri"/>
        </w:rPr>
        <w:tab/>
        <w:t>Examination of past</w:t>
      </w:r>
      <w:r w:rsidRPr="00EF573B">
        <w:rPr>
          <w:rFonts w:eastAsia="Calibri"/>
        </w:rPr>
        <w:t xml:space="preserve"> development of </w:t>
      </w:r>
      <w:r>
        <w:rPr>
          <w:rFonts w:eastAsia="Calibri"/>
        </w:rPr>
        <w:t>l</w:t>
      </w:r>
      <w:r w:rsidRPr="00EF573B">
        <w:rPr>
          <w:rFonts w:eastAsia="Calibri"/>
        </w:rPr>
        <w:t xml:space="preserve">egal instruments </w:t>
      </w:r>
      <w:r>
        <w:rPr>
          <w:rFonts w:eastAsia="Calibri"/>
        </w:rPr>
        <w:t>in the United Nations system reveal</w:t>
      </w:r>
      <w:r w:rsidRPr="00EF573B">
        <w:rPr>
          <w:rFonts w:eastAsia="Calibri"/>
        </w:rPr>
        <w:t>:</w:t>
      </w:r>
    </w:p>
    <w:p w:rsidR="000F59E5" w:rsidRPr="00EF573B" w:rsidRDefault="000F59E5" w:rsidP="00B1210E">
      <w:pPr>
        <w:pStyle w:val="Bullet2G"/>
        <w:rPr>
          <w:rFonts w:eastAsia="Calibri"/>
        </w:rPr>
      </w:pPr>
      <w:r>
        <w:rPr>
          <w:rFonts w:eastAsia="Calibri"/>
        </w:rPr>
        <w:t>Building</w:t>
      </w:r>
      <w:r w:rsidRPr="00EF573B">
        <w:rPr>
          <w:rFonts w:eastAsia="Calibri"/>
        </w:rPr>
        <w:t xml:space="preserve"> international consensus </w:t>
      </w:r>
      <w:r>
        <w:rPr>
          <w:rFonts w:eastAsia="Calibri"/>
        </w:rPr>
        <w:t>on</w:t>
      </w:r>
      <w:r w:rsidRPr="00EF573B">
        <w:rPr>
          <w:rFonts w:eastAsia="Calibri"/>
        </w:rPr>
        <w:t xml:space="preserve"> a legal instrument</w:t>
      </w:r>
      <w:r w:rsidR="00435A89">
        <w:rPr>
          <w:rFonts w:eastAsia="Calibri"/>
        </w:rPr>
        <w:t xml:space="preserve"> is a lengthy process;</w:t>
      </w:r>
    </w:p>
    <w:p w:rsidR="000F59E5" w:rsidRPr="00EF573B" w:rsidRDefault="000F59E5" w:rsidP="00B1210E">
      <w:pPr>
        <w:pStyle w:val="Bullet2G"/>
        <w:rPr>
          <w:rFonts w:eastAsia="Calibri"/>
        </w:rPr>
      </w:pPr>
      <w:r>
        <w:rPr>
          <w:rFonts w:eastAsia="Calibri"/>
        </w:rPr>
        <w:t>I</w:t>
      </w:r>
      <w:r w:rsidRPr="00EF573B">
        <w:rPr>
          <w:rFonts w:eastAsia="Calibri"/>
        </w:rPr>
        <w:t xml:space="preserve">ndividual </w:t>
      </w:r>
      <w:r>
        <w:rPr>
          <w:rFonts w:eastAsia="Calibri"/>
        </w:rPr>
        <w:t xml:space="preserve">Member States, </w:t>
      </w:r>
      <w:r w:rsidRPr="00EF573B">
        <w:rPr>
          <w:rFonts w:eastAsia="Calibri"/>
        </w:rPr>
        <w:t>regional grou</w:t>
      </w:r>
      <w:r>
        <w:rPr>
          <w:rFonts w:eastAsia="Calibri"/>
        </w:rPr>
        <w:t>p</w:t>
      </w:r>
      <w:r w:rsidRPr="00EF573B">
        <w:rPr>
          <w:rFonts w:eastAsia="Calibri"/>
        </w:rPr>
        <w:t xml:space="preserve">s and cross-regional alliances </w:t>
      </w:r>
      <w:r>
        <w:rPr>
          <w:rFonts w:eastAsia="Calibri"/>
        </w:rPr>
        <w:t>can all play a key role in</w:t>
      </w:r>
      <w:r w:rsidRPr="00EF573B">
        <w:rPr>
          <w:rFonts w:eastAsia="Calibri"/>
        </w:rPr>
        <w:t xml:space="preserve"> the adoption of a legal instrument</w:t>
      </w:r>
      <w:r w:rsidR="00435A89">
        <w:rPr>
          <w:rFonts w:eastAsia="Calibri"/>
        </w:rPr>
        <w:t>;</w:t>
      </w:r>
    </w:p>
    <w:p w:rsidR="000F59E5" w:rsidRPr="00EF573B" w:rsidRDefault="000F59E5" w:rsidP="00B1210E">
      <w:pPr>
        <w:pStyle w:val="Bullet2G"/>
        <w:rPr>
          <w:rFonts w:eastAsia="Calibri"/>
        </w:rPr>
      </w:pPr>
      <w:r>
        <w:rPr>
          <w:rFonts w:eastAsia="Calibri"/>
        </w:rPr>
        <w:t>Civil</w:t>
      </w:r>
      <w:r w:rsidRPr="00EF573B">
        <w:rPr>
          <w:rFonts w:eastAsia="Calibri"/>
        </w:rPr>
        <w:t xml:space="preserve"> society </w:t>
      </w:r>
      <w:r>
        <w:rPr>
          <w:rFonts w:eastAsia="Calibri"/>
        </w:rPr>
        <w:t xml:space="preserve">organizations have a crucial role </w:t>
      </w:r>
      <w:r w:rsidRPr="00EF573B">
        <w:rPr>
          <w:rFonts w:eastAsia="Calibri"/>
        </w:rPr>
        <w:t xml:space="preserve">in </w:t>
      </w:r>
      <w:r>
        <w:rPr>
          <w:rFonts w:eastAsia="Calibri"/>
        </w:rPr>
        <w:t>promoting</w:t>
      </w:r>
      <w:r w:rsidRPr="00EF573B">
        <w:rPr>
          <w:rFonts w:eastAsia="Calibri"/>
        </w:rPr>
        <w:t xml:space="preserve"> the adoption of international legal instruments</w:t>
      </w:r>
      <w:r w:rsidR="00435A89">
        <w:rPr>
          <w:rFonts w:eastAsia="Calibri"/>
        </w:rPr>
        <w:t>;</w:t>
      </w:r>
    </w:p>
    <w:p w:rsidR="000F59E5" w:rsidRPr="00EF573B" w:rsidRDefault="000F59E5" w:rsidP="00B1210E">
      <w:pPr>
        <w:pStyle w:val="Bullet2G"/>
        <w:rPr>
          <w:rFonts w:eastAsia="Calibri"/>
        </w:rPr>
      </w:pPr>
      <w:r>
        <w:rPr>
          <w:rFonts w:eastAsia="Calibri"/>
        </w:rPr>
        <w:t>E</w:t>
      </w:r>
      <w:r w:rsidRPr="00EF573B">
        <w:rPr>
          <w:rFonts w:eastAsia="Calibri"/>
        </w:rPr>
        <w:t>ven the most laudable initiatives</w:t>
      </w:r>
      <w:r>
        <w:rPr>
          <w:rFonts w:eastAsia="Calibri"/>
        </w:rPr>
        <w:t xml:space="preserve"> face initial resistance</w:t>
      </w:r>
      <w:r w:rsidRPr="00EF573B">
        <w:rPr>
          <w:rFonts w:eastAsia="Calibri"/>
        </w:rPr>
        <w:t>.</w:t>
      </w:r>
    </w:p>
    <w:p w:rsidR="000F59E5" w:rsidRPr="00EF573B" w:rsidRDefault="000F59E5" w:rsidP="00012D0C">
      <w:pPr>
        <w:pStyle w:val="SingleTxtG"/>
        <w:ind w:firstLine="567"/>
        <w:rPr>
          <w:rFonts w:eastAsia="Calibri"/>
        </w:rPr>
      </w:pPr>
      <w:r>
        <w:rPr>
          <w:rFonts w:eastAsia="Calibri"/>
        </w:rPr>
        <w:t>e.</w:t>
      </w:r>
      <w:r w:rsidR="00B1210E">
        <w:rPr>
          <w:rFonts w:eastAsia="Calibri"/>
        </w:rPr>
        <w:tab/>
      </w:r>
      <w:r w:rsidRPr="0046571E">
        <w:rPr>
          <w:rFonts w:eastAsia="Calibri"/>
        </w:rPr>
        <w:t>Regardless and independently of the work of the Special Rapporteur, the MAPPING</w:t>
      </w:r>
      <w:r w:rsidRPr="00EF573B">
        <w:rPr>
          <w:rFonts w:eastAsia="Calibri"/>
        </w:rPr>
        <w:t xml:space="preserve"> project will present the current legal instrument as part of its ‘Policy Brief and Road Map on Internet Governance’ to the European Commission </w:t>
      </w:r>
      <w:r>
        <w:rPr>
          <w:rFonts w:eastAsia="Calibri"/>
        </w:rPr>
        <w:t xml:space="preserve">by </w:t>
      </w:r>
      <w:r w:rsidRPr="00EF573B">
        <w:rPr>
          <w:rFonts w:eastAsia="Calibri"/>
        </w:rPr>
        <w:t>30 April 2018</w:t>
      </w:r>
      <w:r>
        <w:rPr>
          <w:rFonts w:eastAsia="Calibri"/>
        </w:rPr>
        <w:t xml:space="preserve">, </w:t>
      </w:r>
      <w:r w:rsidRPr="00EF573B">
        <w:rPr>
          <w:rFonts w:eastAsia="Calibri"/>
        </w:rPr>
        <w:t>and eventually to the European Parliament and the European Council</w:t>
      </w:r>
      <w:r>
        <w:rPr>
          <w:rFonts w:eastAsia="Calibri"/>
        </w:rPr>
        <w:t>.</w:t>
      </w:r>
      <w:r w:rsidRPr="00CB0B42" w:rsidDel="009F3A53">
        <w:rPr>
          <w:rFonts w:eastAsia="Calibri"/>
        </w:rPr>
        <w:t xml:space="preserve"> </w:t>
      </w:r>
      <w:r>
        <w:rPr>
          <w:rFonts w:eastAsia="Calibri"/>
        </w:rPr>
        <w:t>.</w:t>
      </w:r>
      <w:r w:rsidRPr="00EF573B">
        <w:rPr>
          <w:rFonts w:eastAsia="Calibri"/>
        </w:rPr>
        <w:t xml:space="preserve"> </w:t>
      </w:r>
      <w:r>
        <w:rPr>
          <w:rFonts w:eastAsia="Calibri"/>
        </w:rPr>
        <w:t xml:space="preserve">The European Union </w:t>
      </w:r>
      <w:r w:rsidRPr="00EF573B">
        <w:rPr>
          <w:rFonts w:eastAsia="Calibri"/>
        </w:rPr>
        <w:t>would</w:t>
      </w:r>
      <w:r>
        <w:rPr>
          <w:rFonts w:eastAsia="Calibri"/>
        </w:rPr>
        <w:t xml:space="preserve"> possibly</w:t>
      </w:r>
      <w:r w:rsidRPr="00EF573B">
        <w:rPr>
          <w:rFonts w:eastAsia="Calibri"/>
        </w:rPr>
        <w:t xml:space="preserve"> be one of the first important regional groupings situated to eventually support a legal instrument on surveillance and privacy at the global level</w:t>
      </w:r>
      <w:r>
        <w:rPr>
          <w:rFonts w:eastAsia="Calibri"/>
        </w:rPr>
        <w:t>.</w:t>
      </w:r>
    </w:p>
    <w:p w:rsidR="000F59E5" w:rsidRDefault="00B1210E" w:rsidP="00012D0C">
      <w:pPr>
        <w:pStyle w:val="SingleTxtG"/>
        <w:ind w:firstLine="567"/>
        <w:rPr>
          <w:rFonts w:eastAsia="Calibri"/>
        </w:rPr>
      </w:pPr>
      <w:r>
        <w:rPr>
          <w:rFonts w:eastAsia="Calibri"/>
        </w:rPr>
        <w:t>f.</w:t>
      </w:r>
      <w:r>
        <w:rPr>
          <w:rFonts w:eastAsia="Calibri"/>
        </w:rPr>
        <w:tab/>
      </w:r>
      <w:r w:rsidR="000F59E5" w:rsidRPr="00EF573B">
        <w:rPr>
          <w:rFonts w:eastAsia="Calibri"/>
        </w:rPr>
        <w:t xml:space="preserve">Preliminary discussions indicate </w:t>
      </w:r>
      <w:r w:rsidR="000F59E5">
        <w:rPr>
          <w:rFonts w:eastAsia="Calibri"/>
        </w:rPr>
        <w:t>a</w:t>
      </w:r>
      <w:r w:rsidR="000F59E5" w:rsidRPr="00EF573B">
        <w:rPr>
          <w:rFonts w:eastAsia="Calibri"/>
        </w:rPr>
        <w:t xml:space="preserve"> strong</w:t>
      </w:r>
      <w:r w:rsidR="000F59E5">
        <w:rPr>
          <w:rFonts w:eastAsia="Calibri"/>
        </w:rPr>
        <w:t>er potential</w:t>
      </w:r>
      <w:r w:rsidR="000F59E5" w:rsidRPr="00EF573B">
        <w:rPr>
          <w:rFonts w:eastAsia="Calibri"/>
        </w:rPr>
        <w:t xml:space="preserve"> interest in the draft legal instrument in Latin America and </w:t>
      </w:r>
      <w:r w:rsidR="000F59E5">
        <w:rPr>
          <w:rFonts w:eastAsia="Calibri"/>
        </w:rPr>
        <w:t xml:space="preserve">in </w:t>
      </w:r>
      <w:r w:rsidR="000F59E5" w:rsidRPr="00EF573B">
        <w:rPr>
          <w:rFonts w:eastAsia="Calibri"/>
        </w:rPr>
        <w:t>Africa</w:t>
      </w:r>
      <w:r w:rsidR="000F59E5">
        <w:rPr>
          <w:rFonts w:eastAsia="Calibri"/>
        </w:rPr>
        <w:t>,</w:t>
      </w:r>
      <w:r w:rsidR="000F59E5" w:rsidRPr="00EF573B">
        <w:rPr>
          <w:rFonts w:eastAsia="Calibri"/>
        </w:rPr>
        <w:t xml:space="preserve"> but this needs further exploration and development</w:t>
      </w:r>
      <w:r w:rsidR="000F59E5">
        <w:rPr>
          <w:rFonts w:eastAsia="Calibri"/>
        </w:rPr>
        <w:t>.</w:t>
      </w:r>
    </w:p>
    <w:p w:rsidR="000F59E5" w:rsidRDefault="000F59E5" w:rsidP="00012D0C">
      <w:pPr>
        <w:pStyle w:val="SingleTxtG"/>
        <w:ind w:firstLine="567"/>
        <w:rPr>
          <w:rFonts w:eastAsia="Calibri"/>
        </w:rPr>
      </w:pPr>
      <w:r>
        <w:rPr>
          <w:rFonts w:eastAsia="Calibri"/>
        </w:rPr>
        <w:t>g.</w:t>
      </w:r>
      <w:r>
        <w:rPr>
          <w:rFonts w:eastAsia="Calibri"/>
        </w:rPr>
        <w:tab/>
        <w:t>The f</w:t>
      </w:r>
      <w:r w:rsidRPr="00EF573B">
        <w:rPr>
          <w:rFonts w:eastAsia="Calibri"/>
        </w:rPr>
        <w:t>eedback from stakeholders</w:t>
      </w:r>
      <w:r>
        <w:rPr>
          <w:rFonts w:eastAsia="Calibri"/>
        </w:rPr>
        <w:t xml:space="preserve"> which participated in the successive consultations indicated:</w:t>
      </w:r>
    </w:p>
    <w:p w:rsidR="000F59E5" w:rsidRPr="00A2620A" w:rsidRDefault="000F59E5" w:rsidP="00B1210E">
      <w:pPr>
        <w:pStyle w:val="Bullet2G"/>
        <w:rPr>
          <w:rFonts w:eastAsia="Calibri"/>
        </w:rPr>
      </w:pPr>
      <w:r>
        <w:rPr>
          <w:rFonts w:eastAsia="Calibri"/>
        </w:rPr>
        <w:t>T</w:t>
      </w:r>
      <w:r w:rsidRPr="00A2620A">
        <w:rPr>
          <w:rFonts w:eastAsia="Calibri"/>
        </w:rPr>
        <w:t xml:space="preserve">he </w:t>
      </w:r>
      <w:r>
        <w:rPr>
          <w:rFonts w:eastAsia="Calibri"/>
        </w:rPr>
        <w:t xml:space="preserve">regional and global </w:t>
      </w:r>
      <w:r w:rsidRPr="00A2620A">
        <w:rPr>
          <w:rFonts w:eastAsia="Calibri"/>
        </w:rPr>
        <w:t>law enforcement community, including EUROPOL and INTERPOL</w:t>
      </w:r>
      <w:r>
        <w:rPr>
          <w:rFonts w:eastAsia="Calibri"/>
        </w:rPr>
        <w:t>,</w:t>
      </w:r>
      <w:r w:rsidRPr="00A2620A">
        <w:rPr>
          <w:rFonts w:eastAsia="Calibri"/>
        </w:rPr>
        <w:t xml:space="preserve"> have shown strong interest in many of the provisions of the draft legal instrument</w:t>
      </w:r>
      <w:r>
        <w:rPr>
          <w:rFonts w:eastAsia="Calibri"/>
        </w:rPr>
        <w:t>,</w:t>
      </w:r>
      <w:r w:rsidRPr="00A2620A">
        <w:rPr>
          <w:rFonts w:eastAsia="Calibri"/>
        </w:rPr>
        <w:t xml:space="preserve"> but also </w:t>
      </w:r>
      <w:r>
        <w:rPr>
          <w:rFonts w:eastAsia="Calibri"/>
        </w:rPr>
        <w:t xml:space="preserve">indicated </w:t>
      </w:r>
      <w:r w:rsidRPr="00A2620A">
        <w:rPr>
          <w:rFonts w:eastAsia="Calibri"/>
        </w:rPr>
        <w:t>that considerable time (</w:t>
      </w:r>
      <w:r>
        <w:rPr>
          <w:rFonts w:eastAsia="Calibri"/>
        </w:rPr>
        <w:t>between two and three</w:t>
      </w:r>
      <w:r w:rsidRPr="00A2620A">
        <w:rPr>
          <w:rFonts w:eastAsia="Calibri"/>
        </w:rPr>
        <w:t xml:space="preserve"> years) </w:t>
      </w:r>
      <w:r>
        <w:rPr>
          <w:rFonts w:eastAsia="Calibri"/>
        </w:rPr>
        <w:t xml:space="preserve">would be </w:t>
      </w:r>
      <w:r w:rsidRPr="00A2620A">
        <w:rPr>
          <w:rFonts w:eastAsia="Calibri"/>
        </w:rPr>
        <w:t>required for further detailed consultation within their communities</w:t>
      </w:r>
      <w:r w:rsidR="004D6359">
        <w:rPr>
          <w:rFonts w:eastAsia="Calibri"/>
        </w:rPr>
        <w:t>;</w:t>
      </w:r>
    </w:p>
    <w:p w:rsidR="000F59E5" w:rsidRPr="00EF573B" w:rsidRDefault="000F59E5" w:rsidP="00B1210E">
      <w:pPr>
        <w:pStyle w:val="Bullet2G"/>
        <w:rPr>
          <w:rFonts w:eastAsia="Calibri"/>
        </w:rPr>
      </w:pPr>
      <w:r>
        <w:rPr>
          <w:rFonts w:eastAsia="Calibri"/>
        </w:rPr>
        <w:t>F</w:t>
      </w:r>
      <w:r w:rsidRPr="00EF573B">
        <w:rPr>
          <w:rFonts w:eastAsia="Calibri"/>
        </w:rPr>
        <w:t>ederations of bar associations and lawyers defending privacy cases for activists very strongly support the draft legal instrument</w:t>
      </w:r>
      <w:r>
        <w:rPr>
          <w:rFonts w:eastAsia="Calibri"/>
        </w:rPr>
        <w:t>,</w:t>
      </w:r>
      <w:r w:rsidRPr="00EF573B">
        <w:rPr>
          <w:rFonts w:eastAsia="Calibri"/>
        </w:rPr>
        <w:t xml:space="preserve"> including the proposed mechanisms such as those for International Data Access Warrant</w:t>
      </w:r>
      <w:r w:rsidR="004D6359">
        <w:rPr>
          <w:rFonts w:eastAsia="Calibri"/>
        </w:rPr>
        <w:t>;</w:t>
      </w:r>
    </w:p>
    <w:p w:rsidR="000F59E5" w:rsidRPr="00EF573B" w:rsidRDefault="000F59E5" w:rsidP="00B1210E">
      <w:pPr>
        <w:pStyle w:val="Bullet2G"/>
        <w:rPr>
          <w:rFonts w:eastAsia="Calibri"/>
        </w:rPr>
      </w:pPr>
      <w:r>
        <w:rPr>
          <w:rFonts w:eastAsia="Calibri"/>
        </w:rPr>
        <w:t>T</w:t>
      </w:r>
      <w:r w:rsidRPr="00EF573B">
        <w:rPr>
          <w:rFonts w:eastAsia="Calibri"/>
        </w:rPr>
        <w:t xml:space="preserve">he corporate community indicates </w:t>
      </w:r>
      <w:r>
        <w:rPr>
          <w:rFonts w:eastAsia="Calibri"/>
        </w:rPr>
        <w:t xml:space="preserve">a </w:t>
      </w:r>
      <w:r w:rsidRPr="00EF573B">
        <w:rPr>
          <w:rFonts w:eastAsia="Calibri"/>
        </w:rPr>
        <w:t>strong interest in the draft legal instrument</w:t>
      </w:r>
      <w:r>
        <w:rPr>
          <w:rFonts w:eastAsia="Calibri"/>
        </w:rPr>
        <w:t>,</w:t>
      </w:r>
      <w:r w:rsidRPr="00EF573B">
        <w:rPr>
          <w:rFonts w:eastAsia="Calibri"/>
        </w:rPr>
        <w:t xml:space="preserve"> especially insofar as it reflects the principles </w:t>
      </w:r>
      <w:r>
        <w:rPr>
          <w:rFonts w:eastAsia="Calibri"/>
        </w:rPr>
        <w:t>p</w:t>
      </w:r>
      <w:r w:rsidRPr="00EF573B">
        <w:rPr>
          <w:rFonts w:eastAsia="Calibri"/>
        </w:rPr>
        <w:t>ublicly endorsed</w:t>
      </w:r>
      <w:r>
        <w:rPr>
          <w:rFonts w:eastAsia="Calibri"/>
        </w:rPr>
        <w:t xml:space="preserve"> by the Reform Go</w:t>
      </w:r>
      <w:r w:rsidR="004D6359">
        <w:rPr>
          <w:rFonts w:eastAsia="Calibri"/>
        </w:rPr>
        <w:t>vernment Surveillance coalition;</w:t>
      </w:r>
      <w:r>
        <w:rPr>
          <w:rStyle w:val="FootnoteReference"/>
          <w:rFonts w:eastAsia="Calibri"/>
        </w:rPr>
        <w:footnoteReference w:id="41"/>
      </w:r>
    </w:p>
    <w:p w:rsidR="000F59E5" w:rsidRPr="00EE77CF" w:rsidRDefault="000F59E5" w:rsidP="00B1210E">
      <w:pPr>
        <w:pStyle w:val="Bullet2G"/>
        <w:rPr>
          <w:rFonts w:eastAsia="Calibri"/>
        </w:rPr>
      </w:pPr>
      <w:r>
        <w:rPr>
          <w:rFonts w:eastAsia="Calibri"/>
        </w:rPr>
        <w:t>T</w:t>
      </w:r>
      <w:r w:rsidRPr="00EF573B">
        <w:rPr>
          <w:rFonts w:eastAsia="Calibri"/>
        </w:rPr>
        <w:t xml:space="preserve">he intelligence communities indicate there are some countries with advanced legislation </w:t>
      </w:r>
      <w:r>
        <w:rPr>
          <w:rFonts w:eastAsia="Calibri"/>
        </w:rPr>
        <w:t xml:space="preserve">that are </w:t>
      </w:r>
      <w:r w:rsidRPr="00EF573B">
        <w:rPr>
          <w:rFonts w:eastAsia="Calibri"/>
        </w:rPr>
        <w:t>90</w:t>
      </w:r>
      <w:r>
        <w:rPr>
          <w:rFonts w:eastAsia="Calibri"/>
        </w:rPr>
        <w:t xml:space="preserve"> percent</w:t>
      </w:r>
      <w:r w:rsidRPr="00EF573B">
        <w:rPr>
          <w:rFonts w:eastAsia="Calibri"/>
        </w:rPr>
        <w:t xml:space="preserve"> </w:t>
      </w:r>
      <w:r>
        <w:rPr>
          <w:rFonts w:eastAsia="Calibri"/>
        </w:rPr>
        <w:t xml:space="preserve">in </w:t>
      </w:r>
      <w:r w:rsidRPr="00EF573B">
        <w:rPr>
          <w:rFonts w:eastAsia="Calibri"/>
        </w:rPr>
        <w:t>compliance with the current draft legal instrument</w:t>
      </w:r>
      <w:r>
        <w:rPr>
          <w:rFonts w:eastAsia="Calibri"/>
        </w:rPr>
        <w:t>.</w:t>
      </w:r>
      <w:r w:rsidRPr="00EF573B">
        <w:rPr>
          <w:rFonts w:eastAsia="Calibri"/>
        </w:rPr>
        <w:t xml:space="preserve"> </w:t>
      </w:r>
      <w:r>
        <w:rPr>
          <w:rFonts w:eastAsia="Calibri"/>
        </w:rPr>
        <w:t>M</w:t>
      </w:r>
      <w:r w:rsidRPr="00EF573B">
        <w:rPr>
          <w:rFonts w:eastAsia="Calibri"/>
        </w:rPr>
        <w:t xml:space="preserve">ore work is required on the definition of targeted surveillance and the limited application of bulk surveillance to make these more practical </w:t>
      </w:r>
      <w:r w:rsidR="004D6359">
        <w:rPr>
          <w:rFonts w:eastAsia="Calibri"/>
        </w:rPr>
        <w:t>and appropriate;</w:t>
      </w:r>
    </w:p>
    <w:p w:rsidR="000F59E5" w:rsidRPr="006467D7" w:rsidRDefault="000F59E5" w:rsidP="00B1210E">
      <w:pPr>
        <w:pStyle w:val="Bullet2G"/>
        <w:rPr>
          <w:rFonts w:eastAsia="Calibri"/>
        </w:rPr>
      </w:pPr>
      <w:r w:rsidRPr="00EE77CF">
        <w:rPr>
          <w:rFonts w:eastAsia="Calibri"/>
        </w:rPr>
        <w:t>Concerns of civil society have focused on the timing of the process, the risk that some States may hijack the text to dilute p</w:t>
      </w:r>
      <w:r w:rsidR="004D6359">
        <w:rPr>
          <w:rFonts w:eastAsia="Calibri"/>
        </w:rPr>
        <w:t>rotections and specific wording;</w:t>
      </w:r>
    </w:p>
    <w:p w:rsidR="000F59E5" w:rsidRPr="00EF573B" w:rsidRDefault="000F59E5" w:rsidP="00B1210E">
      <w:pPr>
        <w:pStyle w:val="Bullet2G"/>
        <w:rPr>
          <w:rFonts w:eastAsia="Calibri"/>
        </w:rPr>
      </w:pPr>
      <w:r w:rsidRPr="00EF573B">
        <w:rPr>
          <w:rFonts w:eastAsia="Calibri"/>
        </w:rPr>
        <w:t>The European region is awaiting the outcomes from some cases in the European Court of Justice and the European Court of Human Rights</w:t>
      </w:r>
      <w:r>
        <w:rPr>
          <w:rFonts w:eastAsia="Calibri"/>
        </w:rPr>
        <w:t xml:space="preserve">, </w:t>
      </w:r>
      <w:r w:rsidRPr="00EF573B">
        <w:rPr>
          <w:rFonts w:eastAsia="Calibri"/>
        </w:rPr>
        <w:t>which are expected in late 2018 or 2019. The outcomes may strengthen the interest of European groupings in a draft legal instrument</w:t>
      </w:r>
      <w:r>
        <w:rPr>
          <w:rFonts w:eastAsia="Calibri"/>
        </w:rPr>
        <w:t>,</w:t>
      </w:r>
      <w:r w:rsidRPr="00EF573B">
        <w:rPr>
          <w:rFonts w:eastAsia="Calibri"/>
        </w:rPr>
        <w:t xml:space="preserve"> but these and other considerations are currently a brake on consensual progress</w:t>
      </w:r>
      <w:r>
        <w:rPr>
          <w:rFonts w:eastAsia="Calibri"/>
        </w:rPr>
        <w:t>. This</w:t>
      </w:r>
      <w:r w:rsidRPr="00EF573B">
        <w:rPr>
          <w:rFonts w:eastAsia="Calibri"/>
        </w:rPr>
        <w:t xml:space="preserve"> may not ease before 2019-2021</w:t>
      </w:r>
      <w:r>
        <w:rPr>
          <w:rFonts w:eastAsia="Calibri"/>
        </w:rPr>
        <w:t>.</w:t>
      </w:r>
    </w:p>
    <w:p w:rsidR="000F59E5" w:rsidRPr="00022DCD" w:rsidRDefault="000F59E5" w:rsidP="00B1210E">
      <w:pPr>
        <w:pStyle w:val="H23G"/>
        <w:rPr>
          <w:sz w:val="10"/>
        </w:rPr>
      </w:pPr>
      <w:r w:rsidRPr="00022DCD">
        <w:tab/>
      </w:r>
      <w:r>
        <w:t>4</w:t>
      </w:r>
      <w:r w:rsidRPr="00022DCD">
        <w:t>.</w:t>
      </w:r>
      <w:r w:rsidRPr="00022DCD">
        <w:tab/>
      </w:r>
      <w:r w:rsidRPr="009F723A">
        <w:t>Surveillance-specific recommendations</w:t>
      </w:r>
    </w:p>
    <w:p w:rsidR="000F59E5" w:rsidRDefault="000F59E5" w:rsidP="000F59E5">
      <w:pPr>
        <w:pStyle w:val="SingleTxtG"/>
        <w:rPr>
          <w:rFonts w:eastAsia="Calibri"/>
        </w:rPr>
      </w:pPr>
      <w:r>
        <w:rPr>
          <w:rFonts w:eastAsia="Calibri"/>
        </w:rPr>
        <w:t>116.</w:t>
      </w:r>
      <w:r>
        <w:rPr>
          <w:rFonts w:eastAsia="Calibri"/>
        </w:rPr>
        <w:tab/>
      </w:r>
      <w:r w:rsidRPr="00EF573B">
        <w:rPr>
          <w:rFonts w:eastAsia="Calibri"/>
        </w:rPr>
        <w:t xml:space="preserve">The Human Rights Council </w:t>
      </w:r>
      <w:r>
        <w:rPr>
          <w:rFonts w:eastAsia="Calibri"/>
        </w:rPr>
        <w:t>should consider</w:t>
      </w:r>
      <w:r w:rsidRPr="00EF573B">
        <w:rPr>
          <w:rFonts w:eastAsia="Calibri"/>
        </w:rPr>
        <w:t xml:space="preserve"> the content of Appendix </w:t>
      </w:r>
      <w:r>
        <w:rPr>
          <w:rFonts w:eastAsia="Calibri"/>
        </w:rPr>
        <w:t>7</w:t>
      </w:r>
      <w:r w:rsidRPr="00EF573B">
        <w:rPr>
          <w:rFonts w:eastAsia="Calibri"/>
        </w:rPr>
        <w:t xml:space="preserve"> </w:t>
      </w:r>
      <w:r>
        <w:rPr>
          <w:rFonts w:eastAsia="Calibri"/>
        </w:rPr>
        <w:t xml:space="preserve">in order to identify the issues and some of the solutions that may eventually be considered for inclusion within </w:t>
      </w:r>
      <w:r w:rsidRPr="00EF573B">
        <w:rPr>
          <w:rFonts w:eastAsia="Calibri"/>
        </w:rPr>
        <w:t>a future international legal instrument on privacy and surveillance</w:t>
      </w:r>
      <w:r>
        <w:rPr>
          <w:rFonts w:eastAsia="Calibri"/>
        </w:rPr>
        <w:t>.</w:t>
      </w:r>
    </w:p>
    <w:p w:rsidR="000F59E5" w:rsidRPr="00EF573B" w:rsidRDefault="000F59E5" w:rsidP="000F59E5">
      <w:pPr>
        <w:pStyle w:val="SingleTxtG"/>
        <w:rPr>
          <w:rFonts w:eastAsia="Calibri"/>
        </w:rPr>
      </w:pPr>
      <w:r>
        <w:rPr>
          <w:rFonts w:eastAsia="Calibri"/>
        </w:rPr>
        <w:t>117.</w:t>
      </w:r>
      <w:r>
        <w:rPr>
          <w:rFonts w:eastAsia="Calibri"/>
        </w:rPr>
        <w:tab/>
        <w:t>M</w:t>
      </w:r>
      <w:r w:rsidRPr="00EF573B">
        <w:rPr>
          <w:rFonts w:eastAsia="Calibri"/>
        </w:rPr>
        <w:t xml:space="preserve">ember </w:t>
      </w:r>
      <w:r>
        <w:rPr>
          <w:rFonts w:eastAsia="Calibri"/>
        </w:rPr>
        <w:t>S</w:t>
      </w:r>
      <w:r w:rsidRPr="00EF573B">
        <w:rPr>
          <w:rFonts w:eastAsia="Calibri"/>
        </w:rPr>
        <w:t xml:space="preserve">tates with an interest in a legal instrument substantively advancing remedies and solutions aligned with those in Appendix </w:t>
      </w:r>
      <w:r>
        <w:rPr>
          <w:rFonts w:eastAsia="Calibri"/>
        </w:rPr>
        <w:t>7 should</w:t>
      </w:r>
      <w:r w:rsidRPr="00EF573B">
        <w:rPr>
          <w:rFonts w:eastAsia="Calibri"/>
        </w:rPr>
        <w:t xml:space="preserve"> contact the </w:t>
      </w:r>
      <w:r>
        <w:rPr>
          <w:rFonts w:eastAsia="Calibri"/>
        </w:rPr>
        <w:t>Special Rapporteur</w:t>
      </w:r>
      <w:r w:rsidRPr="00EF573B">
        <w:rPr>
          <w:rFonts w:eastAsia="Calibri"/>
        </w:rPr>
        <w:t xml:space="preserve"> in order to further explore options in taking these principles further at national, regional and international levels</w:t>
      </w:r>
      <w:r>
        <w:rPr>
          <w:rFonts w:eastAsia="Calibri"/>
        </w:rPr>
        <w:t>.</w:t>
      </w:r>
    </w:p>
    <w:p w:rsidR="000F59E5" w:rsidRDefault="000F59E5" w:rsidP="000F59E5">
      <w:pPr>
        <w:pStyle w:val="SingleTxtG"/>
        <w:rPr>
          <w:rFonts w:eastAsia="Calibri"/>
        </w:rPr>
      </w:pPr>
      <w:r>
        <w:rPr>
          <w:rFonts w:eastAsia="Calibri"/>
        </w:rPr>
        <w:t>118.</w:t>
      </w:r>
      <w:r>
        <w:rPr>
          <w:rFonts w:eastAsia="Calibri"/>
        </w:rPr>
        <w:tab/>
      </w:r>
      <w:r w:rsidRPr="00EF573B">
        <w:rPr>
          <w:rFonts w:eastAsia="Calibri"/>
        </w:rPr>
        <w:t xml:space="preserve">Given the timing considerations outlined above, the </w:t>
      </w:r>
      <w:r>
        <w:rPr>
          <w:rFonts w:eastAsia="Calibri"/>
        </w:rPr>
        <w:t>Special Rapporteur</w:t>
      </w:r>
      <w:r w:rsidRPr="00EF573B">
        <w:rPr>
          <w:rFonts w:eastAsia="Calibri"/>
        </w:rPr>
        <w:t xml:space="preserve"> </w:t>
      </w:r>
      <w:r>
        <w:rPr>
          <w:rFonts w:eastAsia="Calibri"/>
        </w:rPr>
        <w:t xml:space="preserve">proposes to, if appropriate and timely, </w:t>
      </w:r>
      <w:r w:rsidRPr="00EF573B">
        <w:rPr>
          <w:rFonts w:eastAsia="Calibri"/>
        </w:rPr>
        <w:t>report with further recommendations to the Human Rights Council in March 2021.</w:t>
      </w:r>
    </w:p>
    <w:p w:rsidR="000F59E5" w:rsidRPr="002E37B2" w:rsidRDefault="000F59E5" w:rsidP="00B1210E">
      <w:pPr>
        <w:pStyle w:val="H1G"/>
        <w:rPr>
          <w:rFonts w:eastAsia="Calibri"/>
          <w:lang w:val="en-US"/>
        </w:rPr>
      </w:pPr>
      <w:r w:rsidRPr="002E37B2">
        <w:rPr>
          <w:rFonts w:eastAsia="Calibri"/>
          <w:lang w:val="en-US"/>
        </w:rPr>
        <w:tab/>
      </w:r>
      <w:r>
        <w:rPr>
          <w:rFonts w:eastAsia="Calibri"/>
          <w:lang w:val="en-US"/>
        </w:rPr>
        <w:t>C</w:t>
      </w:r>
      <w:r w:rsidR="00A8613A">
        <w:rPr>
          <w:rFonts w:eastAsia="Calibri"/>
          <w:lang w:val="en-US"/>
        </w:rPr>
        <w:t>.</w:t>
      </w:r>
      <w:r w:rsidRPr="002E37B2">
        <w:rPr>
          <w:rFonts w:eastAsia="Calibri"/>
          <w:lang w:val="en-US"/>
        </w:rPr>
        <w:tab/>
      </w:r>
      <w:r>
        <w:rPr>
          <w:rFonts w:eastAsia="Calibri"/>
          <w:lang w:val="en-US"/>
        </w:rPr>
        <w:t>The m</w:t>
      </w:r>
      <w:r w:rsidRPr="00ED0E5D">
        <w:rPr>
          <w:rFonts w:eastAsia="Calibri"/>
          <w:lang w:val="en-US"/>
        </w:rPr>
        <w:t>andate of the Special Rapporteur on the right to privacy</w:t>
      </w:r>
    </w:p>
    <w:p w:rsidR="000F59E5" w:rsidRPr="00EF573B" w:rsidRDefault="000F59E5" w:rsidP="000F59E5">
      <w:pPr>
        <w:pStyle w:val="SingleTxtG"/>
        <w:rPr>
          <w:rFonts w:eastAsia="Calibri"/>
        </w:rPr>
      </w:pPr>
      <w:r>
        <w:rPr>
          <w:rFonts w:eastAsia="Calibri"/>
          <w:bCs/>
        </w:rPr>
        <w:t>119</w:t>
      </w:r>
      <w:r>
        <w:rPr>
          <w:rFonts w:eastAsia="Calibri"/>
        </w:rPr>
        <w:t>.</w:t>
      </w:r>
      <w:r>
        <w:rPr>
          <w:rFonts w:eastAsia="Calibri"/>
        </w:rPr>
        <w:tab/>
        <w:t xml:space="preserve">David </w:t>
      </w:r>
      <w:proofErr w:type="spellStart"/>
      <w:r w:rsidRPr="00EF573B">
        <w:rPr>
          <w:rFonts w:eastAsia="Calibri"/>
        </w:rPr>
        <w:t>Weissbrodt</w:t>
      </w:r>
      <w:proofErr w:type="spellEnd"/>
      <w:r w:rsidRPr="00EF573B">
        <w:rPr>
          <w:rFonts w:eastAsia="Calibri"/>
        </w:rPr>
        <w:t xml:space="preserve"> (1986) recounts the experience of the first thematic Special Rapporteur (the Special Rapporteur against </w:t>
      </w:r>
      <w:r>
        <w:rPr>
          <w:rFonts w:eastAsia="Calibri"/>
        </w:rPr>
        <w:t>s</w:t>
      </w:r>
      <w:r w:rsidRPr="00EF573B">
        <w:rPr>
          <w:rFonts w:eastAsia="Calibri"/>
        </w:rPr>
        <w:t xml:space="preserve">ummary or </w:t>
      </w:r>
      <w:r>
        <w:rPr>
          <w:rFonts w:eastAsia="Calibri"/>
        </w:rPr>
        <w:t>a</w:t>
      </w:r>
      <w:r w:rsidRPr="00EF573B">
        <w:rPr>
          <w:rFonts w:eastAsia="Calibri"/>
        </w:rPr>
        <w:t xml:space="preserve">rbitrary </w:t>
      </w:r>
      <w:r>
        <w:rPr>
          <w:rFonts w:eastAsia="Calibri"/>
        </w:rPr>
        <w:t>e</w:t>
      </w:r>
      <w:r w:rsidRPr="00EF573B">
        <w:rPr>
          <w:rFonts w:eastAsia="Calibri"/>
        </w:rPr>
        <w:t xml:space="preserve">xecutions) when appealing for the attention of a State to a case. The relevant government responded to the Rapporteur’s communication </w:t>
      </w:r>
      <w:r>
        <w:rPr>
          <w:rFonts w:eastAsia="Calibri"/>
        </w:rPr>
        <w:t>by</w:t>
      </w:r>
      <w:r w:rsidRPr="00EF573B">
        <w:rPr>
          <w:rFonts w:eastAsia="Calibri"/>
        </w:rPr>
        <w:t xml:space="preserve"> question</w:t>
      </w:r>
      <w:r>
        <w:rPr>
          <w:rFonts w:eastAsia="Calibri"/>
        </w:rPr>
        <w:t>ing</w:t>
      </w:r>
      <w:r w:rsidRPr="00EF573B">
        <w:rPr>
          <w:rFonts w:eastAsia="Calibri"/>
        </w:rPr>
        <w:t xml:space="preserve"> the Special Rapporteur’s ability to make such an appeal.</w:t>
      </w:r>
      <w:r w:rsidRPr="00EF573B">
        <w:rPr>
          <w:rFonts w:eastAsia="Calibri"/>
          <w:vertAlign w:val="superscript"/>
        </w:rPr>
        <w:footnoteReference w:id="42"/>
      </w:r>
      <w:r w:rsidRPr="00EF573B">
        <w:rPr>
          <w:rFonts w:eastAsia="Calibri"/>
        </w:rPr>
        <w:t xml:space="preserve"> </w:t>
      </w:r>
    </w:p>
    <w:p w:rsidR="000F59E5" w:rsidRPr="00EF573B" w:rsidRDefault="000F59E5" w:rsidP="000F59E5">
      <w:pPr>
        <w:pStyle w:val="SingleTxtG"/>
        <w:rPr>
          <w:rFonts w:eastAsia="Calibri"/>
        </w:rPr>
      </w:pPr>
      <w:r>
        <w:rPr>
          <w:rFonts w:eastAsia="Calibri"/>
        </w:rPr>
        <w:t>120.</w:t>
      </w:r>
      <w:r>
        <w:rPr>
          <w:rFonts w:eastAsia="Calibri"/>
        </w:rPr>
        <w:tab/>
        <w:t>The</w:t>
      </w:r>
      <w:r w:rsidRPr="00EF573B">
        <w:rPr>
          <w:rFonts w:eastAsia="Calibri"/>
        </w:rPr>
        <w:t xml:space="preserve"> Special Rapporteur</w:t>
      </w:r>
      <w:r>
        <w:rPr>
          <w:rFonts w:eastAsia="Calibri"/>
        </w:rPr>
        <w:t xml:space="preserve"> on s</w:t>
      </w:r>
      <w:r w:rsidRPr="00EF573B">
        <w:rPr>
          <w:rFonts w:eastAsia="Calibri"/>
        </w:rPr>
        <w:t xml:space="preserve">ummary or </w:t>
      </w:r>
      <w:r>
        <w:rPr>
          <w:rFonts w:eastAsia="Calibri"/>
        </w:rPr>
        <w:t>a</w:t>
      </w:r>
      <w:r w:rsidRPr="00EF573B">
        <w:rPr>
          <w:rFonts w:eastAsia="Calibri"/>
        </w:rPr>
        <w:t xml:space="preserve">rbitrary </w:t>
      </w:r>
      <w:r>
        <w:rPr>
          <w:rFonts w:eastAsia="Calibri"/>
        </w:rPr>
        <w:t>e</w:t>
      </w:r>
      <w:r w:rsidRPr="00EF573B">
        <w:rPr>
          <w:rFonts w:eastAsia="Calibri"/>
        </w:rPr>
        <w:t>xecutions wrote to the Human Rights Commission saying “this issue deserves further examination and he would be grateful for such guidance as the Commission may be able to offer on this question.”</w:t>
      </w:r>
      <w:r w:rsidRPr="00EF573B">
        <w:rPr>
          <w:rFonts w:eastAsia="Calibri"/>
          <w:vertAlign w:val="superscript"/>
        </w:rPr>
        <w:footnoteReference w:id="43"/>
      </w:r>
      <w:r w:rsidRPr="00EF573B">
        <w:rPr>
          <w:rFonts w:eastAsia="Calibri"/>
        </w:rPr>
        <w:t xml:space="preserve"> In that matter the Commission not only renewed the </w:t>
      </w:r>
      <w:r>
        <w:rPr>
          <w:rFonts w:eastAsia="Calibri"/>
        </w:rPr>
        <w:t xml:space="preserve">mandate of </w:t>
      </w:r>
      <w:r w:rsidRPr="00EF573B">
        <w:rPr>
          <w:rFonts w:eastAsia="Calibri"/>
        </w:rPr>
        <w:t xml:space="preserve">Special Rapporteur on </w:t>
      </w:r>
      <w:r>
        <w:rPr>
          <w:rFonts w:eastAsia="Calibri"/>
        </w:rPr>
        <w:t>s</w:t>
      </w:r>
      <w:r w:rsidRPr="00EF573B">
        <w:rPr>
          <w:rFonts w:eastAsia="Calibri"/>
        </w:rPr>
        <w:t xml:space="preserve">ummary or </w:t>
      </w:r>
      <w:r>
        <w:rPr>
          <w:rFonts w:eastAsia="Calibri"/>
        </w:rPr>
        <w:t>a</w:t>
      </w:r>
      <w:r w:rsidRPr="00EF573B">
        <w:rPr>
          <w:rFonts w:eastAsia="Calibri"/>
        </w:rPr>
        <w:t xml:space="preserve">rbitrary </w:t>
      </w:r>
      <w:r>
        <w:rPr>
          <w:rFonts w:eastAsia="Calibri"/>
        </w:rPr>
        <w:t>e</w:t>
      </w:r>
      <w:r w:rsidRPr="00EF573B">
        <w:rPr>
          <w:rFonts w:eastAsia="Calibri"/>
        </w:rPr>
        <w:t>xecutions in its subsequent annual sessions, but affirmed “such cases are within the Mandate of the Special Rapporteur and should be included in future reports.”</w:t>
      </w:r>
      <w:r w:rsidRPr="00EF573B">
        <w:rPr>
          <w:rFonts w:eastAsia="Calibri"/>
          <w:vertAlign w:val="superscript"/>
        </w:rPr>
        <w:footnoteReference w:id="44"/>
      </w:r>
    </w:p>
    <w:p w:rsidR="000F59E5" w:rsidRPr="00EF573B" w:rsidRDefault="000F59E5" w:rsidP="000F59E5">
      <w:pPr>
        <w:pStyle w:val="SingleTxtG"/>
        <w:rPr>
          <w:rFonts w:eastAsia="Calibri"/>
        </w:rPr>
      </w:pPr>
      <w:r>
        <w:rPr>
          <w:rFonts w:eastAsia="Calibri"/>
        </w:rPr>
        <w:t>121.</w:t>
      </w:r>
      <w:r>
        <w:rPr>
          <w:rFonts w:eastAsia="Calibri"/>
        </w:rPr>
        <w:tab/>
      </w:r>
      <w:r w:rsidRPr="00EF573B">
        <w:rPr>
          <w:rFonts w:eastAsia="Calibri"/>
        </w:rPr>
        <w:t xml:space="preserve">The </w:t>
      </w:r>
      <w:r>
        <w:rPr>
          <w:rFonts w:eastAsia="Calibri"/>
        </w:rPr>
        <w:t>Special Rapporteur</w:t>
      </w:r>
      <w:r w:rsidRPr="00EF573B">
        <w:rPr>
          <w:rFonts w:eastAsia="Calibri"/>
        </w:rPr>
        <w:t xml:space="preserve"> feels in good company that during 2017</w:t>
      </w:r>
      <w:r>
        <w:rPr>
          <w:rFonts w:eastAsia="Calibri"/>
        </w:rPr>
        <w:t>,</w:t>
      </w:r>
      <w:r w:rsidRPr="00EF573B">
        <w:rPr>
          <w:rFonts w:eastAsia="Calibri"/>
        </w:rPr>
        <w:t xml:space="preserve"> on two separate occasions, his mandate’s ability to draw matters to the attention of States, was questioned. </w:t>
      </w:r>
    </w:p>
    <w:p w:rsidR="000F59E5" w:rsidRPr="00EF573B" w:rsidRDefault="000F59E5" w:rsidP="00A8613A">
      <w:pPr>
        <w:pStyle w:val="SingleTxtG"/>
        <w:ind w:firstLine="567"/>
        <w:rPr>
          <w:rFonts w:eastAsia="Calibri"/>
        </w:rPr>
      </w:pPr>
      <w:r w:rsidRPr="00EF573B">
        <w:rPr>
          <w:rFonts w:eastAsia="Calibri"/>
        </w:rPr>
        <w:t xml:space="preserve">Sending communications to Member States and other stakeholders is an integral part of the core activities of all </w:t>
      </w:r>
      <w:r>
        <w:rPr>
          <w:rFonts w:eastAsia="Calibri"/>
        </w:rPr>
        <w:t>S</w:t>
      </w:r>
      <w:r w:rsidRPr="00EF573B">
        <w:rPr>
          <w:rFonts w:eastAsia="Calibri"/>
        </w:rPr>
        <w:t xml:space="preserve">pecial </w:t>
      </w:r>
      <w:r>
        <w:rPr>
          <w:rFonts w:eastAsia="Calibri"/>
        </w:rPr>
        <w:t>P</w:t>
      </w:r>
      <w:r w:rsidRPr="00EF573B">
        <w:rPr>
          <w:rFonts w:eastAsia="Calibri"/>
        </w:rPr>
        <w:t>rocedures mandates. This well-documented and regulated procedure allows all mandate holders to intervene directly with Governments and other stakeholders on allegations of violations of human rights that come within their mandates by means of letters</w:t>
      </w:r>
      <w:r>
        <w:rPr>
          <w:rFonts w:eastAsia="Calibri"/>
        </w:rPr>
        <w:t>,</w:t>
      </w:r>
      <w:r w:rsidRPr="00EF573B">
        <w:rPr>
          <w:rFonts w:eastAsia="Calibri"/>
        </w:rPr>
        <w:t xml:space="preserve"> which include urgent appeals, allegations letters and other letters.</w:t>
      </w:r>
      <w:r w:rsidRPr="00EF573B">
        <w:rPr>
          <w:rFonts w:eastAsia="Calibri"/>
          <w:vertAlign w:val="superscript"/>
        </w:rPr>
        <w:footnoteReference w:id="45"/>
      </w:r>
      <w:r w:rsidRPr="00EF573B">
        <w:rPr>
          <w:rFonts w:eastAsia="Calibri"/>
        </w:rPr>
        <w:t xml:space="preserve"> </w:t>
      </w:r>
    </w:p>
    <w:p w:rsidR="000F59E5" w:rsidRPr="00EF573B" w:rsidRDefault="000F59E5" w:rsidP="000F59E5">
      <w:pPr>
        <w:pStyle w:val="SingleTxtG"/>
        <w:rPr>
          <w:rFonts w:eastAsia="Calibri"/>
        </w:rPr>
      </w:pPr>
      <w:r>
        <w:rPr>
          <w:rFonts w:eastAsia="Calibri"/>
        </w:rPr>
        <w:t>122.</w:t>
      </w:r>
      <w:r>
        <w:rPr>
          <w:rFonts w:eastAsia="Calibri"/>
        </w:rPr>
        <w:tab/>
      </w:r>
      <w:r w:rsidRPr="00EF573B">
        <w:rPr>
          <w:rFonts w:eastAsia="Calibri"/>
        </w:rPr>
        <w:t xml:space="preserve">The </w:t>
      </w:r>
      <w:r>
        <w:rPr>
          <w:rFonts w:eastAsia="Calibri"/>
        </w:rPr>
        <w:t>Special Rapporteur</w:t>
      </w:r>
      <w:r w:rsidRPr="00EF573B">
        <w:rPr>
          <w:rFonts w:eastAsia="Calibri"/>
        </w:rPr>
        <w:t xml:space="preserve">’s decision to intervene in the matter described in </w:t>
      </w:r>
      <w:r>
        <w:rPr>
          <w:rFonts w:eastAsia="Calibri"/>
        </w:rPr>
        <w:t>par. 84</w:t>
      </w:r>
      <w:r w:rsidRPr="00EF573B">
        <w:rPr>
          <w:rFonts w:eastAsia="Calibri"/>
        </w:rPr>
        <w:t xml:space="preserve"> was made according to </w:t>
      </w:r>
      <w:r>
        <w:rPr>
          <w:rFonts w:eastAsia="Calibri"/>
        </w:rPr>
        <w:t xml:space="preserve">his mandate, which explicitly mentions the Special Rapporteur’s capacity to bring </w:t>
      </w:r>
      <w:r w:rsidRPr="00E94126">
        <w:rPr>
          <w:rFonts w:eastAsia="Calibri"/>
        </w:rPr>
        <w:t xml:space="preserve">upon </w:t>
      </w:r>
      <w:r>
        <w:rPr>
          <w:rFonts w:eastAsia="Calibri"/>
        </w:rPr>
        <w:t>States</w:t>
      </w:r>
      <w:r w:rsidRPr="00E94126">
        <w:rPr>
          <w:rFonts w:eastAsia="Calibri"/>
        </w:rPr>
        <w:t xml:space="preserve"> </w:t>
      </w:r>
      <w:r>
        <w:rPr>
          <w:rFonts w:eastAsia="Calibri"/>
        </w:rPr>
        <w:t xml:space="preserve">urgent appeals and </w:t>
      </w:r>
      <w:r w:rsidRPr="00E94126">
        <w:rPr>
          <w:rFonts w:eastAsia="Calibri"/>
        </w:rPr>
        <w:t>other communications,</w:t>
      </w:r>
      <w:r>
        <w:rPr>
          <w:rFonts w:eastAsia="Calibri"/>
        </w:rPr>
        <w:t xml:space="preserve"> and which calls upon all States to promptly respond to his communications</w:t>
      </w:r>
      <w:r w:rsidRPr="00EF573B">
        <w:rPr>
          <w:rFonts w:eastAsia="Calibri"/>
        </w:rPr>
        <w:t>.</w:t>
      </w:r>
    </w:p>
    <w:p w:rsidR="000F59E5" w:rsidRPr="00643D54" w:rsidRDefault="000F59E5" w:rsidP="000F59E5">
      <w:pPr>
        <w:pStyle w:val="HChG"/>
        <w:rPr>
          <w:rFonts w:eastAsia="Calibri"/>
          <w:lang w:val="en-US"/>
        </w:rPr>
      </w:pPr>
      <w:r w:rsidRPr="002E37B2">
        <w:rPr>
          <w:rFonts w:eastAsia="Calibri"/>
          <w:lang w:val="en-US"/>
        </w:rPr>
        <w:tab/>
        <w:t>II</w:t>
      </w:r>
      <w:r>
        <w:rPr>
          <w:rFonts w:eastAsia="Calibri"/>
          <w:lang w:val="en-US"/>
        </w:rPr>
        <w:t>I</w:t>
      </w:r>
      <w:r w:rsidRPr="002E37B2">
        <w:rPr>
          <w:rFonts w:eastAsia="Calibri"/>
          <w:lang w:val="en-US"/>
        </w:rPr>
        <w:t>.</w:t>
      </w:r>
      <w:r w:rsidRPr="002E37B2">
        <w:rPr>
          <w:rFonts w:eastAsia="Calibri"/>
          <w:lang w:val="en-US"/>
        </w:rPr>
        <w:tab/>
      </w:r>
      <w:r w:rsidRPr="00643D54">
        <w:rPr>
          <w:rFonts w:eastAsia="Calibri"/>
          <w:lang w:val="en-US"/>
        </w:rPr>
        <w:t>Conclusions</w:t>
      </w:r>
    </w:p>
    <w:p w:rsidR="000F59E5" w:rsidRPr="00AD0FEF" w:rsidRDefault="000F59E5" w:rsidP="000F59E5">
      <w:pPr>
        <w:pStyle w:val="SingleTxtG"/>
        <w:rPr>
          <w:rFonts w:eastAsia="Calibri"/>
          <w:b/>
        </w:rPr>
      </w:pPr>
      <w:r w:rsidRPr="000A1FBB">
        <w:rPr>
          <w:rFonts w:cstheme="minorHAnsi"/>
          <w:lang w:val="en-US"/>
        </w:rPr>
        <w:t>123.</w:t>
      </w:r>
      <w:r w:rsidRPr="00AD0FEF">
        <w:rPr>
          <w:rFonts w:cstheme="minorHAnsi"/>
          <w:b/>
          <w:lang w:val="en-US"/>
        </w:rPr>
        <w:tab/>
      </w:r>
      <w:r w:rsidRPr="00AD0FEF">
        <w:rPr>
          <w:rFonts w:eastAsia="Calibri"/>
          <w:b/>
        </w:rPr>
        <w:t xml:space="preserve">The Special Rapporteur has used the means normally availed of by other Special Rapporteurs in promoting and protecting privacy, including </w:t>
      </w:r>
      <w:r>
        <w:rPr>
          <w:rFonts w:eastAsia="Calibri"/>
          <w:b/>
        </w:rPr>
        <w:t xml:space="preserve">Urgent appeals or </w:t>
      </w:r>
      <w:r w:rsidRPr="00AD0FEF">
        <w:rPr>
          <w:rFonts w:eastAsia="Calibri"/>
          <w:b/>
        </w:rPr>
        <w:t xml:space="preserve">Letters of Allegation to States, following up individual complaints, participating in conferences and carrying out country visits, both formal and informal. </w:t>
      </w:r>
    </w:p>
    <w:p w:rsidR="000F59E5" w:rsidRPr="00AD0FEF" w:rsidRDefault="000F59E5" w:rsidP="000F59E5">
      <w:pPr>
        <w:pStyle w:val="SingleTxtG"/>
        <w:rPr>
          <w:rFonts w:eastAsia="Calibri"/>
          <w:b/>
        </w:rPr>
      </w:pPr>
      <w:r w:rsidRPr="000A1FBB">
        <w:rPr>
          <w:rFonts w:eastAsia="Calibri"/>
        </w:rPr>
        <w:t>124.</w:t>
      </w:r>
      <w:r w:rsidRPr="00AD0FEF">
        <w:rPr>
          <w:rFonts w:eastAsia="Calibri"/>
          <w:b/>
        </w:rPr>
        <w:tab/>
        <w:t>The Special Rapporteur also developed several innovative means to fulfilling his mandate: including the annual International Intelligence Oversight Forum (IIOF); the twice-yearly regional events on Privacy, Personality and flows of Information (held in North America, Middle East and Northern Africa and Asia regions, with Latin America next); created the Thematic Action Streams Task Forces on Big Data and Open Data, Health Data and Privacy and Personality to provide a broader global approach to many issues surrounding privacy.</w:t>
      </w:r>
    </w:p>
    <w:p w:rsidR="000F59E5" w:rsidRPr="00AD0FEF" w:rsidRDefault="000F59E5" w:rsidP="000F59E5">
      <w:pPr>
        <w:pStyle w:val="SingleTxtG"/>
        <w:rPr>
          <w:rFonts w:eastAsia="Calibri"/>
          <w:b/>
        </w:rPr>
      </w:pPr>
      <w:r w:rsidRPr="000A1FBB">
        <w:rPr>
          <w:rFonts w:eastAsia="Calibri"/>
        </w:rPr>
        <w:t>125</w:t>
      </w:r>
      <w:r w:rsidR="000A1FBB" w:rsidRPr="000A1FBB">
        <w:rPr>
          <w:rFonts w:eastAsia="Calibri"/>
        </w:rPr>
        <w:t>.</w:t>
      </w:r>
      <w:r w:rsidR="008F56FE">
        <w:rPr>
          <w:rFonts w:eastAsia="Calibri"/>
          <w:b/>
        </w:rPr>
        <w:tab/>
      </w:r>
      <w:r w:rsidRPr="00AD0FEF">
        <w:rPr>
          <w:rFonts w:eastAsia="Calibri"/>
          <w:b/>
        </w:rPr>
        <w:t xml:space="preserve">Acknowledging the seriousness of surveillance as a threat to the enjoyment of the right to privacy, he has co-led international efforts in developing a comprehensive international legal framework aimed at regulating surveillance in cyberspace, thus also advancing prospects for </w:t>
      </w:r>
      <w:proofErr w:type="spellStart"/>
      <w:r w:rsidRPr="00AD0FEF">
        <w:rPr>
          <w:rFonts w:eastAsia="Calibri"/>
          <w:b/>
        </w:rPr>
        <w:t>cyberpeace</w:t>
      </w:r>
      <w:proofErr w:type="spellEnd"/>
      <w:r w:rsidRPr="00AD0FEF">
        <w:rPr>
          <w:rFonts w:eastAsia="Calibri"/>
          <w:b/>
        </w:rPr>
        <w:t>.</w:t>
      </w:r>
    </w:p>
    <w:p w:rsidR="000F59E5" w:rsidRPr="007418EC" w:rsidRDefault="000F59E5" w:rsidP="000F59E5">
      <w:pPr>
        <w:pStyle w:val="SingleTxtG"/>
        <w:rPr>
          <w:rFonts w:eastAsia="Calibri"/>
          <w:b/>
        </w:rPr>
      </w:pPr>
      <w:r w:rsidRPr="000A1FBB">
        <w:rPr>
          <w:rFonts w:eastAsia="Calibri"/>
        </w:rPr>
        <w:t>126.</w:t>
      </w:r>
      <w:r w:rsidRPr="00AD0FEF">
        <w:rPr>
          <w:rFonts w:eastAsia="Calibri"/>
          <w:b/>
        </w:rPr>
        <w:tab/>
        <w:t>Special Procedures constitute an important mechanism for the Human Rights Council to implement human right norms and to develop standards.</w:t>
      </w:r>
      <w:r w:rsidRPr="00AD0FEF">
        <w:rPr>
          <w:rFonts w:eastAsia="Calibri"/>
          <w:b/>
          <w:vertAlign w:val="superscript"/>
        </w:rPr>
        <w:footnoteReference w:id="46"/>
      </w:r>
      <w:r w:rsidRPr="007418EC">
        <w:rPr>
          <w:rFonts w:eastAsia="Calibri"/>
          <w:b/>
        </w:rPr>
        <w:t xml:space="preserve"> Further developing international standards in the use of government-led surveillance will enable the international community to guide and assess the use of such technology and practices. Standards for good and best practices are regularly examined in the International Intelligence Oversight Forum.</w:t>
      </w:r>
    </w:p>
    <w:p w:rsidR="000F59E5" w:rsidRPr="007418EC" w:rsidRDefault="000F59E5" w:rsidP="000F59E5">
      <w:pPr>
        <w:pStyle w:val="SingleTxtG"/>
        <w:rPr>
          <w:rFonts w:eastAsia="Calibri"/>
          <w:b/>
        </w:rPr>
      </w:pPr>
      <w:r w:rsidRPr="000A1FBB">
        <w:rPr>
          <w:rFonts w:eastAsia="Calibri"/>
        </w:rPr>
        <w:t>127.</w:t>
      </w:r>
      <w:r w:rsidRPr="007418EC">
        <w:rPr>
          <w:rFonts w:eastAsia="Calibri"/>
          <w:b/>
        </w:rPr>
        <w:tab/>
      </w:r>
      <w:r w:rsidRPr="007418EC">
        <w:rPr>
          <w:rFonts w:eastAsia="Calibri"/>
          <w:b/>
          <w:lang w:val="mt-MT"/>
        </w:rPr>
        <w:t xml:space="preserve">The Special Rapporteur believes </w:t>
      </w:r>
      <w:r w:rsidRPr="007418EC">
        <w:rPr>
          <w:rFonts w:eastAsia="Calibri"/>
          <w:b/>
        </w:rPr>
        <w:t xml:space="preserve">a legal instrument regulating surveillance in cyberspace, complementary to other pieces of existing </w:t>
      </w:r>
      <w:proofErr w:type="spellStart"/>
      <w:r w:rsidRPr="007418EC">
        <w:rPr>
          <w:rFonts w:eastAsia="Calibri"/>
          <w:b/>
        </w:rPr>
        <w:t>cyberlaw</w:t>
      </w:r>
      <w:proofErr w:type="spellEnd"/>
      <w:r w:rsidRPr="007418EC">
        <w:rPr>
          <w:rFonts w:eastAsia="Calibri"/>
          <w:b/>
        </w:rPr>
        <w:t xml:space="preserve"> such as the Convention on Cybercrime of the Council of Europe (CETS No.185), could provide concrete safeguards to privacy on the Internet</w:t>
      </w:r>
      <w:r>
        <w:rPr>
          <w:rFonts w:eastAsia="Calibri"/>
          <w:b/>
        </w:rPr>
        <w:t>,</w:t>
      </w:r>
      <w:r w:rsidRPr="007418EC">
        <w:rPr>
          <w:rFonts w:eastAsia="Calibri"/>
          <w:b/>
          <w:vertAlign w:val="superscript"/>
        </w:rPr>
        <w:footnoteReference w:id="47"/>
      </w:r>
      <w:r>
        <w:rPr>
          <w:rFonts w:eastAsia="Calibri"/>
          <w:b/>
          <w:vertAlign w:val="superscript"/>
        </w:rPr>
        <w:t xml:space="preserve"> </w:t>
      </w:r>
      <w:r w:rsidRPr="007418EC">
        <w:rPr>
          <w:rFonts w:eastAsia="Calibri"/>
          <w:b/>
        </w:rPr>
        <w:t xml:space="preserve"> </w:t>
      </w:r>
      <w:r>
        <w:rPr>
          <w:rFonts w:eastAsia="Calibri"/>
          <w:b/>
        </w:rPr>
        <w:t xml:space="preserve">while also resolving long-standing problems like jurisdiction in cyberspace. </w:t>
      </w:r>
      <w:r w:rsidRPr="007418EC">
        <w:rPr>
          <w:rFonts w:eastAsia="Calibri"/>
          <w:b/>
        </w:rPr>
        <w:t>Work to date has been very successful and encouraging, but the support behind the actual form</w:t>
      </w:r>
      <w:r>
        <w:rPr>
          <w:rFonts w:eastAsia="Calibri"/>
          <w:b/>
        </w:rPr>
        <w:t xml:space="preserve"> and content</w:t>
      </w:r>
      <w:r w:rsidRPr="007418EC">
        <w:rPr>
          <w:rFonts w:eastAsia="Calibri"/>
          <w:b/>
        </w:rPr>
        <w:t xml:space="preserve"> of the Legal Instrument is</w:t>
      </w:r>
      <w:r>
        <w:rPr>
          <w:rFonts w:eastAsia="Calibri"/>
          <w:b/>
        </w:rPr>
        <w:t xml:space="preserve"> to date</w:t>
      </w:r>
      <w:r w:rsidRPr="007418EC">
        <w:rPr>
          <w:rFonts w:eastAsia="Calibri"/>
          <w:b/>
        </w:rPr>
        <w:t xml:space="preserve"> not sufficiently uniform to make a recommendation that the document as it stands should be immediately considered by the Human Rights Council. With continued effort and time, this is achievable and a viable option to place before the Human Rights Council in the relatively near future, i.e.</w:t>
      </w:r>
      <w:r>
        <w:rPr>
          <w:rFonts w:eastAsia="Calibri"/>
          <w:b/>
        </w:rPr>
        <w:t xml:space="preserve"> possibly even </w:t>
      </w:r>
      <w:r w:rsidRPr="007418EC">
        <w:rPr>
          <w:rFonts w:eastAsia="Calibri"/>
          <w:b/>
        </w:rPr>
        <w:t>by 2021.</w:t>
      </w:r>
    </w:p>
    <w:p w:rsidR="000F59E5" w:rsidRPr="00AD0FEF" w:rsidRDefault="000F59E5" w:rsidP="000F59E5">
      <w:pPr>
        <w:pStyle w:val="SingleTxtG"/>
        <w:rPr>
          <w:rFonts w:eastAsia="Calibri"/>
          <w:b/>
        </w:rPr>
      </w:pPr>
      <w:r w:rsidRPr="000A1FBB">
        <w:rPr>
          <w:rFonts w:eastAsia="Calibri"/>
        </w:rPr>
        <w:t>128.</w:t>
      </w:r>
      <w:r w:rsidRPr="00AD0FEF">
        <w:rPr>
          <w:rFonts w:eastAsia="Calibri"/>
          <w:b/>
        </w:rPr>
        <w:tab/>
        <w:t>Special Procedures are independent experts and an important mechanism for the protection of human rights. Member States must fully accept and cooperate with their communications and enquiries, and cease questioning the legitimacy of their constructive criticism.</w:t>
      </w:r>
    </w:p>
    <w:p w:rsidR="000F59E5" w:rsidRPr="00643D54" w:rsidRDefault="000F59E5" w:rsidP="000F59E5">
      <w:pPr>
        <w:pStyle w:val="HChG"/>
        <w:rPr>
          <w:rFonts w:eastAsia="Calibri"/>
          <w:lang w:val="en-US"/>
        </w:rPr>
      </w:pPr>
      <w:r w:rsidRPr="00643D54">
        <w:rPr>
          <w:rFonts w:eastAsia="Calibri"/>
          <w:lang w:val="en-US"/>
        </w:rPr>
        <w:tab/>
        <w:t>IV.</w:t>
      </w:r>
      <w:r w:rsidRPr="00643D54">
        <w:rPr>
          <w:rFonts w:eastAsia="Calibri"/>
          <w:lang w:val="en-US"/>
        </w:rPr>
        <w:tab/>
        <w:t>Recommendations to the Human Rights Council</w:t>
      </w:r>
    </w:p>
    <w:p w:rsidR="000F59E5" w:rsidRPr="00017B24" w:rsidRDefault="000F59E5" w:rsidP="000F59E5">
      <w:pPr>
        <w:pStyle w:val="SingleTxtG"/>
        <w:rPr>
          <w:rFonts w:eastAsia="Calibri"/>
          <w:b/>
        </w:rPr>
      </w:pPr>
      <w:r w:rsidRPr="000A1FBB">
        <w:rPr>
          <w:rFonts w:cstheme="minorHAnsi"/>
          <w:lang w:val="en-US"/>
        </w:rPr>
        <w:t>129.</w:t>
      </w:r>
      <w:r w:rsidRPr="00AD0FEF">
        <w:rPr>
          <w:rFonts w:cstheme="minorHAnsi"/>
          <w:b/>
          <w:lang w:val="en-US"/>
        </w:rPr>
        <w:tab/>
      </w:r>
      <w:r w:rsidRPr="00017B24">
        <w:rPr>
          <w:rFonts w:eastAsia="Calibri"/>
          <w:b/>
        </w:rPr>
        <w:t xml:space="preserve">The Human Rights Council should note the Special Rapporteur’s achievements across the </w:t>
      </w:r>
      <w:r>
        <w:rPr>
          <w:rFonts w:eastAsia="Calibri"/>
          <w:b/>
        </w:rPr>
        <w:t xml:space="preserve">mandate via </w:t>
      </w:r>
      <w:r w:rsidRPr="00017B24">
        <w:rPr>
          <w:rFonts w:eastAsia="Calibri"/>
          <w:b/>
        </w:rPr>
        <w:t>Thematic Action Streams, the consistency with the plan in the Special Rapporteur’s first report to the Human Rights Council, the next steps - including the proposal for an additional theme addressing the privacy of children, and the schedule of future Thematic Action Stream reports.</w:t>
      </w:r>
    </w:p>
    <w:p w:rsidR="000F59E5" w:rsidRDefault="000F59E5" w:rsidP="000F59E5">
      <w:pPr>
        <w:pStyle w:val="SingleTxtG"/>
        <w:rPr>
          <w:rFonts w:eastAsia="Calibri"/>
          <w:b/>
        </w:rPr>
      </w:pPr>
      <w:r w:rsidRPr="000A1FBB">
        <w:rPr>
          <w:rFonts w:eastAsia="Calibri"/>
        </w:rPr>
        <w:t>130.</w:t>
      </w:r>
      <w:r w:rsidRPr="00017B24">
        <w:rPr>
          <w:rFonts w:eastAsia="Calibri"/>
          <w:b/>
        </w:rPr>
        <w:tab/>
        <w:t>The Human Rights Council should note the progres</w:t>
      </w:r>
      <w:r>
        <w:rPr>
          <w:rFonts w:eastAsia="Calibri"/>
          <w:b/>
        </w:rPr>
        <w:t>s</w:t>
      </w:r>
      <w:r w:rsidRPr="00017B24">
        <w:rPr>
          <w:rFonts w:eastAsia="Calibri"/>
          <w:b/>
        </w:rPr>
        <w:t xml:space="preserve"> towards international standards on government-led surveillance, the innovative, successful creation of the International Intelligence Oversight Forum and the intention to develop an instrument in the medium term, </w:t>
      </w:r>
      <w:r>
        <w:rPr>
          <w:rFonts w:eastAsia="Calibri"/>
          <w:b/>
        </w:rPr>
        <w:t>which</w:t>
      </w:r>
      <w:r w:rsidRPr="00017B24">
        <w:rPr>
          <w:rFonts w:eastAsia="Calibri"/>
          <w:b/>
        </w:rPr>
        <w:t xml:space="preserve"> could be considered by the United Nations for its possible eventual </w:t>
      </w:r>
      <w:r>
        <w:rPr>
          <w:rFonts w:eastAsia="Calibri"/>
          <w:b/>
        </w:rPr>
        <w:t>development by member states and other interested stakeholders.</w:t>
      </w:r>
    </w:p>
    <w:p w:rsidR="000F59E5" w:rsidRDefault="000F59E5" w:rsidP="000F59E5">
      <w:pPr>
        <w:pStyle w:val="SingleTxtG"/>
        <w:rPr>
          <w:rFonts w:eastAsia="Calibri"/>
          <w:lang w:val="en-US"/>
        </w:rPr>
      </w:pPr>
      <w:r w:rsidRPr="000A1FBB">
        <w:rPr>
          <w:rFonts w:eastAsia="Calibri"/>
        </w:rPr>
        <w:t>131.</w:t>
      </w:r>
      <w:r w:rsidR="00B1210E">
        <w:rPr>
          <w:rFonts w:eastAsia="Calibri"/>
          <w:b/>
        </w:rPr>
        <w:tab/>
      </w:r>
      <w:r>
        <w:rPr>
          <w:rFonts w:eastAsia="Calibri"/>
          <w:b/>
        </w:rPr>
        <w:t>The Human Rights Council should recommend to the General Assembly that fresh vigour be applied to all UN efforts exploring the intersection of privacy with security and state behaviour in cyberspace in synergy with the mandate of the UN Special Rapporteur on Privacy in a determined attempt to develop a more comprehensive legal framework for the Internet.</w:t>
      </w:r>
    </w:p>
    <w:p w:rsidR="000F59E5" w:rsidRDefault="000F59E5" w:rsidP="000F59E5">
      <w:pPr>
        <w:suppressAutoHyphens w:val="0"/>
        <w:spacing w:line="240" w:lineRule="auto"/>
        <w:rPr>
          <w:b/>
          <w:sz w:val="28"/>
          <w:szCs w:val="28"/>
        </w:rPr>
      </w:pPr>
      <w:r>
        <w:rPr>
          <w:b/>
          <w:sz w:val="28"/>
          <w:szCs w:val="28"/>
        </w:rPr>
        <w:br w:type="page"/>
      </w:r>
    </w:p>
    <w:p w:rsidR="000F59E5" w:rsidRPr="00643D54" w:rsidRDefault="000F59E5" w:rsidP="000F59E5">
      <w:pPr>
        <w:pStyle w:val="HChG"/>
        <w:rPr>
          <w:rFonts w:eastAsia="Calibri"/>
          <w:lang w:val="en-US"/>
        </w:rPr>
      </w:pPr>
      <w:r w:rsidRPr="00643D54">
        <w:rPr>
          <w:rFonts w:eastAsia="Calibri"/>
          <w:lang w:val="en-US"/>
        </w:rPr>
        <w:tab/>
      </w:r>
      <w:r>
        <w:rPr>
          <w:rFonts w:eastAsia="Calibri"/>
          <w:lang w:val="en-US"/>
        </w:rPr>
        <w:t>V</w:t>
      </w:r>
      <w:r w:rsidRPr="00643D54">
        <w:rPr>
          <w:rFonts w:eastAsia="Calibri"/>
          <w:lang w:val="en-US"/>
        </w:rPr>
        <w:t>.</w:t>
      </w:r>
      <w:r w:rsidRPr="00643D54">
        <w:rPr>
          <w:rFonts w:eastAsia="Calibri"/>
          <w:lang w:val="en-US"/>
        </w:rPr>
        <w:tab/>
      </w:r>
      <w:r w:rsidRPr="00FA1502">
        <w:rPr>
          <w:rFonts w:eastAsia="Calibri"/>
          <w:lang w:val="en-US"/>
        </w:rPr>
        <w:t>Guide to supporting docum</w:t>
      </w:r>
      <w:r>
        <w:rPr>
          <w:rFonts w:eastAsia="Calibri"/>
          <w:lang w:val="en-US"/>
        </w:rPr>
        <w:t>ents</w:t>
      </w:r>
    </w:p>
    <w:p w:rsidR="000F59E5" w:rsidRDefault="000F59E5" w:rsidP="00404765">
      <w:pPr>
        <w:pStyle w:val="SingleTxtG"/>
        <w:ind w:left="567"/>
        <w:rPr>
          <w:rFonts w:eastAsia="Calibri"/>
          <w:lang w:val="en-US"/>
        </w:rPr>
      </w:pPr>
      <w:r>
        <w:rPr>
          <w:rFonts w:eastAsia="Calibri"/>
          <w:lang w:val="en-US"/>
        </w:rPr>
        <w:t>Due to space constraints, the following documents have been posted on the Special Rapporteur’s website:</w:t>
      </w:r>
    </w:p>
    <w:p w:rsidR="000F59E5" w:rsidRDefault="000F59E5" w:rsidP="000A1FBB">
      <w:pPr>
        <w:pStyle w:val="Bullet1G"/>
        <w:rPr>
          <w:rFonts w:eastAsia="Calibri"/>
          <w:lang w:val="en-US"/>
        </w:rPr>
      </w:pPr>
      <w:r>
        <w:rPr>
          <w:rFonts w:eastAsia="Calibri"/>
          <w:lang w:val="en-US"/>
        </w:rPr>
        <w:t>Appendix 1</w:t>
      </w:r>
      <w:r w:rsidRPr="004136BB">
        <w:rPr>
          <w:rFonts w:eastAsia="Calibri"/>
          <w:lang w:val="en-US"/>
        </w:rPr>
        <w:t>: Mandate of the Special Rapporteur on the right to privacy</w:t>
      </w:r>
    </w:p>
    <w:p w:rsidR="000F59E5" w:rsidRDefault="004A180B" w:rsidP="00F54762">
      <w:pPr>
        <w:pStyle w:val="SingleTxtG"/>
        <w:ind w:left="1701"/>
        <w:rPr>
          <w:rFonts w:eastAsia="Calibri"/>
          <w:highlight w:val="yellow"/>
          <w:lang w:val="en-US"/>
        </w:rPr>
      </w:pPr>
      <w:hyperlink r:id="rId12" w:history="1">
        <w:r w:rsidR="00F54762" w:rsidRPr="00FF123A">
          <w:rPr>
            <w:rStyle w:val="Hyperlink"/>
            <w:rFonts w:eastAsia="Calibri"/>
            <w:lang w:val="en-US"/>
          </w:rPr>
          <w:t>http://www.ohchr.org/Documents/Issues/Privacy/SR_Privacy/2018AnnualReport</w:t>
        </w:r>
      </w:hyperlink>
      <w:r w:rsidR="00F54762">
        <w:rPr>
          <w:rFonts w:eastAsia="Calibri"/>
          <w:lang w:val="en-US"/>
        </w:rPr>
        <w:br/>
      </w:r>
      <w:r w:rsidR="00404765" w:rsidRPr="00404765">
        <w:rPr>
          <w:rFonts w:eastAsia="Calibri"/>
          <w:lang w:val="en-US"/>
        </w:rPr>
        <w:t>Appendix1.docx</w:t>
      </w:r>
    </w:p>
    <w:p w:rsidR="000F59E5" w:rsidRDefault="000F59E5" w:rsidP="000A1FBB">
      <w:pPr>
        <w:pStyle w:val="Bullet1G"/>
        <w:rPr>
          <w:rFonts w:eastAsia="Calibri"/>
          <w:lang w:val="en-US"/>
        </w:rPr>
      </w:pPr>
      <w:r>
        <w:rPr>
          <w:rFonts w:eastAsia="Calibri"/>
          <w:lang w:val="en-US"/>
        </w:rPr>
        <w:t>Appendix 2</w:t>
      </w:r>
      <w:r w:rsidRPr="004136BB">
        <w:rPr>
          <w:rFonts w:eastAsia="Calibri"/>
          <w:lang w:val="en-US"/>
        </w:rPr>
        <w:t xml:space="preserve">: </w:t>
      </w:r>
      <w:r>
        <w:rPr>
          <w:rFonts w:eastAsia="Calibri"/>
          <w:lang w:val="en-US"/>
        </w:rPr>
        <w:t xml:space="preserve">Graham </w:t>
      </w:r>
      <w:r w:rsidRPr="006337FA">
        <w:rPr>
          <w:rFonts w:eastAsia="Calibri"/>
          <w:lang w:val="en-US"/>
        </w:rPr>
        <w:t>Greenleaf</w:t>
      </w:r>
      <w:r>
        <w:rPr>
          <w:rFonts w:eastAsia="Calibri"/>
          <w:lang w:val="en-US"/>
        </w:rPr>
        <w:t>,</w:t>
      </w:r>
      <w:r w:rsidRPr="006337FA">
        <w:rPr>
          <w:rFonts w:eastAsia="Calibri"/>
          <w:lang w:val="en-US"/>
        </w:rPr>
        <w:t xml:space="preserve"> </w:t>
      </w:r>
      <w:r w:rsidRPr="00533777">
        <w:rPr>
          <w:rFonts w:eastAsia="Calibri"/>
          <w:lang w:val="en-US"/>
        </w:rPr>
        <w:t>Data Privacy Laws 2017: 120 National Data Privacy Laws, including Indonesia And Turkey</w:t>
      </w:r>
    </w:p>
    <w:p w:rsidR="00404765" w:rsidRPr="00404765" w:rsidRDefault="004A180B" w:rsidP="00F54762">
      <w:pPr>
        <w:pStyle w:val="SingleTxtG"/>
        <w:ind w:left="1701"/>
        <w:rPr>
          <w:rFonts w:eastAsia="Calibri"/>
          <w:lang w:val="en-US"/>
        </w:rPr>
      </w:pPr>
      <w:hyperlink r:id="rId13" w:history="1">
        <w:r w:rsidR="00404765" w:rsidRPr="00404765">
          <w:rPr>
            <w:rFonts w:eastAsia="Calibri"/>
            <w:lang w:val="en-US"/>
          </w:rPr>
          <w:t>http://www.ohchr.org/</w:t>
        </w:r>
        <w:r w:rsidR="00404765" w:rsidRPr="00F54762">
          <w:rPr>
            <w:rStyle w:val="Hyperlink"/>
            <w:rFonts w:eastAsia="Calibri"/>
          </w:rPr>
          <w:t>Documents</w:t>
        </w:r>
        <w:r w:rsidR="00404765" w:rsidRPr="00404765">
          <w:rPr>
            <w:rFonts w:eastAsia="Calibri"/>
            <w:lang w:val="en-US"/>
          </w:rPr>
          <w:t>/Issues/Privacy/SR_Privacy/2018AnnualReportAppendix2.docx</w:t>
        </w:r>
      </w:hyperlink>
    </w:p>
    <w:p w:rsidR="000F59E5" w:rsidRDefault="000F59E5" w:rsidP="000A1FBB">
      <w:pPr>
        <w:pStyle w:val="Bullet1G"/>
        <w:rPr>
          <w:rFonts w:eastAsia="Calibri"/>
          <w:lang w:val="en-US"/>
        </w:rPr>
      </w:pPr>
      <w:r>
        <w:rPr>
          <w:rFonts w:eastAsia="Calibri"/>
          <w:lang w:val="en-US"/>
        </w:rPr>
        <w:t>Appendix 3</w:t>
      </w:r>
      <w:r w:rsidRPr="004136BB">
        <w:rPr>
          <w:rFonts w:eastAsia="Calibri"/>
          <w:lang w:val="en-US"/>
        </w:rPr>
        <w:t>: Special Rapporteur on the ri</w:t>
      </w:r>
      <w:r>
        <w:rPr>
          <w:rFonts w:eastAsia="Calibri"/>
          <w:lang w:val="en-US"/>
        </w:rPr>
        <w:t>ght to privacy’s communications</w:t>
      </w:r>
    </w:p>
    <w:p w:rsidR="000F59E5" w:rsidRPr="00D77476" w:rsidRDefault="004A180B" w:rsidP="00F54762">
      <w:pPr>
        <w:pStyle w:val="SingleTxtG"/>
        <w:ind w:left="1701"/>
        <w:rPr>
          <w:rFonts w:eastAsia="Calibri"/>
          <w:highlight w:val="yellow"/>
          <w:lang w:val="en-US"/>
        </w:rPr>
      </w:pPr>
      <w:hyperlink r:id="rId14" w:history="1">
        <w:r w:rsidRPr="00B34F1D">
          <w:rPr>
            <w:rStyle w:val="Hyperlink"/>
            <w:rFonts w:eastAsia="Calibri"/>
            <w:lang w:val="en-US"/>
          </w:rPr>
          <w:t>http://www.ohchr.org/</w:t>
        </w:r>
        <w:r w:rsidRPr="00B34F1D">
          <w:rPr>
            <w:rStyle w:val="Hyperlink"/>
            <w:rFonts w:eastAsia="Calibri"/>
          </w:rPr>
          <w:t>Documents</w:t>
        </w:r>
        <w:r w:rsidRPr="00B34F1D">
          <w:rPr>
            <w:rStyle w:val="Hyperlink"/>
            <w:rFonts w:eastAsia="Calibri"/>
            <w:lang w:val="en-US"/>
          </w:rPr>
          <w:t>/Issues/Privacy/SR_Privacy/2018AnnualReportAppendix3.docx</w:t>
        </w:r>
      </w:hyperlink>
    </w:p>
    <w:p w:rsidR="000F59E5" w:rsidRDefault="000F59E5" w:rsidP="000A1FBB">
      <w:pPr>
        <w:pStyle w:val="Bullet1G"/>
        <w:rPr>
          <w:rFonts w:eastAsia="Calibri"/>
          <w:lang w:val="en-US"/>
        </w:rPr>
      </w:pPr>
      <w:r>
        <w:rPr>
          <w:rFonts w:eastAsia="Calibri"/>
          <w:lang w:val="en-US"/>
        </w:rPr>
        <w:t>Appendix 4</w:t>
      </w:r>
      <w:r w:rsidRPr="004136BB">
        <w:rPr>
          <w:rFonts w:eastAsia="Calibri"/>
          <w:lang w:val="en-US"/>
        </w:rPr>
        <w:t>: Interim Report and Preliminary Recommendations of Big Data Open Data Thematic Action Stream Taskforce</w:t>
      </w:r>
    </w:p>
    <w:p w:rsidR="00404765" w:rsidRPr="004136BB" w:rsidRDefault="004A180B" w:rsidP="00F54762">
      <w:pPr>
        <w:pStyle w:val="SingleTxtG"/>
        <w:ind w:left="1701"/>
        <w:rPr>
          <w:rFonts w:eastAsia="Calibri"/>
          <w:lang w:val="en-US"/>
        </w:rPr>
      </w:pPr>
      <w:hyperlink r:id="rId15" w:history="1">
        <w:r w:rsidRPr="00B34F1D">
          <w:rPr>
            <w:rStyle w:val="Hyperlink"/>
            <w:rFonts w:eastAsia="Calibri"/>
            <w:lang w:val="en-US"/>
          </w:rPr>
          <w:t>http://www.ohchr.org/</w:t>
        </w:r>
        <w:r w:rsidRPr="00B34F1D">
          <w:rPr>
            <w:rStyle w:val="Hyperlink"/>
            <w:rFonts w:eastAsia="Calibri"/>
          </w:rPr>
          <w:t>Documents</w:t>
        </w:r>
        <w:r w:rsidRPr="00B34F1D">
          <w:rPr>
            <w:rStyle w:val="Hyperlink"/>
            <w:rFonts w:eastAsia="Calibri"/>
            <w:lang w:val="en-US"/>
          </w:rPr>
          <w:t>/Issues/Privacy/SR_Privacy/2018AnnualReportAppendix4.docx</w:t>
        </w:r>
      </w:hyperlink>
    </w:p>
    <w:p w:rsidR="000F59E5" w:rsidRDefault="000F59E5" w:rsidP="000A1FBB">
      <w:pPr>
        <w:pStyle w:val="Bullet1G"/>
        <w:rPr>
          <w:rFonts w:eastAsia="Calibri"/>
          <w:lang w:val="en-US"/>
        </w:rPr>
      </w:pPr>
      <w:r>
        <w:rPr>
          <w:rFonts w:eastAsia="Calibri"/>
          <w:lang w:val="en-US"/>
        </w:rPr>
        <w:t>Appendix 5</w:t>
      </w:r>
      <w:r w:rsidRPr="004136BB">
        <w:rPr>
          <w:rFonts w:eastAsia="Calibri"/>
          <w:lang w:val="en-US"/>
        </w:rPr>
        <w:t>: Contribution to International Events 2015 – 2017</w:t>
      </w:r>
    </w:p>
    <w:p w:rsidR="00404765" w:rsidRPr="004136BB" w:rsidRDefault="004A180B" w:rsidP="00F54762">
      <w:pPr>
        <w:pStyle w:val="SingleTxtG"/>
        <w:ind w:left="1701"/>
        <w:rPr>
          <w:rFonts w:eastAsia="Calibri"/>
          <w:lang w:val="en-US"/>
        </w:rPr>
      </w:pPr>
      <w:hyperlink r:id="rId16" w:history="1">
        <w:r w:rsidRPr="00B34F1D">
          <w:rPr>
            <w:rStyle w:val="Hyperlink"/>
            <w:rFonts w:eastAsia="Calibri"/>
            <w:lang w:val="en-US"/>
          </w:rPr>
          <w:t>http://www.ohchr.org/</w:t>
        </w:r>
        <w:r w:rsidRPr="00B34F1D">
          <w:rPr>
            <w:rStyle w:val="Hyperlink"/>
            <w:rFonts w:eastAsia="Calibri"/>
          </w:rPr>
          <w:t>Documents</w:t>
        </w:r>
        <w:r w:rsidRPr="00B34F1D">
          <w:rPr>
            <w:rStyle w:val="Hyperlink"/>
            <w:rFonts w:eastAsia="Calibri"/>
            <w:lang w:val="en-US"/>
          </w:rPr>
          <w:t>/Issues/Privacy/SR_Privacy/2018AnnualReportAppendix5.docx</w:t>
        </w:r>
      </w:hyperlink>
    </w:p>
    <w:p w:rsidR="000F59E5" w:rsidRDefault="000F59E5" w:rsidP="000A1FBB">
      <w:pPr>
        <w:pStyle w:val="Bullet1G"/>
        <w:rPr>
          <w:rFonts w:eastAsia="Calibri"/>
          <w:lang w:val="en-US"/>
        </w:rPr>
      </w:pPr>
      <w:r>
        <w:rPr>
          <w:rFonts w:eastAsia="Calibri"/>
          <w:lang w:val="en-US"/>
        </w:rPr>
        <w:t>Appendix 6</w:t>
      </w:r>
      <w:r w:rsidRPr="004136BB">
        <w:rPr>
          <w:rFonts w:eastAsia="Calibri"/>
          <w:lang w:val="en-US"/>
        </w:rPr>
        <w:t xml:space="preserve">: Amicus Curiae to the </w:t>
      </w:r>
      <w:r>
        <w:rPr>
          <w:rFonts w:eastAsia="Calibri"/>
          <w:lang w:val="en-US"/>
        </w:rPr>
        <w:t>United States</w:t>
      </w:r>
      <w:r w:rsidRPr="004136BB">
        <w:rPr>
          <w:rFonts w:eastAsia="Calibri"/>
          <w:lang w:val="en-US"/>
        </w:rPr>
        <w:t xml:space="preserve"> Supreme Court in the Matter of the US Government Vs Microsoft Corporation.</w:t>
      </w:r>
    </w:p>
    <w:p w:rsidR="00404765" w:rsidRPr="004136BB" w:rsidRDefault="004A180B" w:rsidP="00F54762">
      <w:pPr>
        <w:pStyle w:val="SingleTxtG"/>
        <w:ind w:left="1701"/>
        <w:rPr>
          <w:rFonts w:eastAsia="Calibri"/>
          <w:lang w:val="en-US"/>
        </w:rPr>
      </w:pPr>
      <w:hyperlink r:id="rId17" w:history="1">
        <w:r w:rsidRPr="00B34F1D">
          <w:rPr>
            <w:rStyle w:val="Hyperlink"/>
            <w:rFonts w:eastAsia="Calibri"/>
            <w:lang w:val="en-US"/>
          </w:rPr>
          <w:t>http://www.ohchr.org/</w:t>
        </w:r>
        <w:r w:rsidRPr="00B34F1D">
          <w:rPr>
            <w:rStyle w:val="Hyperlink"/>
            <w:rFonts w:eastAsia="Calibri"/>
          </w:rPr>
          <w:t>Documents</w:t>
        </w:r>
        <w:r w:rsidRPr="00B34F1D">
          <w:rPr>
            <w:rStyle w:val="Hyperlink"/>
            <w:rFonts w:eastAsia="Calibri"/>
            <w:lang w:val="en-US"/>
          </w:rPr>
          <w:t>/Issues/Privacy/SR_Privacy/2018AnnualReportAppendix6.pdf</w:t>
        </w:r>
      </w:hyperlink>
    </w:p>
    <w:p w:rsidR="000F59E5" w:rsidRDefault="000F59E5" w:rsidP="000A1FBB">
      <w:pPr>
        <w:pStyle w:val="Bullet1G"/>
        <w:rPr>
          <w:rFonts w:eastAsia="Calibri"/>
          <w:lang w:val="en-US"/>
        </w:rPr>
      </w:pPr>
      <w:r>
        <w:rPr>
          <w:rFonts w:eastAsia="Calibri"/>
          <w:lang w:val="en-US"/>
        </w:rPr>
        <w:t>Appendix 7</w:t>
      </w:r>
      <w:r w:rsidRPr="004136BB">
        <w:rPr>
          <w:rFonts w:eastAsia="Calibri"/>
          <w:lang w:val="en-US"/>
        </w:rPr>
        <w:t>:</w:t>
      </w:r>
      <w:r>
        <w:rPr>
          <w:rFonts w:eastAsia="Calibri"/>
          <w:lang w:val="en-US"/>
        </w:rPr>
        <w:t xml:space="preserve"> </w:t>
      </w:r>
      <w:r w:rsidRPr="004136BB">
        <w:rPr>
          <w:rFonts w:eastAsia="Calibri"/>
          <w:lang w:val="en-US"/>
        </w:rPr>
        <w:t>Draft Legal Instrument on Government Led Surveillance</w:t>
      </w:r>
    </w:p>
    <w:p w:rsidR="00404765" w:rsidRPr="004136BB" w:rsidRDefault="004A180B" w:rsidP="00F54762">
      <w:pPr>
        <w:pStyle w:val="SingleTxtG"/>
        <w:ind w:left="1701"/>
        <w:rPr>
          <w:rFonts w:eastAsia="Calibri"/>
          <w:lang w:val="en-US"/>
        </w:rPr>
      </w:pPr>
      <w:hyperlink r:id="rId18" w:history="1">
        <w:r w:rsidRPr="00B34F1D">
          <w:rPr>
            <w:rStyle w:val="Hyperlink"/>
            <w:rFonts w:eastAsia="Calibri"/>
            <w:lang w:val="en-US"/>
          </w:rPr>
          <w:t>http://www.ohchr.org/Documents/Issues/Privacy/SR_Privacy/2018AnnualReportAppendix7.pdf</w:t>
        </w:r>
      </w:hyperlink>
    </w:p>
    <w:p w:rsidR="000F59E5" w:rsidRDefault="000F59E5" w:rsidP="000A1FBB">
      <w:pPr>
        <w:pStyle w:val="Bullet1G"/>
        <w:rPr>
          <w:rFonts w:eastAsia="Calibri"/>
          <w:lang w:val="en-US"/>
        </w:rPr>
      </w:pPr>
      <w:r>
        <w:rPr>
          <w:rFonts w:eastAsia="Calibri"/>
          <w:lang w:val="en-US"/>
        </w:rPr>
        <w:t xml:space="preserve">Appendix 8: </w:t>
      </w:r>
      <w:r w:rsidRPr="004136BB">
        <w:rPr>
          <w:rFonts w:eastAsia="Calibri"/>
          <w:lang w:val="en-US"/>
        </w:rPr>
        <w:t>Acknowledgements</w:t>
      </w:r>
    </w:p>
    <w:p w:rsidR="00404765" w:rsidRDefault="004A180B" w:rsidP="00F54762">
      <w:pPr>
        <w:pStyle w:val="SingleTxtG"/>
        <w:ind w:left="1701"/>
        <w:rPr>
          <w:rFonts w:eastAsia="Calibri"/>
          <w:lang w:val="en-US"/>
        </w:rPr>
      </w:pPr>
      <w:r>
        <w:fldChar w:fldCharType="begin"/>
      </w:r>
      <w:r>
        <w:instrText xml:space="preserve"> HYPERLINK "http://www.ohchr.org/Documents/Issues/Privacy/SR_Privacy/2018AnnualReportAppendix8.docx" </w:instrText>
      </w:r>
      <w:r>
        <w:fldChar w:fldCharType="separate"/>
      </w:r>
      <w:r w:rsidR="00DC37CC" w:rsidRPr="00FF123A">
        <w:rPr>
          <w:rStyle w:val="Hyperlink"/>
          <w:rFonts w:eastAsia="Calibri"/>
          <w:lang w:val="en-US"/>
        </w:rPr>
        <w:t>http://www.ohchr.org/Documents/Issues/Privacy/SR_Privacy/2018AnnualReportAppendix8.docx</w:t>
      </w:r>
      <w:r>
        <w:rPr>
          <w:rStyle w:val="Hyperlink"/>
          <w:rFonts w:eastAsia="Calibri"/>
          <w:lang w:val="en-US"/>
        </w:rPr>
        <w:fldChar w:fldCharType="end"/>
      </w:r>
      <w:bookmarkStart w:id="0" w:name="_GoBack"/>
      <w:bookmarkEnd w:id="0"/>
    </w:p>
    <w:p w:rsidR="00DC37CC" w:rsidRDefault="00DC37CC">
      <w:pPr>
        <w:suppressAutoHyphens w:val="0"/>
        <w:spacing w:line="240" w:lineRule="auto"/>
        <w:rPr>
          <w:rFonts w:eastAsia="Calibri"/>
          <w:lang w:val="en-US"/>
        </w:rPr>
      </w:pPr>
      <w:r>
        <w:rPr>
          <w:rFonts w:eastAsia="Calibri"/>
          <w:lang w:val="en-US"/>
        </w:rPr>
        <w:br w:type="page"/>
      </w:r>
    </w:p>
    <w:p w:rsidR="000F59E5" w:rsidRPr="00643D54" w:rsidRDefault="000F59E5" w:rsidP="000F59E5">
      <w:pPr>
        <w:pStyle w:val="HChG"/>
        <w:rPr>
          <w:rFonts w:eastAsia="Calibri"/>
          <w:lang w:val="en-US"/>
        </w:rPr>
      </w:pPr>
      <w:r>
        <w:rPr>
          <w:rFonts w:eastAsia="Calibri"/>
          <w:lang w:val="en-US"/>
        </w:rPr>
        <w:t>Annex</w:t>
      </w:r>
    </w:p>
    <w:p w:rsidR="000F59E5" w:rsidRDefault="005D24C6" w:rsidP="005D24C6">
      <w:pPr>
        <w:pStyle w:val="H1G"/>
        <w:spacing w:before="0" w:after="120" w:line="240" w:lineRule="auto"/>
        <w:rPr>
          <w:rFonts w:eastAsia="Calibri"/>
          <w:lang w:val="en-US"/>
        </w:rPr>
      </w:pPr>
      <w:r>
        <w:rPr>
          <w:rFonts w:eastAsia="Calibri"/>
          <w:lang w:val="en-US"/>
        </w:rPr>
        <w:tab/>
      </w:r>
      <w:r>
        <w:rPr>
          <w:rFonts w:eastAsia="Calibri"/>
          <w:lang w:val="en-US"/>
        </w:rPr>
        <w:tab/>
      </w:r>
      <w:r w:rsidR="000F59E5" w:rsidRPr="00B821A9">
        <w:rPr>
          <w:rFonts w:eastAsia="Calibri"/>
          <w:lang w:val="en-US"/>
        </w:rPr>
        <w:t xml:space="preserve">Paper presented at Expert </w:t>
      </w:r>
      <w:proofErr w:type="spellStart"/>
      <w:r w:rsidR="000F59E5" w:rsidRPr="00B821A9">
        <w:rPr>
          <w:rFonts w:eastAsia="Calibri"/>
          <w:lang w:val="en-US"/>
        </w:rPr>
        <w:t>works</w:t>
      </w:r>
      <w:r>
        <w:rPr>
          <w:rFonts w:eastAsia="Calibri"/>
          <w:lang w:val="en-US"/>
        </w:rPr>
        <w:tab/>
      </w:r>
      <w:r w:rsidR="000F59E5" w:rsidRPr="00B821A9">
        <w:rPr>
          <w:rFonts w:eastAsia="Calibri"/>
          <w:lang w:val="en-US"/>
        </w:rPr>
        <w:t>hop</w:t>
      </w:r>
      <w:proofErr w:type="spellEnd"/>
      <w:r w:rsidR="000F59E5" w:rsidRPr="00B821A9">
        <w:rPr>
          <w:rFonts w:eastAsia="Calibri"/>
          <w:lang w:val="en-US"/>
        </w:rPr>
        <w:t xml:space="preserve"> on the right to privacy in the digital age</w:t>
      </w:r>
    </w:p>
    <w:p w:rsidR="000F59E5" w:rsidRPr="00B821A9" w:rsidRDefault="005D24C6" w:rsidP="005D24C6">
      <w:pPr>
        <w:pStyle w:val="H1G"/>
        <w:spacing w:before="0" w:after="120" w:line="240" w:lineRule="auto"/>
        <w:rPr>
          <w:rFonts w:eastAsia="Calibri"/>
          <w:lang w:val="en-US"/>
        </w:rPr>
      </w:pPr>
      <w:r>
        <w:rPr>
          <w:rFonts w:eastAsia="Calibri"/>
          <w:lang w:val="en-US"/>
        </w:rPr>
        <w:tab/>
      </w:r>
      <w:r>
        <w:rPr>
          <w:rFonts w:eastAsia="Calibri"/>
          <w:lang w:val="en-US"/>
        </w:rPr>
        <w:tab/>
      </w:r>
      <w:r w:rsidR="000F59E5">
        <w:rPr>
          <w:rFonts w:eastAsia="Calibri"/>
          <w:lang w:val="en-US"/>
        </w:rPr>
        <w:t>Office of the High Commissioner for Human Rights</w:t>
      </w:r>
    </w:p>
    <w:p w:rsidR="000F59E5" w:rsidRPr="00B821A9" w:rsidRDefault="005D24C6" w:rsidP="005D24C6">
      <w:pPr>
        <w:pStyle w:val="H1G"/>
        <w:spacing w:before="0" w:after="120" w:line="240" w:lineRule="auto"/>
        <w:rPr>
          <w:rFonts w:eastAsia="Calibri"/>
          <w:lang w:val="en-US"/>
        </w:rPr>
      </w:pPr>
      <w:r>
        <w:rPr>
          <w:rFonts w:eastAsia="Calibri"/>
          <w:lang w:val="en-US"/>
        </w:rPr>
        <w:tab/>
      </w:r>
      <w:r>
        <w:rPr>
          <w:rFonts w:eastAsia="Calibri"/>
          <w:lang w:val="en-US"/>
        </w:rPr>
        <w:tab/>
      </w:r>
      <w:r w:rsidR="000F59E5" w:rsidRPr="00B821A9">
        <w:rPr>
          <w:rFonts w:eastAsia="Calibri"/>
          <w:lang w:val="en-US"/>
        </w:rPr>
        <w:t>Geneva</w:t>
      </w:r>
      <w:r w:rsidR="000F59E5">
        <w:rPr>
          <w:rFonts w:eastAsia="Calibri"/>
          <w:lang w:val="en-US"/>
        </w:rPr>
        <w:t>,</w:t>
      </w:r>
      <w:r w:rsidR="000F59E5" w:rsidRPr="00B821A9">
        <w:rPr>
          <w:rFonts w:eastAsia="Calibri"/>
          <w:lang w:val="en-US"/>
        </w:rPr>
        <w:t xml:space="preserve"> 19-20 February 2018</w:t>
      </w:r>
    </w:p>
    <w:p w:rsidR="000F59E5" w:rsidRPr="00580859" w:rsidRDefault="000F59E5" w:rsidP="000F59E5">
      <w:pPr>
        <w:pStyle w:val="SingleTxtG"/>
        <w:rPr>
          <w:rFonts w:eastAsia="Calibri"/>
          <w:lang w:val="en-US"/>
        </w:rPr>
      </w:pPr>
      <w:r w:rsidRPr="00580859">
        <w:rPr>
          <w:rFonts w:eastAsia="Calibri"/>
          <w:lang w:val="en-US"/>
        </w:rPr>
        <w:t>1.</w:t>
      </w:r>
      <w:r w:rsidRPr="00580859">
        <w:rPr>
          <w:rFonts w:eastAsia="Calibri"/>
          <w:lang w:val="en-US"/>
        </w:rPr>
        <w:tab/>
        <w:t xml:space="preserve">Privacy is a fundamental human right recognized as such under international law. It is also a universal right, one which should be enjoyed everywhere by everybody, </w:t>
      </w:r>
      <w:r>
        <w:rPr>
          <w:rFonts w:eastAsia="Calibri"/>
          <w:lang w:val="en-US"/>
        </w:rPr>
        <w:t>as such</w:t>
      </w:r>
      <w:r w:rsidRPr="00580859">
        <w:rPr>
          <w:rFonts w:eastAsia="Calibri"/>
          <w:lang w:val="en-US"/>
        </w:rPr>
        <w:t xml:space="preserve"> it should be respected everywhere by everybody</w:t>
      </w:r>
      <w:r>
        <w:rPr>
          <w:rFonts w:eastAsia="Calibri"/>
          <w:lang w:val="en-US"/>
        </w:rPr>
        <w:t>, by States as well as by non-State actors</w:t>
      </w:r>
      <w:r w:rsidRPr="00580859">
        <w:rPr>
          <w:rFonts w:eastAsia="Calibri"/>
          <w:lang w:val="en-US"/>
        </w:rPr>
        <w:t xml:space="preserve">, irrespective of the ethnicity, nationality, gender, religious, philosophical or political beliefs of any given individual or any other status. The recognition of the universal right to privacy is part of the </w:t>
      </w:r>
      <w:r>
        <w:rPr>
          <w:rFonts w:eastAsia="Calibri"/>
          <w:lang w:val="en-US"/>
        </w:rPr>
        <w:t>set of fundamental norms</w:t>
      </w:r>
      <w:r w:rsidRPr="00580859">
        <w:rPr>
          <w:rFonts w:eastAsia="Calibri"/>
          <w:lang w:val="en-US"/>
        </w:rPr>
        <w:t xml:space="preserve"> established in the development of human rights law since World War II.</w:t>
      </w:r>
    </w:p>
    <w:p w:rsidR="000F59E5" w:rsidRPr="00580859" w:rsidRDefault="000F59E5" w:rsidP="000F59E5">
      <w:pPr>
        <w:pStyle w:val="SingleTxtG"/>
        <w:rPr>
          <w:rFonts w:eastAsia="Calibri"/>
          <w:lang w:val="en-US"/>
        </w:rPr>
      </w:pPr>
      <w:r w:rsidRPr="00580859">
        <w:rPr>
          <w:rFonts w:eastAsia="Calibri"/>
          <w:lang w:val="en-US"/>
        </w:rPr>
        <w:t>2.</w:t>
      </w:r>
      <w:r w:rsidRPr="00580859">
        <w:rPr>
          <w:rFonts w:eastAsia="Calibri"/>
          <w:lang w:val="en-US"/>
        </w:rPr>
        <w:tab/>
      </w:r>
      <w:r>
        <w:rPr>
          <w:rFonts w:eastAsia="Calibri"/>
          <w:lang w:val="en-US"/>
        </w:rPr>
        <w:t>Due to its complexity, the right to p</w:t>
      </w:r>
      <w:r w:rsidRPr="00580859">
        <w:rPr>
          <w:rFonts w:eastAsia="Calibri"/>
          <w:lang w:val="en-US"/>
        </w:rPr>
        <w:t xml:space="preserve">rivacy requires a comprehensive legal framework in order to operationalize it in a number of different contexts. These contexts may be as diverse as medical and health, insurance, statistics, national security, finance, police, social security, education and many others. Each context brings with it the need of a detailed and constantly up-dated understanding of how privacy could be threatened within that particular context and an identification of safeguards </w:t>
      </w:r>
      <w:r>
        <w:rPr>
          <w:rFonts w:eastAsia="Calibri"/>
          <w:lang w:val="en-US"/>
        </w:rPr>
        <w:t xml:space="preserve">that protect it, </w:t>
      </w:r>
      <w:r w:rsidRPr="00580859">
        <w:rPr>
          <w:rFonts w:eastAsia="Calibri"/>
          <w:lang w:val="en-US"/>
        </w:rPr>
        <w:t xml:space="preserve">and remedies available to citizens which may be specific to that context. The devil, literally, is in the detail, and privacy requires very detailed rules which spell out the level and modes of protection that privacy may be accorded in a particular context as well as the remedies that a citizen may resort to if his or her privacy is breached in that context. The importance of this level of detail is even greater in the case of privacy since there exists no universally accepted definition of privacy. In other words, people across the world have agreed that the right to privacy exists and that everybody is entitled to such a right but they have not spelt out precisely what the right is or what it entitles a person to in a wide variety of circumstances. This fact has both advantages and disadvantages: too narrow a definition of privacy would restrict its ability to be protected as circumstances and privacy-threats change and also as we develop our understanding of what constitutes privacy-infringing </w:t>
      </w:r>
      <w:proofErr w:type="spellStart"/>
      <w:r w:rsidRPr="00580859">
        <w:rPr>
          <w:rFonts w:eastAsia="Calibri"/>
          <w:lang w:val="en-US"/>
        </w:rPr>
        <w:t>behaviour</w:t>
      </w:r>
      <w:proofErr w:type="spellEnd"/>
      <w:r w:rsidRPr="00580859">
        <w:rPr>
          <w:rFonts w:eastAsia="Calibri"/>
          <w:lang w:val="en-US"/>
        </w:rPr>
        <w:t xml:space="preserve"> in a number of changing or new contexts.  </w:t>
      </w:r>
    </w:p>
    <w:p w:rsidR="000F59E5" w:rsidRPr="00580859" w:rsidRDefault="000F59E5" w:rsidP="000F59E5">
      <w:pPr>
        <w:pStyle w:val="SingleTxtG"/>
        <w:rPr>
          <w:rFonts w:eastAsia="Calibri"/>
          <w:lang w:val="en-US"/>
        </w:rPr>
      </w:pPr>
      <w:r w:rsidRPr="00580859">
        <w:rPr>
          <w:rFonts w:eastAsia="Calibri"/>
          <w:lang w:val="en-US"/>
        </w:rPr>
        <w:t>3.</w:t>
      </w:r>
      <w:r w:rsidRPr="00580859">
        <w:rPr>
          <w:rFonts w:eastAsia="Calibri"/>
          <w:lang w:val="en-US"/>
        </w:rPr>
        <w:tab/>
        <w:t>The rules and remedies provided for at national law come together with those established under international law to constitute the international legal framework available for the protection of privacy. Those at the national level are most often to be found in an amalgam of principal and subsidiary legislation complemented by the case law of that particular country. The courts of all countries and especially those with constitutional competences interpret the extent – and occasionally the limits – of the right to privacy in accordance with their understanding of that country’s constitution, the national law on privacy – if it exists - as well as, often enough, the precepts of international law on the subject. Very importantly, over the past forty years we have witnessed a huge growth in the impact of international law on national law in the sphere of privacy protection. We have seen the concerted development of international law at the regional level, most notably in Europe, which has then guided the development of national law and practices in diverse contexts where privacy may be threatened.</w:t>
      </w:r>
    </w:p>
    <w:p w:rsidR="000F59E5" w:rsidRPr="00580859" w:rsidRDefault="000F59E5" w:rsidP="000F59E5">
      <w:pPr>
        <w:pStyle w:val="SingleTxtG"/>
        <w:rPr>
          <w:rFonts w:eastAsia="Calibri"/>
          <w:lang w:val="en-US"/>
        </w:rPr>
      </w:pPr>
      <w:r w:rsidRPr="00580859">
        <w:rPr>
          <w:rFonts w:eastAsia="Calibri"/>
          <w:lang w:val="en-US"/>
        </w:rPr>
        <w:t>4.</w:t>
      </w:r>
      <w:r w:rsidRPr="00580859">
        <w:rPr>
          <w:rFonts w:eastAsia="Calibri"/>
          <w:lang w:val="en-US"/>
        </w:rPr>
        <w:tab/>
        <w:t>Moreover, privacy is not an absolute right. It is a qualified right. There exist a small number of very special occasions when limitations to the right to privacy may be introduced subject to a number of special measures which are normally best spelt out under international law as well as necessarily having a clear legal basis in domestic law. Some of these will be explored below in the context of security. The way that the right to privacy is qualified needs to be spelt out in great detail in a given context. If limitations to the right to privacy are not adequately defined the gaps in privacy protection will increase.</w:t>
      </w:r>
    </w:p>
    <w:p w:rsidR="000F59E5" w:rsidRPr="00580859" w:rsidRDefault="000F59E5" w:rsidP="000F59E5">
      <w:pPr>
        <w:pStyle w:val="SingleTxtG"/>
        <w:rPr>
          <w:rFonts w:eastAsia="Calibri"/>
          <w:lang w:val="en-US"/>
        </w:rPr>
      </w:pPr>
      <w:r w:rsidRPr="00580859">
        <w:rPr>
          <w:rFonts w:eastAsia="Calibri"/>
          <w:lang w:val="en-US"/>
        </w:rPr>
        <w:t>5.</w:t>
      </w:r>
      <w:r w:rsidRPr="00580859">
        <w:rPr>
          <w:rFonts w:eastAsia="Calibri"/>
          <w:lang w:val="en-US"/>
        </w:rPr>
        <w:tab/>
        <w:t>An additional but essential overall consideration is that constantly developing technologies pose important challenges for the protection of privacy: these technologies may reveal the most intimate behavior, wishes, preferences and indeed the very thoughts of individuals in ways that previously were not possible. Smartphones, credit cards and the Internet are three good examples of the types of technology that bring significant new challenges to the protection of privacy.</w:t>
      </w:r>
    </w:p>
    <w:p w:rsidR="000F59E5" w:rsidRDefault="000F59E5" w:rsidP="000F59E5">
      <w:pPr>
        <w:pStyle w:val="SingleTxtG"/>
        <w:rPr>
          <w:rFonts w:eastAsia="Calibri"/>
          <w:lang w:val="en-US"/>
        </w:rPr>
      </w:pPr>
      <w:r w:rsidRPr="00580859">
        <w:rPr>
          <w:rFonts w:eastAsia="Calibri"/>
          <w:lang w:val="en-US"/>
        </w:rPr>
        <w:t>6.</w:t>
      </w:r>
      <w:r w:rsidRPr="00580859">
        <w:rPr>
          <w:rFonts w:eastAsia="Calibri"/>
          <w:lang w:val="en-US"/>
        </w:rPr>
        <w:tab/>
        <w:t>When dealing with technologies such as the Internet it is simplistic and naïve to be content with a statement that “whatever is protected off-line is protected on-line”. That is a hopelessly inadequate approach to the protection of privacy in 2018. International law such as Art. 12 UDHR and Art 17 ICPPR only provides an answer to the question “Why?” as in “Why should we protect privacy” i.e. because we have agreed that it is a universal fundamental human right. They however do not provide answers to the questions: When? Which? What? How? Who? When should privacy be protected? How should privacy be protected? Which are the privacy-relevant safeguards to be created in a particular context? Which new contexts pose the greatest risks to privacy? What should be done to protect privacy in given circumstances? Which are the remedies most appropriate and possible in those cases where, despite all the safeguards provided, a breach of privacy still occurs? Who has special duties and obligations in the case of privacy protection, in which circumstances, what measures are the minimum to discharge these obligations and how should such persons be held accountable? The answers to these and other questions can only be found if the international and national legal framework is detailed enough.</w:t>
      </w:r>
    </w:p>
    <w:p w:rsidR="000F59E5" w:rsidRPr="00580859" w:rsidRDefault="000F59E5" w:rsidP="000F59E5">
      <w:pPr>
        <w:pStyle w:val="SingleTxtG"/>
        <w:rPr>
          <w:rFonts w:eastAsia="Calibri"/>
          <w:lang w:val="en-US"/>
        </w:rPr>
      </w:pPr>
      <w:r>
        <w:rPr>
          <w:rFonts w:eastAsia="Calibri"/>
          <w:lang w:val="en-US"/>
        </w:rPr>
        <w:t>7.</w:t>
      </w:r>
      <w:r>
        <w:rPr>
          <w:rFonts w:eastAsia="Calibri"/>
          <w:lang w:val="en-US"/>
        </w:rPr>
        <w:tab/>
      </w:r>
      <w:r w:rsidRPr="00580859">
        <w:rPr>
          <w:rFonts w:eastAsia="Calibri"/>
          <w:lang w:val="en-US"/>
        </w:rPr>
        <w:t>Over the past fifty years some countries and some inter-governmental organizations have taken the initiative to develop their legal framework with respect to privacy but others have not. As a consequence, in 2018 more than a third of United Nations Member States have no privacy laws at all</w:t>
      </w:r>
      <w:r w:rsidRPr="0032542F">
        <w:rPr>
          <w:rFonts w:eastAsia="Calibri"/>
          <w:vertAlign w:val="superscript"/>
          <w:lang w:val="en-US"/>
        </w:rPr>
        <w:footnoteReference w:id="48"/>
      </w:r>
      <w:r w:rsidRPr="00580859">
        <w:rPr>
          <w:rFonts w:eastAsia="Calibri"/>
          <w:lang w:val="en-US"/>
        </w:rPr>
        <w:t xml:space="preserve"> while most of the other 125 states have laws which cover some of the contexts where privacy may be threatened but not all. Some important threats to privacy especially those arising in the context of national security, intelligence and surveillance are inadequately regulated in most countries of the world. International law, especially in the form of some regional initiatives, helps provide a level of </w:t>
      </w:r>
      <w:proofErr w:type="spellStart"/>
      <w:r w:rsidRPr="00580859">
        <w:rPr>
          <w:rFonts w:eastAsia="Calibri"/>
          <w:lang w:val="en-US"/>
        </w:rPr>
        <w:t>co-ordinated</w:t>
      </w:r>
      <w:proofErr w:type="spellEnd"/>
      <w:r w:rsidRPr="00580859">
        <w:rPr>
          <w:rFonts w:eastAsia="Calibri"/>
          <w:lang w:val="en-US"/>
        </w:rPr>
        <w:t xml:space="preserve"> response to some privacy threats for some countries but these remain, at best, a significant minority. The result is a patchwork quilt, in many places crocheted in stitches which are far too open to keep in the warmth and which, in any case, is not large enough to cover all of the bed. This patchwork quilt can in no way be characterized as a comprehensive and sufficiently detailed legal framework through which persons anywhere and everywhere can enjoy the universal right to privacy. It is the duty of the Special Rapporteur on the right to privacy, in conformity with his mandate, to identify the lack of a comprehensive, detailed and universal legal framework as a serious obstacle to the protection of the right to privacy world-wide. The rest of this paper, for reasons of time and space, mostly focuses on the lack of an adequate legal framework in two often-related contexts: national security and the prevention, detection, investigation and prosecution of crime but this is not to say that all other contexts are well served by the international legal framework.</w:t>
      </w:r>
    </w:p>
    <w:p w:rsidR="000F59E5" w:rsidRPr="0032542F" w:rsidRDefault="00B1210E" w:rsidP="00B1210E">
      <w:pPr>
        <w:pStyle w:val="H23G"/>
        <w:rPr>
          <w:rFonts w:eastAsia="Calibri"/>
          <w:lang w:val="en-US"/>
        </w:rPr>
      </w:pPr>
      <w:r>
        <w:rPr>
          <w:rFonts w:eastAsia="Calibri"/>
          <w:lang w:val="en-US"/>
        </w:rPr>
        <w:tab/>
      </w:r>
      <w:r>
        <w:rPr>
          <w:rFonts w:eastAsia="Calibri"/>
          <w:lang w:val="en-US"/>
        </w:rPr>
        <w:tab/>
      </w:r>
      <w:r w:rsidR="000F59E5" w:rsidRPr="0032542F">
        <w:rPr>
          <w:rFonts w:eastAsia="Calibri"/>
          <w:lang w:val="en-US"/>
        </w:rPr>
        <w:t xml:space="preserve">The current international legal framework </w:t>
      </w:r>
    </w:p>
    <w:p w:rsidR="000F59E5" w:rsidRPr="00580859" w:rsidRDefault="000F59E5" w:rsidP="000F59E5">
      <w:pPr>
        <w:pStyle w:val="SingleTxtG"/>
        <w:rPr>
          <w:rFonts w:eastAsia="Calibri"/>
          <w:lang w:val="en-US"/>
        </w:rPr>
      </w:pPr>
      <w:r>
        <w:rPr>
          <w:rFonts w:eastAsia="Calibri"/>
          <w:lang w:val="en-US"/>
        </w:rPr>
        <w:t>8</w:t>
      </w:r>
      <w:r w:rsidRPr="00580859">
        <w:rPr>
          <w:rFonts w:eastAsia="Calibri"/>
          <w:lang w:val="en-US"/>
        </w:rPr>
        <w:t>.</w:t>
      </w:r>
      <w:r w:rsidRPr="00580859">
        <w:rPr>
          <w:rFonts w:eastAsia="Calibri"/>
          <w:lang w:val="en-US"/>
        </w:rPr>
        <w:tab/>
        <w:t>The diagram below attempts to sketch out the international legal framework for the protection of privacy which exists so far:</w:t>
      </w:r>
    </w:p>
    <w:p w:rsidR="000F59E5" w:rsidRPr="00580859" w:rsidRDefault="000F59E5" w:rsidP="000F59E5">
      <w:pPr>
        <w:pStyle w:val="SingleTxtG"/>
        <w:ind w:left="0"/>
        <w:rPr>
          <w:rFonts w:eastAsia="Calibri"/>
          <w:lang w:val="en-US"/>
        </w:rPr>
      </w:pPr>
      <w:r w:rsidRPr="00580859">
        <w:rPr>
          <w:rFonts w:eastAsia="Calibri"/>
          <w:noProof/>
          <w:lang w:eastAsia="en-GB"/>
        </w:rPr>
        <w:drawing>
          <wp:inline distT="0" distB="0" distL="0" distR="0" wp14:anchorId="4F054C58" wp14:editId="194E9C12">
            <wp:extent cx="6362700" cy="408859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8384" cy="4092244"/>
                    </a:xfrm>
                    <a:prstGeom prst="rect">
                      <a:avLst/>
                    </a:prstGeom>
                    <a:noFill/>
                    <a:ln>
                      <a:noFill/>
                    </a:ln>
                  </pic:spPr>
                </pic:pic>
              </a:graphicData>
            </a:graphic>
          </wp:inline>
        </w:drawing>
      </w:r>
    </w:p>
    <w:p w:rsidR="000F59E5" w:rsidRPr="00580859" w:rsidRDefault="000F59E5" w:rsidP="00DC37CC">
      <w:pPr>
        <w:pStyle w:val="SingleTxtG"/>
        <w:spacing w:before="240"/>
        <w:rPr>
          <w:rFonts w:eastAsia="Calibri"/>
          <w:lang w:val="en-US"/>
        </w:rPr>
      </w:pPr>
      <w:r>
        <w:rPr>
          <w:rFonts w:eastAsia="Calibri"/>
          <w:lang w:val="en-US"/>
        </w:rPr>
        <w:t>9</w:t>
      </w:r>
      <w:r w:rsidRPr="00580859">
        <w:rPr>
          <w:rFonts w:eastAsia="Calibri"/>
          <w:lang w:val="en-US"/>
        </w:rPr>
        <w:t>.</w:t>
      </w:r>
      <w:r w:rsidRPr="00580859">
        <w:rPr>
          <w:rFonts w:eastAsia="Calibri"/>
          <w:lang w:val="en-US"/>
        </w:rPr>
        <w:tab/>
        <w:t>The diagram above is intended primarily to illustrate the tiered structure of the international legal framework but limitations of space do not permit one to clearly see that the tiers in Asia and Africa contain many more gaps and vacant spaces than those in Europe and North America. These gaps are however summarized in the overview text below.</w:t>
      </w:r>
    </w:p>
    <w:p w:rsidR="000F59E5" w:rsidRPr="0032542F" w:rsidRDefault="00B1210E" w:rsidP="00B1210E">
      <w:pPr>
        <w:pStyle w:val="H23G"/>
        <w:rPr>
          <w:rFonts w:eastAsia="Calibri"/>
          <w:lang w:val="en-US"/>
        </w:rPr>
      </w:pPr>
      <w:r>
        <w:rPr>
          <w:rFonts w:eastAsia="Calibri"/>
          <w:lang w:val="en-US"/>
        </w:rPr>
        <w:tab/>
      </w:r>
      <w:r>
        <w:rPr>
          <w:rFonts w:eastAsia="Calibri"/>
          <w:lang w:val="en-US"/>
        </w:rPr>
        <w:tab/>
      </w:r>
      <w:r w:rsidR="000F59E5" w:rsidRPr="0032542F">
        <w:rPr>
          <w:rFonts w:eastAsia="Calibri"/>
          <w:lang w:val="en-US"/>
        </w:rPr>
        <w:t xml:space="preserve">Gaps in </w:t>
      </w:r>
      <w:r w:rsidR="000F59E5" w:rsidRPr="00580859">
        <w:rPr>
          <w:rFonts w:eastAsia="Calibri"/>
          <w:lang w:val="en-US"/>
        </w:rPr>
        <w:t>p</w:t>
      </w:r>
      <w:r w:rsidR="000F59E5" w:rsidRPr="0032542F">
        <w:rPr>
          <w:rFonts w:eastAsia="Calibri"/>
          <w:lang w:val="en-US"/>
        </w:rPr>
        <w:t xml:space="preserve">rotection from </w:t>
      </w:r>
      <w:r w:rsidR="000F59E5" w:rsidRPr="00580859">
        <w:rPr>
          <w:rFonts w:eastAsia="Calibri"/>
          <w:lang w:val="en-US"/>
        </w:rPr>
        <w:t>g</w:t>
      </w:r>
      <w:r w:rsidR="000F59E5" w:rsidRPr="0032542F">
        <w:rPr>
          <w:rFonts w:eastAsia="Calibri"/>
          <w:lang w:val="en-US"/>
        </w:rPr>
        <w:t xml:space="preserve">overnment-led </w:t>
      </w:r>
      <w:r w:rsidR="000F59E5" w:rsidRPr="00580859">
        <w:rPr>
          <w:rFonts w:eastAsia="Calibri"/>
          <w:lang w:val="en-US"/>
        </w:rPr>
        <w:t>s</w:t>
      </w:r>
      <w:r w:rsidR="000F59E5" w:rsidRPr="0032542F">
        <w:rPr>
          <w:rFonts w:eastAsia="Calibri"/>
          <w:lang w:val="en-US"/>
        </w:rPr>
        <w:t>urveillance.</w:t>
      </w:r>
    </w:p>
    <w:p w:rsidR="000F59E5" w:rsidRPr="00580859" w:rsidRDefault="000F59E5" w:rsidP="000F59E5">
      <w:pPr>
        <w:pStyle w:val="SingleTxtG"/>
        <w:rPr>
          <w:rFonts w:eastAsia="Calibri"/>
          <w:lang w:val="en-US"/>
        </w:rPr>
      </w:pPr>
      <w:r>
        <w:rPr>
          <w:rFonts w:eastAsia="Calibri"/>
          <w:lang w:val="en-US"/>
        </w:rPr>
        <w:t>10</w:t>
      </w:r>
      <w:r w:rsidRPr="00580859">
        <w:rPr>
          <w:rFonts w:eastAsia="Calibri"/>
          <w:lang w:val="en-US"/>
        </w:rPr>
        <w:t>.</w:t>
      </w:r>
      <w:r w:rsidRPr="00580859">
        <w:rPr>
          <w:rFonts w:eastAsia="Calibri"/>
          <w:lang w:val="en-US"/>
        </w:rPr>
        <w:tab/>
        <w:t>The surveillance of citizen behavior on the internet can be broadly categorized into two main types: Government-led surveillance, and, surveillance or monitoring of citizens behavior by private corporations that track citizens browsing, purchasing and other activities on the internet.</w:t>
      </w:r>
    </w:p>
    <w:p w:rsidR="000F59E5" w:rsidRPr="00580859" w:rsidRDefault="000F59E5" w:rsidP="000F59E5">
      <w:pPr>
        <w:pStyle w:val="SingleTxtG"/>
        <w:rPr>
          <w:rFonts w:eastAsia="Calibri"/>
          <w:lang w:val="en-US"/>
        </w:rPr>
      </w:pPr>
      <w:r>
        <w:rPr>
          <w:rFonts w:eastAsia="Calibri"/>
          <w:lang w:val="en-US"/>
        </w:rPr>
        <w:t>11</w:t>
      </w:r>
      <w:r w:rsidRPr="00580859">
        <w:rPr>
          <w:rFonts w:eastAsia="Calibri"/>
          <w:lang w:val="en-US"/>
        </w:rPr>
        <w:t>.</w:t>
      </w:r>
      <w:r w:rsidRPr="00580859">
        <w:rPr>
          <w:rFonts w:eastAsia="Calibri"/>
          <w:lang w:val="en-US"/>
        </w:rPr>
        <w:tab/>
        <w:t>This overview analysis is focused on Government-led surveillance and the gaps in protection which currently exist in the international legal framework.</w:t>
      </w:r>
    </w:p>
    <w:p w:rsidR="000F59E5" w:rsidRPr="00580859" w:rsidRDefault="000F59E5" w:rsidP="000F59E5">
      <w:pPr>
        <w:pStyle w:val="SingleTxtG"/>
        <w:rPr>
          <w:rFonts w:eastAsia="Calibri"/>
          <w:lang w:val="en-US"/>
        </w:rPr>
      </w:pPr>
      <w:r>
        <w:rPr>
          <w:rFonts w:eastAsia="Calibri"/>
          <w:lang w:val="en-US"/>
        </w:rPr>
        <w:t>12</w:t>
      </w:r>
      <w:r w:rsidRPr="00580859">
        <w:rPr>
          <w:rFonts w:eastAsia="Calibri"/>
          <w:lang w:val="en-US"/>
        </w:rPr>
        <w:t>.</w:t>
      </w:r>
      <w:r w:rsidRPr="00580859">
        <w:rPr>
          <w:rFonts w:eastAsia="Calibri"/>
          <w:lang w:val="en-US"/>
        </w:rPr>
        <w:tab/>
        <w:t>The surveillance and/or monitoring and/or profiling of citizens by corporations will be the subject of a separate report.</w:t>
      </w:r>
    </w:p>
    <w:p w:rsidR="000F59E5" w:rsidRPr="0032542F" w:rsidRDefault="000F59E5" w:rsidP="00B1210E">
      <w:pPr>
        <w:pStyle w:val="H23G"/>
        <w:rPr>
          <w:rFonts w:eastAsia="Calibri"/>
          <w:lang w:val="en-US"/>
        </w:rPr>
      </w:pPr>
      <w:r w:rsidRPr="00580859">
        <w:rPr>
          <w:rFonts w:eastAsia="Calibri"/>
          <w:lang w:val="en-US"/>
        </w:rPr>
        <w:tab/>
      </w:r>
      <w:r w:rsidR="00B1210E">
        <w:rPr>
          <w:rFonts w:eastAsia="Calibri"/>
          <w:lang w:val="en-US"/>
        </w:rPr>
        <w:tab/>
      </w:r>
      <w:r w:rsidRPr="0032542F">
        <w:rPr>
          <w:rFonts w:eastAsia="Calibri"/>
          <w:lang w:val="en-US"/>
        </w:rPr>
        <w:t>What do we understand by a comprehensive legal framework?</w:t>
      </w:r>
    </w:p>
    <w:p w:rsidR="000F59E5" w:rsidRPr="00580859" w:rsidRDefault="000F59E5" w:rsidP="000F59E5">
      <w:pPr>
        <w:pStyle w:val="SingleTxtG"/>
        <w:rPr>
          <w:rFonts w:eastAsia="Calibri"/>
          <w:lang w:val="en-US"/>
        </w:rPr>
      </w:pPr>
      <w:r>
        <w:rPr>
          <w:rFonts w:eastAsia="Calibri"/>
          <w:lang w:val="en-US"/>
        </w:rPr>
        <w:t>13</w:t>
      </w:r>
      <w:r w:rsidRPr="00580859">
        <w:rPr>
          <w:rFonts w:eastAsia="Calibri"/>
          <w:lang w:val="en-US"/>
        </w:rPr>
        <w:t>.</w:t>
      </w:r>
      <w:r w:rsidRPr="00580859">
        <w:rPr>
          <w:rFonts w:eastAsia="Calibri"/>
          <w:lang w:val="en-US"/>
        </w:rPr>
        <w:tab/>
        <w:t>A comprehensive legal framework protecting citizens’ privacy in cyberspace is one which provides both safeguards and remedies for all facets of the citizens’ presence in cyberspace, irrespective of the fact if the threat to privacy comes from inside that citizen’s country or from outside it.</w:t>
      </w:r>
    </w:p>
    <w:p w:rsidR="000F59E5" w:rsidRPr="00580859" w:rsidRDefault="000F59E5" w:rsidP="000F59E5">
      <w:pPr>
        <w:pStyle w:val="SingleTxtG"/>
        <w:rPr>
          <w:rFonts w:eastAsia="Calibri"/>
          <w:lang w:val="en-US"/>
        </w:rPr>
      </w:pPr>
      <w:r>
        <w:rPr>
          <w:rFonts w:eastAsia="Calibri"/>
          <w:lang w:val="en-US"/>
        </w:rPr>
        <w:t>14</w:t>
      </w:r>
      <w:r w:rsidRPr="00580859">
        <w:rPr>
          <w:rFonts w:eastAsia="Calibri"/>
          <w:lang w:val="en-US"/>
        </w:rPr>
        <w:t>.</w:t>
      </w:r>
      <w:r w:rsidRPr="00580859">
        <w:rPr>
          <w:rFonts w:eastAsia="Calibri"/>
          <w:lang w:val="en-US"/>
        </w:rPr>
        <w:tab/>
        <w:t xml:space="preserve">Tension has continued to build up in cyberspace, with the privacy of many responsible citizens being put at risk by the behavior of State actors in the form of cyber-surveillance, cyber-espionage and elements of cyber-war. </w:t>
      </w:r>
    </w:p>
    <w:p w:rsidR="000F59E5" w:rsidRPr="0032542F" w:rsidRDefault="00B1210E" w:rsidP="00B1210E">
      <w:pPr>
        <w:pStyle w:val="H23G"/>
        <w:rPr>
          <w:rFonts w:eastAsia="Calibri"/>
          <w:lang w:val="en-US"/>
        </w:rPr>
      </w:pPr>
      <w:r>
        <w:rPr>
          <w:rFonts w:eastAsia="Calibri"/>
          <w:lang w:val="en-US"/>
        </w:rPr>
        <w:tab/>
      </w:r>
      <w:r>
        <w:rPr>
          <w:rFonts w:eastAsia="Calibri"/>
          <w:lang w:val="en-US"/>
        </w:rPr>
        <w:tab/>
      </w:r>
      <w:r w:rsidR="000F59E5" w:rsidRPr="00580859">
        <w:rPr>
          <w:rFonts w:eastAsia="Calibri"/>
          <w:lang w:val="en-US"/>
        </w:rPr>
        <w:t>Problem Statement</w:t>
      </w:r>
    </w:p>
    <w:p w:rsidR="000F59E5" w:rsidRPr="00580859" w:rsidRDefault="000F59E5" w:rsidP="000F59E5">
      <w:pPr>
        <w:pStyle w:val="SingleTxtG"/>
        <w:rPr>
          <w:rFonts w:eastAsia="Calibri"/>
          <w:lang w:val="en-US"/>
        </w:rPr>
      </w:pPr>
      <w:r w:rsidRPr="004F5665">
        <w:rPr>
          <w:rFonts w:eastAsia="Calibri"/>
          <w:lang w:val="en-US"/>
        </w:rPr>
        <w:t>15.</w:t>
      </w:r>
      <w:r w:rsidRPr="004F5665">
        <w:rPr>
          <w:rFonts w:eastAsia="Calibri"/>
          <w:lang w:val="en-US"/>
        </w:rPr>
        <w:tab/>
        <w:t>In cyberspace, the citizen may be surveilled in both a domestic situation by his or her own</w:t>
      </w:r>
      <w:r w:rsidRPr="00580859">
        <w:rPr>
          <w:rFonts w:eastAsia="Calibri"/>
          <w:lang w:val="en-US"/>
        </w:rPr>
        <w:t xml:space="preserve"> Government, or else in a </w:t>
      </w:r>
      <w:proofErr w:type="spellStart"/>
      <w:r w:rsidRPr="00580859">
        <w:rPr>
          <w:rFonts w:eastAsia="Calibri"/>
          <w:lang w:val="en-US"/>
        </w:rPr>
        <w:t>transborder</w:t>
      </w:r>
      <w:proofErr w:type="spellEnd"/>
      <w:r w:rsidRPr="00580859">
        <w:rPr>
          <w:rFonts w:eastAsia="Calibri"/>
          <w:lang w:val="en-US"/>
        </w:rPr>
        <w:t xml:space="preserve">/transnational situation by a Government which is not his/her own. The case studies referenced below outline a fraction of some of the ways in which a citizen in one country finds him/herself subject to infringement of their privacy by their own Government or another </w:t>
      </w:r>
      <w:r>
        <w:rPr>
          <w:rFonts w:eastAsia="Calibri"/>
          <w:lang w:val="en-US"/>
        </w:rPr>
        <w:t>S</w:t>
      </w:r>
      <w:r w:rsidRPr="00580859">
        <w:rPr>
          <w:rFonts w:eastAsia="Calibri"/>
          <w:lang w:val="en-US"/>
        </w:rPr>
        <w:t>tate actor.</w:t>
      </w:r>
    </w:p>
    <w:p w:rsidR="000F59E5" w:rsidRPr="00580859" w:rsidRDefault="000F59E5" w:rsidP="000F59E5">
      <w:pPr>
        <w:pStyle w:val="SingleTxtG"/>
        <w:rPr>
          <w:rFonts w:eastAsia="Calibri"/>
          <w:lang w:val="en-US"/>
        </w:rPr>
      </w:pPr>
      <w:r>
        <w:rPr>
          <w:rFonts w:eastAsia="Calibri"/>
          <w:lang w:val="en-US"/>
        </w:rPr>
        <w:t>16</w:t>
      </w:r>
      <w:r w:rsidRPr="00580859">
        <w:rPr>
          <w:rFonts w:eastAsia="Calibri"/>
          <w:lang w:val="en-US"/>
        </w:rPr>
        <w:t>.</w:t>
      </w:r>
      <w:r w:rsidRPr="00580859">
        <w:rPr>
          <w:rFonts w:eastAsia="Calibri"/>
          <w:lang w:val="en-US"/>
        </w:rPr>
        <w:tab/>
        <w:t xml:space="preserve">Where a citizen is subject to surveillance by his/her own Government then the safeguards and remedies must normally be sought within domestic law. Where a citizen is subject to surveillance by a State which is not his own, </w:t>
      </w:r>
      <w:r>
        <w:rPr>
          <w:rFonts w:eastAsia="Calibri"/>
          <w:lang w:val="en-US"/>
        </w:rPr>
        <w:t>obligations of both the State conducting the surveillance and the State where that person is physically located are relevant; yet a remedy becomes harder to seek, because</w:t>
      </w:r>
      <w:r w:rsidRPr="00580859">
        <w:rPr>
          <w:rFonts w:eastAsia="Calibri"/>
          <w:lang w:val="en-US"/>
        </w:rPr>
        <w:t xml:space="preserve"> in practice most states accord the citizens of other States a lower level of protection than that accorded to their own citizens</w:t>
      </w:r>
      <w:r>
        <w:rPr>
          <w:rFonts w:eastAsia="Calibri"/>
          <w:lang w:val="en-US"/>
        </w:rPr>
        <w:t>, in breach of the prohibition of discrimination found in articles 4, and 26 of the ICCPR</w:t>
      </w:r>
      <w:r w:rsidRPr="00580859">
        <w:rPr>
          <w:rFonts w:eastAsia="Calibri"/>
          <w:lang w:val="en-US"/>
        </w:rPr>
        <w:t>.</w:t>
      </w:r>
    </w:p>
    <w:p w:rsidR="000F59E5" w:rsidRPr="00580859" w:rsidRDefault="000F59E5" w:rsidP="000F59E5">
      <w:pPr>
        <w:pStyle w:val="SingleTxtG"/>
        <w:rPr>
          <w:rFonts w:eastAsia="Calibri"/>
          <w:lang w:val="en-US"/>
        </w:rPr>
      </w:pPr>
      <w:r>
        <w:rPr>
          <w:rFonts w:eastAsia="Calibri"/>
          <w:lang w:val="en-US"/>
        </w:rPr>
        <w:t>17</w:t>
      </w:r>
      <w:r w:rsidRPr="00580859">
        <w:rPr>
          <w:rFonts w:eastAsia="Calibri"/>
          <w:lang w:val="en-US"/>
        </w:rPr>
        <w:t>.</w:t>
      </w:r>
      <w:r w:rsidRPr="00580859">
        <w:rPr>
          <w:rFonts w:eastAsia="Calibri"/>
          <w:lang w:val="en-US"/>
        </w:rPr>
        <w:tab/>
        <w:t xml:space="preserve">For </w:t>
      </w:r>
      <w:r>
        <w:rPr>
          <w:rFonts w:eastAsia="Calibri"/>
          <w:lang w:val="en-US"/>
        </w:rPr>
        <w:t>individuals</w:t>
      </w:r>
      <w:r w:rsidRPr="00580859">
        <w:rPr>
          <w:rFonts w:eastAsia="Calibri"/>
          <w:lang w:val="en-US"/>
        </w:rPr>
        <w:t xml:space="preserve"> not to suffer </w:t>
      </w:r>
      <w:r>
        <w:rPr>
          <w:rFonts w:eastAsia="Calibri"/>
          <w:lang w:val="en-US"/>
        </w:rPr>
        <w:t>interferences in their</w:t>
      </w:r>
      <w:r w:rsidRPr="00580859">
        <w:rPr>
          <w:rFonts w:eastAsia="Calibri"/>
          <w:lang w:val="en-US"/>
        </w:rPr>
        <w:t xml:space="preserve"> right to privacy, </w:t>
      </w:r>
      <w:r>
        <w:rPr>
          <w:rFonts w:eastAsia="Calibri"/>
          <w:lang w:val="en-US"/>
        </w:rPr>
        <w:t>they</w:t>
      </w:r>
      <w:r w:rsidRPr="00580859">
        <w:rPr>
          <w:rFonts w:eastAsia="Calibri"/>
          <w:lang w:val="en-US"/>
        </w:rPr>
        <w:t xml:space="preserve"> firstly need to benefit from safeguards which exist within domestic law, in other words, </w:t>
      </w:r>
      <w:r>
        <w:rPr>
          <w:rFonts w:eastAsia="Calibri"/>
          <w:lang w:val="en-US"/>
        </w:rPr>
        <w:t>their</w:t>
      </w:r>
      <w:r w:rsidRPr="00580859">
        <w:rPr>
          <w:rFonts w:eastAsia="Calibri"/>
          <w:lang w:val="en-US"/>
        </w:rPr>
        <w:t xml:space="preserve"> Government should be subject to a whole set of </w:t>
      </w:r>
      <w:r>
        <w:rPr>
          <w:rFonts w:eastAsia="Calibri"/>
          <w:lang w:val="en-US"/>
        </w:rPr>
        <w:t>regulatory procedures</w:t>
      </w:r>
      <w:r w:rsidRPr="00580859">
        <w:rPr>
          <w:rFonts w:eastAsia="Calibri"/>
          <w:lang w:val="en-US"/>
        </w:rPr>
        <w:t xml:space="preserve"> provided for by the law of that State, and which would include precautionary measures designed to ensure that surveillance cannot be initiated until or unless, it is proven to an independent </w:t>
      </w:r>
      <w:r>
        <w:rPr>
          <w:rFonts w:eastAsia="Calibri"/>
          <w:lang w:val="en-US"/>
        </w:rPr>
        <w:t xml:space="preserve">and competent </w:t>
      </w:r>
      <w:r w:rsidRPr="00580859">
        <w:rPr>
          <w:rFonts w:eastAsia="Calibri"/>
          <w:lang w:val="en-US"/>
        </w:rPr>
        <w:t xml:space="preserve">authority that this surveillance is </w:t>
      </w:r>
      <w:r>
        <w:rPr>
          <w:rFonts w:eastAsia="Calibri"/>
          <w:lang w:val="en-US"/>
        </w:rPr>
        <w:t xml:space="preserve">legal, </w:t>
      </w:r>
      <w:r w:rsidRPr="00580859">
        <w:rPr>
          <w:rFonts w:eastAsia="Calibri"/>
          <w:lang w:val="en-US"/>
        </w:rPr>
        <w:t xml:space="preserve">necessary and proportionate to </w:t>
      </w:r>
      <w:r>
        <w:rPr>
          <w:rFonts w:eastAsia="Calibri"/>
          <w:lang w:val="en-US"/>
        </w:rPr>
        <w:t>objective pursued, “</w:t>
      </w:r>
      <w:r w:rsidRPr="00B646F9">
        <w:rPr>
          <w:rFonts w:eastAsia="Calibri"/>
          <w:lang w:val="en-US"/>
        </w:rPr>
        <w:t>solely for the purpose of</w:t>
      </w:r>
      <w:r>
        <w:rPr>
          <w:rFonts w:eastAsia="Calibri"/>
          <w:lang w:val="en-US"/>
        </w:rPr>
        <w:t xml:space="preserve"> </w:t>
      </w:r>
      <w:r w:rsidRPr="00B646F9">
        <w:rPr>
          <w:rFonts w:eastAsia="Calibri"/>
          <w:lang w:val="en-US"/>
        </w:rPr>
        <w:t>securing due recognition and respect for the rights and freedoms of others</w:t>
      </w:r>
      <w:r>
        <w:rPr>
          <w:rFonts w:eastAsia="Calibri"/>
          <w:lang w:val="en-US"/>
        </w:rPr>
        <w:t xml:space="preserve"> </w:t>
      </w:r>
      <w:r w:rsidRPr="00B646F9">
        <w:rPr>
          <w:rFonts w:eastAsia="Calibri"/>
          <w:lang w:val="en-US"/>
        </w:rPr>
        <w:t>and of meeting the just requirements of morality, public order and the</w:t>
      </w:r>
      <w:r>
        <w:rPr>
          <w:rFonts w:eastAsia="Calibri"/>
          <w:lang w:val="en-US"/>
        </w:rPr>
        <w:t xml:space="preserve"> </w:t>
      </w:r>
      <w:r w:rsidRPr="00B646F9">
        <w:rPr>
          <w:rFonts w:eastAsia="Calibri"/>
          <w:lang w:val="en-US"/>
        </w:rPr>
        <w:t>general welfare in a democratic society</w:t>
      </w:r>
      <w:r>
        <w:rPr>
          <w:rFonts w:eastAsia="Calibri"/>
          <w:lang w:val="en-US"/>
        </w:rPr>
        <w:t>” (UDHR, Art. 29(2)</w:t>
      </w:r>
      <w:r w:rsidRPr="00580859">
        <w:rPr>
          <w:rFonts w:eastAsia="Calibri"/>
          <w:lang w:val="en-US"/>
        </w:rPr>
        <w:t>.</w:t>
      </w:r>
    </w:p>
    <w:p w:rsidR="000F59E5" w:rsidRPr="0032542F" w:rsidRDefault="00B1210E" w:rsidP="00B1210E">
      <w:pPr>
        <w:pStyle w:val="H23G"/>
        <w:rPr>
          <w:rFonts w:eastAsia="Calibri"/>
          <w:lang w:val="en-US"/>
        </w:rPr>
      </w:pPr>
      <w:r>
        <w:rPr>
          <w:rFonts w:eastAsia="Calibri"/>
          <w:lang w:val="en-US"/>
        </w:rPr>
        <w:tab/>
      </w:r>
      <w:r>
        <w:rPr>
          <w:rFonts w:eastAsia="Calibri"/>
          <w:lang w:val="en-US"/>
        </w:rPr>
        <w:tab/>
      </w:r>
      <w:r w:rsidR="000F59E5" w:rsidRPr="0032542F">
        <w:rPr>
          <w:rFonts w:eastAsia="Calibri"/>
          <w:lang w:val="en-US"/>
        </w:rPr>
        <w:t>Summary overview of protection gaps</w:t>
      </w:r>
    </w:p>
    <w:p w:rsidR="000F59E5" w:rsidRPr="00580859" w:rsidRDefault="000F59E5" w:rsidP="000F59E5">
      <w:pPr>
        <w:pStyle w:val="SingleTxtG"/>
        <w:rPr>
          <w:rFonts w:eastAsia="Calibri"/>
          <w:lang w:val="en-US"/>
        </w:rPr>
      </w:pPr>
      <w:r>
        <w:rPr>
          <w:rFonts w:eastAsia="Calibri"/>
          <w:lang w:val="en-US"/>
        </w:rPr>
        <w:t>18</w:t>
      </w:r>
      <w:r w:rsidRPr="00580859">
        <w:rPr>
          <w:rFonts w:eastAsia="Calibri"/>
          <w:lang w:val="en-US"/>
        </w:rPr>
        <w:t>.</w:t>
      </w:r>
      <w:r w:rsidRPr="00580859">
        <w:rPr>
          <w:rFonts w:eastAsia="Calibri"/>
          <w:lang w:val="en-US"/>
        </w:rPr>
        <w:tab/>
        <w:t>In summary: the United Nations has 193 sovereign Member States and two non-member observer States, all of them capable of having their own independent systems/structures such as domestic legislation a</w:t>
      </w:r>
      <w:r w:rsidR="00650FD4">
        <w:rPr>
          <w:rFonts w:eastAsia="Calibri"/>
          <w:lang w:val="en-US"/>
        </w:rPr>
        <w:t>nd data protection authorities.</w:t>
      </w:r>
    </w:p>
    <w:p w:rsidR="000F59E5" w:rsidRPr="00580859" w:rsidRDefault="000F59E5" w:rsidP="000F59E5">
      <w:pPr>
        <w:pStyle w:val="SingleTxtG"/>
        <w:rPr>
          <w:rFonts w:eastAsia="Calibri"/>
          <w:lang w:val="en-US"/>
        </w:rPr>
      </w:pPr>
      <w:r>
        <w:rPr>
          <w:rFonts w:eastAsia="Calibri"/>
          <w:lang w:val="en-US"/>
        </w:rPr>
        <w:t>19</w:t>
      </w:r>
      <w:r w:rsidRPr="00580859">
        <w:rPr>
          <w:rFonts w:eastAsia="Calibri"/>
          <w:lang w:val="en-US"/>
        </w:rPr>
        <w:t>.</w:t>
      </w:r>
      <w:r w:rsidRPr="00580859">
        <w:rPr>
          <w:rFonts w:eastAsia="Calibri"/>
          <w:lang w:val="en-US"/>
        </w:rPr>
        <w:tab/>
        <w:t>More than 33 percent of United Nations Member States, i.e. over 70 countr</w:t>
      </w:r>
      <w:r w:rsidR="00650FD4">
        <w:rPr>
          <w:rFonts w:eastAsia="Calibri"/>
          <w:lang w:val="en-US"/>
        </w:rPr>
        <w:t>ies, have no privacy law at all.</w:t>
      </w:r>
    </w:p>
    <w:p w:rsidR="000F59E5" w:rsidRPr="00580859" w:rsidRDefault="000F59E5" w:rsidP="000F59E5">
      <w:pPr>
        <w:pStyle w:val="SingleTxtG"/>
        <w:rPr>
          <w:rFonts w:eastAsia="Calibri"/>
          <w:lang w:val="en-US"/>
        </w:rPr>
      </w:pPr>
      <w:r>
        <w:rPr>
          <w:rFonts w:eastAsia="Calibri"/>
          <w:lang w:val="en-US"/>
        </w:rPr>
        <w:t>20</w:t>
      </w:r>
      <w:r w:rsidRPr="00580859">
        <w:rPr>
          <w:rFonts w:eastAsia="Calibri"/>
          <w:lang w:val="en-US"/>
        </w:rPr>
        <w:t>.</w:t>
      </w:r>
      <w:r w:rsidRPr="00580859">
        <w:rPr>
          <w:rFonts w:eastAsia="Calibri"/>
          <w:lang w:val="en-US"/>
        </w:rPr>
        <w:tab/>
        <w:t>Out of the remaining 125 United Nations Member States which do have one form of privacy law or another, (for an outline of these states please see article by Professor Graham Greenleaf in Appendix Two attached) less than 65 have certain key fundamental characteristics such as a truly independent data protection authority or truly strict  enforceable safeguards and remedies. Thus, these laws are not homogeneous and the level of protection of privacy differs quite widely from one country to the next.</w:t>
      </w:r>
    </w:p>
    <w:p w:rsidR="000F59E5" w:rsidRPr="00580859" w:rsidRDefault="000F59E5" w:rsidP="000F59E5">
      <w:pPr>
        <w:pStyle w:val="SingleTxtG"/>
        <w:rPr>
          <w:rFonts w:eastAsia="Calibri"/>
          <w:lang w:val="en-US"/>
        </w:rPr>
      </w:pPr>
      <w:r>
        <w:rPr>
          <w:rFonts w:eastAsia="Calibri"/>
          <w:lang w:val="en-US"/>
        </w:rPr>
        <w:t>21</w:t>
      </w:r>
      <w:r w:rsidRPr="00580859">
        <w:rPr>
          <w:rFonts w:eastAsia="Calibri"/>
          <w:lang w:val="en-US"/>
        </w:rPr>
        <w:t>.</w:t>
      </w:r>
      <w:r w:rsidRPr="00580859">
        <w:rPr>
          <w:rFonts w:eastAsia="Calibri"/>
          <w:lang w:val="en-US"/>
        </w:rPr>
        <w:tab/>
        <w:t>The types of laws mentioned in Graham Greenleaf’s article are mostly those intended to cover the use of personal data by companies or state departments outside the law enforcement and national security sector. Most of them are therefore not intended to adequately and comprehensively cover the use of surveillance by intelligence agencies.</w:t>
      </w:r>
    </w:p>
    <w:p w:rsidR="000F59E5" w:rsidRPr="00580859" w:rsidRDefault="000F59E5" w:rsidP="000F59E5">
      <w:pPr>
        <w:pStyle w:val="SingleTxtG"/>
        <w:rPr>
          <w:rFonts w:eastAsia="Calibri"/>
          <w:lang w:val="en-US"/>
        </w:rPr>
      </w:pPr>
      <w:r>
        <w:rPr>
          <w:rFonts w:eastAsia="Calibri"/>
          <w:lang w:val="en-US"/>
        </w:rPr>
        <w:t>22</w:t>
      </w:r>
      <w:r w:rsidRPr="00580859">
        <w:rPr>
          <w:rFonts w:eastAsia="Calibri"/>
          <w:lang w:val="en-US"/>
        </w:rPr>
        <w:t>.</w:t>
      </w:r>
      <w:r w:rsidRPr="00580859">
        <w:rPr>
          <w:rFonts w:eastAsia="Calibri"/>
          <w:lang w:val="en-US"/>
        </w:rPr>
        <w:tab/>
        <w:t xml:space="preserve">More than 80 percent of the United Nations Member States </w:t>
      </w:r>
      <w:r>
        <w:rPr>
          <w:rFonts w:eastAsia="Calibri"/>
          <w:lang w:val="en-US"/>
        </w:rPr>
        <w:t>do not have any</w:t>
      </w:r>
      <w:r w:rsidRPr="00580859">
        <w:rPr>
          <w:rFonts w:eastAsia="Calibri"/>
          <w:lang w:val="en-US"/>
        </w:rPr>
        <w:t xml:space="preserve"> law which protects privacy by adequately and comprehensively </w:t>
      </w:r>
      <w:r>
        <w:rPr>
          <w:rFonts w:eastAsia="Calibri"/>
          <w:lang w:val="en-US"/>
        </w:rPr>
        <w:t xml:space="preserve">overseeing and </w:t>
      </w:r>
      <w:r w:rsidRPr="00580859">
        <w:rPr>
          <w:rFonts w:eastAsia="Calibri"/>
          <w:lang w:val="en-US"/>
        </w:rPr>
        <w:t xml:space="preserve">regulating the use of domestic surveillance. </w:t>
      </w:r>
    </w:p>
    <w:p w:rsidR="000F59E5" w:rsidRPr="00580859" w:rsidRDefault="000F59E5" w:rsidP="000F59E5">
      <w:pPr>
        <w:pStyle w:val="SingleTxtG"/>
        <w:rPr>
          <w:rFonts w:eastAsia="Calibri"/>
          <w:lang w:val="en-US"/>
        </w:rPr>
      </w:pPr>
      <w:r>
        <w:rPr>
          <w:rFonts w:eastAsia="Calibri"/>
          <w:lang w:val="en-US"/>
        </w:rPr>
        <w:t>23</w:t>
      </w:r>
      <w:r w:rsidRPr="00580859">
        <w:rPr>
          <w:rFonts w:eastAsia="Calibri"/>
          <w:lang w:val="en-US"/>
        </w:rPr>
        <w:t>.</w:t>
      </w:r>
      <w:r w:rsidRPr="00580859">
        <w:rPr>
          <w:rFonts w:eastAsia="Calibri"/>
          <w:lang w:val="en-US"/>
        </w:rPr>
        <w:tab/>
        <w:t xml:space="preserve">100 percent of </w:t>
      </w:r>
      <w:r>
        <w:rPr>
          <w:rFonts w:eastAsia="Calibri"/>
          <w:lang w:val="en-US"/>
        </w:rPr>
        <w:t>existing State</w:t>
      </w:r>
      <w:r w:rsidRPr="00580859">
        <w:rPr>
          <w:rFonts w:eastAsia="Calibri"/>
          <w:lang w:val="en-US"/>
        </w:rPr>
        <w:t xml:space="preserve"> legislation</w:t>
      </w:r>
      <w:r>
        <w:rPr>
          <w:rFonts w:eastAsia="Calibri"/>
          <w:lang w:val="en-US"/>
        </w:rPr>
        <w:t>s</w:t>
      </w:r>
      <w:r w:rsidRPr="00580859">
        <w:rPr>
          <w:rFonts w:eastAsia="Calibri"/>
          <w:lang w:val="en-US"/>
        </w:rPr>
        <w:t xml:space="preserve"> concerning the oversight of domestic intelligence within United Nations Member States require amendment and </w:t>
      </w:r>
      <w:r>
        <w:rPr>
          <w:rFonts w:eastAsia="Calibri"/>
          <w:lang w:val="en-US"/>
        </w:rPr>
        <w:t>reinforcement.</w:t>
      </w:r>
    </w:p>
    <w:p w:rsidR="000F59E5" w:rsidRPr="00580859" w:rsidRDefault="000F59E5" w:rsidP="000F59E5">
      <w:pPr>
        <w:pStyle w:val="SingleTxtG"/>
        <w:rPr>
          <w:rFonts w:eastAsia="Calibri"/>
          <w:lang w:val="en-US"/>
        </w:rPr>
      </w:pPr>
      <w:r>
        <w:rPr>
          <w:rFonts w:eastAsia="Calibri"/>
          <w:lang w:val="en-US"/>
        </w:rPr>
        <w:t>24</w:t>
      </w:r>
      <w:r w:rsidRPr="00580859">
        <w:rPr>
          <w:rFonts w:eastAsia="Calibri"/>
          <w:lang w:val="en-US"/>
        </w:rPr>
        <w:t>.</w:t>
      </w:r>
      <w:r w:rsidRPr="00580859">
        <w:rPr>
          <w:rFonts w:eastAsia="Calibri"/>
          <w:lang w:val="en-US"/>
        </w:rPr>
        <w:tab/>
        <w:t xml:space="preserve">75 percent of United Nations Member States have no system of detailed safeguards or remedies to which they can readily turn to for cases of surveillance upon their citizens by other states. Even where remedies for citizens exist within the courts of those </w:t>
      </w:r>
      <w:r>
        <w:rPr>
          <w:rFonts w:eastAsia="Calibri"/>
          <w:lang w:val="en-US"/>
        </w:rPr>
        <w:t>S</w:t>
      </w:r>
      <w:r w:rsidRPr="00580859">
        <w:rPr>
          <w:rFonts w:eastAsia="Calibri"/>
          <w:lang w:val="en-US"/>
        </w:rPr>
        <w:t xml:space="preserve">tates, these courts </w:t>
      </w:r>
      <w:r>
        <w:rPr>
          <w:rFonts w:eastAsia="Calibri"/>
          <w:lang w:val="en-US"/>
        </w:rPr>
        <w:t xml:space="preserve">often lack </w:t>
      </w:r>
      <w:r w:rsidRPr="00580859">
        <w:rPr>
          <w:rFonts w:eastAsia="Calibri"/>
          <w:lang w:val="en-US"/>
        </w:rPr>
        <w:t xml:space="preserve">jurisdiction over the surveillance behavior of </w:t>
      </w:r>
      <w:r>
        <w:rPr>
          <w:rFonts w:eastAsia="Calibri"/>
          <w:lang w:val="en-US"/>
        </w:rPr>
        <w:t>other S</w:t>
      </w:r>
      <w:r w:rsidRPr="00580859">
        <w:rPr>
          <w:rFonts w:eastAsia="Calibri"/>
          <w:lang w:val="en-US"/>
        </w:rPr>
        <w:t>tate actors.</w:t>
      </w:r>
    </w:p>
    <w:p w:rsidR="000F59E5" w:rsidRPr="00580859" w:rsidRDefault="000F59E5" w:rsidP="000F59E5">
      <w:pPr>
        <w:pStyle w:val="SingleTxtG"/>
        <w:rPr>
          <w:rFonts w:eastAsia="Calibri"/>
          <w:lang w:val="en-US"/>
        </w:rPr>
      </w:pPr>
      <w:r>
        <w:rPr>
          <w:rFonts w:eastAsia="Calibri"/>
          <w:lang w:val="en-US"/>
        </w:rPr>
        <w:t>25</w:t>
      </w:r>
      <w:r w:rsidRPr="00580859">
        <w:rPr>
          <w:rFonts w:eastAsia="Calibri"/>
          <w:lang w:val="en-US"/>
        </w:rPr>
        <w:t>.</w:t>
      </w:r>
      <w:r w:rsidRPr="00580859">
        <w:rPr>
          <w:rFonts w:eastAsia="Calibri"/>
          <w:lang w:val="en-US"/>
        </w:rPr>
        <w:tab/>
        <w:t xml:space="preserve">25 percent of United Nations Member States – those within the European region encompassed by the Council of Europe, have agreed to a basic principle in the application of privacy law to state security: </w:t>
      </w:r>
      <w:r>
        <w:rPr>
          <w:rFonts w:eastAsia="Calibri"/>
          <w:lang w:val="en-US"/>
        </w:rPr>
        <w:t>b</w:t>
      </w:r>
      <w:r w:rsidRPr="00580859">
        <w:rPr>
          <w:rFonts w:eastAsia="Calibri"/>
          <w:lang w:val="en-US"/>
        </w:rPr>
        <w:t xml:space="preserve">y agreeing to Article 9 of Convention 108 they have accepted that measures can only limit </w:t>
      </w:r>
      <w:r>
        <w:rPr>
          <w:rFonts w:eastAsia="Calibri"/>
          <w:lang w:val="en-US"/>
        </w:rPr>
        <w:t xml:space="preserve">the right to </w:t>
      </w:r>
      <w:r w:rsidRPr="00580859">
        <w:rPr>
          <w:rFonts w:eastAsia="Calibri"/>
          <w:lang w:val="en-US"/>
        </w:rPr>
        <w:t>privacy where these measures are provided for by law and are necessary and proportionate in a democratic society.</w:t>
      </w:r>
    </w:p>
    <w:p w:rsidR="000F59E5" w:rsidRPr="00580859" w:rsidRDefault="000F59E5" w:rsidP="000F59E5">
      <w:pPr>
        <w:pStyle w:val="SingleTxtG"/>
        <w:rPr>
          <w:rFonts w:eastAsia="Calibri"/>
          <w:lang w:val="en-US"/>
        </w:rPr>
      </w:pPr>
      <w:r>
        <w:rPr>
          <w:rFonts w:eastAsia="Calibri"/>
          <w:lang w:val="en-US"/>
        </w:rPr>
        <w:t>26</w:t>
      </w:r>
      <w:r w:rsidRPr="00580859">
        <w:rPr>
          <w:rFonts w:eastAsia="Calibri"/>
          <w:lang w:val="en-US"/>
        </w:rPr>
        <w:t>.</w:t>
      </w:r>
      <w:r w:rsidRPr="00580859">
        <w:rPr>
          <w:rFonts w:eastAsia="Calibri"/>
          <w:lang w:val="en-US"/>
        </w:rPr>
        <w:tab/>
        <w:t xml:space="preserve">This however means that it is only the very highest principles </w:t>
      </w:r>
      <w:r>
        <w:rPr>
          <w:rFonts w:eastAsia="Calibri"/>
          <w:lang w:val="en-US"/>
        </w:rPr>
        <w:t xml:space="preserve">that </w:t>
      </w:r>
      <w:r w:rsidRPr="00580859">
        <w:rPr>
          <w:rFonts w:eastAsia="Calibri"/>
          <w:lang w:val="en-US"/>
        </w:rPr>
        <w:t>have been agreed to, even in European states with more developed legislation on the right to privacy and this is mostly applied in the case of domestic intelligence. The situation relating to foreign intelligence is much more fluid, elastic. What actually constitutes a necessary and proportionate measure in a democratic society then needs to be translated into very detailed legislation and this is still very much work-in-progress all across Europe. Belgium, the Netherlands and the United Kingdom are some of the European states currently reviewing their legislation in order to improve compliance with basic principles in a detailed manner. France has done so in 2015 but intends to re-visit its legislative framework in the near future.</w:t>
      </w:r>
    </w:p>
    <w:p w:rsidR="000F59E5" w:rsidRPr="00580859" w:rsidRDefault="000F59E5" w:rsidP="000F59E5">
      <w:pPr>
        <w:pStyle w:val="SingleTxtG"/>
        <w:rPr>
          <w:rFonts w:eastAsia="Calibri"/>
          <w:lang w:val="en-US"/>
        </w:rPr>
      </w:pPr>
      <w:r>
        <w:rPr>
          <w:rFonts w:eastAsia="Calibri"/>
          <w:lang w:val="en-US"/>
        </w:rPr>
        <w:t>27</w:t>
      </w:r>
      <w:r w:rsidRPr="00580859">
        <w:rPr>
          <w:rFonts w:eastAsia="Calibri"/>
          <w:lang w:val="en-US"/>
        </w:rPr>
        <w:t>.</w:t>
      </w:r>
      <w:r w:rsidRPr="00580859">
        <w:rPr>
          <w:rFonts w:eastAsia="Calibri"/>
          <w:lang w:val="en-US"/>
        </w:rPr>
        <w:tab/>
        <w:t xml:space="preserve">Even where legislation exists regarding the oversight of intelligence it is often largely silent on what happens when personal data is shared across borders and what further safeguards </w:t>
      </w:r>
      <w:r>
        <w:rPr>
          <w:rFonts w:eastAsia="Calibri"/>
          <w:lang w:val="en-US"/>
        </w:rPr>
        <w:t>should be</w:t>
      </w:r>
      <w:r w:rsidR="00650FD4">
        <w:rPr>
          <w:rFonts w:eastAsia="Calibri"/>
          <w:lang w:val="en-US"/>
        </w:rPr>
        <w:t xml:space="preserve"> put in place in such cases.</w:t>
      </w:r>
    </w:p>
    <w:p w:rsidR="000F59E5" w:rsidRPr="00580859" w:rsidRDefault="000F59E5" w:rsidP="000F59E5">
      <w:pPr>
        <w:pStyle w:val="SingleTxtG"/>
        <w:rPr>
          <w:rFonts w:eastAsia="Calibri"/>
          <w:lang w:val="en-US"/>
        </w:rPr>
      </w:pPr>
      <w:r>
        <w:rPr>
          <w:rFonts w:eastAsia="Calibri"/>
          <w:lang w:val="en-US"/>
        </w:rPr>
        <w:t>28</w:t>
      </w:r>
      <w:r w:rsidRPr="00580859">
        <w:rPr>
          <w:rFonts w:eastAsia="Calibri"/>
          <w:lang w:val="en-US"/>
        </w:rPr>
        <w:t>.</w:t>
      </w:r>
      <w:r w:rsidRPr="00580859">
        <w:rPr>
          <w:rFonts w:eastAsia="Calibri"/>
          <w:lang w:val="en-US"/>
        </w:rPr>
        <w:tab/>
        <w:t>In the absence of more detailed regulation, several United Nations Member States have to rely on their existing legislative and judicial frameworks, often at the national constitutional or the regional level in order to develop remedies and safeguards on the hoof. This works slowly but relatively well at the European levels where the European Court of Justice and the European Court of Human Rights often have pan European reach with their judg</w:t>
      </w:r>
      <w:r>
        <w:rPr>
          <w:rFonts w:eastAsia="Calibri"/>
          <w:lang w:val="en-US"/>
        </w:rPr>
        <w:t>m</w:t>
      </w:r>
      <w:r w:rsidRPr="00580859">
        <w:rPr>
          <w:rFonts w:eastAsia="Calibri"/>
          <w:lang w:val="en-US"/>
        </w:rPr>
        <w:t>ents about surveillance and privacy</w:t>
      </w:r>
      <w:r>
        <w:rPr>
          <w:rStyle w:val="FootnoteReference"/>
          <w:rFonts w:eastAsia="Calibri"/>
          <w:lang w:val="en-US"/>
        </w:rPr>
        <w:footnoteReference w:id="49"/>
      </w:r>
      <w:r w:rsidRPr="00580859">
        <w:rPr>
          <w:rFonts w:eastAsia="Calibri"/>
          <w:lang w:val="en-US"/>
        </w:rPr>
        <w:t xml:space="preserve">. This however is not a completely satisfactory solution since it is one ex post. Very preferably citizens wish to have their privacy protection provided ex ante and this, especially to </w:t>
      </w:r>
      <w:r>
        <w:rPr>
          <w:rFonts w:eastAsia="Calibri"/>
          <w:lang w:val="en-US"/>
        </w:rPr>
        <w:t xml:space="preserve">protect themselves against or </w:t>
      </w:r>
      <w:r w:rsidRPr="00580859">
        <w:rPr>
          <w:rFonts w:eastAsia="Calibri"/>
          <w:lang w:val="en-US"/>
        </w:rPr>
        <w:t>minimize intrusion</w:t>
      </w:r>
      <w:r>
        <w:rPr>
          <w:rFonts w:eastAsia="Calibri"/>
          <w:lang w:val="en-US"/>
        </w:rPr>
        <w:t>.</w:t>
      </w:r>
      <w:r w:rsidRPr="00580859">
        <w:rPr>
          <w:rFonts w:eastAsia="Calibri"/>
          <w:lang w:val="en-US"/>
        </w:rPr>
        <w:t xml:space="preserve"> </w:t>
      </w:r>
      <w:r>
        <w:rPr>
          <w:rFonts w:eastAsia="Calibri"/>
          <w:lang w:val="en-US"/>
        </w:rPr>
        <w:t>I</w:t>
      </w:r>
      <w:r w:rsidRPr="00580859">
        <w:rPr>
          <w:rFonts w:eastAsia="Calibri"/>
          <w:lang w:val="en-US"/>
        </w:rPr>
        <w:t xml:space="preserve">n order to resolve problems of jurisdiction in cyberspace, </w:t>
      </w:r>
      <w:r>
        <w:rPr>
          <w:rFonts w:eastAsia="Calibri"/>
          <w:lang w:val="en-US"/>
        </w:rPr>
        <w:t xml:space="preserve">this </w:t>
      </w:r>
      <w:r w:rsidRPr="00580859">
        <w:rPr>
          <w:rFonts w:eastAsia="Calibri"/>
          <w:lang w:val="en-US"/>
        </w:rPr>
        <w:t>can be only provided by detailed international law which does not yet exist in the surveillance sector</w:t>
      </w:r>
      <w:r>
        <w:rPr>
          <w:rFonts w:eastAsia="Calibri"/>
          <w:lang w:val="en-US"/>
        </w:rPr>
        <w:t>, including</w:t>
      </w:r>
      <w:r w:rsidRPr="00580859">
        <w:rPr>
          <w:rFonts w:eastAsia="Calibri"/>
          <w:lang w:val="en-US"/>
        </w:rPr>
        <w:t xml:space="preserve"> in the European region. If the remedies are unclear and imperfect in Europe where the European Court of Human Rights has relatively worked well with over 100,000 cases decided since it was established in 1959, the situation outside Europe is </w:t>
      </w:r>
      <w:r>
        <w:rPr>
          <w:rFonts w:eastAsia="Calibri"/>
          <w:lang w:val="en-US"/>
        </w:rPr>
        <w:t>even more concerning</w:t>
      </w:r>
      <w:r w:rsidRPr="00580859">
        <w:rPr>
          <w:rFonts w:eastAsia="Calibri"/>
          <w:lang w:val="en-US"/>
        </w:rPr>
        <w:t>. In the Americas</w:t>
      </w:r>
      <w:r>
        <w:rPr>
          <w:rFonts w:eastAsia="Calibri"/>
          <w:lang w:val="en-US"/>
        </w:rPr>
        <w:t>,</w:t>
      </w:r>
      <w:r w:rsidRPr="00580859">
        <w:rPr>
          <w:rFonts w:eastAsia="Calibri"/>
          <w:lang w:val="en-US"/>
        </w:rPr>
        <w:t xml:space="preserve"> the Inter-American Court of Justice established in 1979 has cross-country reach</w:t>
      </w:r>
      <w:r>
        <w:rPr>
          <w:rFonts w:eastAsia="Calibri"/>
          <w:lang w:val="en-US"/>
        </w:rPr>
        <w:t>, as so has in</w:t>
      </w:r>
      <w:r w:rsidRPr="00580859">
        <w:rPr>
          <w:rFonts w:eastAsia="Calibri"/>
          <w:lang w:val="en-US"/>
        </w:rPr>
        <w:t xml:space="preserve"> in Africa the recently set-up (2006) African Court for Human and People’s Rights. Both courts strive but struggle. The United States signed but never ratified the American Convention on Human Rights and, unlike the European human rights system, individual citizens of Member States of the Organization of American States cannot take their cases directly to the Inter-American Court, having to refer first to the Inter-American Commission on Human Rights. Likewise, only seven African states have signed the protocol empowering their regional court to receive petitions from non-governmental organizations and individuals. These </w:t>
      </w:r>
      <w:r>
        <w:rPr>
          <w:rFonts w:eastAsia="Calibri"/>
          <w:lang w:val="en-US"/>
        </w:rPr>
        <w:t>limitations</w:t>
      </w:r>
      <w:r w:rsidRPr="00580859">
        <w:rPr>
          <w:rFonts w:eastAsia="Calibri"/>
          <w:lang w:val="en-US"/>
        </w:rPr>
        <w:t xml:space="preserve"> substantially weaken the reach of these regional courts. Moreover, in Asia or </w:t>
      </w:r>
      <w:r>
        <w:rPr>
          <w:rFonts w:eastAsia="Calibri"/>
          <w:lang w:val="en-US"/>
        </w:rPr>
        <w:t>the Pacific</w:t>
      </w:r>
      <w:r w:rsidRPr="00580859">
        <w:rPr>
          <w:rFonts w:eastAsia="Calibri"/>
          <w:lang w:val="en-US"/>
        </w:rPr>
        <w:t xml:space="preserve"> </w:t>
      </w:r>
      <w:r>
        <w:rPr>
          <w:rFonts w:eastAsia="Calibri"/>
          <w:lang w:val="en-US"/>
        </w:rPr>
        <w:t>there is</w:t>
      </w:r>
      <w:r w:rsidRPr="00580859">
        <w:rPr>
          <w:rFonts w:eastAsia="Calibri"/>
          <w:lang w:val="en-US"/>
        </w:rPr>
        <w:t xml:space="preserve"> no regional court to turn for infringements of privacy whether caused by domestic intelligence or foreign </w:t>
      </w:r>
      <w:proofErr w:type="gramStart"/>
      <w:r w:rsidRPr="00580859">
        <w:rPr>
          <w:rFonts w:eastAsia="Calibri"/>
          <w:lang w:val="en-US"/>
        </w:rPr>
        <w:t>intelligence.</w:t>
      </w:r>
      <w:proofErr w:type="gramEnd"/>
      <w:r w:rsidRPr="00580859">
        <w:rPr>
          <w:rFonts w:eastAsia="Calibri"/>
          <w:lang w:val="en-US"/>
        </w:rPr>
        <w:t xml:space="preserve"> </w:t>
      </w:r>
    </w:p>
    <w:p w:rsidR="000F59E5" w:rsidRPr="00580859" w:rsidRDefault="000F59E5" w:rsidP="000F59E5">
      <w:pPr>
        <w:pStyle w:val="SingleTxtG"/>
        <w:rPr>
          <w:rFonts w:eastAsia="Calibri"/>
          <w:lang w:val="en-US"/>
        </w:rPr>
      </w:pPr>
      <w:r>
        <w:rPr>
          <w:rFonts w:eastAsia="Calibri"/>
          <w:lang w:val="en-US"/>
        </w:rPr>
        <w:t>29</w:t>
      </w:r>
      <w:r w:rsidRPr="00580859">
        <w:rPr>
          <w:rFonts w:eastAsia="Calibri"/>
          <w:lang w:val="en-US"/>
        </w:rPr>
        <w:t>.</w:t>
      </w:r>
      <w:r w:rsidRPr="00580859">
        <w:rPr>
          <w:rFonts w:eastAsia="Calibri"/>
          <w:lang w:val="en-US"/>
        </w:rPr>
        <w:tab/>
        <w:t xml:space="preserve">The United Nations Human Rights Committee plays a very important role in </w:t>
      </w:r>
      <w:r>
        <w:rPr>
          <w:rFonts w:eastAsia="Calibri"/>
          <w:lang w:val="en-US"/>
        </w:rPr>
        <w:t>the protection of human rights,</w:t>
      </w:r>
      <w:r w:rsidRPr="00580859">
        <w:rPr>
          <w:rFonts w:eastAsia="Calibri"/>
          <w:lang w:val="en-US"/>
        </w:rPr>
        <w:t xml:space="preserve"> but once again is largely an ex post forum and cannot be expected to provide in-depth regulation and governance structures</w:t>
      </w:r>
      <w:r>
        <w:rPr>
          <w:rFonts w:eastAsia="Calibri"/>
          <w:lang w:val="en-US"/>
        </w:rPr>
        <w:t>,</w:t>
      </w:r>
      <w:r w:rsidRPr="00580859">
        <w:rPr>
          <w:rFonts w:eastAsia="Calibri"/>
          <w:lang w:val="en-US"/>
        </w:rPr>
        <w:t xml:space="preserve"> which are the required minimum adequate legal response to questions like </w:t>
      </w:r>
      <w:proofErr w:type="spellStart"/>
      <w:r w:rsidRPr="00580859">
        <w:rPr>
          <w:rFonts w:eastAsia="Calibri"/>
          <w:lang w:val="en-US"/>
        </w:rPr>
        <w:t>transborder</w:t>
      </w:r>
      <w:proofErr w:type="spellEnd"/>
      <w:r w:rsidRPr="00580859">
        <w:rPr>
          <w:rFonts w:eastAsia="Calibri"/>
          <w:lang w:val="en-US"/>
        </w:rPr>
        <w:t xml:space="preserve"> data flows and cross-border espionage and surveillance. </w:t>
      </w:r>
    </w:p>
    <w:p w:rsidR="000F59E5" w:rsidRPr="00580859" w:rsidRDefault="000F59E5" w:rsidP="000F59E5">
      <w:pPr>
        <w:pStyle w:val="SingleTxtG"/>
        <w:rPr>
          <w:rFonts w:eastAsia="Calibri"/>
          <w:lang w:val="en-US"/>
        </w:rPr>
      </w:pPr>
      <w:r>
        <w:rPr>
          <w:rFonts w:eastAsia="Calibri"/>
          <w:lang w:val="en-US"/>
        </w:rPr>
        <w:t>30</w:t>
      </w:r>
      <w:r w:rsidRPr="00580859">
        <w:rPr>
          <w:rFonts w:eastAsia="Calibri"/>
          <w:lang w:val="en-US"/>
        </w:rPr>
        <w:t>.</w:t>
      </w:r>
      <w:r w:rsidRPr="00580859">
        <w:rPr>
          <w:rFonts w:eastAsia="Calibri"/>
          <w:lang w:val="en-US"/>
        </w:rPr>
        <w:tab/>
        <w:t xml:space="preserve">In order to better understand the protection </w:t>
      </w:r>
      <w:r>
        <w:rPr>
          <w:rFonts w:eastAsia="Calibri"/>
          <w:lang w:val="en-US"/>
        </w:rPr>
        <w:t xml:space="preserve">needs in the privacy area, </w:t>
      </w:r>
      <w:r w:rsidRPr="00580859">
        <w:rPr>
          <w:rFonts w:eastAsia="Calibri"/>
          <w:lang w:val="en-US"/>
        </w:rPr>
        <w:t>one has to take the Yahoo cases</w:t>
      </w:r>
      <w:r>
        <w:rPr>
          <w:rStyle w:val="FootnoteReference"/>
          <w:rFonts w:eastAsia="Calibri"/>
          <w:lang w:val="en-US"/>
        </w:rPr>
        <w:footnoteReference w:id="50"/>
      </w:r>
      <w:r w:rsidRPr="00580859">
        <w:rPr>
          <w:rFonts w:eastAsia="Calibri"/>
          <w:lang w:val="en-US"/>
        </w:rPr>
        <w:t xml:space="preserve"> cited below and ask “which ex ante safeguards should have been applied by which country in order to protect citizens in, say France, from having their Yahoo e-mail account privacy infringed and what ex post remedies are available to that same French citizen?” The answers to these questions can only be provided by a detailed international law regime which has yet to be worked out. </w:t>
      </w:r>
      <w:r>
        <w:rPr>
          <w:rFonts w:eastAsia="Calibri"/>
          <w:lang w:val="en-US"/>
        </w:rPr>
        <w:t>The</w:t>
      </w:r>
      <w:r w:rsidRPr="00580859">
        <w:rPr>
          <w:rFonts w:eastAsia="Calibri"/>
          <w:lang w:val="en-US"/>
        </w:rPr>
        <w:t xml:space="preserve"> Human Rights Committee</w:t>
      </w:r>
      <w:r>
        <w:rPr>
          <w:rFonts w:eastAsia="Calibri"/>
          <w:lang w:val="en-US"/>
        </w:rPr>
        <w:t>’s interpretative advice of ICCPR’s article 17</w:t>
      </w:r>
      <w:r w:rsidRPr="00580859">
        <w:rPr>
          <w:rFonts w:eastAsia="Calibri"/>
          <w:lang w:val="en-US"/>
        </w:rPr>
        <w:t xml:space="preserve"> should be a last resort</w:t>
      </w:r>
      <w:r>
        <w:rPr>
          <w:rFonts w:eastAsia="Calibri"/>
          <w:lang w:val="en-US"/>
        </w:rPr>
        <w:t>; it can</w:t>
      </w:r>
      <w:r w:rsidRPr="00580859">
        <w:rPr>
          <w:rFonts w:eastAsia="Calibri"/>
          <w:lang w:val="en-US"/>
        </w:rPr>
        <w:t xml:space="preserve">not </w:t>
      </w:r>
      <w:r>
        <w:rPr>
          <w:rFonts w:eastAsia="Calibri"/>
          <w:lang w:val="en-US"/>
        </w:rPr>
        <w:t xml:space="preserve">be </w:t>
      </w:r>
      <w:r w:rsidRPr="00580859">
        <w:rPr>
          <w:rFonts w:eastAsia="Calibri"/>
          <w:lang w:val="en-US"/>
        </w:rPr>
        <w:t>the primary mechanism designed to protect the privacy of billions of people who use the Internet on a daily basis.</w:t>
      </w:r>
    </w:p>
    <w:p w:rsidR="000F59E5" w:rsidRPr="00107CFF" w:rsidRDefault="000F59E5" w:rsidP="000F59E5">
      <w:pPr>
        <w:pStyle w:val="SingleTxtG"/>
        <w:rPr>
          <w:rFonts w:eastAsia="Calibri"/>
          <w:lang w:val="en-US"/>
        </w:rPr>
      </w:pPr>
      <w:r>
        <w:rPr>
          <w:rFonts w:eastAsia="Calibri"/>
          <w:lang w:val="en-US"/>
        </w:rPr>
        <w:t>31</w:t>
      </w:r>
      <w:r w:rsidRPr="00580859">
        <w:rPr>
          <w:rFonts w:eastAsia="Calibri"/>
          <w:lang w:val="en-US"/>
        </w:rPr>
        <w:t>.</w:t>
      </w:r>
      <w:r w:rsidRPr="00580859">
        <w:rPr>
          <w:rFonts w:eastAsia="Calibri"/>
          <w:lang w:val="en-US"/>
        </w:rPr>
        <w:tab/>
        <w:t xml:space="preserve">Thus it should be glaringly evident from the above summary that huge gaps exist in the </w:t>
      </w:r>
      <w:r>
        <w:rPr>
          <w:rFonts w:eastAsia="Calibri"/>
          <w:lang w:val="en-US"/>
        </w:rPr>
        <w:t>legal</w:t>
      </w:r>
      <w:r w:rsidRPr="00580859">
        <w:rPr>
          <w:rFonts w:eastAsia="Calibri"/>
          <w:lang w:val="en-US"/>
        </w:rPr>
        <w:t xml:space="preserve"> protection of privacy at both the national and international levels. Unless and until it will be possible for any citizen, anywhere, irrespective of passport held, to enjoy privacy </w:t>
      </w:r>
      <w:r>
        <w:rPr>
          <w:rFonts w:eastAsia="Calibri"/>
          <w:lang w:val="en-US"/>
        </w:rPr>
        <w:t>protection</w:t>
      </w:r>
      <w:r w:rsidRPr="00580859">
        <w:rPr>
          <w:rFonts w:eastAsia="Calibri"/>
          <w:lang w:val="en-US"/>
        </w:rPr>
        <w:t xml:space="preserve"> without borders and privacy remedies across borders, then it cannot be said that “a clear and comprehensive legal framework exists”. In order to create such a clear and comprehensive legal framework it is essential that </w:t>
      </w:r>
      <w:r>
        <w:rPr>
          <w:rFonts w:eastAsia="Calibri"/>
          <w:lang w:val="en-US"/>
        </w:rPr>
        <w:t xml:space="preserve">an </w:t>
      </w:r>
      <w:r w:rsidRPr="00580859">
        <w:rPr>
          <w:rFonts w:eastAsia="Calibri"/>
          <w:lang w:val="en-US"/>
        </w:rPr>
        <w:t xml:space="preserve">international </w:t>
      </w:r>
      <w:r>
        <w:rPr>
          <w:rFonts w:eastAsia="Calibri"/>
          <w:lang w:val="en-US"/>
        </w:rPr>
        <w:t>legal regime</w:t>
      </w:r>
      <w:r w:rsidRPr="00580859">
        <w:rPr>
          <w:rFonts w:eastAsia="Calibri"/>
          <w:lang w:val="en-US"/>
        </w:rPr>
        <w:t xml:space="preserve"> regulating issues of jurisdiction in cyberspace be properly developed, with a common</w:t>
      </w:r>
      <w:r>
        <w:rPr>
          <w:rFonts w:eastAsia="Calibri"/>
          <w:lang w:val="en-US"/>
        </w:rPr>
        <w:t>ly agreed</w:t>
      </w:r>
      <w:r w:rsidRPr="00580859">
        <w:rPr>
          <w:rFonts w:eastAsia="Calibri"/>
          <w:lang w:val="en-US"/>
        </w:rPr>
        <w:t xml:space="preserve"> set of</w:t>
      </w:r>
      <w:r w:rsidR="00650FD4">
        <w:rPr>
          <w:rFonts w:eastAsia="Calibri"/>
          <w:lang w:val="en-US"/>
        </w:rPr>
        <w:t xml:space="preserve"> </w:t>
      </w:r>
      <w:r w:rsidRPr="00580859">
        <w:rPr>
          <w:rFonts w:eastAsia="Calibri"/>
          <w:lang w:val="en-US"/>
        </w:rPr>
        <w:t>principles to establish what state behavior in cyberspace and that especially related to surveillance and cyber-espiona</w:t>
      </w:r>
      <w:r>
        <w:rPr>
          <w:rFonts w:eastAsia="Calibri"/>
          <w:lang w:val="en-US"/>
        </w:rPr>
        <w:t>ge, is acceptable, why and when</w:t>
      </w:r>
      <w:r w:rsidR="00650FD4">
        <w:rPr>
          <w:rFonts w:eastAsia="Calibri"/>
          <w:lang w:val="en-US"/>
        </w:rPr>
        <w:t>.</w:t>
      </w:r>
    </w:p>
    <w:p w:rsidR="001E64F8" w:rsidRPr="00883223" w:rsidRDefault="00B1210E" w:rsidP="000240CB">
      <w:pPr>
        <w:pStyle w:val="HChG"/>
        <w:keepNext w:val="0"/>
        <w:keepLines w:val="0"/>
        <w:spacing w:before="240" w:after="0" w:line="240" w:lineRule="atLeast"/>
        <w:ind w:firstLine="0"/>
        <w:jc w:val="center"/>
        <w:rPr>
          <w:b w:val="0"/>
          <w:u w:val="single"/>
        </w:rPr>
      </w:pPr>
      <w:r w:rsidRPr="00883223">
        <w:rPr>
          <w:b w:val="0"/>
        </w:rPr>
        <w:tab/>
      </w:r>
      <w:r w:rsidR="000240CB" w:rsidRPr="00883223">
        <w:rPr>
          <w:b w:val="0"/>
          <w:u w:val="single"/>
        </w:rPr>
        <w:tab/>
      </w:r>
      <w:r w:rsidR="000240CB" w:rsidRPr="00883223">
        <w:rPr>
          <w:b w:val="0"/>
          <w:u w:val="single"/>
        </w:rPr>
        <w:tab/>
      </w:r>
      <w:r w:rsidR="000240CB" w:rsidRPr="00883223">
        <w:rPr>
          <w:b w:val="0"/>
          <w:u w:val="single"/>
        </w:rPr>
        <w:tab/>
      </w:r>
    </w:p>
    <w:sectPr w:rsidR="001E64F8" w:rsidRPr="00883223" w:rsidSect="00662585">
      <w:headerReference w:type="even" r:id="rId20"/>
      <w:headerReference w:type="default" r:id="rId21"/>
      <w:footerReference w:type="even" r:id="rId22"/>
      <w:footerReference w:type="default" r:id="rId2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D3" w:rsidRDefault="00C324D3"/>
  </w:endnote>
  <w:endnote w:type="continuationSeparator" w:id="0">
    <w:p w:rsidR="00C324D3" w:rsidRDefault="00C324D3"/>
  </w:endnote>
  <w:endnote w:type="continuationNotice" w:id="1">
    <w:p w:rsidR="00C324D3" w:rsidRDefault="00C32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D3" w:rsidRPr="00662585" w:rsidRDefault="00C324D3" w:rsidP="00662585">
    <w:pPr>
      <w:pStyle w:val="Footer"/>
      <w:tabs>
        <w:tab w:val="right" w:pos="9638"/>
      </w:tabs>
      <w:rPr>
        <w:sz w:val="18"/>
      </w:rPr>
    </w:pPr>
    <w:r w:rsidRPr="00662585">
      <w:rPr>
        <w:b/>
        <w:sz w:val="18"/>
      </w:rPr>
      <w:fldChar w:fldCharType="begin"/>
    </w:r>
    <w:r w:rsidRPr="00662585">
      <w:rPr>
        <w:b/>
        <w:sz w:val="18"/>
      </w:rPr>
      <w:instrText xml:space="preserve"> PAGE  \* MERGEFORMAT </w:instrText>
    </w:r>
    <w:r w:rsidRPr="00662585">
      <w:rPr>
        <w:b/>
        <w:sz w:val="18"/>
      </w:rPr>
      <w:fldChar w:fldCharType="separate"/>
    </w:r>
    <w:r w:rsidR="004A180B">
      <w:rPr>
        <w:b/>
        <w:noProof/>
        <w:sz w:val="18"/>
      </w:rPr>
      <w:t>28</w:t>
    </w:r>
    <w:r w:rsidRPr="0066258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D3" w:rsidRPr="00662585" w:rsidRDefault="00C324D3" w:rsidP="00662585">
    <w:pPr>
      <w:pStyle w:val="Footer"/>
      <w:tabs>
        <w:tab w:val="right" w:pos="9638"/>
      </w:tabs>
      <w:rPr>
        <w:b/>
        <w:sz w:val="18"/>
      </w:rPr>
    </w:pPr>
    <w:r>
      <w:tab/>
    </w:r>
    <w:r w:rsidRPr="00662585">
      <w:rPr>
        <w:b/>
        <w:sz w:val="18"/>
      </w:rPr>
      <w:fldChar w:fldCharType="begin"/>
    </w:r>
    <w:r w:rsidRPr="00662585">
      <w:rPr>
        <w:b/>
        <w:sz w:val="18"/>
      </w:rPr>
      <w:instrText xml:space="preserve"> PAGE  \* MERGEFORMAT </w:instrText>
    </w:r>
    <w:r w:rsidRPr="00662585">
      <w:rPr>
        <w:b/>
        <w:sz w:val="18"/>
      </w:rPr>
      <w:fldChar w:fldCharType="separate"/>
    </w:r>
    <w:r w:rsidR="004A180B">
      <w:rPr>
        <w:b/>
        <w:noProof/>
        <w:sz w:val="18"/>
      </w:rPr>
      <w:t>29</w:t>
    </w:r>
    <w:r w:rsidRPr="0066258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D3" w:rsidRPr="000B175B" w:rsidRDefault="00C324D3" w:rsidP="000B175B">
      <w:pPr>
        <w:tabs>
          <w:tab w:val="right" w:pos="2155"/>
        </w:tabs>
        <w:spacing w:after="80"/>
        <w:ind w:left="680"/>
        <w:rPr>
          <w:u w:val="single"/>
        </w:rPr>
      </w:pPr>
      <w:r>
        <w:rPr>
          <w:u w:val="single"/>
        </w:rPr>
        <w:tab/>
      </w:r>
    </w:p>
  </w:footnote>
  <w:footnote w:type="continuationSeparator" w:id="0">
    <w:p w:rsidR="00C324D3" w:rsidRPr="00FC68B7" w:rsidRDefault="00C324D3" w:rsidP="00FC68B7">
      <w:pPr>
        <w:tabs>
          <w:tab w:val="left" w:pos="2155"/>
        </w:tabs>
        <w:spacing w:after="80"/>
        <w:ind w:left="680"/>
        <w:rPr>
          <w:u w:val="single"/>
        </w:rPr>
      </w:pPr>
      <w:r>
        <w:rPr>
          <w:u w:val="single"/>
        </w:rPr>
        <w:tab/>
      </w:r>
    </w:p>
  </w:footnote>
  <w:footnote w:type="continuationNotice" w:id="1">
    <w:p w:rsidR="00C324D3" w:rsidRDefault="00C324D3"/>
  </w:footnote>
  <w:footnote w:id="2">
    <w:p w:rsidR="00C324D3" w:rsidRPr="00404765" w:rsidRDefault="00C324D3">
      <w:pPr>
        <w:pStyle w:val="FootnoteText"/>
      </w:pPr>
      <w:r>
        <w:rPr>
          <w:rStyle w:val="FootnoteReference"/>
        </w:rPr>
        <w:tab/>
      </w:r>
      <w:r w:rsidRPr="000F59E5">
        <w:rPr>
          <w:rStyle w:val="FootnoteReference"/>
          <w:sz w:val="20"/>
          <w:vertAlign w:val="baseline"/>
        </w:rPr>
        <w:t>*</w:t>
      </w:r>
      <w:r>
        <w:rPr>
          <w:rStyle w:val="FootnoteReference"/>
          <w:sz w:val="20"/>
          <w:vertAlign w:val="baseline"/>
        </w:rPr>
        <w:tab/>
      </w:r>
      <w:r w:rsidR="00C62069" w:rsidRPr="003D0A8B">
        <w:t>The present report was submitted after the deadline in order to reflect the most recent information.</w:t>
      </w:r>
    </w:p>
  </w:footnote>
  <w:footnote w:id="3">
    <w:p w:rsidR="00C324D3" w:rsidRPr="00404E30" w:rsidRDefault="00C324D3">
      <w:pPr>
        <w:pStyle w:val="FootnoteText"/>
      </w:pPr>
      <w:r>
        <w:rPr>
          <w:rStyle w:val="FootnoteReference"/>
        </w:rPr>
        <w:tab/>
      </w:r>
      <w:r w:rsidRPr="00404E30">
        <w:rPr>
          <w:rStyle w:val="FootnoteReference"/>
          <w:sz w:val="20"/>
          <w:vertAlign w:val="baseline"/>
        </w:rPr>
        <w:t>**</w:t>
      </w:r>
      <w:r>
        <w:rPr>
          <w:rStyle w:val="FootnoteReference"/>
          <w:sz w:val="20"/>
          <w:vertAlign w:val="baseline"/>
        </w:rPr>
        <w:tab/>
      </w:r>
      <w:r>
        <w:t>Reproduced as received, in the language of submission only.</w:t>
      </w:r>
    </w:p>
  </w:footnote>
  <w:footnote w:id="4">
    <w:p w:rsidR="00C324D3" w:rsidRPr="005906DC" w:rsidRDefault="00C324D3" w:rsidP="005906DC">
      <w:pPr>
        <w:pStyle w:val="FootnoteText"/>
        <w:widowControl w:val="0"/>
        <w:tabs>
          <w:tab w:val="clear" w:pos="1021"/>
          <w:tab w:val="right" w:pos="1020"/>
        </w:tabs>
      </w:pPr>
      <w:r>
        <w:tab/>
      </w:r>
      <w:r>
        <w:rPr>
          <w:rStyle w:val="FootnoteReference"/>
        </w:rPr>
        <w:footnoteRef/>
      </w:r>
      <w:r>
        <w:tab/>
      </w:r>
      <w:r w:rsidRPr="005906DC">
        <w:t>http://www.ohchr.org/EN/Issues/Privacy/SR/Pages/ThematicReports.aspx; A/HRC/31/64; https://www.privacyandpersonality.org/2016/12/united-nations-mandate-of-the-special-rapporteur-on-the-right-to-privacy-planned-thematic-rep</w:t>
      </w:r>
      <w:r>
        <w:t>orts-and-call-for-consultations.</w:t>
      </w:r>
    </w:p>
  </w:footnote>
  <w:footnote w:id="5">
    <w:p w:rsidR="00C324D3" w:rsidRPr="006400CA" w:rsidRDefault="00C324D3" w:rsidP="000F59E5">
      <w:pPr>
        <w:pStyle w:val="FootnoteText"/>
        <w:kinsoku w:val="0"/>
        <w:overflowPunct w:val="0"/>
        <w:autoSpaceDE w:val="0"/>
        <w:autoSpaceDN w:val="0"/>
        <w:adjustRightInd w:val="0"/>
        <w:snapToGrid w:val="0"/>
        <w:rPr>
          <w:rStyle w:val="Hyperlink"/>
          <w:szCs w:val="18"/>
        </w:rPr>
      </w:pPr>
      <w:r w:rsidRPr="006400CA">
        <w:rPr>
          <w:szCs w:val="18"/>
        </w:rPr>
        <w:tab/>
      </w:r>
      <w:r w:rsidRPr="006400CA">
        <w:rPr>
          <w:rStyle w:val="FootnoteReference"/>
          <w:szCs w:val="18"/>
        </w:rPr>
        <w:footnoteRef/>
      </w:r>
      <w:r w:rsidRPr="006400CA">
        <w:rPr>
          <w:szCs w:val="18"/>
        </w:rPr>
        <w:tab/>
      </w:r>
      <w:hyperlink r:id="rId1" w:history="1">
        <w:r w:rsidRPr="006400CA">
          <w:rPr>
            <w:rStyle w:val="Hyperlink"/>
            <w:szCs w:val="18"/>
          </w:rPr>
          <w:t xml:space="preserve">Universal Declaration </w:t>
        </w:r>
        <w:r w:rsidRPr="006400CA">
          <w:rPr>
            <w:rFonts w:eastAsiaTheme="minorHAnsi"/>
            <w:szCs w:val="18"/>
          </w:rPr>
          <w:t>on</w:t>
        </w:r>
        <w:r w:rsidRPr="006400CA">
          <w:rPr>
            <w:rStyle w:val="Hyperlink"/>
            <w:szCs w:val="18"/>
          </w:rPr>
          <w:t xml:space="preserve"> Human Rights: Article 12</w:t>
        </w:r>
      </w:hyperlink>
      <w:r w:rsidRPr="006400CA">
        <w:rPr>
          <w:szCs w:val="18"/>
        </w:rPr>
        <w:t xml:space="preserve">; </w:t>
      </w:r>
      <w:hyperlink r:id="rId2" w:history="1">
        <w:r w:rsidRPr="00180501">
          <w:rPr>
            <w:rStyle w:val="Hyperlink"/>
            <w:szCs w:val="18"/>
          </w:rPr>
          <w:t>International Covenant on Civil and Political Rights: Article 17</w:t>
        </w:r>
      </w:hyperlink>
      <w:r w:rsidRPr="00180501">
        <w:rPr>
          <w:szCs w:val="18"/>
        </w:rPr>
        <w:t>; </w:t>
      </w:r>
      <w:r w:rsidRPr="00180501">
        <w:rPr>
          <w:b/>
          <w:bCs/>
          <w:szCs w:val="18"/>
        </w:rPr>
        <w:t> </w:t>
      </w:r>
      <w:hyperlink r:id="rId3" w:history="1">
        <w:r w:rsidRPr="00180501">
          <w:rPr>
            <w:rStyle w:val="Hyperlink"/>
            <w:szCs w:val="18"/>
          </w:rPr>
          <w:t>Convention on the Rights of the Child: Article 16</w:t>
        </w:r>
      </w:hyperlink>
      <w:r w:rsidRPr="006400CA">
        <w:rPr>
          <w:rStyle w:val="Hyperlink"/>
          <w:szCs w:val="18"/>
        </w:rPr>
        <w:t xml:space="preserve">; </w:t>
      </w:r>
      <w:hyperlink r:id="rId4" w:history="1">
        <w:r w:rsidRPr="006400CA">
          <w:rPr>
            <w:rStyle w:val="Hyperlink"/>
            <w:szCs w:val="18"/>
          </w:rPr>
          <w:t>International Convention on the Protection of All Migrant Workers and Members of Their Families: Article 14</w:t>
        </w:r>
      </w:hyperlink>
      <w:r w:rsidRPr="006400CA">
        <w:rPr>
          <w:rStyle w:val="Hyperlink"/>
          <w:szCs w:val="18"/>
        </w:rPr>
        <w:t xml:space="preserve"> </w:t>
      </w:r>
      <w:hyperlink r:id="rId5" w:history="1">
        <w:r w:rsidRPr="006400CA">
          <w:rPr>
            <w:rStyle w:val="Hyperlink"/>
            <w:szCs w:val="18"/>
          </w:rPr>
          <w:t>http://www.ohchr.org/EN/Issues/Privacy/SR/Pages/Internationalstandards.aspx</w:t>
        </w:r>
      </w:hyperlink>
      <w:r>
        <w:rPr>
          <w:rStyle w:val="Hyperlink"/>
          <w:szCs w:val="18"/>
        </w:rPr>
        <w:t>.</w:t>
      </w:r>
    </w:p>
  </w:footnote>
  <w:footnote w:id="6">
    <w:p w:rsidR="00C324D3" w:rsidRPr="006400CA"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6467D7">
        <w:rPr>
          <w:rStyle w:val="Hyperlink"/>
          <w:szCs w:val="18"/>
          <w:vertAlign w:val="superscript"/>
        </w:rPr>
        <w:footnoteRef/>
      </w:r>
      <w:r w:rsidRPr="00737DE2">
        <w:rPr>
          <w:rStyle w:val="Hyperlink"/>
          <w:szCs w:val="18"/>
        </w:rPr>
        <w:tab/>
      </w:r>
      <w:hyperlink r:id="rId6" w:history="1">
        <w:r w:rsidRPr="006400CA">
          <w:rPr>
            <w:rStyle w:val="Hyperlink"/>
            <w:szCs w:val="18"/>
          </w:rPr>
          <w:t>European Convention for the Protection of Human Rights and Fundamental Freedoms: Article 8</w:t>
        </w:r>
      </w:hyperlink>
      <w:r w:rsidRPr="006400CA">
        <w:rPr>
          <w:rStyle w:val="Hyperlink"/>
          <w:szCs w:val="18"/>
        </w:rPr>
        <w:t xml:space="preserve">; </w:t>
      </w:r>
      <w:hyperlink r:id="rId7" w:history="1">
        <w:r w:rsidRPr="006400CA">
          <w:rPr>
            <w:rStyle w:val="Hyperlink"/>
            <w:szCs w:val="18"/>
          </w:rPr>
          <w:t>American Convention on Human Rights: Article 11</w:t>
        </w:r>
      </w:hyperlink>
      <w:r w:rsidRPr="006400CA">
        <w:rPr>
          <w:rStyle w:val="Hyperlink"/>
          <w:szCs w:val="18"/>
        </w:rPr>
        <w:t xml:space="preserve"> at </w:t>
      </w:r>
      <w:hyperlink r:id="rId8" w:history="1">
        <w:r w:rsidRPr="006400CA">
          <w:rPr>
            <w:rStyle w:val="Hyperlink"/>
            <w:szCs w:val="18"/>
          </w:rPr>
          <w:t>http://www.ohchr.org/EN/Issues/Privacy/SR/Pages/Internationalstandards.aspx</w:t>
        </w:r>
      </w:hyperlink>
      <w:r>
        <w:rPr>
          <w:rStyle w:val="Hyperlink"/>
          <w:szCs w:val="18"/>
        </w:rPr>
        <w:t>.</w:t>
      </w:r>
    </w:p>
  </w:footnote>
  <w:footnote w:id="7">
    <w:p w:rsidR="00C324D3" w:rsidRPr="006400CA"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6467D7">
        <w:rPr>
          <w:rStyle w:val="Hyperlink"/>
          <w:szCs w:val="18"/>
          <w:vertAlign w:val="superscript"/>
        </w:rPr>
        <w:footnoteRef/>
      </w:r>
      <w:r w:rsidRPr="0018474F">
        <w:rPr>
          <w:rStyle w:val="Hyperlink"/>
          <w:szCs w:val="18"/>
          <w:vertAlign w:val="superscript"/>
        </w:rPr>
        <w:tab/>
      </w:r>
      <w:r w:rsidRPr="006400CA">
        <w:rPr>
          <w:rStyle w:val="Hyperlink"/>
          <w:szCs w:val="18"/>
        </w:rPr>
        <w:t xml:space="preserve">For example, the </w:t>
      </w:r>
      <w:hyperlink r:id="rId9" w:history="1">
        <w:r w:rsidRPr="006400CA">
          <w:rPr>
            <w:rStyle w:val="Hyperlink"/>
            <w:szCs w:val="18"/>
          </w:rPr>
          <w:t>Cairo Declaration on Human Rights in Islam: Article 18</w:t>
        </w:r>
      </w:hyperlink>
      <w:r w:rsidRPr="006400CA">
        <w:rPr>
          <w:rStyle w:val="Hyperlink"/>
          <w:szCs w:val="18"/>
        </w:rPr>
        <w:t xml:space="preserve">; </w:t>
      </w:r>
      <w:hyperlink r:id="rId10" w:history="1">
        <w:r w:rsidRPr="006400CA">
          <w:rPr>
            <w:rStyle w:val="Hyperlink"/>
            <w:szCs w:val="18"/>
          </w:rPr>
          <w:t>Arab Charter on Human Rights: Articles 16 and 21</w:t>
        </w:r>
      </w:hyperlink>
      <w:r w:rsidRPr="006400CA">
        <w:rPr>
          <w:rStyle w:val="Hyperlink"/>
          <w:szCs w:val="18"/>
        </w:rPr>
        <w:t xml:space="preserve">; </w:t>
      </w:r>
      <w:hyperlink r:id="rId11" w:history="1">
        <w:r w:rsidRPr="006400CA">
          <w:rPr>
            <w:rStyle w:val="Hyperlink"/>
            <w:szCs w:val="18"/>
          </w:rPr>
          <w:t>African Commission on Human and People's Rights Declaration of Principles on Freedom of Expression in Africa</w:t>
        </w:r>
      </w:hyperlink>
      <w:r w:rsidRPr="006400CA">
        <w:rPr>
          <w:rStyle w:val="Hyperlink"/>
          <w:szCs w:val="18"/>
        </w:rPr>
        <w:t xml:space="preserve">; </w:t>
      </w:r>
      <w:hyperlink r:id="rId12" w:history="1">
        <w:r w:rsidRPr="006400CA">
          <w:rPr>
            <w:rStyle w:val="Hyperlink"/>
            <w:szCs w:val="18"/>
          </w:rPr>
          <w:t>African Charter on the Rights and Welfare of the Child: Article 19</w:t>
        </w:r>
      </w:hyperlink>
      <w:r w:rsidRPr="006400CA">
        <w:rPr>
          <w:rStyle w:val="Hyperlink"/>
          <w:szCs w:val="18"/>
        </w:rPr>
        <w:t xml:space="preserve">; </w:t>
      </w:r>
      <w:hyperlink r:id="rId13" w:history="1">
        <w:r w:rsidRPr="006400CA">
          <w:rPr>
            <w:rStyle w:val="Hyperlink"/>
            <w:szCs w:val="18"/>
          </w:rPr>
          <w:t>Human Rights Declaration of the Association of Southeast Asian Nations: Article 21</w:t>
        </w:r>
      </w:hyperlink>
      <w:r w:rsidRPr="006400CA">
        <w:rPr>
          <w:rStyle w:val="Hyperlink"/>
          <w:szCs w:val="18"/>
        </w:rPr>
        <w:t xml:space="preserve">; </w:t>
      </w:r>
      <w:hyperlink r:id="rId14" w:history="1">
        <w:r w:rsidRPr="006400CA">
          <w:rPr>
            <w:rStyle w:val="Hyperlink"/>
            <w:szCs w:val="18"/>
          </w:rPr>
          <w:t>Asia-Pacific Economic Cooperation Privacy Framework</w:t>
        </w:r>
      </w:hyperlink>
      <w:r w:rsidRPr="006400CA">
        <w:rPr>
          <w:rStyle w:val="Hyperlink"/>
          <w:szCs w:val="18"/>
        </w:rPr>
        <w:t xml:space="preserve">; </w:t>
      </w:r>
      <w:hyperlink r:id="rId15" w:history="1">
        <w:r w:rsidRPr="006400CA">
          <w:rPr>
            <w:rStyle w:val="Hyperlink"/>
            <w:szCs w:val="18"/>
          </w:rPr>
          <w:t>Council of Europe Convention for the Protection of Individuals with regard to Automatic Processing of Personal Data</w:t>
        </w:r>
      </w:hyperlink>
      <w:r w:rsidRPr="006400CA">
        <w:rPr>
          <w:rStyle w:val="Hyperlink"/>
          <w:szCs w:val="18"/>
        </w:rPr>
        <w:t xml:space="preserve">; </w:t>
      </w:r>
      <w:hyperlink r:id="rId16" w:history="1">
        <w:r w:rsidRPr="006400CA">
          <w:rPr>
            <w:rStyle w:val="Hyperlink"/>
            <w:szCs w:val="18"/>
          </w:rPr>
          <w:t xml:space="preserve">Additional Protocol to the Convention for the Protection of Individuals with regard to Automatic Processing of Personal Data regarding supervisory authorities and </w:t>
        </w:r>
        <w:proofErr w:type="spellStart"/>
        <w:r w:rsidRPr="006400CA">
          <w:rPr>
            <w:rStyle w:val="Hyperlink"/>
            <w:szCs w:val="18"/>
          </w:rPr>
          <w:t>transborder</w:t>
        </w:r>
        <w:proofErr w:type="spellEnd"/>
        <w:r w:rsidRPr="006400CA">
          <w:rPr>
            <w:rStyle w:val="Hyperlink"/>
            <w:szCs w:val="18"/>
          </w:rPr>
          <w:t xml:space="preserve"> data flows</w:t>
        </w:r>
      </w:hyperlink>
      <w:r w:rsidRPr="006400CA">
        <w:rPr>
          <w:rStyle w:val="Hyperlink"/>
          <w:szCs w:val="18"/>
        </w:rPr>
        <w:t xml:space="preserve">; </w:t>
      </w:r>
      <w:hyperlink r:id="rId17" w:history="1">
        <w:r w:rsidRPr="006400CA">
          <w:rPr>
            <w:rStyle w:val="Hyperlink"/>
            <w:szCs w:val="18"/>
          </w:rPr>
          <w:t xml:space="preserve">Council of Europe Recommendation No. </w:t>
        </w:r>
        <w:proofErr w:type="gramStart"/>
        <w:r w:rsidRPr="006400CA">
          <w:rPr>
            <w:rStyle w:val="Hyperlink"/>
            <w:szCs w:val="18"/>
          </w:rPr>
          <w:t>R(</w:t>
        </w:r>
        <w:proofErr w:type="gramEnd"/>
        <w:r w:rsidRPr="006400CA">
          <w:rPr>
            <w:rStyle w:val="Hyperlink"/>
            <w:szCs w:val="18"/>
          </w:rPr>
          <w:t>99) 5 for the protection of privacy on the Internet</w:t>
        </w:r>
      </w:hyperlink>
      <w:r w:rsidRPr="006400CA">
        <w:rPr>
          <w:rStyle w:val="Hyperlink"/>
          <w:szCs w:val="18"/>
        </w:rPr>
        <w:t xml:space="preserve">, and </w:t>
      </w:r>
      <w:r w:rsidRPr="00737DE2">
        <w:rPr>
          <w:rStyle w:val="Hyperlink"/>
          <w:szCs w:val="18"/>
        </w:rPr>
        <w:t xml:space="preserve">the </w:t>
      </w:r>
      <w:hyperlink r:id="rId18" w:history="1">
        <w:r w:rsidRPr="006400CA">
          <w:rPr>
            <w:rStyle w:val="Hyperlink"/>
            <w:szCs w:val="18"/>
          </w:rPr>
          <w:t>European Union Data Protection Directive</w:t>
        </w:r>
      </w:hyperlink>
      <w:r w:rsidRPr="00737DE2">
        <w:rPr>
          <w:rStyle w:val="Hyperlink"/>
          <w:szCs w:val="18"/>
        </w:rPr>
        <w:t>.</w:t>
      </w:r>
    </w:p>
  </w:footnote>
  <w:footnote w:id="8">
    <w:p w:rsidR="00C324D3" w:rsidRPr="006400CA"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6467D7">
        <w:rPr>
          <w:rStyle w:val="Hyperlink"/>
          <w:szCs w:val="18"/>
          <w:vertAlign w:val="superscript"/>
        </w:rPr>
        <w:footnoteRef/>
      </w:r>
      <w:r w:rsidRPr="006400CA">
        <w:rPr>
          <w:rStyle w:val="Hyperlink"/>
          <w:szCs w:val="18"/>
          <w:vertAlign w:val="superscript"/>
        </w:rPr>
        <w:tab/>
      </w:r>
      <w:r w:rsidRPr="006400CA">
        <w:rPr>
          <w:rStyle w:val="Hyperlink"/>
          <w:szCs w:val="18"/>
        </w:rPr>
        <w:t xml:space="preserve">Human Rights Council Resolution </w:t>
      </w:r>
      <w:r w:rsidRPr="00CC2BA4">
        <w:rPr>
          <w:rStyle w:val="Hyperlink"/>
          <w:szCs w:val="18"/>
        </w:rPr>
        <w:t>A/HRC/RES/34/7</w:t>
      </w:r>
      <w:r>
        <w:rPr>
          <w:rStyle w:val="Hyperlink"/>
          <w:szCs w:val="18"/>
        </w:rPr>
        <w:t>.</w:t>
      </w:r>
    </w:p>
  </w:footnote>
  <w:footnote w:id="9">
    <w:p w:rsidR="00C324D3" w:rsidRPr="00D73ACF" w:rsidRDefault="00C324D3" w:rsidP="000F59E5">
      <w:pPr>
        <w:pStyle w:val="FootnoteText"/>
        <w:rPr>
          <w:lang w:val="en-US"/>
        </w:rPr>
      </w:pPr>
      <w:r>
        <w:tab/>
      </w:r>
      <w:r>
        <w:rPr>
          <w:rStyle w:val="FootnoteReference"/>
        </w:rPr>
        <w:footnoteRef/>
      </w:r>
      <w:r>
        <w:tab/>
      </w:r>
      <w:r>
        <w:rPr>
          <w:lang w:val="en-US"/>
        </w:rPr>
        <w:t xml:space="preserve">In IIOF as in events organized for example for Privacy &amp; Personality Flows of Information, the Special Rapporteur receives logistical support from the University of Malta and the University </w:t>
      </w:r>
      <w:proofErr w:type="gramStart"/>
      <w:r>
        <w:rPr>
          <w:lang w:val="en-US"/>
        </w:rPr>
        <w:t>of</w:t>
      </w:r>
      <w:proofErr w:type="gramEnd"/>
      <w:r>
        <w:rPr>
          <w:lang w:val="en-US"/>
        </w:rPr>
        <w:t xml:space="preserve"> Groningen (STEP) and via joint events from the EU supported MAPPING project. Since 2014, the Special Rapporteur has been the overall scientific </w:t>
      </w:r>
      <w:proofErr w:type="spellStart"/>
      <w:r>
        <w:rPr>
          <w:lang w:val="en-US"/>
        </w:rPr>
        <w:t>co-ordinator</w:t>
      </w:r>
      <w:proofErr w:type="spellEnd"/>
      <w:r>
        <w:rPr>
          <w:lang w:val="en-US"/>
        </w:rPr>
        <w:t xml:space="preserve"> of the MAPPING project which deals with internet </w:t>
      </w:r>
      <w:proofErr w:type="gramStart"/>
      <w:r>
        <w:rPr>
          <w:lang w:val="en-US"/>
        </w:rPr>
        <w:t>governance ,</w:t>
      </w:r>
      <w:proofErr w:type="gramEnd"/>
      <w:r>
        <w:rPr>
          <w:lang w:val="en-US"/>
        </w:rPr>
        <w:t xml:space="preserve"> privacy and intellectual property.  Within this project which formally ends in February 2018, the Special Rapporteur is also personally responsible for internet governance with responsibility for privacy within that project, exercised by the Institute of Legal </w:t>
      </w:r>
      <w:proofErr w:type="spellStart"/>
      <w:r>
        <w:rPr>
          <w:lang w:val="en-US"/>
        </w:rPr>
        <w:t>Infomatics</w:t>
      </w:r>
      <w:proofErr w:type="spellEnd"/>
      <w:r>
        <w:rPr>
          <w:lang w:val="en-US"/>
        </w:rPr>
        <w:t xml:space="preserve"> from </w:t>
      </w:r>
      <w:proofErr w:type="spellStart"/>
      <w:r>
        <w:rPr>
          <w:lang w:val="en-US"/>
        </w:rPr>
        <w:t>Leibovitz</w:t>
      </w:r>
      <w:proofErr w:type="spellEnd"/>
      <w:r>
        <w:rPr>
          <w:lang w:val="en-US"/>
        </w:rPr>
        <w:t xml:space="preserve"> University, Hanover, Germany.</w:t>
      </w:r>
    </w:p>
  </w:footnote>
  <w:footnote w:id="10">
    <w:p w:rsidR="00C324D3" w:rsidRPr="00F21F9E"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597B7F">
        <w:rPr>
          <w:rStyle w:val="Hyperlink"/>
          <w:szCs w:val="18"/>
          <w:vertAlign w:val="superscript"/>
        </w:rPr>
        <w:footnoteRef/>
      </w:r>
      <w:r w:rsidRPr="00737DE2">
        <w:rPr>
          <w:rStyle w:val="Hyperlink"/>
          <w:szCs w:val="18"/>
        </w:rPr>
        <w:tab/>
      </w:r>
      <w:hyperlink r:id="rId19" w:history="1">
        <w:r w:rsidRPr="00F21F9E">
          <w:rPr>
            <w:rStyle w:val="Hyperlink"/>
            <w:szCs w:val="18"/>
          </w:rPr>
          <w:t>http://www.ohchr.org/Documents/Issues/DigitalAge/ConceptNote.pdf</w:t>
        </w:r>
      </w:hyperlink>
      <w:r w:rsidR="00C33A82">
        <w:rPr>
          <w:rStyle w:val="Hyperlink"/>
          <w:szCs w:val="18"/>
        </w:rPr>
        <w:t>.</w:t>
      </w:r>
    </w:p>
  </w:footnote>
  <w:footnote w:id="11">
    <w:p w:rsidR="00C324D3" w:rsidRPr="00492B18"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597B7F">
        <w:rPr>
          <w:rStyle w:val="Hyperlink"/>
          <w:szCs w:val="18"/>
          <w:vertAlign w:val="superscript"/>
        </w:rPr>
        <w:footnoteRef/>
      </w:r>
      <w:r w:rsidRPr="00737DE2">
        <w:rPr>
          <w:rStyle w:val="Hyperlink"/>
          <w:szCs w:val="18"/>
        </w:rPr>
        <w:tab/>
      </w:r>
      <w:r w:rsidRPr="00492B18">
        <w:rPr>
          <w:rStyle w:val="Hyperlink"/>
          <w:szCs w:val="18"/>
        </w:rPr>
        <w:t>Amicus Curiae of</w:t>
      </w:r>
      <w:r w:rsidRPr="00492B18">
        <w:rPr>
          <w:rStyle w:val="Hyperlink"/>
          <w:rFonts w:eastAsia="MS Mincho"/>
          <w:szCs w:val="18"/>
        </w:rPr>
        <w:t> </w:t>
      </w:r>
      <w:r w:rsidRPr="00492B18">
        <w:rPr>
          <w:rStyle w:val="Hyperlink"/>
          <w:szCs w:val="18"/>
        </w:rPr>
        <w:t>U.N. Special Rapporteur on the Right to Privacy Joseph Cannataci in support of neither party in Matter No. 17-2 Supreme Court United States UNITED STATES OF AMERICA, Petitioner, v.</w:t>
      </w:r>
      <w:r w:rsidRPr="00492B18">
        <w:rPr>
          <w:rStyle w:val="Hyperlink"/>
          <w:rFonts w:eastAsia="MS Mincho"/>
          <w:szCs w:val="18"/>
        </w:rPr>
        <w:t> </w:t>
      </w:r>
      <w:r w:rsidRPr="00492B18">
        <w:rPr>
          <w:rStyle w:val="Hyperlink"/>
          <w:szCs w:val="18"/>
        </w:rPr>
        <w:t xml:space="preserve">MICROSOFT CORPORATION, Respondent. On Writ </w:t>
      </w:r>
      <w:proofErr w:type="gramStart"/>
      <w:r w:rsidRPr="00492B18">
        <w:rPr>
          <w:rStyle w:val="Hyperlink"/>
          <w:szCs w:val="18"/>
        </w:rPr>
        <w:t>Of Certiorari To The United States Court Of Appeals For The</w:t>
      </w:r>
      <w:proofErr w:type="gramEnd"/>
      <w:r w:rsidRPr="00492B18">
        <w:rPr>
          <w:rStyle w:val="Hyperlink"/>
          <w:szCs w:val="18"/>
        </w:rPr>
        <w:t xml:space="preserve"> Second Circuit, filed 13 December 2017. </w:t>
      </w:r>
    </w:p>
  </w:footnote>
  <w:footnote w:id="12">
    <w:p w:rsidR="00C324D3" w:rsidRPr="00882329"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597B7F">
        <w:rPr>
          <w:rStyle w:val="Hyperlink"/>
          <w:szCs w:val="18"/>
          <w:vertAlign w:val="superscript"/>
        </w:rPr>
        <w:footnoteRef/>
      </w:r>
      <w:r w:rsidRPr="00737DE2">
        <w:rPr>
          <w:rStyle w:val="Hyperlink"/>
          <w:szCs w:val="18"/>
        </w:rPr>
        <w:tab/>
      </w:r>
      <w:r w:rsidRPr="00882329">
        <w:rPr>
          <w:rStyle w:val="Hyperlink"/>
          <w:szCs w:val="18"/>
        </w:rPr>
        <w:t xml:space="preserve">UN Human Rights Council, Resolution </w:t>
      </w:r>
      <w:r>
        <w:rPr>
          <w:rStyle w:val="Hyperlink"/>
          <w:szCs w:val="18"/>
        </w:rPr>
        <w:t>(UN A/HRC/L.17/Rev – March 2017)</w:t>
      </w:r>
      <w:r w:rsidR="00D378F1">
        <w:rPr>
          <w:rStyle w:val="Hyperlink"/>
          <w:szCs w:val="18"/>
        </w:rPr>
        <w:t>.</w:t>
      </w:r>
    </w:p>
  </w:footnote>
  <w:footnote w:id="13">
    <w:p w:rsidR="00C324D3" w:rsidRPr="00765F75"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597B7F">
        <w:rPr>
          <w:rStyle w:val="Hyperlink"/>
          <w:szCs w:val="18"/>
          <w:vertAlign w:val="superscript"/>
        </w:rPr>
        <w:footnoteRef/>
      </w:r>
      <w:r>
        <w:rPr>
          <w:rStyle w:val="Hyperlink"/>
          <w:szCs w:val="18"/>
        </w:rPr>
        <w:tab/>
      </w:r>
      <w:hyperlink r:id="rId20" w:history="1">
        <w:r w:rsidRPr="00CD3883">
          <w:rPr>
            <w:rStyle w:val="Hyperlink"/>
            <w:szCs w:val="18"/>
          </w:rPr>
          <w:t>http://supremecourtofindia.nic.in/pdf/jud/ALL%20WP(C)%20No.494%20of</w:t>
        </w:r>
      </w:hyperlink>
      <w:r>
        <w:rPr>
          <w:rStyle w:val="Hyperlink"/>
          <w:szCs w:val="18"/>
        </w:rPr>
        <w:br/>
      </w:r>
      <w:r w:rsidRPr="00B95B91">
        <w:rPr>
          <w:rStyle w:val="Hyperlink"/>
          <w:szCs w:val="18"/>
        </w:rPr>
        <w:t>%202012%20Right%20to%20Privacy.pdf</w:t>
      </w:r>
      <w:r w:rsidR="00D378F1">
        <w:rPr>
          <w:rStyle w:val="Hyperlink"/>
          <w:szCs w:val="18"/>
        </w:rPr>
        <w:t>.</w:t>
      </w:r>
    </w:p>
  </w:footnote>
  <w:footnote w:id="14">
    <w:p w:rsidR="00C324D3" w:rsidRPr="00765F75"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082522">
        <w:rPr>
          <w:rStyle w:val="Hyperlink"/>
          <w:szCs w:val="18"/>
          <w:vertAlign w:val="superscript"/>
        </w:rPr>
        <w:footnoteRef/>
      </w:r>
      <w:r w:rsidRPr="00737DE2">
        <w:rPr>
          <w:rStyle w:val="Hyperlink"/>
          <w:szCs w:val="18"/>
        </w:rPr>
        <w:tab/>
      </w:r>
      <w:proofErr w:type="spellStart"/>
      <w:r w:rsidRPr="00765F75">
        <w:rPr>
          <w:rStyle w:val="Hyperlink"/>
          <w:szCs w:val="18"/>
        </w:rPr>
        <w:t>Hadeel</w:t>
      </w:r>
      <w:proofErr w:type="spellEnd"/>
      <w:r w:rsidRPr="00765F75">
        <w:rPr>
          <w:rStyle w:val="Hyperlink"/>
          <w:szCs w:val="18"/>
        </w:rPr>
        <w:t xml:space="preserve"> al-</w:t>
      </w:r>
      <w:proofErr w:type="spellStart"/>
      <w:r w:rsidRPr="00765F75">
        <w:rPr>
          <w:rStyle w:val="Hyperlink"/>
          <w:szCs w:val="18"/>
        </w:rPr>
        <w:t>Alosi</w:t>
      </w:r>
      <w:proofErr w:type="spellEnd"/>
      <w:r w:rsidRPr="00765F75">
        <w:rPr>
          <w:rStyle w:val="Hyperlink"/>
          <w:szCs w:val="18"/>
        </w:rPr>
        <w:t xml:space="preserve">, Cyber-violence: digital abuse in the context of domestic violence, UNSW Law Journal Volume 40(4), </w:t>
      </w:r>
      <w:proofErr w:type="spellStart"/>
      <w:r w:rsidRPr="00765F75">
        <w:rPr>
          <w:rStyle w:val="Hyperlink"/>
          <w:szCs w:val="18"/>
        </w:rPr>
        <w:t>pps</w:t>
      </w:r>
      <w:proofErr w:type="spellEnd"/>
      <w:r w:rsidRPr="00765F75">
        <w:rPr>
          <w:rStyle w:val="Hyperlink"/>
          <w:szCs w:val="18"/>
        </w:rPr>
        <w:t xml:space="preserve"> 1573-1603. </w:t>
      </w:r>
    </w:p>
  </w:footnote>
  <w:footnote w:id="15">
    <w:p w:rsidR="00C324D3" w:rsidRPr="00765F75" w:rsidRDefault="00C324D3" w:rsidP="000F59E5">
      <w:pPr>
        <w:pStyle w:val="FootnoteText"/>
        <w:kinsoku w:val="0"/>
        <w:overflowPunct w:val="0"/>
        <w:autoSpaceDE w:val="0"/>
        <w:autoSpaceDN w:val="0"/>
        <w:adjustRightInd w:val="0"/>
        <w:snapToGrid w:val="0"/>
        <w:rPr>
          <w:rStyle w:val="Hyperlink"/>
          <w:sz w:val="20"/>
          <w:szCs w:val="18"/>
        </w:rPr>
      </w:pPr>
      <w:r w:rsidRPr="00765F75">
        <w:rPr>
          <w:rStyle w:val="Hyperlink"/>
          <w:szCs w:val="18"/>
        </w:rPr>
        <w:tab/>
      </w:r>
      <w:r w:rsidRPr="00082522">
        <w:rPr>
          <w:rStyle w:val="Hyperlink"/>
          <w:szCs w:val="18"/>
          <w:vertAlign w:val="superscript"/>
        </w:rPr>
        <w:footnoteRef/>
      </w:r>
      <w:r w:rsidRPr="00765F75">
        <w:rPr>
          <w:rStyle w:val="Hyperlink"/>
          <w:szCs w:val="18"/>
        </w:rPr>
        <w:tab/>
        <w:t xml:space="preserve">United States v. Microsoft Corp. (No. 17-2), see: </w:t>
      </w:r>
      <w:hyperlink r:id="rId21" w:history="1">
        <w:r w:rsidRPr="005E5B93">
          <w:rPr>
            <w:rStyle w:val="Hyperlink"/>
            <w:szCs w:val="18"/>
          </w:rPr>
          <w:t>http://www.ohchr.org/EN/NewsEvents/Pages/DisplayNews.aspx?NewsID=22560&amp;LangID=E</w:t>
        </w:r>
      </w:hyperlink>
      <w:r w:rsidR="00CC7B60">
        <w:rPr>
          <w:rStyle w:val="Hyperlink"/>
          <w:szCs w:val="18"/>
        </w:rPr>
        <w:t>.</w:t>
      </w:r>
    </w:p>
  </w:footnote>
  <w:footnote w:id="16">
    <w:p w:rsidR="00C324D3" w:rsidRPr="00765F75" w:rsidRDefault="00C324D3" w:rsidP="000F59E5">
      <w:pPr>
        <w:pStyle w:val="FootnoteText"/>
        <w:kinsoku w:val="0"/>
        <w:overflowPunct w:val="0"/>
        <w:autoSpaceDE w:val="0"/>
        <w:autoSpaceDN w:val="0"/>
        <w:adjustRightInd w:val="0"/>
        <w:snapToGrid w:val="0"/>
        <w:rPr>
          <w:rStyle w:val="Hyperlink"/>
          <w:sz w:val="20"/>
          <w:szCs w:val="18"/>
        </w:rPr>
      </w:pPr>
      <w:r w:rsidRPr="00765F75">
        <w:rPr>
          <w:rStyle w:val="Hyperlink"/>
          <w:szCs w:val="18"/>
        </w:rPr>
        <w:tab/>
      </w:r>
      <w:r w:rsidRPr="00082522">
        <w:rPr>
          <w:rStyle w:val="Hyperlink"/>
          <w:szCs w:val="18"/>
          <w:vertAlign w:val="superscript"/>
        </w:rPr>
        <w:footnoteRef/>
      </w:r>
      <w:r w:rsidRPr="00765F75">
        <w:rPr>
          <w:rStyle w:val="Hyperlink"/>
          <w:szCs w:val="18"/>
        </w:rPr>
        <w:tab/>
      </w:r>
      <w:r w:rsidRPr="00CC7B60">
        <w:rPr>
          <w:rStyle w:val="Hyperlink"/>
          <w:spacing w:val="-2"/>
          <w:szCs w:val="18"/>
        </w:rPr>
        <w:t xml:space="preserve">End of mission statement: </w:t>
      </w:r>
      <w:hyperlink r:id="rId22" w:history="1">
        <w:r w:rsidRPr="00CC7B60">
          <w:rPr>
            <w:rStyle w:val="Hyperlink"/>
            <w:spacing w:val="-2"/>
            <w:szCs w:val="18"/>
          </w:rPr>
          <w:t>http://www.ohchr.org/Documents/Issues/Privacy/SR_Privacy/VisitUSA_EndStatementJune2017.docx</w:t>
        </w:r>
      </w:hyperlink>
      <w:r w:rsidR="00CC7B60">
        <w:rPr>
          <w:rStyle w:val="Hyperlink"/>
          <w:szCs w:val="18"/>
        </w:rPr>
        <w:t>.</w:t>
      </w:r>
    </w:p>
  </w:footnote>
  <w:footnote w:id="17">
    <w:p w:rsidR="00C324D3" w:rsidRPr="00765F75" w:rsidRDefault="00C324D3" w:rsidP="000F59E5">
      <w:pPr>
        <w:pStyle w:val="FootnoteText"/>
        <w:kinsoku w:val="0"/>
        <w:overflowPunct w:val="0"/>
        <w:autoSpaceDE w:val="0"/>
        <w:autoSpaceDN w:val="0"/>
        <w:adjustRightInd w:val="0"/>
        <w:snapToGrid w:val="0"/>
        <w:rPr>
          <w:rStyle w:val="Hyperlink"/>
          <w:sz w:val="20"/>
          <w:szCs w:val="18"/>
        </w:rPr>
      </w:pPr>
      <w:r w:rsidRPr="00765F75">
        <w:rPr>
          <w:rStyle w:val="Hyperlink"/>
          <w:szCs w:val="18"/>
        </w:rPr>
        <w:tab/>
      </w:r>
      <w:r w:rsidRPr="00082522">
        <w:rPr>
          <w:rStyle w:val="Hyperlink"/>
          <w:szCs w:val="18"/>
          <w:vertAlign w:val="superscript"/>
        </w:rPr>
        <w:footnoteRef/>
      </w:r>
      <w:r w:rsidRPr="00082522">
        <w:rPr>
          <w:rStyle w:val="Hyperlink"/>
          <w:szCs w:val="18"/>
          <w:vertAlign w:val="superscript"/>
        </w:rPr>
        <w:t xml:space="preserve"> </w:t>
      </w:r>
      <w:r w:rsidRPr="00765F75">
        <w:rPr>
          <w:rStyle w:val="Hyperlink"/>
          <w:szCs w:val="18"/>
        </w:rPr>
        <w:tab/>
        <w:t xml:space="preserve">Preliminary findings: </w:t>
      </w:r>
      <w:hyperlink r:id="rId23" w:history="1">
        <w:r w:rsidRPr="005E5B93">
          <w:rPr>
            <w:rStyle w:val="Hyperlink"/>
            <w:szCs w:val="18"/>
          </w:rPr>
          <w:t>http://www.ohchr.org/FR/NewsEvents/Pages/DisplayNews.aspx?NewsID=22410&amp;LangID=F</w:t>
        </w:r>
      </w:hyperlink>
      <w:r w:rsidR="00FA45DB">
        <w:rPr>
          <w:rStyle w:val="Hyperlink"/>
          <w:szCs w:val="18"/>
        </w:rPr>
        <w:t>.</w:t>
      </w:r>
    </w:p>
  </w:footnote>
  <w:footnote w:id="18">
    <w:p w:rsidR="00C324D3" w:rsidRPr="009442DB" w:rsidRDefault="00C324D3" w:rsidP="000F59E5">
      <w:pPr>
        <w:pStyle w:val="FootnoteText"/>
        <w:ind w:left="0" w:firstLine="0"/>
        <w:rPr>
          <w:szCs w:val="18"/>
          <w:lang w:val="en-US"/>
        </w:rPr>
      </w:pPr>
      <w:r w:rsidRPr="00737DE2">
        <w:rPr>
          <w:szCs w:val="18"/>
        </w:rPr>
        <w:tab/>
      </w:r>
      <w:r w:rsidRPr="00737DE2">
        <w:rPr>
          <w:rStyle w:val="FootnoteReference"/>
          <w:szCs w:val="18"/>
        </w:rPr>
        <w:footnoteRef/>
      </w:r>
      <w:r w:rsidRPr="00737DE2">
        <w:rPr>
          <w:szCs w:val="18"/>
        </w:rPr>
        <w:tab/>
      </w:r>
      <w:r w:rsidRPr="000841E9">
        <w:rPr>
          <w:szCs w:val="18"/>
        </w:rPr>
        <w:t>Data Protection Working Party established by Article 29 of Directive 95/46/EC</w:t>
      </w:r>
      <w:r w:rsidR="00FA45DB">
        <w:rPr>
          <w:szCs w:val="18"/>
        </w:rPr>
        <w:t>.</w:t>
      </w:r>
    </w:p>
  </w:footnote>
  <w:footnote w:id="19">
    <w:p w:rsidR="00C324D3" w:rsidRPr="009442DB"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9442DB">
        <w:rPr>
          <w:rStyle w:val="Hyperlink"/>
          <w:szCs w:val="18"/>
          <w:vertAlign w:val="superscript"/>
        </w:rPr>
        <w:footnoteRef/>
      </w:r>
      <w:r w:rsidRPr="00737DE2">
        <w:rPr>
          <w:rStyle w:val="Hyperlink"/>
          <w:szCs w:val="18"/>
        </w:rPr>
        <w:tab/>
      </w:r>
      <w:r w:rsidRPr="009442DB">
        <w:rPr>
          <w:rStyle w:val="Hyperlink"/>
          <w:szCs w:val="18"/>
        </w:rPr>
        <w:t xml:space="preserve">Excludes emails sent to </w:t>
      </w:r>
      <w:hyperlink r:id="rId24" w:history="1">
        <w:r w:rsidRPr="009442DB">
          <w:rPr>
            <w:rStyle w:val="Hyperlink"/>
            <w:szCs w:val="18"/>
          </w:rPr>
          <w:t>srprivacy@ohchr.org</w:t>
        </w:r>
      </w:hyperlink>
      <w:r w:rsidR="00871CC9">
        <w:rPr>
          <w:rStyle w:val="Hyperlink"/>
          <w:szCs w:val="18"/>
        </w:rPr>
        <w:t>.</w:t>
      </w:r>
    </w:p>
  </w:footnote>
  <w:footnote w:id="20">
    <w:p w:rsidR="00C324D3" w:rsidRPr="003264CA"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3264CA">
        <w:rPr>
          <w:rStyle w:val="Hyperlink"/>
          <w:szCs w:val="18"/>
          <w:vertAlign w:val="superscript"/>
        </w:rPr>
        <w:footnoteRef/>
      </w:r>
      <w:r w:rsidRPr="00F061FE">
        <w:rPr>
          <w:rStyle w:val="Hyperlink"/>
          <w:szCs w:val="18"/>
        </w:rPr>
        <w:tab/>
      </w:r>
      <w:r w:rsidRPr="003264CA">
        <w:rPr>
          <w:rStyle w:val="Hyperlink"/>
          <w:szCs w:val="18"/>
        </w:rPr>
        <w:t xml:space="preserve">Advice from OHCHR 19 December 2017. </w:t>
      </w:r>
    </w:p>
  </w:footnote>
  <w:footnote w:id="21">
    <w:p w:rsidR="00C324D3" w:rsidRPr="003264CA" w:rsidRDefault="00C324D3" w:rsidP="000F59E5">
      <w:pPr>
        <w:pStyle w:val="FootnoteText"/>
        <w:kinsoku w:val="0"/>
        <w:overflowPunct w:val="0"/>
        <w:autoSpaceDE w:val="0"/>
        <w:autoSpaceDN w:val="0"/>
        <w:adjustRightInd w:val="0"/>
        <w:snapToGrid w:val="0"/>
        <w:rPr>
          <w:rStyle w:val="Hyperlink"/>
          <w:szCs w:val="18"/>
        </w:rPr>
      </w:pPr>
      <w:r w:rsidRPr="003264CA">
        <w:rPr>
          <w:rStyle w:val="Hyperlink"/>
          <w:szCs w:val="18"/>
        </w:rPr>
        <w:tab/>
      </w:r>
      <w:r w:rsidRPr="003264CA">
        <w:rPr>
          <w:rStyle w:val="Hyperlink"/>
          <w:szCs w:val="18"/>
          <w:vertAlign w:val="superscript"/>
        </w:rPr>
        <w:footnoteRef/>
      </w:r>
      <w:r w:rsidRPr="003264CA">
        <w:rPr>
          <w:rStyle w:val="Hyperlink"/>
          <w:szCs w:val="18"/>
        </w:rPr>
        <w:tab/>
      </w:r>
      <w:hyperlink r:id="rId25" w:history="1">
        <w:r w:rsidRPr="003264CA">
          <w:rPr>
            <w:rStyle w:val="Hyperlink"/>
            <w:szCs w:val="18"/>
          </w:rPr>
          <w:t>https://icdppc.org/wp-content/uploads/2015/02/Resolution-on-Cooperation-with-UN-Special-Rapporteur-on-the-Right-to-Privacy.pdf</w:t>
        </w:r>
      </w:hyperlink>
      <w:r w:rsidR="00DC634C">
        <w:rPr>
          <w:rStyle w:val="Hyperlink"/>
          <w:szCs w:val="18"/>
        </w:rPr>
        <w:t>.</w:t>
      </w:r>
    </w:p>
  </w:footnote>
  <w:footnote w:id="22">
    <w:p w:rsidR="00C324D3" w:rsidRPr="003D4ED3"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3D4ED3">
        <w:rPr>
          <w:rStyle w:val="Hyperlink"/>
          <w:szCs w:val="18"/>
          <w:vertAlign w:val="superscript"/>
        </w:rPr>
        <w:footnoteRef/>
      </w:r>
      <w:r w:rsidRPr="00737DE2">
        <w:rPr>
          <w:rStyle w:val="Hyperlink"/>
          <w:szCs w:val="18"/>
        </w:rPr>
        <w:tab/>
      </w:r>
      <w:r>
        <w:rPr>
          <w:rStyle w:val="Hyperlink"/>
          <w:szCs w:val="18"/>
        </w:rPr>
        <w:t>‘S</w:t>
      </w:r>
      <w:r w:rsidRPr="00691BE6">
        <w:rPr>
          <w:rStyle w:val="Hyperlink"/>
          <w:szCs w:val="18"/>
        </w:rPr>
        <w:t>ubmission on the white paper of the committee of experts on a data protection framework for India’, Graham Greenleaf AM FAAL, Professor of Law and Infor</w:t>
      </w:r>
      <w:r>
        <w:rPr>
          <w:rStyle w:val="Hyperlink"/>
          <w:szCs w:val="18"/>
        </w:rPr>
        <w:t>mation Systems, UNSW Australia,</w:t>
      </w:r>
      <w:r w:rsidRPr="00691BE6">
        <w:rPr>
          <w:rStyle w:val="Hyperlink"/>
          <w:szCs w:val="18"/>
        </w:rPr>
        <w:t xml:space="preserve"> January 2018, SSRN.</w:t>
      </w:r>
    </w:p>
  </w:footnote>
  <w:footnote w:id="23">
    <w:p w:rsidR="00C324D3" w:rsidRPr="00FC17D8"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072087">
        <w:rPr>
          <w:rStyle w:val="Hyperlink"/>
          <w:szCs w:val="18"/>
          <w:vertAlign w:val="superscript"/>
        </w:rPr>
        <w:footnoteRef/>
      </w:r>
      <w:r w:rsidRPr="00737DE2">
        <w:rPr>
          <w:rStyle w:val="Hyperlink"/>
          <w:szCs w:val="18"/>
        </w:rPr>
        <w:tab/>
      </w:r>
      <w:r w:rsidRPr="00FC17D8">
        <w:rPr>
          <w:rStyle w:val="Hyperlink"/>
          <w:szCs w:val="18"/>
        </w:rPr>
        <w:t>Submission Australian Parliament, Joint Parliamentary Committee on Intelligence and Security, inquiry into National Security Legislation Amendment (Espionage and Foreign Interference) Bill 2017, 24 January 2018.</w:t>
      </w:r>
    </w:p>
  </w:footnote>
  <w:footnote w:id="24">
    <w:p w:rsidR="00C324D3" w:rsidRPr="00FC17D8"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072087">
        <w:rPr>
          <w:rStyle w:val="Hyperlink"/>
          <w:szCs w:val="18"/>
          <w:vertAlign w:val="superscript"/>
        </w:rPr>
        <w:footnoteRef/>
      </w:r>
      <w:r w:rsidRPr="00737DE2">
        <w:rPr>
          <w:rStyle w:val="Hyperlink"/>
          <w:szCs w:val="18"/>
        </w:rPr>
        <w:tab/>
      </w:r>
      <w:r w:rsidRPr="00FC17D8">
        <w:rPr>
          <w:rStyle w:val="Hyperlink"/>
          <w:szCs w:val="18"/>
        </w:rPr>
        <w:t xml:space="preserve">Confidential pending expiration of </w:t>
      </w:r>
      <w:r w:rsidRPr="00737DE2">
        <w:rPr>
          <w:rStyle w:val="Hyperlink"/>
          <w:szCs w:val="18"/>
        </w:rPr>
        <w:t xml:space="preserve">a </w:t>
      </w:r>
      <w:r w:rsidRPr="00FC17D8">
        <w:rPr>
          <w:rStyle w:val="Hyperlink"/>
          <w:szCs w:val="18"/>
        </w:rPr>
        <w:t>60-day response allowan</w:t>
      </w:r>
      <w:r>
        <w:rPr>
          <w:rStyle w:val="Hyperlink"/>
          <w:szCs w:val="18"/>
        </w:rPr>
        <w:t>ce.</w:t>
      </w:r>
    </w:p>
  </w:footnote>
  <w:footnote w:id="25">
    <w:p w:rsidR="00C324D3" w:rsidRPr="00FC17D8" w:rsidRDefault="00C324D3" w:rsidP="000F59E5">
      <w:pPr>
        <w:pStyle w:val="FootnoteText"/>
        <w:kinsoku w:val="0"/>
        <w:overflowPunct w:val="0"/>
        <w:autoSpaceDE w:val="0"/>
        <w:autoSpaceDN w:val="0"/>
        <w:adjustRightInd w:val="0"/>
        <w:snapToGrid w:val="0"/>
        <w:rPr>
          <w:rStyle w:val="Hyperlink"/>
          <w:szCs w:val="18"/>
        </w:rPr>
      </w:pPr>
      <w:r w:rsidRPr="00D044B6">
        <w:rPr>
          <w:rStyle w:val="Hyperlink"/>
          <w:szCs w:val="18"/>
        </w:rPr>
        <w:tab/>
      </w:r>
      <w:r w:rsidRPr="00D044B6">
        <w:rPr>
          <w:rStyle w:val="Hyperlink"/>
          <w:szCs w:val="18"/>
          <w:vertAlign w:val="superscript"/>
        </w:rPr>
        <w:footnoteRef/>
      </w:r>
      <w:r w:rsidRPr="00737DE2">
        <w:rPr>
          <w:rStyle w:val="Hyperlink"/>
          <w:szCs w:val="18"/>
        </w:rPr>
        <w:tab/>
      </w:r>
      <w:hyperlink r:id="rId26" w:history="1">
        <w:r w:rsidR="006F40CB" w:rsidRPr="00FF123A">
          <w:rPr>
            <w:rStyle w:val="Hyperlink"/>
            <w:szCs w:val="18"/>
          </w:rPr>
          <w:t>http://www.ohchr.org/Documents/Issues/Privacy/SR_Privacy/VisitUSA_EndStatementJune2017.</w:t>
        </w:r>
        <w:r w:rsidR="006F40CB" w:rsidRPr="00FF123A">
          <w:rPr>
            <w:rStyle w:val="Hyperlink"/>
            <w:szCs w:val="18"/>
          </w:rPr>
          <w:br/>
        </w:r>
        <w:proofErr w:type="spellStart"/>
        <w:r w:rsidR="006F40CB" w:rsidRPr="00FF123A">
          <w:rPr>
            <w:rStyle w:val="Hyperlink"/>
            <w:szCs w:val="18"/>
          </w:rPr>
          <w:t>docx</w:t>
        </w:r>
        <w:proofErr w:type="spellEnd"/>
      </w:hyperlink>
      <w:r w:rsidR="006F40CB" w:rsidRPr="006F40CB">
        <w:rPr>
          <w:rStyle w:val="Hyperlink"/>
          <w:szCs w:val="18"/>
        </w:rPr>
        <w:t>.</w:t>
      </w:r>
    </w:p>
  </w:footnote>
  <w:footnote w:id="26">
    <w:p w:rsidR="00C324D3" w:rsidRPr="00FC17D8" w:rsidRDefault="00C324D3" w:rsidP="000F59E5">
      <w:pPr>
        <w:pStyle w:val="FootnoteText"/>
        <w:kinsoku w:val="0"/>
        <w:overflowPunct w:val="0"/>
        <w:autoSpaceDE w:val="0"/>
        <w:autoSpaceDN w:val="0"/>
        <w:adjustRightInd w:val="0"/>
        <w:snapToGrid w:val="0"/>
        <w:rPr>
          <w:rStyle w:val="Hyperlink"/>
          <w:szCs w:val="18"/>
        </w:rPr>
      </w:pPr>
      <w:r w:rsidRPr="00FC17D8">
        <w:rPr>
          <w:rStyle w:val="Hyperlink"/>
          <w:szCs w:val="18"/>
        </w:rPr>
        <w:tab/>
      </w:r>
      <w:r w:rsidRPr="00D044B6">
        <w:rPr>
          <w:rStyle w:val="Hyperlink"/>
          <w:szCs w:val="18"/>
          <w:vertAlign w:val="superscript"/>
        </w:rPr>
        <w:footnoteRef/>
      </w:r>
      <w:r w:rsidRPr="00FC17D8">
        <w:rPr>
          <w:rStyle w:val="Hyperlink"/>
          <w:szCs w:val="18"/>
        </w:rPr>
        <w:tab/>
        <w:t>A/HRC/34/60</w:t>
      </w:r>
      <w:r w:rsidR="006F40CB">
        <w:rPr>
          <w:rStyle w:val="Hyperlink"/>
          <w:szCs w:val="18"/>
        </w:rPr>
        <w:t>.</w:t>
      </w:r>
    </w:p>
  </w:footnote>
  <w:footnote w:id="27">
    <w:p w:rsidR="00C324D3" w:rsidRPr="00FC17D8" w:rsidRDefault="00C324D3" w:rsidP="000F59E5">
      <w:pPr>
        <w:pStyle w:val="FootnoteText"/>
        <w:kinsoku w:val="0"/>
        <w:overflowPunct w:val="0"/>
        <w:autoSpaceDE w:val="0"/>
        <w:autoSpaceDN w:val="0"/>
        <w:adjustRightInd w:val="0"/>
        <w:snapToGrid w:val="0"/>
        <w:rPr>
          <w:rStyle w:val="Hyperlink"/>
          <w:szCs w:val="18"/>
        </w:rPr>
      </w:pPr>
      <w:r w:rsidRPr="00FC17D8">
        <w:rPr>
          <w:rStyle w:val="Hyperlink"/>
          <w:szCs w:val="18"/>
        </w:rPr>
        <w:tab/>
      </w:r>
      <w:r w:rsidRPr="00D044B6">
        <w:rPr>
          <w:rStyle w:val="Hyperlink"/>
          <w:szCs w:val="18"/>
          <w:vertAlign w:val="superscript"/>
        </w:rPr>
        <w:footnoteRef/>
      </w:r>
      <w:r w:rsidRPr="00FC17D8">
        <w:rPr>
          <w:rStyle w:val="Hyperlink"/>
          <w:szCs w:val="18"/>
        </w:rPr>
        <w:tab/>
        <w:t>A/72/43103</w:t>
      </w:r>
      <w:r w:rsidR="006F40CB">
        <w:rPr>
          <w:rStyle w:val="Hyperlink"/>
          <w:szCs w:val="18"/>
        </w:rPr>
        <w:t>.</w:t>
      </w:r>
    </w:p>
  </w:footnote>
  <w:footnote w:id="28">
    <w:p w:rsidR="00C324D3" w:rsidRPr="00FC17D8"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737DE2">
        <w:rPr>
          <w:rStyle w:val="Hyperlink"/>
          <w:szCs w:val="18"/>
          <w:vertAlign w:val="superscript"/>
        </w:rPr>
        <w:footnoteRef/>
      </w:r>
      <w:r w:rsidRPr="00FC17D8">
        <w:rPr>
          <w:rStyle w:val="Hyperlink"/>
          <w:szCs w:val="18"/>
        </w:rPr>
        <w:tab/>
        <w:t xml:space="preserve">See </w:t>
      </w:r>
      <w:hyperlink r:id="rId27" w:history="1">
        <w:r w:rsidRPr="00FC17D8">
          <w:rPr>
            <w:rStyle w:val="Hyperlink"/>
            <w:szCs w:val="18"/>
          </w:rPr>
          <w:t>A/HRC/31/64</w:t>
        </w:r>
      </w:hyperlink>
      <w:r w:rsidRPr="00FC17D8">
        <w:rPr>
          <w:rStyle w:val="Hyperlink"/>
          <w:szCs w:val="18"/>
        </w:rPr>
        <w:t>, para. 46.</w:t>
      </w:r>
    </w:p>
  </w:footnote>
  <w:footnote w:id="29">
    <w:p w:rsidR="00C324D3" w:rsidRPr="00E76E52"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E76E52">
        <w:rPr>
          <w:rStyle w:val="Hyperlink"/>
          <w:szCs w:val="18"/>
          <w:vertAlign w:val="superscript"/>
        </w:rPr>
        <w:footnoteRef/>
      </w:r>
      <w:r w:rsidRPr="00737DE2">
        <w:rPr>
          <w:rStyle w:val="Hyperlink"/>
          <w:szCs w:val="18"/>
        </w:rPr>
        <w:tab/>
      </w:r>
      <w:proofErr w:type="spellStart"/>
      <w:r w:rsidRPr="00E76E52">
        <w:rPr>
          <w:rStyle w:val="Hyperlink"/>
          <w:szCs w:val="18"/>
        </w:rPr>
        <w:t>E</w:t>
      </w:r>
      <w:r>
        <w:rPr>
          <w:rStyle w:val="Hyperlink"/>
          <w:szCs w:val="18"/>
        </w:rPr>
        <w:t>g</w:t>
      </w:r>
      <w:proofErr w:type="spellEnd"/>
      <w:r w:rsidRPr="00E76E52">
        <w:rPr>
          <w:rStyle w:val="Hyperlink"/>
          <w:szCs w:val="18"/>
        </w:rPr>
        <w:t xml:space="preserve"> </w:t>
      </w:r>
      <w:r w:rsidRPr="00E76E52">
        <w:rPr>
          <w:rStyle w:val="Hyperlink"/>
          <w:i/>
          <w:szCs w:val="18"/>
        </w:rPr>
        <w:t>Data Sharing (Government Sector) Act 2015</w:t>
      </w:r>
      <w:r w:rsidRPr="00E76E52">
        <w:rPr>
          <w:rStyle w:val="Hyperlink"/>
          <w:szCs w:val="18"/>
        </w:rPr>
        <w:t xml:space="preserve"> NSW, Australia requiring data sharing within legislative privacy pr</w:t>
      </w:r>
      <w:r w:rsidR="00011CD5">
        <w:rPr>
          <w:rStyle w:val="Hyperlink"/>
          <w:szCs w:val="18"/>
        </w:rPr>
        <w:t>ovisions</w:t>
      </w:r>
      <w:r w:rsidRPr="00E76E52">
        <w:rPr>
          <w:rStyle w:val="Hyperlink"/>
          <w:szCs w:val="18"/>
        </w:rPr>
        <w:t>.</w:t>
      </w:r>
    </w:p>
  </w:footnote>
  <w:footnote w:id="30">
    <w:p w:rsidR="00C324D3" w:rsidRPr="00866C0C"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E76E52">
        <w:rPr>
          <w:rStyle w:val="Hyperlink"/>
          <w:szCs w:val="18"/>
          <w:vertAlign w:val="superscript"/>
        </w:rPr>
        <w:footnoteRef/>
      </w:r>
      <w:r w:rsidRPr="00E76E52">
        <w:rPr>
          <w:rStyle w:val="Hyperlink"/>
          <w:szCs w:val="18"/>
          <w:vertAlign w:val="superscript"/>
        </w:rPr>
        <w:tab/>
      </w:r>
      <w:hyperlink r:id="rId28" w:history="1">
        <w:r w:rsidRPr="00E76E52">
          <w:rPr>
            <w:rStyle w:val="Hyperlink"/>
            <w:szCs w:val="18"/>
          </w:rPr>
          <w:t>https://inforrm.org/2017/09/04/case-law-india-puttaswamy-v-union-of-india-supreme-court-recognises-a-constitutional-right-to-privacy-in-a-landmark-judgment-hugh-tomlinson-qc/</w:t>
        </w:r>
      </w:hyperlink>
      <w:r w:rsidR="00011CD5">
        <w:rPr>
          <w:rStyle w:val="Hyperlink"/>
          <w:szCs w:val="18"/>
        </w:rPr>
        <w:t>.</w:t>
      </w:r>
    </w:p>
  </w:footnote>
  <w:footnote w:id="31">
    <w:p w:rsidR="00C324D3" w:rsidRPr="007A31F0"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3D73D1">
        <w:rPr>
          <w:rStyle w:val="Hyperlink"/>
          <w:szCs w:val="18"/>
          <w:vertAlign w:val="superscript"/>
        </w:rPr>
        <w:footnoteRef/>
      </w:r>
      <w:r w:rsidRPr="00737DE2">
        <w:rPr>
          <w:rStyle w:val="Hyperlink"/>
          <w:szCs w:val="18"/>
        </w:rPr>
        <w:tab/>
      </w:r>
      <w:r w:rsidRPr="007A31F0">
        <w:rPr>
          <w:rStyle w:val="Hyperlink"/>
          <w:szCs w:val="18"/>
        </w:rPr>
        <w:t>http://www.ohchr.org/Documents/Issues/Privacy/OL_JPN.pdf</w:t>
      </w:r>
      <w:r w:rsidR="004E0636">
        <w:rPr>
          <w:rStyle w:val="Hyperlink"/>
          <w:szCs w:val="18"/>
        </w:rPr>
        <w:t>.</w:t>
      </w:r>
    </w:p>
  </w:footnote>
  <w:footnote w:id="32">
    <w:p w:rsidR="00C324D3" w:rsidRPr="003D73D1" w:rsidRDefault="00C324D3" w:rsidP="000F59E5">
      <w:pPr>
        <w:pStyle w:val="FootnoteText"/>
        <w:kinsoku w:val="0"/>
        <w:overflowPunct w:val="0"/>
        <w:autoSpaceDE w:val="0"/>
        <w:autoSpaceDN w:val="0"/>
        <w:adjustRightInd w:val="0"/>
        <w:snapToGrid w:val="0"/>
        <w:rPr>
          <w:rStyle w:val="Hyperlink"/>
          <w:szCs w:val="18"/>
        </w:rPr>
      </w:pPr>
      <w:r>
        <w:rPr>
          <w:rStyle w:val="Hyperlink"/>
          <w:szCs w:val="18"/>
        </w:rPr>
        <w:tab/>
      </w:r>
      <w:r w:rsidRPr="003D73D1">
        <w:rPr>
          <w:rStyle w:val="Hyperlink"/>
          <w:szCs w:val="18"/>
          <w:vertAlign w:val="superscript"/>
        </w:rPr>
        <w:footnoteRef/>
      </w:r>
      <w:r w:rsidRPr="00737DE2">
        <w:rPr>
          <w:rStyle w:val="Hyperlink"/>
          <w:szCs w:val="18"/>
        </w:rPr>
        <w:tab/>
      </w:r>
      <w:r w:rsidRPr="003D73D1">
        <w:rPr>
          <w:rStyle w:val="Hyperlink"/>
          <w:szCs w:val="18"/>
        </w:rPr>
        <w:t>http://www.ohchr.org/EN/NewsEvents/Pages/DisplayNews.aspx?NewsID=21892&amp;LangID=E</w:t>
      </w:r>
      <w:r w:rsidR="004E0636">
        <w:rPr>
          <w:rStyle w:val="Hyperlink"/>
          <w:szCs w:val="18"/>
        </w:rPr>
        <w:t>.</w:t>
      </w:r>
    </w:p>
  </w:footnote>
  <w:footnote w:id="33">
    <w:p w:rsidR="00C324D3" w:rsidRPr="00FB0F10" w:rsidRDefault="00C324D3" w:rsidP="000F59E5">
      <w:pPr>
        <w:pStyle w:val="FootnoteText"/>
        <w:kinsoku w:val="0"/>
        <w:overflowPunct w:val="0"/>
        <w:autoSpaceDE w:val="0"/>
        <w:autoSpaceDN w:val="0"/>
        <w:adjustRightInd w:val="0"/>
        <w:snapToGrid w:val="0"/>
        <w:rPr>
          <w:rStyle w:val="Hyperlink"/>
          <w:szCs w:val="18"/>
        </w:rPr>
      </w:pPr>
      <w:r w:rsidRPr="00FB0F10">
        <w:rPr>
          <w:rStyle w:val="Hyperlink"/>
          <w:szCs w:val="18"/>
        </w:rPr>
        <w:tab/>
      </w:r>
      <w:r w:rsidRPr="00FB0F10">
        <w:rPr>
          <w:rStyle w:val="Hyperlink"/>
          <w:szCs w:val="18"/>
          <w:vertAlign w:val="superscript"/>
        </w:rPr>
        <w:footnoteRef/>
      </w:r>
      <w:r>
        <w:rPr>
          <w:rStyle w:val="Hyperlink"/>
          <w:szCs w:val="18"/>
        </w:rPr>
        <w:tab/>
      </w:r>
      <w:hyperlink r:id="rId29" w:history="1">
        <w:r w:rsidRPr="005E5B93">
          <w:rPr>
            <w:rStyle w:val="Hyperlink"/>
            <w:szCs w:val="18"/>
          </w:rPr>
          <w:t>http://www.ohchr.org/EN/HRBodies/SP/Pages/CommunicationsreportsSP.aspx</w:t>
        </w:r>
      </w:hyperlink>
      <w:r w:rsidR="004E0636">
        <w:rPr>
          <w:rStyle w:val="Hyperlink"/>
          <w:szCs w:val="18"/>
        </w:rPr>
        <w:t>.</w:t>
      </w:r>
    </w:p>
  </w:footnote>
  <w:footnote w:id="34">
    <w:p w:rsidR="00C324D3" w:rsidRPr="007F6A0F" w:rsidRDefault="00C324D3" w:rsidP="000F59E5">
      <w:pPr>
        <w:pStyle w:val="FootnoteText"/>
        <w:kinsoku w:val="0"/>
        <w:overflowPunct w:val="0"/>
        <w:autoSpaceDE w:val="0"/>
        <w:autoSpaceDN w:val="0"/>
        <w:adjustRightInd w:val="0"/>
        <w:snapToGrid w:val="0"/>
        <w:rPr>
          <w:rStyle w:val="Hyperlink"/>
          <w:szCs w:val="18"/>
        </w:rPr>
      </w:pPr>
      <w:r>
        <w:rPr>
          <w:rStyle w:val="Hyperlink"/>
          <w:szCs w:val="18"/>
        </w:rPr>
        <w:tab/>
      </w:r>
      <w:r w:rsidRPr="007F6A0F">
        <w:rPr>
          <w:rStyle w:val="Hyperlink"/>
          <w:szCs w:val="18"/>
          <w:vertAlign w:val="superscript"/>
        </w:rPr>
        <w:footnoteRef/>
      </w:r>
      <w:r w:rsidRPr="00737DE2">
        <w:rPr>
          <w:rStyle w:val="Hyperlink"/>
          <w:szCs w:val="18"/>
        </w:rPr>
        <w:tab/>
      </w:r>
      <w:r w:rsidRPr="007F6A0F">
        <w:rPr>
          <w:rStyle w:val="Hyperlink"/>
          <w:szCs w:val="18"/>
        </w:rPr>
        <w:t>‘Preliminary observations by the United Nations Special Rapporteur on the right to privacy at the end of his visit to the United States of America’ at OHCHR website.</w:t>
      </w:r>
    </w:p>
  </w:footnote>
  <w:footnote w:id="35">
    <w:p w:rsidR="00C324D3" w:rsidRPr="007F6A0F"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7F6A0F">
        <w:rPr>
          <w:rStyle w:val="Hyperlink"/>
          <w:szCs w:val="18"/>
          <w:vertAlign w:val="superscript"/>
        </w:rPr>
        <w:footnoteRef/>
      </w:r>
      <w:r w:rsidRPr="00737DE2">
        <w:rPr>
          <w:rStyle w:val="Hyperlink"/>
          <w:szCs w:val="18"/>
        </w:rPr>
        <w:tab/>
      </w:r>
      <w:r w:rsidRPr="007F6A0F">
        <w:rPr>
          <w:rStyle w:val="Hyperlink"/>
          <w:szCs w:val="18"/>
        </w:rPr>
        <w:t>Joint communications with other mandate holders to the Governments of Spain (12 October); Egypt (31 October); Haiti (22 September)</w:t>
      </w:r>
      <w:r w:rsidR="00AD6D58">
        <w:rPr>
          <w:rStyle w:val="Hyperlink"/>
          <w:szCs w:val="18"/>
        </w:rPr>
        <w:t>.</w:t>
      </w:r>
    </w:p>
  </w:footnote>
  <w:footnote w:id="36">
    <w:p w:rsidR="00C324D3" w:rsidRPr="007F6A0F"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7F6A0F">
        <w:rPr>
          <w:rStyle w:val="Hyperlink"/>
          <w:szCs w:val="18"/>
          <w:vertAlign w:val="superscript"/>
        </w:rPr>
        <w:footnoteRef/>
      </w:r>
      <w:r w:rsidRPr="007F6A0F">
        <w:rPr>
          <w:rStyle w:val="Hyperlink"/>
          <w:szCs w:val="18"/>
          <w:vertAlign w:val="superscript"/>
        </w:rPr>
        <w:tab/>
      </w:r>
      <w:r w:rsidRPr="007F6A0F">
        <w:rPr>
          <w:rStyle w:val="Hyperlink"/>
          <w:szCs w:val="18"/>
        </w:rPr>
        <w:t>UN A/HRC/L.17/Rev-March 2017.</w:t>
      </w:r>
    </w:p>
  </w:footnote>
  <w:footnote w:id="37">
    <w:p w:rsidR="00C324D3" w:rsidRPr="002E5BAC" w:rsidRDefault="00C324D3" w:rsidP="000F59E5">
      <w:pPr>
        <w:pStyle w:val="FootnoteText"/>
        <w:kinsoku w:val="0"/>
        <w:overflowPunct w:val="0"/>
        <w:autoSpaceDE w:val="0"/>
        <w:autoSpaceDN w:val="0"/>
        <w:adjustRightInd w:val="0"/>
        <w:snapToGrid w:val="0"/>
        <w:rPr>
          <w:rStyle w:val="Hyperlink"/>
          <w:szCs w:val="18"/>
        </w:rPr>
      </w:pPr>
      <w:r>
        <w:rPr>
          <w:rStyle w:val="Hyperlink"/>
          <w:szCs w:val="18"/>
        </w:rPr>
        <w:tab/>
      </w:r>
      <w:r w:rsidRPr="002E5BAC">
        <w:rPr>
          <w:rStyle w:val="Hyperlink"/>
          <w:szCs w:val="18"/>
          <w:vertAlign w:val="superscript"/>
        </w:rPr>
        <w:footnoteRef/>
      </w:r>
      <w:r w:rsidRPr="00D044B6">
        <w:rPr>
          <w:rStyle w:val="Hyperlink"/>
          <w:szCs w:val="18"/>
          <w:vertAlign w:val="superscript"/>
        </w:rPr>
        <w:tab/>
      </w:r>
      <w:r>
        <w:rPr>
          <w:rStyle w:val="Hyperlink"/>
          <w:szCs w:val="18"/>
        </w:rPr>
        <w:t>One remedy, a</w:t>
      </w:r>
      <w:r w:rsidRPr="002E5BAC">
        <w:rPr>
          <w:rStyle w:val="Hyperlink"/>
          <w:szCs w:val="18"/>
        </w:rPr>
        <w:t xml:space="preserve"> statutory tort of action for serious invasion of privacy has been recommended by </w:t>
      </w:r>
      <w:r>
        <w:rPr>
          <w:rStyle w:val="Hyperlink"/>
          <w:szCs w:val="18"/>
        </w:rPr>
        <w:t xml:space="preserve">various </w:t>
      </w:r>
      <w:r w:rsidRPr="002E5BAC">
        <w:rPr>
          <w:rStyle w:val="Hyperlink"/>
          <w:szCs w:val="18"/>
        </w:rPr>
        <w:t xml:space="preserve">Law Reform Commissions </w:t>
      </w:r>
      <w:r>
        <w:rPr>
          <w:rStyle w:val="Hyperlink"/>
          <w:szCs w:val="18"/>
        </w:rPr>
        <w:t xml:space="preserve">of the State </w:t>
      </w:r>
      <w:r w:rsidRPr="002E5BAC">
        <w:rPr>
          <w:rStyle w:val="Hyperlink"/>
          <w:szCs w:val="18"/>
        </w:rPr>
        <w:t>on eight separate occasions over the past decade.</w:t>
      </w:r>
    </w:p>
  </w:footnote>
  <w:footnote w:id="38">
    <w:p w:rsidR="00C324D3" w:rsidRPr="0042792C"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42792C">
        <w:rPr>
          <w:rStyle w:val="Hyperlink"/>
          <w:szCs w:val="18"/>
          <w:vertAlign w:val="superscript"/>
        </w:rPr>
        <w:footnoteRef/>
      </w:r>
      <w:r w:rsidRPr="00737DE2">
        <w:rPr>
          <w:rStyle w:val="Hyperlink"/>
          <w:szCs w:val="18"/>
        </w:rPr>
        <w:tab/>
      </w:r>
      <w:hyperlink r:id="rId30" w:history="1">
        <w:r w:rsidRPr="0042792C">
          <w:rPr>
            <w:rStyle w:val="Hyperlink"/>
            <w:szCs w:val="18"/>
          </w:rPr>
          <w:t>A/72/43103</w:t>
        </w:r>
      </w:hyperlink>
      <w:r w:rsidRPr="0042792C">
        <w:rPr>
          <w:rStyle w:val="Hyperlink"/>
          <w:szCs w:val="18"/>
        </w:rPr>
        <w:t> and </w:t>
      </w:r>
      <w:hyperlink r:id="rId31" w:history="1">
        <w:r w:rsidRPr="0042792C">
          <w:rPr>
            <w:rStyle w:val="Hyperlink"/>
            <w:szCs w:val="18"/>
          </w:rPr>
          <w:t>supporting document</w:t>
        </w:r>
      </w:hyperlink>
      <w:r w:rsidR="005C49FC">
        <w:rPr>
          <w:rStyle w:val="Hyperlink"/>
          <w:szCs w:val="18"/>
        </w:rPr>
        <w:t>.</w:t>
      </w:r>
    </w:p>
  </w:footnote>
  <w:footnote w:id="39">
    <w:p w:rsidR="00C324D3" w:rsidRPr="00A6173D"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A6173D">
        <w:rPr>
          <w:rStyle w:val="Hyperlink"/>
          <w:szCs w:val="18"/>
          <w:vertAlign w:val="superscript"/>
        </w:rPr>
        <w:footnoteRef/>
      </w:r>
      <w:r>
        <w:rPr>
          <w:rStyle w:val="Hyperlink"/>
          <w:szCs w:val="18"/>
        </w:rPr>
        <w:tab/>
      </w:r>
      <w:hyperlink r:id="rId32" w:history="1">
        <w:r w:rsidRPr="00A6173D">
          <w:rPr>
            <w:rStyle w:val="Hyperlink"/>
            <w:szCs w:val="18"/>
          </w:rPr>
          <w:t>http://www.ohchr.org/Documents/Issues/DigitalAge/ConceptNote.pdf</w:t>
        </w:r>
      </w:hyperlink>
      <w:r w:rsidRPr="00A6173D">
        <w:rPr>
          <w:rStyle w:val="Hyperlink"/>
          <w:szCs w:val="18"/>
        </w:rPr>
        <w:t xml:space="preserve"> viewed 23/12/2017.</w:t>
      </w:r>
    </w:p>
  </w:footnote>
  <w:footnote w:id="40">
    <w:p w:rsidR="00C324D3" w:rsidRPr="00A6173D" w:rsidRDefault="00C324D3" w:rsidP="000F59E5">
      <w:pPr>
        <w:pStyle w:val="FootnoteText"/>
        <w:kinsoku w:val="0"/>
        <w:overflowPunct w:val="0"/>
        <w:autoSpaceDE w:val="0"/>
        <w:autoSpaceDN w:val="0"/>
        <w:adjustRightInd w:val="0"/>
        <w:snapToGrid w:val="0"/>
        <w:rPr>
          <w:rStyle w:val="Hyperlink"/>
          <w:szCs w:val="18"/>
        </w:rPr>
      </w:pPr>
      <w:r w:rsidRPr="00737DE2">
        <w:rPr>
          <w:rStyle w:val="Hyperlink"/>
          <w:szCs w:val="18"/>
        </w:rPr>
        <w:tab/>
      </w:r>
      <w:r w:rsidRPr="00A6173D">
        <w:rPr>
          <w:rStyle w:val="Hyperlink"/>
          <w:szCs w:val="18"/>
          <w:vertAlign w:val="superscript"/>
        </w:rPr>
        <w:footnoteRef/>
      </w:r>
      <w:r w:rsidRPr="00737DE2">
        <w:rPr>
          <w:rStyle w:val="Hyperlink"/>
          <w:szCs w:val="18"/>
        </w:rPr>
        <w:tab/>
      </w:r>
      <w:hyperlink r:id="rId33" w:history="1">
        <w:r w:rsidRPr="00A6173D">
          <w:rPr>
            <w:rStyle w:val="Hyperlink"/>
            <w:szCs w:val="18"/>
          </w:rPr>
          <w:t>https://mappingtheinternet.eu/</w:t>
        </w:r>
      </w:hyperlink>
      <w:r w:rsidR="001B4178">
        <w:rPr>
          <w:rStyle w:val="Hyperlink"/>
          <w:szCs w:val="18"/>
        </w:rPr>
        <w:t>.</w:t>
      </w:r>
    </w:p>
  </w:footnote>
  <w:footnote w:id="41">
    <w:p w:rsidR="00C324D3" w:rsidRPr="00A6173D" w:rsidRDefault="00C324D3" w:rsidP="000F59E5">
      <w:pPr>
        <w:pStyle w:val="FootnoteText"/>
        <w:kinsoku w:val="0"/>
        <w:overflowPunct w:val="0"/>
        <w:autoSpaceDE w:val="0"/>
        <w:autoSpaceDN w:val="0"/>
        <w:adjustRightInd w:val="0"/>
        <w:snapToGrid w:val="0"/>
        <w:rPr>
          <w:rStyle w:val="Hyperlink"/>
          <w:szCs w:val="18"/>
        </w:rPr>
      </w:pPr>
      <w:r w:rsidRPr="00A6173D">
        <w:rPr>
          <w:rStyle w:val="Hyperlink"/>
          <w:szCs w:val="18"/>
        </w:rPr>
        <w:tab/>
      </w:r>
      <w:r w:rsidRPr="00A6173D">
        <w:rPr>
          <w:rStyle w:val="Hyperlink"/>
          <w:szCs w:val="18"/>
          <w:vertAlign w:val="superscript"/>
        </w:rPr>
        <w:footnoteRef/>
      </w:r>
      <w:r>
        <w:rPr>
          <w:rStyle w:val="Hyperlink"/>
          <w:szCs w:val="18"/>
        </w:rPr>
        <w:tab/>
      </w:r>
      <w:r w:rsidRPr="00A6173D">
        <w:rPr>
          <w:rStyle w:val="Hyperlink"/>
          <w:szCs w:val="18"/>
        </w:rPr>
        <w:t>https://www.reformgovernmentsurveillance.com</w:t>
      </w:r>
      <w:r w:rsidR="00A8613A">
        <w:rPr>
          <w:rStyle w:val="Hyperlink"/>
          <w:szCs w:val="18"/>
        </w:rPr>
        <w:t>.</w:t>
      </w:r>
    </w:p>
  </w:footnote>
  <w:footnote w:id="42">
    <w:p w:rsidR="00C324D3" w:rsidRPr="00AD0FEF" w:rsidRDefault="00C324D3" w:rsidP="000F59E5">
      <w:pPr>
        <w:pStyle w:val="FootnoteText"/>
        <w:rPr>
          <w:b/>
          <w:bCs/>
          <w:szCs w:val="18"/>
        </w:rPr>
      </w:pPr>
      <w:r w:rsidRPr="00AD0FEF">
        <w:rPr>
          <w:szCs w:val="18"/>
        </w:rPr>
        <w:tab/>
      </w:r>
      <w:r w:rsidRPr="00AD0FEF">
        <w:rPr>
          <w:rStyle w:val="FootnoteReference"/>
          <w:szCs w:val="18"/>
        </w:rPr>
        <w:footnoteRef/>
      </w:r>
      <w:r w:rsidRPr="00AD0FEF">
        <w:rPr>
          <w:szCs w:val="18"/>
        </w:rPr>
        <w:tab/>
      </w:r>
      <w:proofErr w:type="spellStart"/>
      <w:r w:rsidRPr="00AD0FEF">
        <w:rPr>
          <w:szCs w:val="18"/>
        </w:rPr>
        <w:t>Weissbrodt</w:t>
      </w:r>
      <w:proofErr w:type="spellEnd"/>
      <w:r w:rsidRPr="00AD0FEF">
        <w:rPr>
          <w:szCs w:val="18"/>
        </w:rPr>
        <w:t>, D. ‘</w:t>
      </w:r>
      <w:r w:rsidRPr="00AD0FEF">
        <w:rPr>
          <w:bCs/>
          <w:szCs w:val="18"/>
        </w:rPr>
        <w:t>The Three "Theme" Special Rapporteurs of the UN Commission on Human Rights’</w:t>
      </w:r>
      <w:r w:rsidRPr="00AD0FEF">
        <w:rPr>
          <w:b/>
          <w:bCs/>
          <w:szCs w:val="18"/>
        </w:rPr>
        <w:t xml:space="preserve">, </w:t>
      </w:r>
      <w:r w:rsidRPr="00AD0FEF">
        <w:rPr>
          <w:i/>
          <w:szCs w:val="18"/>
        </w:rPr>
        <w:t>The American Journal of International Law, Vol 80, No. 3 (July 1986), pp685-599.</w:t>
      </w:r>
    </w:p>
  </w:footnote>
  <w:footnote w:id="43">
    <w:p w:rsidR="00C324D3" w:rsidRPr="004A180B" w:rsidRDefault="00C324D3" w:rsidP="000F59E5">
      <w:pPr>
        <w:pStyle w:val="FootnoteText"/>
        <w:rPr>
          <w:szCs w:val="18"/>
        </w:rPr>
      </w:pPr>
      <w:r w:rsidRPr="00D044B6">
        <w:rPr>
          <w:szCs w:val="18"/>
        </w:rPr>
        <w:tab/>
      </w:r>
      <w:r w:rsidRPr="00AD0FEF">
        <w:rPr>
          <w:rStyle w:val="FootnoteReference"/>
          <w:szCs w:val="18"/>
        </w:rPr>
        <w:footnoteRef/>
      </w:r>
      <w:r w:rsidRPr="004A180B">
        <w:rPr>
          <w:szCs w:val="18"/>
        </w:rPr>
        <w:tab/>
        <w:t>UN Doc.E/CN.4/1986/2/ at 100.</w:t>
      </w:r>
    </w:p>
  </w:footnote>
  <w:footnote w:id="44">
    <w:p w:rsidR="00C324D3" w:rsidRPr="00AD0FEF" w:rsidRDefault="00C324D3" w:rsidP="000F59E5">
      <w:pPr>
        <w:pStyle w:val="FootnoteText"/>
        <w:rPr>
          <w:szCs w:val="18"/>
          <w:lang w:val="en-US"/>
        </w:rPr>
      </w:pPr>
      <w:r w:rsidRPr="004A180B">
        <w:rPr>
          <w:szCs w:val="18"/>
        </w:rPr>
        <w:tab/>
      </w:r>
      <w:r w:rsidRPr="00AD0FEF">
        <w:rPr>
          <w:rStyle w:val="FootnoteReference"/>
          <w:szCs w:val="18"/>
        </w:rPr>
        <w:footnoteRef/>
      </w:r>
      <w:r w:rsidRPr="00AD0FEF">
        <w:rPr>
          <w:szCs w:val="18"/>
        </w:rPr>
        <w:tab/>
      </w:r>
      <w:proofErr w:type="spellStart"/>
      <w:r w:rsidRPr="00AD0FEF">
        <w:rPr>
          <w:szCs w:val="18"/>
        </w:rPr>
        <w:t>UNDoc.E</w:t>
      </w:r>
      <w:proofErr w:type="spellEnd"/>
      <w:r w:rsidRPr="00AD0FEF">
        <w:rPr>
          <w:szCs w:val="18"/>
        </w:rPr>
        <w:t>/CN.4/1986/L.68 adopted without a vote 11 March 1986.</w:t>
      </w:r>
    </w:p>
  </w:footnote>
  <w:footnote w:id="45">
    <w:p w:rsidR="00C324D3" w:rsidRPr="00AD0FEF" w:rsidRDefault="00C324D3" w:rsidP="000F59E5">
      <w:pPr>
        <w:pStyle w:val="FootnoteText"/>
        <w:rPr>
          <w:szCs w:val="18"/>
          <w:lang w:val="en-US"/>
        </w:rPr>
      </w:pPr>
      <w:r w:rsidRPr="00AD0FEF">
        <w:rPr>
          <w:szCs w:val="18"/>
        </w:rPr>
        <w:tab/>
      </w:r>
      <w:r w:rsidRPr="00AD0FEF">
        <w:rPr>
          <w:rStyle w:val="FootnoteReference"/>
          <w:szCs w:val="18"/>
        </w:rPr>
        <w:footnoteRef/>
      </w:r>
      <w:r w:rsidRPr="00AD0FEF">
        <w:rPr>
          <w:szCs w:val="18"/>
        </w:rPr>
        <w:tab/>
        <w:t>Special Procedures of the Human Rights Council, http://www.ohchr.org/EN/HRBodies/SP/Pages/Welcomepage.aspx</w:t>
      </w:r>
      <w:r w:rsidR="00650FD4">
        <w:rPr>
          <w:szCs w:val="18"/>
        </w:rPr>
        <w:t>.</w:t>
      </w:r>
    </w:p>
  </w:footnote>
  <w:footnote w:id="46">
    <w:p w:rsidR="00C324D3" w:rsidRPr="00737DE2" w:rsidRDefault="00C324D3" w:rsidP="000F59E5">
      <w:pPr>
        <w:pStyle w:val="FootnoteText"/>
        <w:rPr>
          <w:szCs w:val="18"/>
          <w:lang w:val="en-US"/>
        </w:rPr>
      </w:pPr>
      <w:r w:rsidRPr="00AD0FEF">
        <w:rPr>
          <w:szCs w:val="18"/>
        </w:rPr>
        <w:tab/>
      </w:r>
      <w:r w:rsidRPr="00AD0FEF">
        <w:rPr>
          <w:rStyle w:val="FootnoteReference"/>
          <w:szCs w:val="18"/>
        </w:rPr>
        <w:footnoteRef/>
      </w:r>
      <w:r w:rsidRPr="00AD0FEF">
        <w:rPr>
          <w:szCs w:val="18"/>
        </w:rPr>
        <w:tab/>
      </w:r>
      <w:proofErr w:type="spellStart"/>
      <w:r w:rsidRPr="00AD0FEF">
        <w:rPr>
          <w:szCs w:val="18"/>
        </w:rPr>
        <w:t>Weissbrodt</w:t>
      </w:r>
      <w:proofErr w:type="spellEnd"/>
      <w:r w:rsidRPr="00AD0FEF">
        <w:rPr>
          <w:szCs w:val="18"/>
        </w:rPr>
        <w:t>, D. ‘</w:t>
      </w:r>
      <w:r w:rsidRPr="00AD0FEF">
        <w:rPr>
          <w:bCs/>
          <w:szCs w:val="18"/>
        </w:rPr>
        <w:t>The Three "Theme" Special Rapporteurs of the UN Commission on Human Rights’</w:t>
      </w:r>
      <w:r w:rsidRPr="00AD0FEF">
        <w:rPr>
          <w:b/>
          <w:bCs/>
          <w:szCs w:val="18"/>
        </w:rPr>
        <w:t xml:space="preserve">, </w:t>
      </w:r>
      <w:r w:rsidRPr="00AD0FEF">
        <w:rPr>
          <w:i/>
          <w:szCs w:val="18"/>
        </w:rPr>
        <w:t>The American Journal of International Law, Vol 80, No. 3 (July 1986), pp685-599.</w:t>
      </w:r>
    </w:p>
  </w:footnote>
  <w:footnote w:id="47">
    <w:p w:rsidR="00C324D3" w:rsidRPr="007418EC" w:rsidRDefault="00C324D3" w:rsidP="000F59E5">
      <w:pPr>
        <w:pStyle w:val="FootnoteText"/>
        <w:rPr>
          <w:szCs w:val="18"/>
          <w:lang w:val="en-US"/>
        </w:rPr>
      </w:pPr>
      <w:r w:rsidRPr="00AD0FEF">
        <w:rPr>
          <w:szCs w:val="18"/>
        </w:rPr>
        <w:tab/>
      </w:r>
      <w:r w:rsidRPr="00AD0FEF">
        <w:rPr>
          <w:rStyle w:val="FootnoteReference"/>
          <w:szCs w:val="18"/>
        </w:rPr>
        <w:footnoteRef/>
      </w:r>
      <w:r w:rsidRPr="007418EC">
        <w:rPr>
          <w:szCs w:val="18"/>
        </w:rPr>
        <w:tab/>
      </w:r>
      <w:r w:rsidRPr="007418EC">
        <w:rPr>
          <w:color w:val="000000"/>
          <w:szCs w:val="18"/>
          <w:lang w:val="de-AT"/>
        </w:rPr>
        <w:t xml:space="preserve">See </w:t>
      </w:r>
      <w:r w:rsidRPr="007418EC">
        <w:rPr>
          <w:color w:val="000000"/>
          <w:szCs w:val="18"/>
        </w:rPr>
        <w:t>UN Special Rapporteur for Privacy, Annual Report, UN Human Rights Council in Geneva March 2017 and Gene</w:t>
      </w:r>
      <w:r w:rsidR="000A1FBB">
        <w:rPr>
          <w:color w:val="000000"/>
          <w:szCs w:val="18"/>
        </w:rPr>
        <w:t xml:space="preserve">ral Assembly, October, 2017 at </w:t>
      </w:r>
      <w:hyperlink r:id="rId34" w:history="1">
        <w:r w:rsidRPr="00AD0FEF">
          <w:rPr>
            <w:rStyle w:val="Hyperlink"/>
            <w:szCs w:val="18"/>
          </w:rPr>
          <w:t>www.ohchr.org/Documents/Issues/Privacy/A_HRC_34_60_EN.docx</w:t>
        </w:r>
      </w:hyperlink>
      <w:r w:rsidR="000A1FBB">
        <w:rPr>
          <w:rStyle w:val="Hyperlink"/>
          <w:szCs w:val="18"/>
        </w:rPr>
        <w:t>.</w:t>
      </w:r>
    </w:p>
  </w:footnote>
  <w:footnote w:id="48">
    <w:p w:rsidR="00C324D3" w:rsidRPr="0032292F" w:rsidRDefault="00C324D3" w:rsidP="000F59E5">
      <w:pPr>
        <w:pStyle w:val="FootnoteText"/>
        <w:rPr>
          <w:szCs w:val="18"/>
        </w:rPr>
      </w:pPr>
      <w:r>
        <w:rPr>
          <w:szCs w:val="18"/>
        </w:rPr>
        <w:tab/>
      </w:r>
      <w:r w:rsidRPr="0032292F">
        <w:rPr>
          <w:rStyle w:val="FootnoteReference"/>
          <w:szCs w:val="18"/>
        </w:rPr>
        <w:footnoteRef/>
      </w:r>
      <w:r>
        <w:rPr>
          <w:szCs w:val="18"/>
        </w:rPr>
        <w:tab/>
      </w:r>
      <w:r w:rsidRPr="0032292F">
        <w:rPr>
          <w:szCs w:val="18"/>
        </w:rPr>
        <w:t>Though this does not exclude the possibility that their constitutional courts could be seized of privacy-related matters</w:t>
      </w:r>
      <w:r w:rsidR="00650FD4">
        <w:rPr>
          <w:szCs w:val="18"/>
        </w:rPr>
        <w:t>.</w:t>
      </w:r>
    </w:p>
  </w:footnote>
  <w:footnote w:id="49">
    <w:p w:rsidR="00C324D3" w:rsidRDefault="00C324D3" w:rsidP="002056C1">
      <w:pPr>
        <w:pStyle w:val="FootnoteText"/>
      </w:pPr>
      <w:r>
        <w:tab/>
      </w:r>
      <w:r>
        <w:rPr>
          <w:rStyle w:val="FootnoteReference"/>
        </w:rPr>
        <w:footnoteRef/>
      </w:r>
      <w:r>
        <w:tab/>
      </w:r>
      <w:r w:rsidRPr="0032542F">
        <w:rPr>
          <w:i/>
        </w:rPr>
        <w:t xml:space="preserve">The Snowden revelations – </w:t>
      </w:r>
      <w:r>
        <w:rPr>
          <w:i/>
        </w:rPr>
        <w:t>6</w:t>
      </w:r>
      <w:r w:rsidRPr="0032542F">
        <w:rPr>
          <w:i/>
        </w:rPr>
        <w:t xml:space="preserve"> June 2013 –ongoing</w:t>
      </w:r>
      <w:r>
        <w:rPr>
          <w:i/>
        </w:rPr>
        <w:t xml:space="preserve"> reverberations across Europe</w:t>
      </w:r>
      <w:r w:rsidR="002056C1">
        <w:t xml:space="preserve"> </w:t>
      </w:r>
      <w:r w:rsidR="002056C1">
        <w:br/>
      </w:r>
      <w:r>
        <w:t xml:space="preserve">The revelations over mass surveillance and other privacy –intrusive programmes carried out by the signals intelligence arms of the United Kingdom and United States intelligence communities have not really receded. They have been followed by legislative changes in both countries, sometimes imposing more constraints and safeguards, on other occasions legitimizing existing practices. The unilateral nature of </w:t>
      </w:r>
      <w:proofErr w:type="spellStart"/>
      <w:r>
        <w:t>transborder</w:t>
      </w:r>
      <w:proofErr w:type="spellEnd"/>
      <w:r>
        <w:t xml:space="preserve"> forays by United States and/or United Kingdom agencies into Belgium, Brazil, France, Germany and other countries led to a great deal of concern which still finds its reverberations in various fora, international and otherwise. Both countries are still struggling to find the right formula to frame their behaviour in cyberspace such that, for example, the legislative measures of the United Kingdom would be found necessary and proportionate by either the European Court of Human Rights or the European Court of Justice. The United Kingdom’s intelligence services were found to be in default on several counts by the UK’s own Investigatory Powers Tribunal while the United Kingdom law on bulk collection of metadata has been declared disproportionate by the European Court of Justice on the 21st December 2016. An important decision in this respect is also being expected in a case first heard by the European Court of Human Rights on 7th November 2017, Big Brother Watch and Others v. the United Kingdom (no. 58170/13), Bureau of Investigative Journalism and Alice Ross v. the United Kingdom (no. 62322/14) and 10 Human Rights Organisations and Others v. the United Kingdom (no. 24960/15).</w:t>
      </w:r>
    </w:p>
  </w:footnote>
  <w:footnote w:id="50">
    <w:p w:rsidR="00C324D3" w:rsidRDefault="00C324D3" w:rsidP="000F59E5">
      <w:pPr>
        <w:pStyle w:val="FootnoteText"/>
      </w:pPr>
      <w:r>
        <w:tab/>
      </w:r>
      <w:r>
        <w:rPr>
          <w:rStyle w:val="FootnoteReference"/>
        </w:rPr>
        <w:footnoteRef/>
      </w:r>
      <w:r>
        <w:tab/>
        <w:t xml:space="preserve">The following two cases are being cited for purposes of illustrating a problem area but are not here being represented as facts proving certain types of behaviour by the United States or Russian authorities. The Special Rapporteur on the right to privacy reserves the right to investigate these cases separately through Letters of Allegation and until doing so remains neutral on the accuracy or otherwise of media and governmental reports on the subject: </w:t>
      </w:r>
    </w:p>
    <w:p w:rsidR="00C324D3" w:rsidRPr="0032542F" w:rsidRDefault="00C324D3" w:rsidP="000F59E5">
      <w:pPr>
        <w:pStyle w:val="FootnoteText"/>
        <w:rPr>
          <w:i/>
        </w:rPr>
      </w:pPr>
      <w:r>
        <w:rPr>
          <w:i/>
        </w:rPr>
        <w:tab/>
      </w:r>
      <w:r>
        <w:rPr>
          <w:i/>
        </w:rPr>
        <w:tab/>
      </w:r>
      <w:r w:rsidRPr="0032542F">
        <w:rPr>
          <w:i/>
        </w:rPr>
        <w:t>Case 1: Privacy of 500 milli</w:t>
      </w:r>
      <w:r>
        <w:rPr>
          <w:i/>
        </w:rPr>
        <w:t>on Yahoo! users infringed – 15</w:t>
      </w:r>
      <w:r w:rsidRPr="0032542F">
        <w:rPr>
          <w:i/>
        </w:rPr>
        <w:t xml:space="preserve"> March 2017</w:t>
      </w:r>
    </w:p>
    <w:p w:rsidR="00C324D3" w:rsidRDefault="00C324D3" w:rsidP="000F59E5">
      <w:pPr>
        <w:pStyle w:val="FootnoteText"/>
      </w:pPr>
      <w:r>
        <w:tab/>
      </w:r>
      <w:r>
        <w:tab/>
        <w:t xml:space="preserve">Formal indictments were brought in the United States of America by the Justice Department, which announced on 15 March 2017 that the “indictments of two Russian spies and two criminal hackers in connection with the heist of 500 million Yahoo user accounts in 2014, marking the first United States criminal cyber charges ever against Russian government officials. The indictments target two members of the Russian intelligence agency FSB, and two hackers hired by the Russians. The charges include hacking, wire fraud, trade secret theft and economic espionage, according to officials.”  </w:t>
      </w:r>
    </w:p>
    <w:p w:rsidR="00C324D3" w:rsidRDefault="00C324D3" w:rsidP="000F59E5">
      <w:pPr>
        <w:pStyle w:val="FootnoteText"/>
      </w:pPr>
      <w:r>
        <w:tab/>
      </w:r>
      <w:r>
        <w:tab/>
        <w:t xml:space="preserve">While this case remains sub </w:t>
      </w:r>
      <w:proofErr w:type="spellStart"/>
      <w:r>
        <w:t>judice</w:t>
      </w:r>
      <w:proofErr w:type="spellEnd"/>
      <w:r>
        <w:t xml:space="preserve"> and therefore the evidence available has not yet had time to be exhaustively evaluated by the court in question, the nationality of the accused and the locus of the judicial proceedings are almost immaterial for the purposes of this observation. The point here is that the spread of the damage was global, possibly the largest or one of the largest intrusions in history on the private e-mail accounts of five hundred million Yahoo! users spread across the planet. If it transpires that the men indicted were not responsible after all, we are still left with the problem of the nature and scale of the attack in addition to the instability induced by public accusations made against Russia. If the guilt of the accused is eventually proved beyond reasonable doubt then the problem would be compounded by the involvement of state officials who may or may not have been acting on instructions. Either way the suspicion of their acting as agents of the Russian state is already a destabilising factor in international relations and threatening all forms of peace, above and beyond cyber-peace. The violation of the personal space of hundreds of millions of internet users has not, to date, attracted much attention but it remains a source of major concern to those involved, over and above the charges actually made in the indictment.</w:t>
      </w:r>
    </w:p>
    <w:p w:rsidR="00C324D3" w:rsidRPr="0032542F" w:rsidRDefault="00C324D3" w:rsidP="000F59E5">
      <w:pPr>
        <w:pStyle w:val="FootnoteText"/>
        <w:rPr>
          <w:i/>
        </w:rPr>
      </w:pPr>
      <w:r>
        <w:rPr>
          <w:i/>
        </w:rPr>
        <w:tab/>
      </w:r>
      <w:r>
        <w:rPr>
          <w:i/>
        </w:rPr>
        <w:tab/>
      </w:r>
      <w:r w:rsidRPr="0032542F">
        <w:rPr>
          <w:i/>
        </w:rPr>
        <w:t xml:space="preserve">Case 2: Privacy of 500 million (?) Yahoo! users breached by </w:t>
      </w:r>
      <w:r>
        <w:rPr>
          <w:i/>
        </w:rPr>
        <w:t>United States</w:t>
      </w:r>
      <w:r w:rsidRPr="0032542F">
        <w:rPr>
          <w:i/>
        </w:rPr>
        <w:t xml:space="preserve"> agency (reported 4th October 2016)</w:t>
      </w:r>
    </w:p>
    <w:p w:rsidR="00C324D3" w:rsidRDefault="00C324D3" w:rsidP="000F59E5">
      <w:pPr>
        <w:pStyle w:val="FootnoteText"/>
      </w:pPr>
      <w:r>
        <w:tab/>
      </w:r>
      <w:r>
        <w:tab/>
        <w:t>If you’re a Yahoo! e-mail user, if it’s not one government hacking into your e-mail account or scanning your incoming e-mail, then it’s another. Or at least un-contradicted media reports so suggest. For some time during the period 2014-2016, hundreds of millions of Yahoo! e-mail users apparently not only suffered the most massive hack in history as already mentioned above (allegedly by a combination of Russian criminal and state-connected persons) but also had their incoming mail scan-read on the orders of a United States Government agency.  There are multiple causes for concern here. Firstly, all those Yahoo! users within the United States may arguably claim that such searches violated their Fourth Amendment rights under the United States constitution, although the scan-reading was carried out in terms of lower-level United States law (FISA). Secondly, it should be clear to all concerned that well more than half of those five hundred million Yahoo users are not United States citizens and would need to seek recourse elsewhere for protection of their fundamental and universal right to privacy…but where to do so is the obvious question. Even if this were ever to be considered a proportional measure – and that is a contentious point in its own right, unless there were to be an international agreement that this would constitute appropriate state behaviour in cyberspace, hundreds of millions of citizens world-wide yet again find themselves without any effective safeguards or remedies when it comes to their fundamental right to privacy.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D3" w:rsidRPr="000F59E5" w:rsidRDefault="00C324D3">
    <w:pPr>
      <w:pStyle w:val="Header"/>
      <w:rPr>
        <w:lang w:val="fr-CH"/>
      </w:rPr>
    </w:pPr>
    <w:r>
      <w:t>A/HRC/37/62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D3" w:rsidRPr="00662585" w:rsidRDefault="00C324D3" w:rsidP="00662585">
    <w:pPr>
      <w:pStyle w:val="Header"/>
      <w:jc w:val="right"/>
    </w:pPr>
    <w:r>
      <w:t>A/HRC/37/62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4E3B71"/>
    <w:multiLevelType w:val="hybridMultilevel"/>
    <w:tmpl w:val="767A9BC6"/>
    <w:lvl w:ilvl="0" w:tplc="CB680C04">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AC1303B"/>
    <w:multiLevelType w:val="hybridMultilevel"/>
    <w:tmpl w:val="7E52A228"/>
    <w:lvl w:ilvl="0" w:tplc="0BECD1B4">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580E70"/>
    <w:multiLevelType w:val="hybridMultilevel"/>
    <w:tmpl w:val="1D3A983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660B762F"/>
    <w:multiLevelType w:val="hybridMultilevel"/>
    <w:tmpl w:val="8946D59A"/>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1"/>
  </w:num>
  <w:num w:numId="14">
    <w:abstractNumId w:val="3"/>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85"/>
    <w:rsid w:val="000066F2"/>
    <w:rsid w:val="00007F7F"/>
    <w:rsid w:val="00011CD5"/>
    <w:rsid w:val="00012D0C"/>
    <w:rsid w:val="000137D8"/>
    <w:rsid w:val="00022DB5"/>
    <w:rsid w:val="000240CB"/>
    <w:rsid w:val="000403D1"/>
    <w:rsid w:val="000438FB"/>
    <w:rsid w:val="000449AA"/>
    <w:rsid w:val="00050F6B"/>
    <w:rsid w:val="00055A1F"/>
    <w:rsid w:val="0005662A"/>
    <w:rsid w:val="00072C8C"/>
    <w:rsid w:val="00073E70"/>
    <w:rsid w:val="00081292"/>
    <w:rsid w:val="000876EB"/>
    <w:rsid w:val="00091419"/>
    <w:rsid w:val="000931C0"/>
    <w:rsid w:val="000A1FBB"/>
    <w:rsid w:val="000B175B"/>
    <w:rsid w:val="000B2851"/>
    <w:rsid w:val="000B3A0F"/>
    <w:rsid w:val="000B4A3B"/>
    <w:rsid w:val="000C59D8"/>
    <w:rsid w:val="000D1851"/>
    <w:rsid w:val="000D78FC"/>
    <w:rsid w:val="000E0415"/>
    <w:rsid w:val="000F59E5"/>
    <w:rsid w:val="0010180F"/>
    <w:rsid w:val="001078EA"/>
    <w:rsid w:val="00126F3B"/>
    <w:rsid w:val="00146D32"/>
    <w:rsid w:val="001509BA"/>
    <w:rsid w:val="00190887"/>
    <w:rsid w:val="001A48FB"/>
    <w:rsid w:val="001B4178"/>
    <w:rsid w:val="001B4B04"/>
    <w:rsid w:val="001C6663"/>
    <w:rsid w:val="001C7895"/>
    <w:rsid w:val="001D26DF"/>
    <w:rsid w:val="001D61D9"/>
    <w:rsid w:val="001E2790"/>
    <w:rsid w:val="001E64F8"/>
    <w:rsid w:val="002056C1"/>
    <w:rsid w:val="00211DAA"/>
    <w:rsid w:val="00211E0B"/>
    <w:rsid w:val="00211E72"/>
    <w:rsid w:val="00214047"/>
    <w:rsid w:val="002209D4"/>
    <w:rsid w:val="0022130F"/>
    <w:rsid w:val="00231F91"/>
    <w:rsid w:val="00237785"/>
    <w:rsid w:val="002410DD"/>
    <w:rsid w:val="00241466"/>
    <w:rsid w:val="00253901"/>
    <w:rsid w:val="00253D58"/>
    <w:rsid w:val="0027725F"/>
    <w:rsid w:val="002A2F27"/>
    <w:rsid w:val="002A3709"/>
    <w:rsid w:val="002A7BAB"/>
    <w:rsid w:val="002C21F0"/>
    <w:rsid w:val="002E731D"/>
    <w:rsid w:val="002F426F"/>
    <w:rsid w:val="003107FA"/>
    <w:rsid w:val="003134DC"/>
    <w:rsid w:val="003165E0"/>
    <w:rsid w:val="00321873"/>
    <w:rsid w:val="003229D8"/>
    <w:rsid w:val="003314D1"/>
    <w:rsid w:val="00335A2F"/>
    <w:rsid w:val="00341937"/>
    <w:rsid w:val="00344C32"/>
    <w:rsid w:val="0035141E"/>
    <w:rsid w:val="003556CF"/>
    <w:rsid w:val="003777EF"/>
    <w:rsid w:val="0039277A"/>
    <w:rsid w:val="003972E0"/>
    <w:rsid w:val="003975ED"/>
    <w:rsid w:val="003B6482"/>
    <w:rsid w:val="003B78DD"/>
    <w:rsid w:val="003C2CC4"/>
    <w:rsid w:val="003D4B23"/>
    <w:rsid w:val="003D79D8"/>
    <w:rsid w:val="003E3ABD"/>
    <w:rsid w:val="003E52FB"/>
    <w:rsid w:val="003F2276"/>
    <w:rsid w:val="00404765"/>
    <w:rsid w:val="00404E30"/>
    <w:rsid w:val="00424C80"/>
    <w:rsid w:val="004325CB"/>
    <w:rsid w:val="00435A89"/>
    <w:rsid w:val="0044503A"/>
    <w:rsid w:val="00446DE4"/>
    <w:rsid w:val="00447761"/>
    <w:rsid w:val="00451EC3"/>
    <w:rsid w:val="00456047"/>
    <w:rsid w:val="004721B1"/>
    <w:rsid w:val="00480005"/>
    <w:rsid w:val="004859EC"/>
    <w:rsid w:val="0049690A"/>
    <w:rsid w:val="00496A15"/>
    <w:rsid w:val="004A180B"/>
    <w:rsid w:val="004B6268"/>
    <w:rsid w:val="004B715D"/>
    <w:rsid w:val="004B75D2"/>
    <w:rsid w:val="004D1140"/>
    <w:rsid w:val="004D6359"/>
    <w:rsid w:val="004E0636"/>
    <w:rsid w:val="004F55ED"/>
    <w:rsid w:val="0051102C"/>
    <w:rsid w:val="0052176C"/>
    <w:rsid w:val="005261E5"/>
    <w:rsid w:val="00533021"/>
    <w:rsid w:val="005420F2"/>
    <w:rsid w:val="00542574"/>
    <w:rsid w:val="005436AB"/>
    <w:rsid w:val="00546924"/>
    <w:rsid w:val="00546DBF"/>
    <w:rsid w:val="00553D76"/>
    <w:rsid w:val="005552B5"/>
    <w:rsid w:val="0056117B"/>
    <w:rsid w:val="00562621"/>
    <w:rsid w:val="00571365"/>
    <w:rsid w:val="005906DC"/>
    <w:rsid w:val="005A0E16"/>
    <w:rsid w:val="005B3DB3"/>
    <w:rsid w:val="005B6E48"/>
    <w:rsid w:val="005C49FC"/>
    <w:rsid w:val="005D24C6"/>
    <w:rsid w:val="005D53BE"/>
    <w:rsid w:val="005E1712"/>
    <w:rsid w:val="005E405B"/>
    <w:rsid w:val="005E530A"/>
    <w:rsid w:val="005F31C0"/>
    <w:rsid w:val="005F75DF"/>
    <w:rsid w:val="00611FC4"/>
    <w:rsid w:val="006121E3"/>
    <w:rsid w:val="00612A2E"/>
    <w:rsid w:val="00616FA7"/>
    <w:rsid w:val="006176FB"/>
    <w:rsid w:val="00640B26"/>
    <w:rsid w:val="00650FD4"/>
    <w:rsid w:val="00655B60"/>
    <w:rsid w:val="00662585"/>
    <w:rsid w:val="00670741"/>
    <w:rsid w:val="00676A98"/>
    <w:rsid w:val="00680751"/>
    <w:rsid w:val="00683AF6"/>
    <w:rsid w:val="00696BD6"/>
    <w:rsid w:val="006A12FC"/>
    <w:rsid w:val="006A6B9D"/>
    <w:rsid w:val="006A7392"/>
    <w:rsid w:val="006B3189"/>
    <w:rsid w:val="006B7D65"/>
    <w:rsid w:val="006C4EF1"/>
    <w:rsid w:val="006D6DA6"/>
    <w:rsid w:val="006E2232"/>
    <w:rsid w:val="006E564B"/>
    <w:rsid w:val="006F13F0"/>
    <w:rsid w:val="006F40CB"/>
    <w:rsid w:val="006F5035"/>
    <w:rsid w:val="0070065B"/>
    <w:rsid w:val="0070101A"/>
    <w:rsid w:val="007065EB"/>
    <w:rsid w:val="00720183"/>
    <w:rsid w:val="00721239"/>
    <w:rsid w:val="00724B64"/>
    <w:rsid w:val="0072632A"/>
    <w:rsid w:val="00734A93"/>
    <w:rsid w:val="0074200B"/>
    <w:rsid w:val="00754189"/>
    <w:rsid w:val="00763FE2"/>
    <w:rsid w:val="007915C2"/>
    <w:rsid w:val="007A6296"/>
    <w:rsid w:val="007A79E4"/>
    <w:rsid w:val="007B6BA5"/>
    <w:rsid w:val="007C1B62"/>
    <w:rsid w:val="007C3390"/>
    <w:rsid w:val="007C4F4B"/>
    <w:rsid w:val="007D2CDC"/>
    <w:rsid w:val="007D5327"/>
    <w:rsid w:val="007F6611"/>
    <w:rsid w:val="0080568B"/>
    <w:rsid w:val="008155C3"/>
    <w:rsid w:val="008175E9"/>
    <w:rsid w:val="0082243E"/>
    <w:rsid w:val="008242D7"/>
    <w:rsid w:val="008400EB"/>
    <w:rsid w:val="008424AA"/>
    <w:rsid w:val="0085041D"/>
    <w:rsid w:val="00856CD2"/>
    <w:rsid w:val="00860DA7"/>
    <w:rsid w:val="00861948"/>
    <w:rsid w:val="00861BC6"/>
    <w:rsid w:val="00871CC9"/>
    <w:rsid w:val="00871FD5"/>
    <w:rsid w:val="00883223"/>
    <w:rsid w:val="008847BB"/>
    <w:rsid w:val="008979B1"/>
    <w:rsid w:val="008A6B25"/>
    <w:rsid w:val="008A6C4F"/>
    <w:rsid w:val="008B6C7A"/>
    <w:rsid w:val="008B7BFD"/>
    <w:rsid w:val="008C1E4D"/>
    <w:rsid w:val="008E0E46"/>
    <w:rsid w:val="008F56FE"/>
    <w:rsid w:val="008F5F4D"/>
    <w:rsid w:val="0090452C"/>
    <w:rsid w:val="00907C3F"/>
    <w:rsid w:val="0092237C"/>
    <w:rsid w:val="0093630D"/>
    <w:rsid w:val="0093707B"/>
    <w:rsid w:val="009400EB"/>
    <w:rsid w:val="009427E3"/>
    <w:rsid w:val="00946575"/>
    <w:rsid w:val="00956D9B"/>
    <w:rsid w:val="00963CBA"/>
    <w:rsid w:val="009654B7"/>
    <w:rsid w:val="0097588C"/>
    <w:rsid w:val="00991261"/>
    <w:rsid w:val="009A0B83"/>
    <w:rsid w:val="009B3800"/>
    <w:rsid w:val="009C1F28"/>
    <w:rsid w:val="009C711F"/>
    <w:rsid w:val="009D22AC"/>
    <w:rsid w:val="009D50DB"/>
    <w:rsid w:val="009E1C4E"/>
    <w:rsid w:val="009F7FAB"/>
    <w:rsid w:val="00A0036A"/>
    <w:rsid w:val="00A05E0B"/>
    <w:rsid w:val="00A1427D"/>
    <w:rsid w:val="00A20AE4"/>
    <w:rsid w:val="00A27FCF"/>
    <w:rsid w:val="00A4634F"/>
    <w:rsid w:val="00A51CF3"/>
    <w:rsid w:val="00A56B28"/>
    <w:rsid w:val="00A72F22"/>
    <w:rsid w:val="00A73D32"/>
    <w:rsid w:val="00A748A6"/>
    <w:rsid w:val="00A77675"/>
    <w:rsid w:val="00A8613A"/>
    <w:rsid w:val="00A879A4"/>
    <w:rsid w:val="00A87E95"/>
    <w:rsid w:val="00A92E29"/>
    <w:rsid w:val="00AA15AC"/>
    <w:rsid w:val="00AC5AE2"/>
    <w:rsid w:val="00AD09E9"/>
    <w:rsid w:val="00AD6D58"/>
    <w:rsid w:val="00AF0576"/>
    <w:rsid w:val="00AF3829"/>
    <w:rsid w:val="00AF4165"/>
    <w:rsid w:val="00B037F0"/>
    <w:rsid w:val="00B1210E"/>
    <w:rsid w:val="00B2327D"/>
    <w:rsid w:val="00B2718F"/>
    <w:rsid w:val="00B30179"/>
    <w:rsid w:val="00B3317B"/>
    <w:rsid w:val="00B334DC"/>
    <w:rsid w:val="00B33E7B"/>
    <w:rsid w:val="00B3631A"/>
    <w:rsid w:val="00B53013"/>
    <w:rsid w:val="00B55A7A"/>
    <w:rsid w:val="00B67F5E"/>
    <w:rsid w:val="00B73E65"/>
    <w:rsid w:val="00B81E12"/>
    <w:rsid w:val="00B87110"/>
    <w:rsid w:val="00B95B91"/>
    <w:rsid w:val="00B97FA8"/>
    <w:rsid w:val="00BB0956"/>
    <w:rsid w:val="00BC1385"/>
    <w:rsid w:val="00BC74E9"/>
    <w:rsid w:val="00BE618E"/>
    <w:rsid w:val="00BE655C"/>
    <w:rsid w:val="00C217E7"/>
    <w:rsid w:val="00C24693"/>
    <w:rsid w:val="00C324D3"/>
    <w:rsid w:val="00C33A82"/>
    <w:rsid w:val="00C35F0B"/>
    <w:rsid w:val="00C3764D"/>
    <w:rsid w:val="00C44139"/>
    <w:rsid w:val="00C44332"/>
    <w:rsid w:val="00C463DD"/>
    <w:rsid w:val="00C46E60"/>
    <w:rsid w:val="00C5667D"/>
    <w:rsid w:val="00C62069"/>
    <w:rsid w:val="00C64458"/>
    <w:rsid w:val="00C745C3"/>
    <w:rsid w:val="00C915C8"/>
    <w:rsid w:val="00CA2A58"/>
    <w:rsid w:val="00CB075E"/>
    <w:rsid w:val="00CC01BD"/>
    <w:rsid w:val="00CC0B55"/>
    <w:rsid w:val="00CC0C1B"/>
    <w:rsid w:val="00CC3C95"/>
    <w:rsid w:val="00CC7B60"/>
    <w:rsid w:val="00CD205F"/>
    <w:rsid w:val="00CD6995"/>
    <w:rsid w:val="00CE3F8C"/>
    <w:rsid w:val="00CE4A8F"/>
    <w:rsid w:val="00CF0214"/>
    <w:rsid w:val="00CF586F"/>
    <w:rsid w:val="00CF7D43"/>
    <w:rsid w:val="00D11129"/>
    <w:rsid w:val="00D2031B"/>
    <w:rsid w:val="00D22332"/>
    <w:rsid w:val="00D23E41"/>
    <w:rsid w:val="00D25FE2"/>
    <w:rsid w:val="00D261B6"/>
    <w:rsid w:val="00D33A2C"/>
    <w:rsid w:val="00D35828"/>
    <w:rsid w:val="00D378F1"/>
    <w:rsid w:val="00D40485"/>
    <w:rsid w:val="00D43252"/>
    <w:rsid w:val="00D550F9"/>
    <w:rsid w:val="00D572B0"/>
    <w:rsid w:val="00D62E90"/>
    <w:rsid w:val="00D76BE5"/>
    <w:rsid w:val="00D978C6"/>
    <w:rsid w:val="00DA67AD"/>
    <w:rsid w:val="00DB18CE"/>
    <w:rsid w:val="00DB5566"/>
    <w:rsid w:val="00DC37CC"/>
    <w:rsid w:val="00DC634C"/>
    <w:rsid w:val="00DE3EC0"/>
    <w:rsid w:val="00DE4360"/>
    <w:rsid w:val="00DE4D0C"/>
    <w:rsid w:val="00E11593"/>
    <w:rsid w:val="00E12B6B"/>
    <w:rsid w:val="00E130AB"/>
    <w:rsid w:val="00E20E36"/>
    <w:rsid w:val="00E408BF"/>
    <w:rsid w:val="00E438D9"/>
    <w:rsid w:val="00E46DD4"/>
    <w:rsid w:val="00E5644E"/>
    <w:rsid w:val="00E7260F"/>
    <w:rsid w:val="00E806EE"/>
    <w:rsid w:val="00E85E07"/>
    <w:rsid w:val="00E93CB0"/>
    <w:rsid w:val="00E96630"/>
    <w:rsid w:val="00EB0FB9"/>
    <w:rsid w:val="00ED0CA9"/>
    <w:rsid w:val="00ED7A2A"/>
    <w:rsid w:val="00EF1266"/>
    <w:rsid w:val="00EF1D7F"/>
    <w:rsid w:val="00EF5BDB"/>
    <w:rsid w:val="00F02E79"/>
    <w:rsid w:val="00F07EB3"/>
    <w:rsid w:val="00F07FD9"/>
    <w:rsid w:val="00F154FA"/>
    <w:rsid w:val="00F23933"/>
    <w:rsid w:val="00F24119"/>
    <w:rsid w:val="00F40E75"/>
    <w:rsid w:val="00F416EB"/>
    <w:rsid w:val="00F42CD9"/>
    <w:rsid w:val="00F46998"/>
    <w:rsid w:val="00F523C9"/>
    <w:rsid w:val="00F52936"/>
    <w:rsid w:val="00F54083"/>
    <w:rsid w:val="00F54762"/>
    <w:rsid w:val="00F677CB"/>
    <w:rsid w:val="00F67B04"/>
    <w:rsid w:val="00F730D1"/>
    <w:rsid w:val="00F81FC9"/>
    <w:rsid w:val="00F85E5C"/>
    <w:rsid w:val="00F9357A"/>
    <w:rsid w:val="00FA45DB"/>
    <w:rsid w:val="00FA7DF3"/>
    <w:rsid w:val="00FB7E8C"/>
    <w:rsid w:val="00FC2136"/>
    <w:rsid w:val="00FC68B7"/>
    <w:rsid w:val="00FC7295"/>
    <w:rsid w:val="00FD7C12"/>
    <w:rsid w:val="00FF6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088A6EE-423F-4953-ABEA-75071FBF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1"/>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basedOn w:val="DefaultParagraphFont"/>
    <w:link w:val="BVIfn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stile 1"/>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CommentText">
    <w:name w:val="annotation text"/>
    <w:basedOn w:val="Normal"/>
    <w:link w:val="CommentTextChar"/>
    <w:uiPriority w:val="99"/>
    <w:unhideWhenUsed/>
    <w:rsid w:val="00F416EB"/>
    <w:pPr>
      <w:suppressAutoHyphens w:val="0"/>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rsid w:val="00F416EB"/>
    <w:rPr>
      <w:rFonts w:asciiTheme="minorHAnsi" w:eastAsiaTheme="minorEastAsia" w:hAnsiTheme="minorHAnsi" w:cstheme="minorBidi"/>
      <w:sz w:val="24"/>
      <w:szCs w:val="24"/>
      <w:lang w:val="en-US" w:eastAsia="ja-JP"/>
    </w:rPr>
  </w:style>
  <w:style w:type="character" w:styleId="CommentReference">
    <w:name w:val="annotation reference"/>
    <w:basedOn w:val="DefaultParagraphFont"/>
    <w:uiPriority w:val="99"/>
    <w:unhideWhenUsed/>
    <w:rsid w:val="00F416EB"/>
    <w:rPr>
      <w:sz w:val="18"/>
      <w:szCs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qFormat/>
    <w:rsid w:val="00F416EB"/>
    <w:rPr>
      <w:sz w:val="18"/>
      <w:lang w:val="en-GB" w:eastAsia="en-US"/>
    </w:rPr>
  </w:style>
  <w:style w:type="paragraph" w:styleId="Revision">
    <w:name w:val="Revision"/>
    <w:hidden/>
    <w:uiPriority w:val="99"/>
    <w:semiHidden/>
    <w:rsid w:val="00F416EB"/>
    <w:rPr>
      <w:rFonts w:asciiTheme="minorHAnsi" w:eastAsiaTheme="minorEastAsia" w:hAnsiTheme="minorHAnsi" w:cstheme="minorBidi"/>
      <w:sz w:val="24"/>
      <w:szCs w:val="24"/>
      <w:lang w:val="en-US" w:eastAsia="ja-JP"/>
    </w:rPr>
  </w:style>
  <w:style w:type="paragraph" w:styleId="ListParagraph">
    <w:name w:val="List Paragraph"/>
    <w:basedOn w:val="Normal"/>
    <w:uiPriority w:val="1"/>
    <w:qFormat/>
    <w:rsid w:val="00F416EB"/>
    <w:pPr>
      <w:suppressAutoHyphens w:val="0"/>
      <w:spacing w:line="240" w:lineRule="auto"/>
      <w:ind w:left="720"/>
      <w:contextualSpacing/>
    </w:pPr>
    <w:rPr>
      <w:rFonts w:asciiTheme="minorHAnsi" w:eastAsiaTheme="minorEastAsia" w:hAnsiTheme="minorHAnsi" w:cstheme="minorBidi"/>
      <w:sz w:val="24"/>
      <w:szCs w:val="24"/>
      <w:lang w:val="en-US" w:eastAsia="ja-JP"/>
    </w:rPr>
  </w:style>
  <w:style w:type="paragraph" w:styleId="NormalWeb">
    <w:name w:val="Normal (Web)"/>
    <w:basedOn w:val="Normal"/>
    <w:uiPriority w:val="99"/>
    <w:unhideWhenUsed/>
    <w:rsid w:val="00F416EB"/>
    <w:pPr>
      <w:suppressAutoHyphens w:val="0"/>
      <w:spacing w:line="240" w:lineRule="auto"/>
    </w:pPr>
    <w:rPr>
      <w:rFonts w:eastAsiaTheme="minorEastAsia"/>
      <w:sz w:val="24"/>
      <w:szCs w:val="24"/>
      <w:lang w:val="en-US" w:eastAsia="ja-JP"/>
    </w:rPr>
  </w:style>
  <w:style w:type="paragraph" w:styleId="NoSpacing">
    <w:name w:val="No Spacing"/>
    <w:uiPriority w:val="1"/>
    <w:qFormat/>
    <w:rsid w:val="00F416EB"/>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F416EB"/>
    <w:rPr>
      <w:b/>
      <w:bCs/>
      <w:sz w:val="20"/>
      <w:szCs w:val="20"/>
    </w:rPr>
  </w:style>
  <w:style w:type="character" w:customStyle="1" w:styleId="CommentSubjectChar">
    <w:name w:val="Comment Subject Char"/>
    <w:basedOn w:val="CommentTextChar"/>
    <w:link w:val="CommentSubject"/>
    <w:uiPriority w:val="99"/>
    <w:rsid w:val="00F416EB"/>
    <w:rPr>
      <w:rFonts w:asciiTheme="minorHAnsi" w:eastAsiaTheme="minorEastAsia" w:hAnsiTheme="minorHAnsi" w:cstheme="minorBidi"/>
      <w:b/>
      <w:bCs/>
      <w:sz w:val="24"/>
      <w:szCs w:val="24"/>
      <w:lang w:val="en-US" w:eastAsia="ja-JP"/>
    </w:rPr>
  </w:style>
  <w:style w:type="paragraph" w:styleId="HTMLPreformatted">
    <w:name w:val="HTML Preformatted"/>
    <w:basedOn w:val="Normal"/>
    <w:link w:val="HTMLPreformattedChar"/>
    <w:uiPriority w:val="99"/>
    <w:unhideWhenUsed/>
    <w:rsid w:val="00F4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heme="minorEastAsia" w:hAnsi="Courier New" w:cs="Courier New"/>
      <w:lang w:val="en-US"/>
    </w:rPr>
  </w:style>
  <w:style w:type="character" w:customStyle="1" w:styleId="HTMLPreformattedChar">
    <w:name w:val="HTML Preformatted Char"/>
    <w:basedOn w:val="DefaultParagraphFont"/>
    <w:link w:val="HTMLPreformatted"/>
    <w:uiPriority w:val="99"/>
    <w:rsid w:val="00F416EB"/>
    <w:rPr>
      <w:rFonts w:ascii="Courier New" w:eastAsiaTheme="minorEastAsia" w:hAnsi="Courier New" w:cs="Courier New"/>
      <w:lang w:val="en-US" w:eastAsia="en-US"/>
    </w:rPr>
  </w:style>
  <w:style w:type="paragraph" w:customStyle="1" w:styleId="p1">
    <w:name w:val="p1"/>
    <w:basedOn w:val="Normal"/>
    <w:rsid w:val="00F416EB"/>
    <w:pPr>
      <w:suppressAutoHyphens w:val="0"/>
      <w:spacing w:line="240" w:lineRule="auto"/>
    </w:pPr>
    <w:rPr>
      <w:rFonts w:ascii="Times" w:eastAsiaTheme="minorEastAsia" w:hAnsi="Times"/>
      <w:color w:val="272724"/>
      <w:sz w:val="15"/>
      <w:szCs w:val="15"/>
      <w:lang w:val="en-US"/>
    </w:rPr>
  </w:style>
  <w:style w:type="character" w:customStyle="1" w:styleId="s1">
    <w:name w:val="s1"/>
    <w:basedOn w:val="DefaultParagraphFont"/>
    <w:rsid w:val="00F416EB"/>
    <w:rPr>
      <w:rFonts w:ascii="Helvetica" w:hAnsi="Helvetica" w:hint="default"/>
      <w:sz w:val="14"/>
      <w:szCs w:val="14"/>
    </w:rPr>
  </w:style>
  <w:style w:type="character" w:customStyle="1" w:styleId="s2">
    <w:name w:val="s2"/>
    <w:basedOn w:val="DefaultParagraphFont"/>
    <w:rsid w:val="00F416EB"/>
    <w:rPr>
      <w:rFonts w:ascii="Helvetica" w:hAnsi="Helvetica" w:hint="default"/>
      <w:sz w:val="14"/>
      <w:szCs w:val="14"/>
    </w:rPr>
  </w:style>
  <w:style w:type="character" w:customStyle="1" w:styleId="apple-converted-space">
    <w:name w:val="apple-converted-space"/>
    <w:basedOn w:val="DefaultParagraphFont"/>
    <w:rsid w:val="00F416EB"/>
  </w:style>
  <w:style w:type="paragraph" w:customStyle="1" w:styleId="p2">
    <w:name w:val="p2"/>
    <w:basedOn w:val="Normal"/>
    <w:rsid w:val="00F416EB"/>
    <w:pPr>
      <w:suppressAutoHyphens w:val="0"/>
      <w:spacing w:line="240" w:lineRule="auto"/>
    </w:pPr>
    <w:rPr>
      <w:rFonts w:eastAsiaTheme="minorEastAsia"/>
      <w:sz w:val="17"/>
      <w:szCs w:val="17"/>
      <w:lang w:val="en-US"/>
    </w:rPr>
  </w:style>
  <w:style w:type="paragraph" w:customStyle="1" w:styleId="p3">
    <w:name w:val="p3"/>
    <w:basedOn w:val="Normal"/>
    <w:rsid w:val="00F416EB"/>
    <w:pPr>
      <w:suppressAutoHyphens w:val="0"/>
      <w:spacing w:line="240" w:lineRule="auto"/>
    </w:pPr>
    <w:rPr>
      <w:rFonts w:eastAsiaTheme="minorEastAsia"/>
      <w:sz w:val="10"/>
      <w:szCs w:val="10"/>
      <w:lang w:val="en-US"/>
    </w:rPr>
  </w:style>
  <w:style w:type="paragraph" w:customStyle="1" w:styleId="p4">
    <w:name w:val="p4"/>
    <w:basedOn w:val="Normal"/>
    <w:rsid w:val="00F416EB"/>
    <w:pPr>
      <w:suppressAutoHyphens w:val="0"/>
      <w:spacing w:line="240" w:lineRule="auto"/>
    </w:pPr>
    <w:rPr>
      <w:rFonts w:ascii="Helvetica" w:eastAsiaTheme="minorEastAsia" w:hAnsi="Helvetica"/>
      <w:sz w:val="17"/>
      <w:szCs w:val="17"/>
      <w:lang w:val="en-US"/>
    </w:rPr>
  </w:style>
  <w:style w:type="paragraph" w:customStyle="1" w:styleId="p5">
    <w:name w:val="p5"/>
    <w:basedOn w:val="Normal"/>
    <w:rsid w:val="00F416EB"/>
    <w:pPr>
      <w:suppressAutoHyphens w:val="0"/>
      <w:spacing w:line="240" w:lineRule="auto"/>
    </w:pPr>
    <w:rPr>
      <w:rFonts w:ascii="Helvetica" w:eastAsiaTheme="minorEastAsia" w:hAnsi="Helvetica"/>
      <w:color w:val="6C6C6C"/>
      <w:sz w:val="14"/>
      <w:szCs w:val="14"/>
      <w:lang w:val="en-US"/>
    </w:rPr>
  </w:style>
  <w:style w:type="character" w:customStyle="1" w:styleId="HeaderChar">
    <w:name w:val="Header Char"/>
    <w:aliases w:val="6_G Char"/>
    <w:basedOn w:val="DefaultParagraphFont"/>
    <w:link w:val="Header"/>
    <w:uiPriority w:val="99"/>
    <w:rsid w:val="00F416EB"/>
    <w:rPr>
      <w:b/>
      <w:sz w:val="18"/>
      <w:lang w:val="en-GB" w:eastAsia="en-US"/>
    </w:rPr>
  </w:style>
  <w:style w:type="character" w:customStyle="1" w:styleId="FooterChar">
    <w:name w:val="Footer Char"/>
    <w:aliases w:val="3_G Char"/>
    <w:basedOn w:val="DefaultParagraphFont"/>
    <w:link w:val="Footer"/>
    <w:uiPriority w:val="99"/>
    <w:rsid w:val="00F416EB"/>
    <w:rPr>
      <w:sz w:val="16"/>
      <w:lang w:val="en-GB" w:eastAsia="en-US"/>
    </w:rPr>
  </w:style>
  <w:style w:type="character" w:customStyle="1" w:styleId="s4">
    <w:name w:val="s4"/>
    <w:basedOn w:val="DefaultParagraphFont"/>
    <w:rsid w:val="00F416EB"/>
  </w:style>
  <w:style w:type="character" w:customStyle="1" w:styleId="s5">
    <w:name w:val="s5"/>
    <w:basedOn w:val="DefaultParagraphFont"/>
    <w:rsid w:val="00F416EB"/>
  </w:style>
  <w:style w:type="character" w:customStyle="1" w:styleId="s6">
    <w:name w:val="s6"/>
    <w:basedOn w:val="DefaultParagraphFont"/>
    <w:rsid w:val="00F416EB"/>
  </w:style>
  <w:style w:type="character" w:customStyle="1" w:styleId="s7">
    <w:name w:val="s7"/>
    <w:basedOn w:val="DefaultParagraphFont"/>
    <w:rsid w:val="00F416EB"/>
  </w:style>
  <w:style w:type="character" w:customStyle="1" w:styleId="s8">
    <w:name w:val="s8"/>
    <w:basedOn w:val="DefaultParagraphFont"/>
    <w:rsid w:val="00F416EB"/>
  </w:style>
  <w:style w:type="paragraph" w:styleId="Quote">
    <w:name w:val="Quote"/>
    <w:basedOn w:val="Normal"/>
    <w:next w:val="Normal"/>
    <w:link w:val="QuoteChar"/>
    <w:uiPriority w:val="29"/>
    <w:qFormat/>
    <w:rsid w:val="00F416EB"/>
    <w:pPr>
      <w:suppressAutoHyphens w:val="0"/>
      <w:spacing w:before="200" w:after="160" w:line="240" w:lineRule="auto"/>
      <w:ind w:left="864" w:right="864"/>
      <w:jc w:val="center"/>
    </w:pPr>
    <w:rPr>
      <w:rFonts w:asciiTheme="minorHAnsi" w:eastAsiaTheme="minorEastAsia" w:hAnsiTheme="minorHAnsi" w:cstheme="minorBidi"/>
      <w:i/>
      <w:iCs/>
      <w:color w:val="404040" w:themeColor="text1" w:themeTint="BF"/>
      <w:sz w:val="24"/>
      <w:szCs w:val="24"/>
      <w:lang w:val="en-US" w:eastAsia="ja-JP"/>
    </w:rPr>
  </w:style>
  <w:style w:type="character" w:customStyle="1" w:styleId="QuoteChar">
    <w:name w:val="Quote Char"/>
    <w:basedOn w:val="DefaultParagraphFont"/>
    <w:link w:val="Quote"/>
    <w:uiPriority w:val="29"/>
    <w:rsid w:val="00F416EB"/>
    <w:rPr>
      <w:rFonts w:asciiTheme="minorHAnsi" w:eastAsiaTheme="minorEastAsia" w:hAnsiTheme="minorHAnsi" w:cstheme="minorBidi"/>
      <w:i/>
      <w:iCs/>
      <w:color w:val="404040" w:themeColor="text1" w:themeTint="BF"/>
      <w:sz w:val="24"/>
      <w:szCs w:val="24"/>
      <w:lang w:val="en-US" w:eastAsia="ja-JP"/>
    </w:rPr>
  </w:style>
  <w:style w:type="paragraph" w:styleId="DocumentMap">
    <w:name w:val="Document Map"/>
    <w:basedOn w:val="Normal"/>
    <w:link w:val="DocumentMapChar"/>
    <w:uiPriority w:val="99"/>
    <w:semiHidden/>
    <w:unhideWhenUsed/>
    <w:rsid w:val="00F416EB"/>
    <w:pPr>
      <w:suppressAutoHyphens w:val="0"/>
      <w:spacing w:line="240" w:lineRule="auto"/>
    </w:pPr>
    <w:rPr>
      <w:rFonts w:eastAsiaTheme="minorEastAsia"/>
      <w:sz w:val="24"/>
      <w:szCs w:val="24"/>
      <w:lang w:val="en-US" w:eastAsia="ja-JP"/>
    </w:rPr>
  </w:style>
  <w:style w:type="character" w:customStyle="1" w:styleId="DocumentMapChar">
    <w:name w:val="Document Map Char"/>
    <w:basedOn w:val="DefaultParagraphFont"/>
    <w:link w:val="DocumentMap"/>
    <w:uiPriority w:val="99"/>
    <w:semiHidden/>
    <w:rsid w:val="00F416EB"/>
    <w:rPr>
      <w:rFonts w:eastAsiaTheme="minorEastAsia"/>
      <w:sz w:val="24"/>
      <w:szCs w:val="24"/>
      <w:lang w:val="en-US" w:eastAsia="ja-JP"/>
    </w:rPr>
  </w:style>
  <w:style w:type="character" w:customStyle="1" w:styleId="SingleTxtGChar">
    <w:name w:val="_ Single Txt_G Char"/>
    <w:link w:val="SingleTxtG"/>
    <w:rsid w:val="000F59E5"/>
    <w:rPr>
      <w:lang w:val="en-GB" w:eastAsia="en-US"/>
    </w:rPr>
  </w:style>
  <w:style w:type="paragraph" w:customStyle="1" w:styleId="Body1">
    <w:name w:val="Body 1"/>
    <w:rsid w:val="000F59E5"/>
    <w:pPr>
      <w:suppressAutoHyphens/>
      <w:spacing w:line="240" w:lineRule="atLeast"/>
      <w:outlineLvl w:val="0"/>
    </w:pPr>
    <w:rPr>
      <w:rFonts w:eastAsia="Arial Unicode MS"/>
      <w:color w:val="000000"/>
      <w:u w:color="000000"/>
      <w:lang w:val="en-GB" w:eastAsia="en-GB"/>
    </w:rPr>
  </w:style>
  <w:style w:type="paragraph" w:customStyle="1" w:styleId="ColorfulShading-Accent11">
    <w:name w:val="Colorful Shading - Accent 11"/>
    <w:hidden/>
    <w:uiPriority w:val="71"/>
    <w:rsid w:val="000F59E5"/>
    <w:rPr>
      <w:lang w:val="en-GB" w:eastAsia="en-US"/>
    </w:rPr>
  </w:style>
  <w:style w:type="character" w:styleId="Emphasis">
    <w:name w:val="Emphasis"/>
    <w:basedOn w:val="DefaultParagraphFont"/>
    <w:uiPriority w:val="20"/>
    <w:qFormat/>
    <w:rsid w:val="000F59E5"/>
    <w:rPr>
      <w:i/>
      <w:iCs/>
    </w:rPr>
  </w:style>
  <w:style w:type="character" w:styleId="Strong">
    <w:name w:val="Strong"/>
    <w:basedOn w:val="DefaultParagraphFont"/>
    <w:uiPriority w:val="22"/>
    <w:qFormat/>
    <w:rsid w:val="000F59E5"/>
    <w:rPr>
      <w:b/>
      <w:bCs/>
    </w:rPr>
  </w:style>
  <w:style w:type="character" w:customStyle="1" w:styleId="Heading3Char">
    <w:name w:val="Heading 3 Char"/>
    <w:basedOn w:val="DefaultParagraphFont"/>
    <w:link w:val="Heading3"/>
    <w:uiPriority w:val="9"/>
    <w:rsid w:val="000F59E5"/>
    <w:rPr>
      <w:lang w:val="en-GB" w:eastAsia="en-US"/>
    </w:rPr>
  </w:style>
  <w:style w:type="character" w:customStyle="1" w:styleId="Heading2Char">
    <w:name w:val="Heading 2 Char"/>
    <w:basedOn w:val="DefaultParagraphFont"/>
    <w:link w:val="Heading2"/>
    <w:uiPriority w:val="9"/>
    <w:rsid w:val="000F59E5"/>
    <w:rPr>
      <w:lang w:val="en-GB" w:eastAsia="en-US"/>
    </w:rPr>
  </w:style>
  <w:style w:type="paragraph" w:customStyle="1" w:styleId="SingleTxt">
    <w:name w:val="__Single Txt"/>
    <w:basedOn w:val="Normal"/>
    <w:rsid w:val="000F59E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HAnsi"/>
      <w:spacing w:val="4"/>
      <w:w w:val="103"/>
      <w:kern w:val="14"/>
    </w:rPr>
  </w:style>
  <w:style w:type="character" w:customStyle="1" w:styleId="Heading1Char">
    <w:name w:val="Heading 1 Char"/>
    <w:aliases w:val="Table_G Char"/>
    <w:basedOn w:val="DefaultParagraphFont"/>
    <w:link w:val="Heading1"/>
    <w:uiPriority w:val="1"/>
    <w:rsid w:val="000F59E5"/>
    <w:rPr>
      <w:lang w:val="en-GB" w:eastAsia="en-US"/>
    </w:rPr>
  </w:style>
  <w:style w:type="character" w:customStyle="1" w:styleId="Heading4Char">
    <w:name w:val="Heading 4 Char"/>
    <w:basedOn w:val="DefaultParagraphFont"/>
    <w:link w:val="Heading4"/>
    <w:uiPriority w:val="9"/>
    <w:rsid w:val="000F59E5"/>
    <w:rPr>
      <w:lang w:val="en-GB" w:eastAsia="en-US"/>
    </w:rPr>
  </w:style>
  <w:style w:type="character" w:customStyle="1" w:styleId="UnresolvedMention1">
    <w:name w:val="Unresolved Mention1"/>
    <w:basedOn w:val="DefaultParagraphFont"/>
    <w:uiPriority w:val="99"/>
    <w:semiHidden/>
    <w:unhideWhenUsed/>
    <w:rsid w:val="000F59E5"/>
    <w:rPr>
      <w:color w:val="808080"/>
      <w:shd w:val="clear" w:color="auto" w:fill="E6E6E6"/>
    </w:rPr>
  </w:style>
  <w:style w:type="paragraph" w:customStyle="1" w:styleId="H23">
    <w:name w:val="_ H_2/3"/>
    <w:basedOn w:val="Normal"/>
    <w:next w:val="SingleTxt"/>
    <w:rsid w:val="000F59E5"/>
    <w:pPr>
      <w:spacing w:line="240" w:lineRule="exact"/>
      <w:outlineLvl w:val="1"/>
    </w:pPr>
    <w:rPr>
      <w:rFonts w:eastAsiaTheme="minorHAnsi"/>
      <w:b/>
      <w:spacing w:val="4"/>
      <w:w w:val="103"/>
      <w:kern w:val="14"/>
      <w:lang w:val="en-US"/>
    </w:rPr>
  </w:style>
  <w:style w:type="character" w:customStyle="1" w:styleId="UnresolvedMention2">
    <w:name w:val="Unresolved Mention2"/>
    <w:basedOn w:val="DefaultParagraphFont"/>
    <w:uiPriority w:val="99"/>
    <w:semiHidden/>
    <w:unhideWhenUsed/>
    <w:rsid w:val="000F59E5"/>
    <w:rPr>
      <w:color w:val="808080"/>
      <w:shd w:val="clear" w:color="auto" w:fill="E6E6E6"/>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0F59E5"/>
    <w:pPr>
      <w:suppressAutoHyphens w:val="0"/>
      <w:spacing w:after="160" w:line="240" w:lineRule="exact"/>
      <w:jc w:val="both"/>
    </w:pPr>
    <w:rPr>
      <w:sz w:val="18"/>
      <w:vertAlign w:val="superscript"/>
      <w:lang w:val="fr-FR" w:eastAsia="fr-FR"/>
    </w:rPr>
  </w:style>
  <w:style w:type="character" w:customStyle="1" w:styleId="EndnoteTextChar">
    <w:name w:val="Endnote Text Char"/>
    <w:aliases w:val="2_G Char"/>
    <w:basedOn w:val="DefaultParagraphFont"/>
    <w:link w:val="EndnoteText"/>
    <w:rsid w:val="000F59E5"/>
    <w:rPr>
      <w:sz w:val="18"/>
      <w:lang w:val="en-GB" w:eastAsia="en-US"/>
    </w:rPr>
  </w:style>
  <w:style w:type="character" w:customStyle="1" w:styleId="UnresolvedMention">
    <w:name w:val="Unresolved Mention"/>
    <w:basedOn w:val="DefaultParagraphFont"/>
    <w:uiPriority w:val="99"/>
    <w:rsid w:val="000F59E5"/>
    <w:rPr>
      <w:color w:val="808080"/>
      <w:shd w:val="clear" w:color="auto" w:fill="E6E6E6"/>
    </w:rPr>
  </w:style>
  <w:style w:type="numbering" w:customStyle="1" w:styleId="NoList1">
    <w:name w:val="No List1"/>
    <w:next w:val="NoList"/>
    <w:uiPriority w:val="99"/>
    <w:semiHidden/>
    <w:unhideWhenUsed/>
    <w:rsid w:val="000F59E5"/>
  </w:style>
  <w:style w:type="paragraph" w:styleId="BodyText">
    <w:name w:val="Body Text"/>
    <w:basedOn w:val="Normal"/>
    <w:link w:val="BodyTextChar"/>
    <w:uiPriority w:val="1"/>
    <w:qFormat/>
    <w:rsid w:val="000F59E5"/>
    <w:pPr>
      <w:widowControl w:val="0"/>
      <w:suppressAutoHyphens w:val="0"/>
      <w:autoSpaceDE w:val="0"/>
      <w:autoSpaceDN w:val="0"/>
      <w:spacing w:line="240" w:lineRule="auto"/>
    </w:pPr>
    <w:rPr>
      <w:rFonts w:ascii="Arial" w:eastAsia="Arial" w:hAnsi="Arial" w:cs="Arial"/>
      <w:sz w:val="22"/>
      <w:szCs w:val="22"/>
      <w:lang w:val="de-AT" w:eastAsia="de-AT" w:bidi="de-AT"/>
    </w:rPr>
  </w:style>
  <w:style w:type="character" w:customStyle="1" w:styleId="BodyTextChar">
    <w:name w:val="Body Text Char"/>
    <w:basedOn w:val="DefaultParagraphFont"/>
    <w:link w:val="BodyText"/>
    <w:uiPriority w:val="1"/>
    <w:rsid w:val="000F59E5"/>
    <w:rPr>
      <w:rFonts w:ascii="Arial" w:eastAsia="Arial" w:hAnsi="Arial" w:cs="Arial"/>
      <w:sz w:val="22"/>
      <w:szCs w:val="22"/>
      <w:lang w:val="de-AT" w:eastAsia="de-AT" w:bidi="de-AT"/>
    </w:rPr>
  </w:style>
  <w:style w:type="paragraph" w:customStyle="1" w:styleId="TableParagraph">
    <w:name w:val="Table Paragraph"/>
    <w:basedOn w:val="Normal"/>
    <w:uiPriority w:val="1"/>
    <w:qFormat/>
    <w:rsid w:val="000F59E5"/>
    <w:pPr>
      <w:widowControl w:val="0"/>
      <w:suppressAutoHyphens w:val="0"/>
      <w:autoSpaceDE w:val="0"/>
      <w:autoSpaceDN w:val="0"/>
      <w:spacing w:line="247" w:lineRule="exact"/>
      <w:ind w:left="50"/>
    </w:pPr>
    <w:rPr>
      <w:rFonts w:ascii="Arial" w:eastAsia="Arial" w:hAnsi="Arial" w:cs="Arial"/>
      <w:sz w:val="22"/>
      <w:szCs w:val="22"/>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6519">
      <w:bodyDiv w:val="1"/>
      <w:marLeft w:val="0"/>
      <w:marRight w:val="0"/>
      <w:marTop w:val="0"/>
      <w:marBottom w:val="0"/>
      <w:divBdr>
        <w:top w:val="none" w:sz="0" w:space="0" w:color="auto"/>
        <w:left w:val="none" w:sz="0" w:space="0" w:color="auto"/>
        <w:bottom w:val="none" w:sz="0" w:space="0" w:color="auto"/>
        <w:right w:val="none" w:sz="0" w:space="0" w:color="auto"/>
      </w:divBdr>
    </w:div>
    <w:div w:id="249855081">
      <w:bodyDiv w:val="1"/>
      <w:marLeft w:val="0"/>
      <w:marRight w:val="0"/>
      <w:marTop w:val="0"/>
      <w:marBottom w:val="0"/>
      <w:divBdr>
        <w:top w:val="none" w:sz="0" w:space="0" w:color="auto"/>
        <w:left w:val="none" w:sz="0" w:space="0" w:color="auto"/>
        <w:bottom w:val="none" w:sz="0" w:space="0" w:color="auto"/>
        <w:right w:val="none" w:sz="0" w:space="0" w:color="auto"/>
      </w:divBdr>
    </w:div>
    <w:div w:id="18619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Documents/Issues/Privacy/SR_Privacy/2018AnnualReportAppendix2.docx" TargetMode="External"/><Relationship Id="rId18" Type="http://schemas.openxmlformats.org/officeDocument/2006/relationships/hyperlink" Target="https://www.ohchr.org/Documents/Issues/Privacy/SR_Privacy/2018AnnualReportAppendix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hchr.org/Documents/Issues/Privacy/SR_Privacy/2018AnnualReport" TargetMode="External"/><Relationship Id="rId17" Type="http://schemas.openxmlformats.org/officeDocument/2006/relationships/hyperlink" Target="https://www.ohchr.org/Documents/Issues/Privacy/SR_Privacy/2018AnnualReportAppendix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hchr.org/Documents/Issues/Privacy/SR_Privacy/2018AnnualReportAppendix5.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andpersonality.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hchr.org/Documents/Issues/Privacy/SR_Privacy/2018AnnualReportAppendix4.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Documents/Issues/Privacy/SR_Privacy/2018AnnualReportAppendix3.doc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asean.org/news/asean-statement-communiques/item/asean-human-rights-declaration" TargetMode="External"/><Relationship Id="rId18" Type="http://schemas.openxmlformats.org/officeDocument/2006/relationships/hyperlink" Target="http://ec.europa.eu/justice/data-protection/index_en.htm" TargetMode="External"/><Relationship Id="rId26" Type="http://schemas.openxmlformats.org/officeDocument/2006/relationships/hyperlink" Target="https://www.ohchr.org/Documents/Issues/Privacy/SR_Privacy/VisitUSA_EndStatementJune2017.docx" TargetMode="External"/><Relationship Id="rId3" Type="http://schemas.openxmlformats.org/officeDocument/2006/relationships/hyperlink" Target="https://www.ohchr.org/en/professionalinterest/pages/crc.aspx" TargetMode="External"/><Relationship Id="rId21" Type="http://schemas.openxmlformats.org/officeDocument/2006/relationships/hyperlink" Target="https://www.ohchr.org/EN/NewsEvents/Pages/DisplayNews.aspx?NewsID=22560&amp;LangID=E" TargetMode="External"/><Relationship Id="rId34" Type="http://schemas.openxmlformats.org/officeDocument/2006/relationships/hyperlink" Target="https://www.ohchr.org/Documents/Issues/Privacy/A_HRC_34_60_EN.docx" TargetMode="External"/><Relationship Id="rId7" Type="http://schemas.openxmlformats.org/officeDocument/2006/relationships/hyperlink" Target="http://www.oas.org/dil/treaties_B-32_American_Convention_on_Human_Rights.htm" TargetMode="External"/><Relationship Id="rId12" Type="http://schemas.openxmlformats.org/officeDocument/2006/relationships/hyperlink" Target="http://www.au.int/en/sites/default/files/Charter_En_African_Charter_on_the_Rights_and_Wlefare_of_the_Child_AddisAbaba_July1990.pdf" TargetMode="External"/><Relationship Id="rId17" Type="http://schemas.openxmlformats.org/officeDocument/2006/relationships/hyperlink" Target="https://wcd.coe.int/com.instranet.InstraServlet?command=com.instranet.CmdBlobGet&amp;InstranetImage=2732155&amp;SecMode=1&amp;DocId=396826&amp;Usage=2" TargetMode="External"/><Relationship Id="rId25" Type="http://schemas.openxmlformats.org/officeDocument/2006/relationships/hyperlink" Target="https://icdppc.org/wp-content/uploads/2015/02/Resolution-on-Cooperation-with-UN-Special-Rapporteur-on-the-Right-to-Privacy.pdf" TargetMode="External"/><Relationship Id="rId33" Type="http://schemas.openxmlformats.org/officeDocument/2006/relationships/hyperlink" Target="https://mappingtheinternet.eu/" TargetMode="External"/><Relationship Id="rId2" Type="http://schemas.openxmlformats.org/officeDocument/2006/relationships/hyperlink" Target="https://www.ohchr.org/EN/ProfessionalInterest/Pages/CCPR.aspx" TargetMode="External"/><Relationship Id="rId16" Type="http://schemas.openxmlformats.org/officeDocument/2006/relationships/hyperlink" Target="http://conventions.coe.int/Treaty/EN/Treaties/Html/181.htm" TargetMode="External"/><Relationship Id="rId20" Type="http://schemas.openxmlformats.org/officeDocument/2006/relationships/hyperlink" Target="http://supremecourtofindia.nic.in/pdf/jud/ALL%20WP(C)%20No.494%20of" TargetMode="External"/><Relationship Id="rId29" Type="http://schemas.openxmlformats.org/officeDocument/2006/relationships/hyperlink" Target="https://www.ohchr.org/EN/HRBodies/SP/Pages/CommunicationsreportsSP.aspx" TargetMode="External"/><Relationship Id="rId1" Type="http://schemas.openxmlformats.org/officeDocument/2006/relationships/hyperlink" Target="https://www.ohchr.org/EN/UDHR/Pages/Introduction.aspx" TargetMode="External"/><Relationship Id="rId6" Type="http://schemas.openxmlformats.org/officeDocument/2006/relationships/hyperlink" Target="http://conventions.coe.int/Treaty/en/Treaties/html/005.htm" TargetMode="External"/><Relationship Id="rId11" Type="http://schemas.openxmlformats.org/officeDocument/2006/relationships/hyperlink" Target="http://www1.umn.edu/humanrts/achpr/expressionfreedomdec.html" TargetMode="External"/><Relationship Id="rId24" Type="http://schemas.openxmlformats.org/officeDocument/2006/relationships/hyperlink" Target="mailto:srprivacy@ohchr.org" TargetMode="External"/><Relationship Id="rId32" Type="http://schemas.openxmlformats.org/officeDocument/2006/relationships/hyperlink" Target="https://www.ohchr.org/Documents/Issues/DigitalAge/ConceptNote.pdf" TargetMode="External"/><Relationship Id="rId5" Type="http://schemas.openxmlformats.org/officeDocument/2006/relationships/hyperlink" Target="https://www.ohchr.org/EN/Issues/Privacy/SR/Pages/Internationalstandards.aspx" TargetMode="External"/><Relationship Id="rId15" Type="http://schemas.openxmlformats.org/officeDocument/2006/relationships/hyperlink" Target="http://conventions.coe.int/Treaty/EN/Treaties/Html/108.htm" TargetMode="External"/><Relationship Id="rId23" Type="http://schemas.openxmlformats.org/officeDocument/2006/relationships/hyperlink" Target="https://www.ohchr.org/FR/NewsEvents/Pages/DisplayNews.aspx?NewsID=22410&amp;LangID=F" TargetMode="External"/><Relationship Id="rId28" Type="http://schemas.openxmlformats.org/officeDocument/2006/relationships/hyperlink" Target="https://inforrm.org/2017/09/04/case-law-india-puttaswamy-v-union-of-india-supreme-court-recognises-a-constitutional-right-to-privacy-in-a-landmark-judgment-hugh-tomlinson-qc/" TargetMode="External"/><Relationship Id="rId10" Type="http://schemas.openxmlformats.org/officeDocument/2006/relationships/hyperlink" Target="https://www1.umn.edu/humanrts/instree/loas2005.html" TargetMode="External"/><Relationship Id="rId19" Type="http://schemas.openxmlformats.org/officeDocument/2006/relationships/hyperlink" Target="https://www.ohchr.org/Documents/Issues/DigitalAge/ConceptNote.pdf" TargetMode="External"/><Relationship Id="rId31" Type="http://schemas.openxmlformats.org/officeDocument/2006/relationships/hyperlink" Target="https://www.ohchr.org/Documents/Issues/Privacy/A-72-Slot-43103.docx" TargetMode="External"/><Relationship Id="rId4" Type="http://schemas.openxmlformats.org/officeDocument/2006/relationships/hyperlink" Target="https://www.ohchr.org/Documents/ProfessionalInterest/cmw.pdf" TargetMode="External"/><Relationship Id="rId9" Type="http://schemas.openxmlformats.org/officeDocument/2006/relationships/hyperlink" Target="http://www1.umn.edu/humanrts/instree/cairodeclaration.html" TargetMode="External"/><Relationship Id="rId14" Type="http://schemas.openxmlformats.org/officeDocument/2006/relationships/hyperlink" Target="http://www.apec.org/Groups/Committee-on-Trade-and-Investment/~/media/Files/Groups/ECSG/05_ecsg_privacyframewk.ashx" TargetMode="External"/><Relationship Id="rId22" Type="http://schemas.openxmlformats.org/officeDocument/2006/relationships/hyperlink" Target="https://www.ohchr.org/Documents/Issues/Privacy/SR_Privacy/VisitUSA_EndStatementJune2017.docx" TargetMode="External"/><Relationship Id="rId27" Type="http://schemas.openxmlformats.org/officeDocument/2006/relationships/hyperlink" Target="http://undocs.org/A/HRC/31/64" TargetMode="External"/><Relationship Id="rId30" Type="http://schemas.openxmlformats.org/officeDocument/2006/relationships/hyperlink" Target="https://www.ohchr.org/Documents/Issues/Privacy/A-72-43103_EN.docx" TargetMode="External"/><Relationship Id="rId8" Type="http://schemas.openxmlformats.org/officeDocument/2006/relationships/hyperlink" Target="https://www.ohchr.org/EN/Issues/Privacy/SR/Pages/Internationalstandar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{95CC1B10-26BA-4503-93E4-52776B065BA1}</b:Guid>
    <b:RefOrder>1</b:RefOrder>
  </b:Source>
</b:Sources>
</file>

<file path=customXml/itemProps1.xml><?xml version="1.0" encoding="utf-8"?>
<ds:datastoreItem xmlns:ds="http://schemas.openxmlformats.org/officeDocument/2006/customXml" ds:itemID="{DA1BD4BB-3CEF-4B81-BF89-73802BB96DC7}">
  <ds:schemaRefs>
    <ds:schemaRef ds:uri="http://purl.org/dc/elements/1.1/"/>
    <ds:schemaRef ds:uri="http://www.w3.org/XML/1998/namespace"/>
    <ds:schemaRef ds:uri="http://purl.org/dc/dcmityp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9E8E553-B1D2-472A-AA05-D82170F50787}">
  <ds:schemaRefs>
    <ds:schemaRef ds:uri="http://schemas.microsoft.com/sharepoint/v3/contenttype/forms"/>
  </ds:schemaRefs>
</ds:datastoreItem>
</file>

<file path=customXml/itemProps3.xml><?xml version="1.0" encoding="utf-8"?>
<ds:datastoreItem xmlns:ds="http://schemas.openxmlformats.org/officeDocument/2006/customXml" ds:itemID="{754CF453-0A0A-403E-BEDE-FCB86E9FBD33}"/>
</file>

<file path=customXml/itemProps4.xml><?xml version="1.0" encoding="utf-8"?>
<ds:datastoreItem xmlns:ds="http://schemas.openxmlformats.org/officeDocument/2006/customXml" ds:itemID="{B87B91F0-5EEA-4AC3-8B79-54F618A1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30</Pages>
  <Words>12773</Words>
  <Characters>72808</Characters>
  <Application>Microsoft Office Word</Application>
  <DocSecurity>0</DocSecurity>
  <Lines>606</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85411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to privacy in English</dc:title>
  <dc:creator>Geneviève CLOTTEY</dc:creator>
  <cp:lastModifiedBy>IZAGIRRE GARCIA Jon</cp:lastModifiedBy>
  <cp:revision>3</cp:revision>
  <cp:lastPrinted>2018-02-27T13:49:00Z</cp:lastPrinted>
  <dcterms:created xsi:type="dcterms:W3CDTF">2018-03-02T16:03:00Z</dcterms:created>
  <dcterms:modified xsi:type="dcterms:W3CDTF">2018-03-02T16:04:00Z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