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57BC0" w:rsidRPr="00C17129" w14:paraId="79DA799C" w14:textId="77777777" w:rsidTr="00186254">
        <w:trPr>
          <w:trHeight w:hRule="exact" w:val="851"/>
        </w:trPr>
        <w:tc>
          <w:tcPr>
            <w:tcW w:w="1277" w:type="dxa"/>
            <w:tcBorders>
              <w:bottom w:val="single" w:sz="4" w:space="0" w:color="auto"/>
            </w:tcBorders>
          </w:tcPr>
          <w:p w14:paraId="5DEA73C0" w14:textId="77777777" w:rsidR="00057BC0" w:rsidRPr="00C17129" w:rsidRDefault="00057BC0" w:rsidP="00186254"/>
        </w:tc>
        <w:tc>
          <w:tcPr>
            <w:tcW w:w="2268" w:type="dxa"/>
            <w:tcBorders>
              <w:bottom w:val="single" w:sz="4" w:space="0" w:color="auto"/>
            </w:tcBorders>
            <w:vAlign w:val="bottom"/>
          </w:tcPr>
          <w:p w14:paraId="0667779A" w14:textId="6AB65D4A" w:rsidR="00057BC0" w:rsidRPr="00C17129" w:rsidRDefault="00057BC0" w:rsidP="00186254">
            <w:pPr>
              <w:spacing w:after="80" w:line="300" w:lineRule="exact"/>
              <w:rPr>
                <w:sz w:val="28"/>
              </w:rPr>
            </w:pPr>
          </w:p>
        </w:tc>
        <w:tc>
          <w:tcPr>
            <w:tcW w:w="6094" w:type="dxa"/>
            <w:gridSpan w:val="2"/>
            <w:tcBorders>
              <w:bottom w:val="single" w:sz="4" w:space="0" w:color="auto"/>
            </w:tcBorders>
            <w:vAlign w:val="bottom"/>
          </w:tcPr>
          <w:p w14:paraId="4A64032C" w14:textId="15C6AC58" w:rsidR="00057BC0" w:rsidRPr="00C17129" w:rsidRDefault="00CB6D4F" w:rsidP="001B7BC2">
            <w:pPr>
              <w:jc w:val="right"/>
            </w:pPr>
            <w:r w:rsidRPr="00C17129">
              <w:rPr>
                <w:sz w:val="40"/>
              </w:rPr>
              <w:t>A</w:t>
            </w:r>
            <w:r w:rsidRPr="00C17129">
              <w:t>/HRC/38/</w:t>
            </w:r>
            <w:r w:rsidR="001B7BC2" w:rsidRPr="00C17129">
              <w:rPr>
                <w:szCs w:val="18"/>
              </w:rPr>
              <w:t>CRP.1</w:t>
            </w:r>
          </w:p>
        </w:tc>
      </w:tr>
      <w:tr w:rsidR="00057BC0" w:rsidRPr="00C17129" w14:paraId="2ED51C96" w14:textId="77777777" w:rsidTr="00186254">
        <w:trPr>
          <w:trHeight w:hRule="exact" w:val="2835"/>
        </w:trPr>
        <w:tc>
          <w:tcPr>
            <w:tcW w:w="1276" w:type="dxa"/>
            <w:tcBorders>
              <w:top w:val="single" w:sz="4" w:space="0" w:color="auto"/>
              <w:bottom w:val="single" w:sz="12" w:space="0" w:color="auto"/>
            </w:tcBorders>
          </w:tcPr>
          <w:p w14:paraId="4D785294" w14:textId="4597C6E7" w:rsidR="00057BC0" w:rsidRPr="00C17129" w:rsidRDefault="00057BC0" w:rsidP="00186254">
            <w:pPr>
              <w:spacing w:before="120"/>
              <w:jc w:val="center"/>
            </w:pPr>
          </w:p>
        </w:tc>
        <w:tc>
          <w:tcPr>
            <w:tcW w:w="5528" w:type="dxa"/>
            <w:gridSpan w:val="2"/>
            <w:tcBorders>
              <w:top w:val="single" w:sz="4" w:space="0" w:color="auto"/>
              <w:bottom w:val="single" w:sz="12" w:space="0" w:color="auto"/>
            </w:tcBorders>
          </w:tcPr>
          <w:p w14:paraId="1C04C9D1" w14:textId="7125C3C2" w:rsidR="00057BC0" w:rsidRPr="00BC668B" w:rsidRDefault="00057BC0" w:rsidP="00186254">
            <w:pPr>
              <w:spacing w:before="120" w:line="420" w:lineRule="exact"/>
              <w:rPr>
                <w:b/>
                <w:sz w:val="40"/>
                <w:szCs w:val="40"/>
              </w:rPr>
            </w:pPr>
          </w:p>
        </w:tc>
        <w:tc>
          <w:tcPr>
            <w:tcW w:w="2835" w:type="dxa"/>
            <w:tcBorders>
              <w:top w:val="single" w:sz="4" w:space="0" w:color="auto"/>
              <w:bottom w:val="single" w:sz="12" w:space="0" w:color="auto"/>
            </w:tcBorders>
          </w:tcPr>
          <w:p w14:paraId="016689F3" w14:textId="2F92F379" w:rsidR="00CB6D4F" w:rsidRPr="00BC668B" w:rsidRDefault="00BC668B" w:rsidP="00D55DB5">
            <w:pPr>
              <w:spacing w:before="240" w:line="240" w:lineRule="exact"/>
            </w:pPr>
            <w:r w:rsidRPr="00BC668B">
              <w:t>2</w:t>
            </w:r>
            <w:r w:rsidR="00D55DB5">
              <w:t>9</w:t>
            </w:r>
            <w:r w:rsidR="008C2AAA" w:rsidRPr="00BC668B">
              <w:t xml:space="preserve"> </w:t>
            </w:r>
            <w:r w:rsidR="00436ABF" w:rsidRPr="00BC668B">
              <w:t>juin</w:t>
            </w:r>
            <w:r w:rsidR="00CB6D4F" w:rsidRPr="00BC668B">
              <w:t xml:space="preserve"> 2018</w:t>
            </w:r>
          </w:p>
          <w:p w14:paraId="55C6D69D" w14:textId="77777777" w:rsidR="00CB6D4F" w:rsidRPr="00BC668B" w:rsidRDefault="00CB6D4F" w:rsidP="00CB6D4F">
            <w:pPr>
              <w:spacing w:line="240" w:lineRule="exact"/>
            </w:pPr>
          </w:p>
          <w:p w14:paraId="48242CBD" w14:textId="361E25E0" w:rsidR="00CB6D4F" w:rsidRPr="00BC668B" w:rsidRDefault="00BC668B" w:rsidP="00CB6D4F">
            <w:pPr>
              <w:spacing w:line="240" w:lineRule="exact"/>
            </w:pPr>
            <w:r>
              <w:t>F</w:t>
            </w:r>
            <w:r w:rsidR="00CB6D4F" w:rsidRPr="00BC668B">
              <w:t>rançais</w:t>
            </w:r>
            <w:r>
              <w:t xml:space="preserve"> seulement</w:t>
            </w:r>
          </w:p>
        </w:tc>
      </w:tr>
    </w:tbl>
    <w:p w14:paraId="33DC14C2" w14:textId="24D24A30" w:rsidR="008C2AAA" w:rsidRPr="00C17129" w:rsidRDefault="00064BD5" w:rsidP="00BC668B">
      <w:pPr>
        <w:spacing w:before="120"/>
        <w:rPr>
          <w:b/>
          <w:sz w:val="24"/>
          <w:szCs w:val="24"/>
        </w:rPr>
      </w:pPr>
      <w:r w:rsidRPr="00C17129">
        <w:rPr>
          <w:b/>
          <w:sz w:val="24"/>
          <w:szCs w:val="24"/>
        </w:rPr>
        <w:t>Conseil des droits de l’homme</w:t>
      </w:r>
    </w:p>
    <w:p w14:paraId="1D1535DD" w14:textId="77777777" w:rsidR="008C2AAA" w:rsidRPr="00C17129" w:rsidRDefault="008C2AAA" w:rsidP="00794671">
      <w:pPr>
        <w:rPr>
          <w:b/>
        </w:rPr>
      </w:pPr>
      <w:r w:rsidRPr="00C17129">
        <w:rPr>
          <w:b/>
        </w:rPr>
        <w:t xml:space="preserve">Trente-huitième </w:t>
      </w:r>
      <w:r w:rsidR="00643703" w:rsidRPr="00C17129">
        <w:rPr>
          <w:b/>
        </w:rPr>
        <w:t xml:space="preserve">session </w:t>
      </w:r>
    </w:p>
    <w:p w14:paraId="51C01B87" w14:textId="5AFC0F8A" w:rsidR="00643703" w:rsidRPr="00C17129" w:rsidRDefault="00BC668B" w:rsidP="00794671">
      <w:r>
        <w:t>18 juin–</w:t>
      </w:r>
      <w:r w:rsidR="00FA1A40" w:rsidRPr="00C17129">
        <w:t>6 juillet 2018</w:t>
      </w:r>
    </w:p>
    <w:p w14:paraId="51ECE561" w14:textId="1D67CBDA" w:rsidR="00FA1A40" w:rsidRPr="00C17129" w:rsidRDefault="00FA1A40" w:rsidP="00794671">
      <w:r w:rsidRPr="00C17129">
        <w:t xml:space="preserve">Point </w:t>
      </w:r>
      <w:r w:rsidR="00BC668B">
        <w:t>4</w:t>
      </w:r>
      <w:r w:rsidR="00064BD5" w:rsidRPr="00C17129">
        <w:t xml:space="preserve"> de l’ordre du jour</w:t>
      </w:r>
    </w:p>
    <w:p w14:paraId="0828A431" w14:textId="77777777" w:rsidR="00FA1A40" w:rsidRPr="00C17129" w:rsidRDefault="00FA1A40" w:rsidP="00794671">
      <w:pPr>
        <w:rPr>
          <w:b/>
        </w:rPr>
      </w:pPr>
      <w:r w:rsidRPr="00BC668B">
        <w:rPr>
          <w:b/>
        </w:rPr>
        <w:t>Situations des droits de l’homme qui requièrent l’attention du Conseil</w:t>
      </w:r>
      <w:r w:rsidRPr="00C17129">
        <w:rPr>
          <w:b/>
        </w:rPr>
        <w:t xml:space="preserve"> </w:t>
      </w:r>
    </w:p>
    <w:p w14:paraId="2F128312" w14:textId="2AAC1605" w:rsidR="00BE5147" w:rsidRPr="00C17129" w:rsidRDefault="00BC668B" w:rsidP="00BC668B">
      <w:pPr>
        <w:pStyle w:val="HChG"/>
      </w:pPr>
      <w:r>
        <w:tab/>
      </w:r>
      <w:r>
        <w:tab/>
      </w:r>
      <w:r w:rsidR="00BE5147" w:rsidRPr="00C17129">
        <w:t xml:space="preserve">Rapport </w:t>
      </w:r>
      <w:r w:rsidR="00064957" w:rsidRPr="00C17129">
        <w:t xml:space="preserve">détaillé </w:t>
      </w:r>
      <w:r w:rsidR="00BE5147" w:rsidRPr="00C17129">
        <w:t>de l’Equipe d’experts internationaux sur la situation au Kasaï</w:t>
      </w:r>
      <w:r w:rsidR="00894501" w:rsidRPr="00BC668B">
        <w:rPr>
          <w:rStyle w:val="FootnoteReference"/>
          <w:b w:val="0"/>
          <w:sz w:val="20"/>
          <w:szCs w:val="28"/>
          <w:vertAlign w:val="baseline"/>
        </w:rPr>
        <w:footnoteReference w:customMarkFollows="1" w:id="2"/>
        <w:t>*</w:t>
      </w:r>
      <w:bookmarkStart w:id="0" w:name="_GoBack"/>
      <w:bookmarkEnd w:id="0"/>
    </w:p>
    <w:p w14:paraId="3F25EC8E" w14:textId="77777777" w:rsidR="00FC3C24" w:rsidRPr="00C17129" w:rsidRDefault="00FC3C24">
      <w:r w:rsidRPr="00C17129">
        <w:br w:type="page"/>
      </w:r>
    </w:p>
    <w:p w14:paraId="2CF0DF26" w14:textId="77777777" w:rsidR="00FC3C24" w:rsidRPr="00C17129" w:rsidRDefault="00FC3C24" w:rsidP="00956A64">
      <w:pPr>
        <w:spacing w:after="120"/>
        <w:rPr>
          <w:sz w:val="28"/>
        </w:rPr>
      </w:pPr>
      <w:r w:rsidRPr="00C17129">
        <w:rPr>
          <w:sz w:val="28"/>
        </w:rPr>
        <w:lastRenderedPageBreak/>
        <w:t>Table des matières</w:t>
      </w:r>
    </w:p>
    <w:p w14:paraId="2FAD8D4C" w14:textId="77777777" w:rsidR="00FC3C24" w:rsidRPr="00C17129" w:rsidRDefault="00FC3C24" w:rsidP="00956A64">
      <w:pPr>
        <w:tabs>
          <w:tab w:val="right" w:pos="9638"/>
        </w:tabs>
        <w:spacing w:after="120"/>
        <w:ind w:left="283"/>
        <w:rPr>
          <w:sz w:val="18"/>
        </w:rPr>
      </w:pPr>
      <w:r w:rsidRPr="00C17129">
        <w:rPr>
          <w:i/>
          <w:sz w:val="18"/>
        </w:rPr>
        <w:tab/>
        <w:t>Page</w:t>
      </w:r>
    </w:p>
    <w:sdt>
      <w:sdtPr>
        <w:rPr>
          <w:rFonts w:ascii="Times New Roman" w:eastAsia="Times New Roman" w:hAnsi="Times New Roman" w:cs="Times New Roman"/>
          <w:b w:val="0"/>
          <w:color w:val="auto"/>
          <w:sz w:val="14"/>
          <w:szCs w:val="20"/>
          <w:lang w:val="fr-FR"/>
        </w:rPr>
        <w:id w:val="-574276408"/>
        <w:docPartObj>
          <w:docPartGallery w:val="Table of Contents"/>
          <w:docPartUnique/>
        </w:docPartObj>
      </w:sdtPr>
      <w:sdtEndPr>
        <w:rPr>
          <w:bCs/>
          <w:sz w:val="20"/>
        </w:rPr>
      </w:sdtEndPr>
      <w:sdtContent>
        <w:p w14:paraId="440A49AE" w14:textId="2E617F5D" w:rsidR="00B47CEC" w:rsidRPr="003A0DC8" w:rsidRDefault="00B47CEC" w:rsidP="003A0DC8">
          <w:pPr>
            <w:pStyle w:val="TOCHeading"/>
            <w:spacing w:before="120" w:after="120"/>
            <w:rPr>
              <w:sz w:val="22"/>
              <w:lang w:val="fr-FR"/>
            </w:rPr>
          </w:pPr>
        </w:p>
        <w:p w14:paraId="285E7310" w14:textId="68A05398" w:rsidR="00650554" w:rsidRDefault="008606F4">
          <w:pPr>
            <w:pStyle w:val="TOC1"/>
            <w:rPr>
              <w:rFonts w:asciiTheme="minorHAnsi" w:eastAsiaTheme="minorEastAsia" w:hAnsiTheme="minorHAnsi" w:cstheme="minorBidi"/>
              <w:noProof/>
              <w:sz w:val="22"/>
              <w:szCs w:val="22"/>
              <w:lang w:val="fr-CH" w:eastAsia="fr-CH"/>
            </w:rPr>
          </w:pPr>
          <w:r>
            <w:fldChar w:fldCharType="begin"/>
          </w:r>
          <w:r>
            <w:instrText xml:space="preserve"> TOC \o "1-2" \h \z \u </w:instrText>
          </w:r>
          <w:r>
            <w:fldChar w:fldCharType="separate"/>
          </w:r>
          <w:hyperlink w:anchor="_Toc518027513" w:history="1">
            <w:r w:rsidR="00650554" w:rsidRPr="005F3138">
              <w:rPr>
                <w:rStyle w:val="Hyperlink"/>
                <w:noProof/>
              </w:rPr>
              <w:t>I.</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Introduction</w:t>
            </w:r>
            <w:r w:rsidR="00650554">
              <w:rPr>
                <w:noProof/>
                <w:webHidden/>
              </w:rPr>
              <w:tab/>
            </w:r>
            <w:r w:rsidR="00650554">
              <w:rPr>
                <w:noProof/>
                <w:webHidden/>
              </w:rPr>
              <w:fldChar w:fldCharType="begin"/>
            </w:r>
            <w:r w:rsidR="00650554">
              <w:rPr>
                <w:noProof/>
                <w:webHidden/>
              </w:rPr>
              <w:instrText xml:space="preserve"> PAGEREF _Toc518027513 \h </w:instrText>
            </w:r>
            <w:r w:rsidR="00650554">
              <w:rPr>
                <w:noProof/>
                <w:webHidden/>
              </w:rPr>
            </w:r>
            <w:r w:rsidR="00650554">
              <w:rPr>
                <w:noProof/>
                <w:webHidden/>
              </w:rPr>
              <w:fldChar w:fldCharType="separate"/>
            </w:r>
            <w:r w:rsidR="00AE33CF">
              <w:rPr>
                <w:noProof/>
                <w:webHidden/>
              </w:rPr>
              <w:t>4</w:t>
            </w:r>
            <w:r w:rsidR="00650554">
              <w:rPr>
                <w:noProof/>
                <w:webHidden/>
              </w:rPr>
              <w:fldChar w:fldCharType="end"/>
            </w:r>
          </w:hyperlink>
        </w:p>
        <w:p w14:paraId="4A70F199" w14:textId="32B2663E" w:rsidR="00650554" w:rsidRDefault="00612916">
          <w:pPr>
            <w:pStyle w:val="TOC1"/>
            <w:rPr>
              <w:rFonts w:asciiTheme="minorHAnsi" w:eastAsiaTheme="minorEastAsia" w:hAnsiTheme="minorHAnsi" w:cstheme="minorBidi"/>
              <w:noProof/>
              <w:sz w:val="22"/>
              <w:szCs w:val="22"/>
              <w:lang w:val="fr-CH" w:eastAsia="fr-CH"/>
            </w:rPr>
          </w:pPr>
          <w:hyperlink w:anchor="_Toc518027514" w:history="1">
            <w:r w:rsidR="00650554" w:rsidRPr="005F3138">
              <w:rPr>
                <w:rStyle w:val="Hyperlink"/>
                <w:noProof/>
              </w:rPr>
              <w:t>II.</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Mandat et interprétation du mandat</w:t>
            </w:r>
            <w:r w:rsidR="00650554">
              <w:rPr>
                <w:noProof/>
                <w:webHidden/>
              </w:rPr>
              <w:tab/>
            </w:r>
            <w:r w:rsidR="00650554">
              <w:rPr>
                <w:noProof/>
                <w:webHidden/>
              </w:rPr>
              <w:fldChar w:fldCharType="begin"/>
            </w:r>
            <w:r w:rsidR="00650554">
              <w:rPr>
                <w:noProof/>
                <w:webHidden/>
              </w:rPr>
              <w:instrText xml:space="preserve"> PAGEREF _Toc518027514 \h </w:instrText>
            </w:r>
            <w:r w:rsidR="00650554">
              <w:rPr>
                <w:noProof/>
                <w:webHidden/>
              </w:rPr>
            </w:r>
            <w:r w:rsidR="00650554">
              <w:rPr>
                <w:noProof/>
                <w:webHidden/>
              </w:rPr>
              <w:fldChar w:fldCharType="separate"/>
            </w:r>
            <w:r w:rsidR="00AE33CF">
              <w:rPr>
                <w:noProof/>
                <w:webHidden/>
              </w:rPr>
              <w:t>4</w:t>
            </w:r>
            <w:r w:rsidR="00650554">
              <w:rPr>
                <w:noProof/>
                <w:webHidden/>
              </w:rPr>
              <w:fldChar w:fldCharType="end"/>
            </w:r>
          </w:hyperlink>
        </w:p>
        <w:p w14:paraId="69F14AAE" w14:textId="54DE997F" w:rsidR="00650554" w:rsidRDefault="00612916">
          <w:pPr>
            <w:pStyle w:val="TOC1"/>
            <w:rPr>
              <w:rFonts w:asciiTheme="minorHAnsi" w:eastAsiaTheme="minorEastAsia" w:hAnsiTheme="minorHAnsi" w:cstheme="minorBidi"/>
              <w:noProof/>
              <w:sz w:val="22"/>
              <w:szCs w:val="22"/>
              <w:lang w:val="fr-CH" w:eastAsia="fr-CH"/>
            </w:rPr>
          </w:pPr>
          <w:hyperlink w:anchor="_Toc518027515" w:history="1">
            <w:r w:rsidR="00650554" w:rsidRPr="005F3138">
              <w:rPr>
                <w:rStyle w:val="Hyperlink"/>
                <w:noProof/>
              </w:rPr>
              <w:t>III.</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Coopération avec l’EEI</w:t>
            </w:r>
            <w:r w:rsidR="00650554">
              <w:rPr>
                <w:noProof/>
                <w:webHidden/>
              </w:rPr>
              <w:tab/>
            </w:r>
            <w:r w:rsidR="00650554">
              <w:rPr>
                <w:noProof/>
                <w:webHidden/>
              </w:rPr>
              <w:fldChar w:fldCharType="begin"/>
            </w:r>
            <w:r w:rsidR="00650554">
              <w:rPr>
                <w:noProof/>
                <w:webHidden/>
              </w:rPr>
              <w:instrText xml:space="preserve"> PAGEREF _Toc518027515 \h </w:instrText>
            </w:r>
            <w:r w:rsidR="00650554">
              <w:rPr>
                <w:noProof/>
                <w:webHidden/>
              </w:rPr>
            </w:r>
            <w:r w:rsidR="00650554">
              <w:rPr>
                <w:noProof/>
                <w:webHidden/>
              </w:rPr>
              <w:fldChar w:fldCharType="separate"/>
            </w:r>
            <w:r w:rsidR="00AE33CF">
              <w:rPr>
                <w:noProof/>
                <w:webHidden/>
              </w:rPr>
              <w:t>6</w:t>
            </w:r>
            <w:r w:rsidR="00650554">
              <w:rPr>
                <w:noProof/>
                <w:webHidden/>
              </w:rPr>
              <w:fldChar w:fldCharType="end"/>
            </w:r>
          </w:hyperlink>
        </w:p>
        <w:p w14:paraId="68CAD5B7" w14:textId="533B62B2" w:rsidR="00650554" w:rsidRDefault="00612916">
          <w:pPr>
            <w:pStyle w:val="TOC1"/>
            <w:rPr>
              <w:rFonts w:asciiTheme="minorHAnsi" w:eastAsiaTheme="minorEastAsia" w:hAnsiTheme="minorHAnsi" w:cstheme="minorBidi"/>
              <w:noProof/>
              <w:sz w:val="22"/>
              <w:szCs w:val="22"/>
              <w:lang w:val="fr-CH" w:eastAsia="fr-CH"/>
            </w:rPr>
          </w:pPr>
          <w:hyperlink w:anchor="_Toc518027516" w:history="1">
            <w:r w:rsidR="00650554" w:rsidRPr="005F3138">
              <w:rPr>
                <w:rStyle w:val="Hyperlink"/>
                <w:noProof/>
              </w:rPr>
              <w:t>IV.</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Méthodologie</w:t>
            </w:r>
            <w:r w:rsidR="00650554">
              <w:rPr>
                <w:noProof/>
                <w:webHidden/>
              </w:rPr>
              <w:tab/>
            </w:r>
            <w:r w:rsidR="00650554">
              <w:rPr>
                <w:noProof/>
                <w:webHidden/>
              </w:rPr>
              <w:fldChar w:fldCharType="begin"/>
            </w:r>
            <w:r w:rsidR="00650554">
              <w:rPr>
                <w:noProof/>
                <w:webHidden/>
              </w:rPr>
              <w:instrText xml:space="preserve"> PAGEREF _Toc518027516 \h </w:instrText>
            </w:r>
            <w:r w:rsidR="00650554">
              <w:rPr>
                <w:noProof/>
                <w:webHidden/>
              </w:rPr>
            </w:r>
            <w:r w:rsidR="00650554">
              <w:rPr>
                <w:noProof/>
                <w:webHidden/>
              </w:rPr>
              <w:fldChar w:fldCharType="separate"/>
            </w:r>
            <w:r w:rsidR="00AE33CF">
              <w:rPr>
                <w:noProof/>
                <w:webHidden/>
              </w:rPr>
              <w:t>6</w:t>
            </w:r>
            <w:r w:rsidR="00650554">
              <w:rPr>
                <w:noProof/>
                <w:webHidden/>
              </w:rPr>
              <w:fldChar w:fldCharType="end"/>
            </w:r>
          </w:hyperlink>
        </w:p>
        <w:p w14:paraId="4875CBE2" w14:textId="25F4FF8E" w:rsidR="00650554" w:rsidRDefault="00612916">
          <w:pPr>
            <w:pStyle w:val="TOC2"/>
            <w:rPr>
              <w:rFonts w:asciiTheme="minorHAnsi" w:eastAsiaTheme="minorEastAsia" w:hAnsiTheme="minorHAnsi" w:cstheme="minorBidi"/>
              <w:noProof/>
              <w:sz w:val="22"/>
              <w:szCs w:val="22"/>
              <w:lang w:val="fr-CH" w:eastAsia="fr-CH"/>
            </w:rPr>
          </w:pPr>
          <w:hyperlink w:anchor="_Toc518027517" w:history="1">
            <w:r w:rsidR="00650554" w:rsidRPr="005F3138">
              <w:rPr>
                <w:rStyle w:val="Hyperlink"/>
                <w:noProof/>
              </w:rPr>
              <w:t>A.</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Principes généraux</w:t>
            </w:r>
            <w:r w:rsidR="00650554">
              <w:rPr>
                <w:noProof/>
                <w:webHidden/>
              </w:rPr>
              <w:tab/>
            </w:r>
            <w:r w:rsidR="00650554">
              <w:rPr>
                <w:noProof/>
                <w:webHidden/>
              </w:rPr>
              <w:fldChar w:fldCharType="begin"/>
            </w:r>
            <w:r w:rsidR="00650554">
              <w:rPr>
                <w:noProof/>
                <w:webHidden/>
              </w:rPr>
              <w:instrText xml:space="preserve"> PAGEREF _Toc518027517 \h </w:instrText>
            </w:r>
            <w:r w:rsidR="00650554">
              <w:rPr>
                <w:noProof/>
                <w:webHidden/>
              </w:rPr>
            </w:r>
            <w:r w:rsidR="00650554">
              <w:rPr>
                <w:noProof/>
                <w:webHidden/>
              </w:rPr>
              <w:fldChar w:fldCharType="separate"/>
            </w:r>
            <w:r w:rsidR="00AE33CF">
              <w:rPr>
                <w:noProof/>
                <w:webHidden/>
              </w:rPr>
              <w:t>6</w:t>
            </w:r>
            <w:r w:rsidR="00650554">
              <w:rPr>
                <w:noProof/>
                <w:webHidden/>
              </w:rPr>
              <w:fldChar w:fldCharType="end"/>
            </w:r>
          </w:hyperlink>
        </w:p>
        <w:p w14:paraId="6A1B8759" w14:textId="715C9111" w:rsidR="00650554" w:rsidRDefault="00612916">
          <w:pPr>
            <w:pStyle w:val="TOC2"/>
            <w:rPr>
              <w:rFonts w:asciiTheme="minorHAnsi" w:eastAsiaTheme="minorEastAsia" w:hAnsiTheme="minorHAnsi" w:cstheme="minorBidi"/>
              <w:noProof/>
              <w:sz w:val="22"/>
              <w:szCs w:val="22"/>
              <w:lang w:val="fr-CH" w:eastAsia="fr-CH"/>
            </w:rPr>
          </w:pPr>
          <w:hyperlink w:anchor="_Toc518027518" w:history="1">
            <w:r w:rsidR="00650554" w:rsidRPr="005F3138">
              <w:rPr>
                <w:rStyle w:val="Hyperlink"/>
                <w:noProof/>
              </w:rPr>
              <w:t>B.</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Méthodologie de documentation des violences sexuelles et basées sur le genre</w:t>
            </w:r>
            <w:r w:rsidR="00650554">
              <w:rPr>
                <w:noProof/>
                <w:webHidden/>
              </w:rPr>
              <w:tab/>
            </w:r>
            <w:r w:rsidR="00650554">
              <w:rPr>
                <w:noProof/>
                <w:webHidden/>
              </w:rPr>
              <w:fldChar w:fldCharType="begin"/>
            </w:r>
            <w:r w:rsidR="00650554">
              <w:rPr>
                <w:noProof/>
                <w:webHidden/>
              </w:rPr>
              <w:instrText xml:space="preserve"> PAGEREF _Toc518027518 \h </w:instrText>
            </w:r>
            <w:r w:rsidR="00650554">
              <w:rPr>
                <w:noProof/>
                <w:webHidden/>
              </w:rPr>
            </w:r>
            <w:r w:rsidR="00650554">
              <w:rPr>
                <w:noProof/>
                <w:webHidden/>
              </w:rPr>
              <w:fldChar w:fldCharType="separate"/>
            </w:r>
            <w:r w:rsidR="00AE33CF">
              <w:rPr>
                <w:noProof/>
                <w:webHidden/>
              </w:rPr>
              <w:t>7</w:t>
            </w:r>
            <w:r w:rsidR="00650554">
              <w:rPr>
                <w:noProof/>
                <w:webHidden/>
              </w:rPr>
              <w:fldChar w:fldCharType="end"/>
            </w:r>
          </w:hyperlink>
        </w:p>
        <w:p w14:paraId="3D2450E7" w14:textId="4466E574" w:rsidR="00650554" w:rsidRDefault="00612916">
          <w:pPr>
            <w:pStyle w:val="TOC2"/>
            <w:rPr>
              <w:rFonts w:asciiTheme="minorHAnsi" w:eastAsiaTheme="minorEastAsia" w:hAnsiTheme="minorHAnsi" w:cstheme="minorBidi"/>
              <w:noProof/>
              <w:sz w:val="22"/>
              <w:szCs w:val="22"/>
              <w:lang w:val="fr-CH" w:eastAsia="fr-CH"/>
            </w:rPr>
          </w:pPr>
          <w:hyperlink w:anchor="_Toc518027519" w:history="1">
            <w:r w:rsidR="00650554" w:rsidRPr="005F3138">
              <w:rPr>
                <w:rStyle w:val="Hyperlink"/>
                <w:noProof/>
              </w:rPr>
              <w:t>C.</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Méthodologie de documentation des violences et crimes commis contre les enfants</w:t>
            </w:r>
            <w:r w:rsidR="00650554">
              <w:rPr>
                <w:noProof/>
                <w:webHidden/>
              </w:rPr>
              <w:tab/>
            </w:r>
            <w:r w:rsidR="00650554">
              <w:rPr>
                <w:noProof/>
                <w:webHidden/>
              </w:rPr>
              <w:fldChar w:fldCharType="begin"/>
            </w:r>
            <w:r w:rsidR="00650554">
              <w:rPr>
                <w:noProof/>
                <w:webHidden/>
              </w:rPr>
              <w:instrText xml:space="preserve"> PAGEREF _Toc518027519 \h </w:instrText>
            </w:r>
            <w:r w:rsidR="00650554">
              <w:rPr>
                <w:noProof/>
                <w:webHidden/>
              </w:rPr>
            </w:r>
            <w:r w:rsidR="00650554">
              <w:rPr>
                <w:noProof/>
                <w:webHidden/>
              </w:rPr>
              <w:fldChar w:fldCharType="separate"/>
            </w:r>
            <w:r w:rsidR="00AE33CF">
              <w:rPr>
                <w:noProof/>
                <w:webHidden/>
              </w:rPr>
              <w:t>8</w:t>
            </w:r>
            <w:r w:rsidR="00650554">
              <w:rPr>
                <w:noProof/>
                <w:webHidden/>
              </w:rPr>
              <w:fldChar w:fldCharType="end"/>
            </w:r>
          </w:hyperlink>
        </w:p>
        <w:p w14:paraId="35407327" w14:textId="78CD8AB9" w:rsidR="00650554" w:rsidRDefault="00612916">
          <w:pPr>
            <w:pStyle w:val="TOC1"/>
            <w:rPr>
              <w:rFonts w:asciiTheme="minorHAnsi" w:eastAsiaTheme="minorEastAsia" w:hAnsiTheme="minorHAnsi" w:cstheme="minorBidi"/>
              <w:noProof/>
              <w:sz w:val="22"/>
              <w:szCs w:val="22"/>
              <w:lang w:val="fr-CH" w:eastAsia="fr-CH"/>
            </w:rPr>
          </w:pPr>
          <w:hyperlink w:anchor="_Toc518027520" w:history="1">
            <w:r w:rsidR="00650554" w:rsidRPr="005F3138">
              <w:rPr>
                <w:rStyle w:val="Hyperlink"/>
                <w:noProof/>
              </w:rPr>
              <w:t>V.</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Standard de preuve</w:t>
            </w:r>
            <w:r w:rsidR="00650554">
              <w:rPr>
                <w:noProof/>
                <w:webHidden/>
              </w:rPr>
              <w:tab/>
            </w:r>
            <w:r w:rsidR="00650554">
              <w:rPr>
                <w:noProof/>
                <w:webHidden/>
              </w:rPr>
              <w:fldChar w:fldCharType="begin"/>
            </w:r>
            <w:r w:rsidR="00650554">
              <w:rPr>
                <w:noProof/>
                <w:webHidden/>
              </w:rPr>
              <w:instrText xml:space="preserve"> PAGEREF _Toc518027520 \h </w:instrText>
            </w:r>
            <w:r w:rsidR="00650554">
              <w:rPr>
                <w:noProof/>
                <w:webHidden/>
              </w:rPr>
            </w:r>
            <w:r w:rsidR="00650554">
              <w:rPr>
                <w:noProof/>
                <w:webHidden/>
              </w:rPr>
              <w:fldChar w:fldCharType="separate"/>
            </w:r>
            <w:r w:rsidR="00AE33CF">
              <w:rPr>
                <w:noProof/>
                <w:webHidden/>
              </w:rPr>
              <w:t>9</w:t>
            </w:r>
            <w:r w:rsidR="00650554">
              <w:rPr>
                <w:noProof/>
                <w:webHidden/>
              </w:rPr>
              <w:fldChar w:fldCharType="end"/>
            </w:r>
          </w:hyperlink>
        </w:p>
        <w:p w14:paraId="048E72B8" w14:textId="11F1C4DC" w:rsidR="00650554" w:rsidRDefault="00612916">
          <w:pPr>
            <w:pStyle w:val="TOC1"/>
            <w:rPr>
              <w:rFonts w:asciiTheme="minorHAnsi" w:eastAsiaTheme="minorEastAsia" w:hAnsiTheme="minorHAnsi" w:cstheme="minorBidi"/>
              <w:noProof/>
              <w:sz w:val="22"/>
              <w:szCs w:val="22"/>
              <w:lang w:val="fr-CH" w:eastAsia="fr-CH"/>
            </w:rPr>
          </w:pPr>
          <w:hyperlink w:anchor="_Toc518027521" w:history="1">
            <w:r w:rsidR="00650554" w:rsidRPr="005F3138">
              <w:rPr>
                <w:rStyle w:val="Hyperlink"/>
                <w:noProof/>
              </w:rPr>
              <w:t>VI.</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Sauvegarde et archivage des informations</w:t>
            </w:r>
            <w:r w:rsidR="00650554">
              <w:rPr>
                <w:noProof/>
                <w:webHidden/>
              </w:rPr>
              <w:tab/>
            </w:r>
            <w:r w:rsidR="00650554">
              <w:rPr>
                <w:noProof/>
                <w:webHidden/>
              </w:rPr>
              <w:fldChar w:fldCharType="begin"/>
            </w:r>
            <w:r w:rsidR="00650554">
              <w:rPr>
                <w:noProof/>
                <w:webHidden/>
              </w:rPr>
              <w:instrText xml:space="preserve"> PAGEREF _Toc518027521 \h </w:instrText>
            </w:r>
            <w:r w:rsidR="00650554">
              <w:rPr>
                <w:noProof/>
                <w:webHidden/>
              </w:rPr>
            </w:r>
            <w:r w:rsidR="00650554">
              <w:rPr>
                <w:noProof/>
                <w:webHidden/>
              </w:rPr>
              <w:fldChar w:fldCharType="separate"/>
            </w:r>
            <w:r w:rsidR="00AE33CF">
              <w:rPr>
                <w:noProof/>
                <w:webHidden/>
              </w:rPr>
              <w:t>10</w:t>
            </w:r>
            <w:r w:rsidR="00650554">
              <w:rPr>
                <w:noProof/>
                <w:webHidden/>
              </w:rPr>
              <w:fldChar w:fldCharType="end"/>
            </w:r>
          </w:hyperlink>
        </w:p>
        <w:p w14:paraId="67D39E42" w14:textId="120F526F" w:rsidR="00650554" w:rsidRDefault="00612916">
          <w:pPr>
            <w:pStyle w:val="TOC1"/>
            <w:rPr>
              <w:rFonts w:asciiTheme="minorHAnsi" w:eastAsiaTheme="minorEastAsia" w:hAnsiTheme="minorHAnsi" w:cstheme="minorBidi"/>
              <w:noProof/>
              <w:sz w:val="22"/>
              <w:szCs w:val="22"/>
              <w:lang w:val="fr-CH" w:eastAsia="fr-CH"/>
            </w:rPr>
          </w:pPr>
          <w:hyperlink w:anchor="_Toc518027522" w:history="1">
            <w:r w:rsidR="00650554" w:rsidRPr="005F3138">
              <w:rPr>
                <w:rStyle w:val="Hyperlink"/>
                <w:noProof/>
              </w:rPr>
              <w:t>VII.</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Contexte</w:t>
            </w:r>
            <w:r w:rsidR="00650554">
              <w:rPr>
                <w:noProof/>
                <w:webHidden/>
              </w:rPr>
              <w:tab/>
            </w:r>
            <w:r w:rsidR="00650554">
              <w:rPr>
                <w:noProof/>
                <w:webHidden/>
              </w:rPr>
              <w:fldChar w:fldCharType="begin"/>
            </w:r>
            <w:r w:rsidR="00650554">
              <w:rPr>
                <w:noProof/>
                <w:webHidden/>
              </w:rPr>
              <w:instrText xml:space="preserve"> PAGEREF _Toc518027522 \h </w:instrText>
            </w:r>
            <w:r w:rsidR="00650554">
              <w:rPr>
                <w:noProof/>
                <w:webHidden/>
              </w:rPr>
            </w:r>
            <w:r w:rsidR="00650554">
              <w:rPr>
                <w:noProof/>
                <w:webHidden/>
              </w:rPr>
              <w:fldChar w:fldCharType="separate"/>
            </w:r>
            <w:r w:rsidR="00AE33CF">
              <w:rPr>
                <w:noProof/>
                <w:webHidden/>
              </w:rPr>
              <w:t>10</w:t>
            </w:r>
            <w:r w:rsidR="00650554">
              <w:rPr>
                <w:noProof/>
                <w:webHidden/>
              </w:rPr>
              <w:fldChar w:fldCharType="end"/>
            </w:r>
          </w:hyperlink>
        </w:p>
        <w:p w14:paraId="3C6B4AA1" w14:textId="7CEAD631" w:rsidR="00650554" w:rsidRDefault="00612916">
          <w:pPr>
            <w:pStyle w:val="TOC1"/>
            <w:rPr>
              <w:rFonts w:asciiTheme="minorHAnsi" w:eastAsiaTheme="minorEastAsia" w:hAnsiTheme="minorHAnsi" w:cstheme="minorBidi"/>
              <w:noProof/>
              <w:sz w:val="22"/>
              <w:szCs w:val="22"/>
              <w:lang w:val="fr-CH" w:eastAsia="fr-CH"/>
            </w:rPr>
          </w:pPr>
          <w:hyperlink w:anchor="_Toc518027523" w:history="1">
            <w:r w:rsidR="00650554" w:rsidRPr="005F3138">
              <w:rPr>
                <w:rStyle w:val="Hyperlink"/>
                <w:noProof/>
              </w:rPr>
              <w:t>VIII.</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Principaux acteurs de la crise au Kasaï</w:t>
            </w:r>
            <w:r w:rsidR="00650554">
              <w:rPr>
                <w:noProof/>
                <w:webHidden/>
              </w:rPr>
              <w:tab/>
            </w:r>
            <w:r w:rsidR="00650554">
              <w:rPr>
                <w:noProof/>
                <w:webHidden/>
              </w:rPr>
              <w:fldChar w:fldCharType="begin"/>
            </w:r>
            <w:r w:rsidR="00650554">
              <w:rPr>
                <w:noProof/>
                <w:webHidden/>
              </w:rPr>
              <w:instrText xml:space="preserve"> PAGEREF _Toc518027523 \h </w:instrText>
            </w:r>
            <w:r w:rsidR="00650554">
              <w:rPr>
                <w:noProof/>
                <w:webHidden/>
              </w:rPr>
            </w:r>
            <w:r w:rsidR="00650554">
              <w:rPr>
                <w:noProof/>
                <w:webHidden/>
              </w:rPr>
              <w:fldChar w:fldCharType="separate"/>
            </w:r>
            <w:r w:rsidR="00AE33CF">
              <w:rPr>
                <w:noProof/>
                <w:webHidden/>
              </w:rPr>
              <w:t>12</w:t>
            </w:r>
            <w:r w:rsidR="00650554">
              <w:rPr>
                <w:noProof/>
                <w:webHidden/>
              </w:rPr>
              <w:fldChar w:fldCharType="end"/>
            </w:r>
          </w:hyperlink>
        </w:p>
        <w:p w14:paraId="7B1AD79B" w14:textId="138DC560" w:rsidR="00650554" w:rsidRDefault="00612916">
          <w:pPr>
            <w:pStyle w:val="TOC2"/>
            <w:rPr>
              <w:rFonts w:asciiTheme="minorHAnsi" w:eastAsiaTheme="minorEastAsia" w:hAnsiTheme="minorHAnsi" w:cstheme="minorBidi"/>
              <w:noProof/>
              <w:sz w:val="22"/>
              <w:szCs w:val="22"/>
              <w:lang w:val="fr-CH" w:eastAsia="fr-CH"/>
            </w:rPr>
          </w:pPr>
          <w:hyperlink w:anchor="_Toc518027524" w:history="1">
            <w:r w:rsidR="00650554" w:rsidRPr="005F3138">
              <w:rPr>
                <w:rStyle w:val="Hyperlink"/>
                <w:noProof/>
              </w:rPr>
              <w:t>A.</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Les forces de défense et de sécurité</w:t>
            </w:r>
            <w:r w:rsidR="00650554">
              <w:rPr>
                <w:noProof/>
                <w:webHidden/>
              </w:rPr>
              <w:tab/>
            </w:r>
            <w:r w:rsidR="00650554">
              <w:rPr>
                <w:noProof/>
                <w:webHidden/>
              </w:rPr>
              <w:fldChar w:fldCharType="begin"/>
            </w:r>
            <w:r w:rsidR="00650554">
              <w:rPr>
                <w:noProof/>
                <w:webHidden/>
              </w:rPr>
              <w:instrText xml:space="preserve"> PAGEREF _Toc518027524 \h </w:instrText>
            </w:r>
            <w:r w:rsidR="00650554">
              <w:rPr>
                <w:noProof/>
                <w:webHidden/>
              </w:rPr>
            </w:r>
            <w:r w:rsidR="00650554">
              <w:rPr>
                <w:noProof/>
                <w:webHidden/>
              </w:rPr>
              <w:fldChar w:fldCharType="separate"/>
            </w:r>
            <w:r w:rsidR="00AE33CF">
              <w:rPr>
                <w:noProof/>
                <w:webHidden/>
              </w:rPr>
              <w:t>12</w:t>
            </w:r>
            <w:r w:rsidR="00650554">
              <w:rPr>
                <w:noProof/>
                <w:webHidden/>
              </w:rPr>
              <w:fldChar w:fldCharType="end"/>
            </w:r>
          </w:hyperlink>
        </w:p>
        <w:p w14:paraId="4FCE3C56" w14:textId="7812E395" w:rsidR="00650554" w:rsidRDefault="00612916">
          <w:pPr>
            <w:pStyle w:val="TOC2"/>
            <w:rPr>
              <w:rFonts w:asciiTheme="minorHAnsi" w:eastAsiaTheme="minorEastAsia" w:hAnsiTheme="minorHAnsi" w:cstheme="minorBidi"/>
              <w:noProof/>
              <w:sz w:val="22"/>
              <w:szCs w:val="22"/>
              <w:lang w:val="fr-CH" w:eastAsia="fr-CH"/>
            </w:rPr>
          </w:pPr>
          <w:hyperlink w:anchor="_Toc518027525" w:history="1">
            <w:r w:rsidR="00650554" w:rsidRPr="005F3138">
              <w:rPr>
                <w:rStyle w:val="Hyperlink"/>
                <w:noProof/>
              </w:rPr>
              <w:t>B.</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La milice Kamuina Nsapu</w:t>
            </w:r>
            <w:r w:rsidR="00650554">
              <w:rPr>
                <w:noProof/>
                <w:webHidden/>
              </w:rPr>
              <w:tab/>
            </w:r>
            <w:r w:rsidR="00650554">
              <w:rPr>
                <w:noProof/>
                <w:webHidden/>
              </w:rPr>
              <w:fldChar w:fldCharType="begin"/>
            </w:r>
            <w:r w:rsidR="00650554">
              <w:rPr>
                <w:noProof/>
                <w:webHidden/>
              </w:rPr>
              <w:instrText xml:space="preserve"> PAGEREF _Toc518027525 \h </w:instrText>
            </w:r>
            <w:r w:rsidR="00650554">
              <w:rPr>
                <w:noProof/>
                <w:webHidden/>
              </w:rPr>
            </w:r>
            <w:r w:rsidR="00650554">
              <w:rPr>
                <w:noProof/>
                <w:webHidden/>
              </w:rPr>
              <w:fldChar w:fldCharType="separate"/>
            </w:r>
            <w:r w:rsidR="00AE33CF">
              <w:rPr>
                <w:noProof/>
                <w:webHidden/>
              </w:rPr>
              <w:t>14</w:t>
            </w:r>
            <w:r w:rsidR="00650554">
              <w:rPr>
                <w:noProof/>
                <w:webHidden/>
              </w:rPr>
              <w:fldChar w:fldCharType="end"/>
            </w:r>
          </w:hyperlink>
        </w:p>
        <w:p w14:paraId="35ED7FCB" w14:textId="47CD107D" w:rsidR="00650554" w:rsidRDefault="00612916">
          <w:pPr>
            <w:pStyle w:val="TOC2"/>
            <w:rPr>
              <w:rFonts w:asciiTheme="minorHAnsi" w:eastAsiaTheme="minorEastAsia" w:hAnsiTheme="minorHAnsi" w:cstheme="minorBidi"/>
              <w:noProof/>
              <w:sz w:val="22"/>
              <w:szCs w:val="22"/>
              <w:lang w:val="fr-CH" w:eastAsia="fr-CH"/>
            </w:rPr>
          </w:pPr>
          <w:hyperlink w:anchor="_Toc518027526" w:history="1">
            <w:r w:rsidR="00650554" w:rsidRPr="005F3138">
              <w:rPr>
                <w:rStyle w:val="Hyperlink"/>
                <w:noProof/>
              </w:rPr>
              <w:t>C.</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Les milices Bana Mura</w:t>
            </w:r>
            <w:r w:rsidR="00650554">
              <w:rPr>
                <w:noProof/>
                <w:webHidden/>
              </w:rPr>
              <w:tab/>
            </w:r>
            <w:r w:rsidR="00650554">
              <w:rPr>
                <w:noProof/>
                <w:webHidden/>
              </w:rPr>
              <w:fldChar w:fldCharType="begin"/>
            </w:r>
            <w:r w:rsidR="00650554">
              <w:rPr>
                <w:noProof/>
                <w:webHidden/>
              </w:rPr>
              <w:instrText xml:space="preserve"> PAGEREF _Toc518027526 \h </w:instrText>
            </w:r>
            <w:r w:rsidR="00650554">
              <w:rPr>
                <w:noProof/>
                <w:webHidden/>
              </w:rPr>
            </w:r>
            <w:r w:rsidR="00650554">
              <w:rPr>
                <w:noProof/>
                <w:webHidden/>
              </w:rPr>
              <w:fldChar w:fldCharType="separate"/>
            </w:r>
            <w:r w:rsidR="00AE33CF">
              <w:rPr>
                <w:noProof/>
                <w:webHidden/>
              </w:rPr>
              <w:t>17</w:t>
            </w:r>
            <w:r w:rsidR="00650554">
              <w:rPr>
                <w:noProof/>
                <w:webHidden/>
              </w:rPr>
              <w:fldChar w:fldCharType="end"/>
            </w:r>
          </w:hyperlink>
        </w:p>
        <w:p w14:paraId="734C4C56" w14:textId="5BEC297F" w:rsidR="00650554" w:rsidRDefault="00612916">
          <w:pPr>
            <w:pStyle w:val="TOC1"/>
            <w:rPr>
              <w:rFonts w:asciiTheme="minorHAnsi" w:eastAsiaTheme="minorEastAsia" w:hAnsiTheme="minorHAnsi" w:cstheme="minorBidi"/>
              <w:noProof/>
              <w:sz w:val="22"/>
              <w:szCs w:val="22"/>
              <w:lang w:val="fr-CH" w:eastAsia="fr-CH"/>
            </w:rPr>
          </w:pPr>
          <w:hyperlink w:anchor="_Toc518027527" w:history="1">
            <w:r w:rsidR="00650554" w:rsidRPr="005F3138">
              <w:rPr>
                <w:rStyle w:val="Hyperlink"/>
                <w:noProof/>
              </w:rPr>
              <w:t>IX.</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Etablissement des faits et circonstances</w:t>
            </w:r>
            <w:r w:rsidR="00650554">
              <w:rPr>
                <w:noProof/>
                <w:webHidden/>
              </w:rPr>
              <w:tab/>
            </w:r>
            <w:r w:rsidR="00650554">
              <w:rPr>
                <w:noProof/>
                <w:webHidden/>
              </w:rPr>
              <w:fldChar w:fldCharType="begin"/>
            </w:r>
            <w:r w:rsidR="00650554">
              <w:rPr>
                <w:noProof/>
                <w:webHidden/>
              </w:rPr>
              <w:instrText xml:space="preserve"> PAGEREF _Toc518027527 \h </w:instrText>
            </w:r>
            <w:r w:rsidR="00650554">
              <w:rPr>
                <w:noProof/>
                <w:webHidden/>
              </w:rPr>
            </w:r>
            <w:r w:rsidR="00650554">
              <w:rPr>
                <w:noProof/>
                <w:webHidden/>
              </w:rPr>
              <w:fldChar w:fldCharType="separate"/>
            </w:r>
            <w:r w:rsidR="00AE33CF">
              <w:rPr>
                <w:noProof/>
                <w:webHidden/>
              </w:rPr>
              <w:t>19</w:t>
            </w:r>
            <w:r w:rsidR="00650554">
              <w:rPr>
                <w:noProof/>
                <w:webHidden/>
              </w:rPr>
              <w:fldChar w:fldCharType="end"/>
            </w:r>
          </w:hyperlink>
        </w:p>
        <w:p w14:paraId="511964EB" w14:textId="50DAFF9A" w:rsidR="00650554" w:rsidRDefault="00612916">
          <w:pPr>
            <w:pStyle w:val="TOC2"/>
            <w:rPr>
              <w:rFonts w:asciiTheme="minorHAnsi" w:eastAsiaTheme="minorEastAsia" w:hAnsiTheme="minorHAnsi" w:cstheme="minorBidi"/>
              <w:noProof/>
              <w:sz w:val="22"/>
              <w:szCs w:val="22"/>
              <w:lang w:val="fr-CH" w:eastAsia="fr-CH"/>
            </w:rPr>
          </w:pPr>
          <w:hyperlink w:anchor="_Toc518027528" w:history="1">
            <w:r w:rsidR="00650554" w:rsidRPr="005F3138">
              <w:rPr>
                <w:rStyle w:val="Hyperlink"/>
                <w:noProof/>
              </w:rPr>
              <w:t>A.</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Avril-août 2016 – début des violences sur le territoire de Dibaya – Kasaï Central</w:t>
            </w:r>
            <w:r w:rsidR="00650554">
              <w:rPr>
                <w:noProof/>
                <w:webHidden/>
              </w:rPr>
              <w:tab/>
            </w:r>
            <w:r w:rsidR="00650554">
              <w:rPr>
                <w:noProof/>
                <w:webHidden/>
              </w:rPr>
              <w:fldChar w:fldCharType="begin"/>
            </w:r>
            <w:r w:rsidR="00650554">
              <w:rPr>
                <w:noProof/>
                <w:webHidden/>
              </w:rPr>
              <w:instrText xml:space="preserve"> PAGEREF _Toc518027528 \h </w:instrText>
            </w:r>
            <w:r w:rsidR="00650554">
              <w:rPr>
                <w:noProof/>
                <w:webHidden/>
              </w:rPr>
            </w:r>
            <w:r w:rsidR="00650554">
              <w:rPr>
                <w:noProof/>
                <w:webHidden/>
              </w:rPr>
              <w:fldChar w:fldCharType="separate"/>
            </w:r>
            <w:r w:rsidR="00AE33CF">
              <w:rPr>
                <w:noProof/>
                <w:webHidden/>
              </w:rPr>
              <w:t>19</w:t>
            </w:r>
            <w:r w:rsidR="00650554">
              <w:rPr>
                <w:noProof/>
                <w:webHidden/>
              </w:rPr>
              <w:fldChar w:fldCharType="end"/>
            </w:r>
          </w:hyperlink>
        </w:p>
        <w:p w14:paraId="564177F1" w14:textId="3775E260" w:rsidR="00650554" w:rsidRDefault="00612916">
          <w:pPr>
            <w:pStyle w:val="TOC2"/>
            <w:rPr>
              <w:rFonts w:asciiTheme="minorHAnsi" w:eastAsiaTheme="minorEastAsia" w:hAnsiTheme="minorHAnsi" w:cstheme="minorBidi"/>
              <w:noProof/>
              <w:sz w:val="22"/>
              <w:szCs w:val="22"/>
              <w:lang w:val="fr-CH" w:eastAsia="fr-CH"/>
            </w:rPr>
          </w:pPr>
          <w:hyperlink w:anchor="_Toc518027529" w:history="1">
            <w:r w:rsidR="00650554" w:rsidRPr="005F3138">
              <w:rPr>
                <w:rStyle w:val="Hyperlink"/>
                <w:noProof/>
              </w:rPr>
              <w:t>B.</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Septembre-décembre 2016 – le mouvement Kamuina Nsapu s’étend dans les provinces du Kasaï Central, Kasaï Oriental et Kasaï</w:t>
            </w:r>
            <w:r w:rsidR="00650554">
              <w:rPr>
                <w:noProof/>
                <w:webHidden/>
              </w:rPr>
              <w:tab/>
            </w:r>
            <w:r w:rsidR="00650554">
              <w:rPr>
                <w:noProof/>
                <w:webHidden/>
              </w:rPr>
              <w:fldChar w:fldCharType="begin"/>
            </w:r>
            <w:r w:rsidR="00650554">
              <w:rPr>
                <w:noProof/>
                <w:webHidden/>
              </w:rPr>
              <w:instrText xml:space="preserve"> PAGEREF _Toc518027529 \h </w:instrText>
            </w:r>
            <w:r w:rsidR="00650554">
              <w:rPr>
                <w:noProof/>
                <w:webHidden/>
              </w:rPr>
            </w:r>
            <w:r w:rsidR="00650554">
              <w:rPr>
                <w:noProof/>
                <w:webHidden/>
              </w:rPr>
              <w:fldChar w:fldCharType="separate"/>
            </w:r>
            <w:r w:rsidR="00AE33CF">
              <w:rPr>
                <w:noProof/>
                <w:webHidden/>
              </w:rPr>
              <w:t>25</w:t>
            </w:r>
            <w:r w:rsidR="00650554">
              <w:rPr>
                <w:noProof/>
                <w:webHidden/>
              </w:rPr>
              <w:fldChar w:fldCharType="end"/>
            </w:r>
          </w:hyperlink>
        </w:p>
        <w:p w14:paraId="28A339F6" w14:textId="2CD6E4C3" w:rsidR="00650554" w:rsidRDefault="00612916">
          <w:pPr>
            <w:pStyle w:val="TOC2"/>
            <w:rPr>
              <w:rFonts w:asciiTheme="minorHAnsi" w:eastAsiaTheme="minorEastAsia" w:hAnsiTheme="minorHAnsi" w:cstheme="minorBidi"/>
              <w:noProof/>
              <w:sz w:val="22"/>
              <w:szCs w:val="22"/>
              <w:lang w:val="fr-CH" w:eastAsia="fr-CH"/>
            </w:rPr>
          </w:pPr>
          <w:hyperlink w:anchor="_Toc518027530" w:history="1">
            <w:r w:rsidR="00650554" w:rsidRPr="005F3138">
              <w:rPr>
                <w:rStyle w:val="Hyperlink"/>
                <w:noProof/>
              </w:rPr>
              <w:t>C.</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Janvier-juillet 2017 – explosion des violences dans tout le Kasaï et dimension ethnique du conflit</w:t>
            </w:r>
            <w:r w:rsidR="00650554">
              <w:rPr>
                <w:noProof/>
                <w:webHidden/>
              </w:rPr>
              <w:tab/>
            </w:r>
            <w:r w:rsidR="00650554">
              <w:rPr>
                <w:noProof/>
                <w:webHidden/>
              </w:rPr>
              <w:fldChar w:fldCharType="begin"/>
            </w:r>
            <w:r w:rsidR="00650554">
              <w:rPr>
                <w:noProof/>
                <w:webHidden/>
              </w:rPr>
              <w:instrText xml:space="preserve"> PAGEREF _Toc518027530 \h </w:instrText>
            </w:r>
            <w:r w:rsidR="00650554">
              <w:rPr>
                <w:noProof/>
                <w:webHidden/>
              </w:rPr>
            </w:r>
            <w:r w:rsidR="00650554">
              <w:rPr>
                <w:noProof/>
                <w:webHidden/>
              </w:rPr>
              <w:fldChar w:fldCharType="separate"/>
            </w:r>
            <w:r w:rsidR="00AE33CF">
              <w:rPr>
                <w:noProof/>
                <w:webHidden/>
              </w:rPr>
              <w:t>34</w:t>
            </w:r>
            <w:r w:rsidR="00650554">
              <w:rPr>
                <w:noProof/>
                <w:webHidden/>
              </w:rPr>
              <w:fldChar w:fldCharType="end"/>
            </w:r>
          </w:hyperlink>
        </w:p>
        <w:p w14:paraId="18F34AF1" w14:textId="2D8A8582" w:rsidR="00650554" w:rsidRDefault="00612916">
          <w:pPr>
            <w:pStyle w:val="TOC1"/>
            <w:rPr>
              <w:rFonts w:asciiTheme="minorHAnsi" w:eastAsiaTheme="minorEastAsia" w:hAnsiTheme="minorHAnsi" w:cstheme="minorBidi"/>
              <w:noProof/>
              <w:sz w:val="22"/>
              <w:szCs w:val="22"/>
              <w:lang w:val="fr-CH" w:eastAsia="fr-CH"/>
            </w:rPr>
          </w:pPr>
          <w:hyperlink w:anchor="_Toc518027531" w:history="1">
            <w:r w:rsidR="00650554" w:rsidRPr="005F3138">
              <w:rPr>
                <w:rStyle w:val="Hyperlink"/>
                <w:noProof/>
              </w:rPr>
              <w:t>X.</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Droit applicable</w:t>
            </w:r>
            <w:r w:rsidR="00650554">
              <w:rPr>
                <w:noProof/>
                <w:webHidden/>
              </w:rPr>
              <w:tab/>
            </w:r>
            <w:r w:rsidR="00650554">
              <w:rPr>
                <w:noProof/>
                <w:webHidden/>
              </w:rPr>
              <w:fldChar w:fldCharType="begin"/>
            </w:r>
            <w:r w:rsidR="00650554">
              <w:rPr>
                <w:noProof/>
                <w:webHidden/>
              </w:rPr>
              <w:instrText xml:space="preserve"> PAGEREF _Toc518027531 \h </w:instrText>
            </w:r>
            <w:r w:rsidR="00650554">
              <w:rPr>
                <w:noProof/>
                <w:webHidden/>
              </w:rPr>
            </w:r>
            <w:r w:rsidR="00650554">
              <w:rPr>
                <w:noProof/>
                <w:webHidden/>
              </w:rPr>
              <w:fldChar w:fldCharType="separate"/>
            </w:r>
            <w:r w:rsidR="00AE33CF">
              <w:rPr>
                <w:noProof/>
                <w:webHidden/>
              </w:rPr>
              <w:t>82</w:t>
            </w:r>
            <w:r w:rsidR="00650554">
              <w:rPr>
                <w:noProof/>
                <w:webHidden/>
              </w:rPr>
              <w:fldChar w:fldCharType="end"/>
            </w:r>
          </w:hyperlink>
        </w:p>
        <w:p w14:paraId="488EB859" w14:textId="00408FCE" w:rsidR="00650554" w:rsidRDefault="00612916">
          <w:pPr>
            <w:pStyle w:val="TOC1"/>
            <w:rPr>
              <w:rFonts w:asciiTheme="minorHAnsi" w:eastAsiaTheme="minorEastAsia" w:hAnsiTheme="minorHAnsi" w:cstheme="minorBidi"/>
              <w:noProof/>
              <w:sz w:val="22"/>
              <w:szCs w:val="22"/>
              <w:lang w:val="fr-CH" w:eastAsia="fr-CH"/>
            </w:rPr>
          </w:pPr>
          <w:hyperlink w:anchor="_Toc518027532" w:history="1">
            <w:r w:rsidR="00650554" w:rsidRPr="005F3138">
              <w:rPr>
                <w:rStyle w:val="Hyperlink"/>
                <w:noProof/>
              </w:rPr>
              <w:t>XI.</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Qualification juridique</w:t>
            </w:r>
            <w:r w:rsidR="00650554">
              <w:rPr>
                <w:noProof/>
                <w:webHidden/>
              </w:rPr>
              <w:tab/>
            </w:r>
            <w:r w:rsidR="00650554">
              <w:rPr>
                <w:noProof/>
                <w:webHidden/>
              </w:rPr>
              <w:fldChar w:fldCharType="begin"/>
            </w:r>
            <w:r w:rsidR="00650554">
              <w:rPr>
                <w:noProof/>
                <w:webHidden/>
              </w:rPr>
              <w:instrText xml:space="preserve"> PAGEREF _Toc518027532 \h </w:instrText>
            </w:r>
            <w:r w:rsidR="00650554">
              <w:rPr>
                <w:noProof/>
                <w:webHidden/>
              </w:rPr>
            </w:r>
            <w:r w:rsidR="00650554">
              <w:rPr>
                <w:noProof/>
                <w:webHidden/>
              </w:rPr>
              <w:fldChar w:fldCharType="separate"/>
            </w:r>
            <w:r w:rsidR="00AE33CF">
              <w:rPr>
                <w:noProof/>
                <w:webHidden/>
              </w:rPr>
              <w:t>83</w:t>
            </w:r>
            <w:r w:rsidR="00650554">
              <w:rPr>
                <w:noProof/>
                <w:webHidden/>
              </w:rPr>
              <w:fldChar w:fldCharType="end"/>
            </w:r>
          </w:hyperlink>
        </w:p>
        <w:p w14:paraId="2642FC09" w14:textId="7E01A990" w:rsidR="00650554" w:rsidRDefault="00612916">
          <w:pPr>
            <w:pStyle w:val="TOC2"/>
            <w:rPr>
              <w:rFonts w:asciiTheme="minorHAnsi" w:eastAsiaTheme="minorEastAsia" w:hAnsiTheme="minorHAnsi" w:cstheme="minorBidi"/>
              <w:noProof/>
              <w:sz w:val="22"/>
              <w:szCs w:val="22"/>
              <w:lang w:val="fr-CH" w:eastAsia="fr-CH"/>
            </w:rPr>
          </w:pPr>
          <w:hyperlink w:anchor="_Toc518027533" w:history="1">
            <w:r w:rsidR="00650554" w:rsidRPr="005F3138">
              <w:rPr>
                <w:rStyle w:val="Hyperlink"/>
                <w:noProof/>
              </w:rPr>
              <w:t>A.</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Crimes contre l’humanité</w:t>
            </w:r>
            <w:r w:rsidR="00650554">
              <w:rPr>
                <w:noProof/>
                <w:webHidden/>
              </w:rPr>
              <w:tab/>
            </w:r>
            <w:r w:rsidR="00650554">
              <w:rPr>
                <w:noProof/>
                <w:webHidden/>
              </w:rPr>
              <w:fldChar w:fldCharType="begin"/>
            </w:r>
            <w:r w:rsidR="00650554">
              <w:rPr>
                <w:noProof/>
                <w:webHidden/>
              </w:rPr>
              <w:instrText xml:space="preserve"> PAGEREF _Toc518027533 \h </w:instrText>
            </w:r>
            <w:r w:rsidR="00650554">
              <w:rPr>
                <w:noProof/>
                <w:webHidden/>
              </w:rPr>
            </w:r>
            <w:r w:rsidR="00650554">
              <w:rPr>
                <w:noProof/>
                <w:webHidden/>
              </w:rPr>
              <w:fldChar w:fldCharType="separate"/>
            </w:r>
            <w:r w:rsidR="00AE33CF">
              <w:rPr>
                <w:noProof/>
                <w:webHidden/>
              </w:rPr>
              <w:t>83</w:t>
            </w:r>
            <w:r w:rsidR="00650554">
              <w:rPr>
                <w:noProof/>
                <w:webHidden/>
              </w:rPr>
              <w:fldChar w:fldCharType="end"/>
            </w:r>
          </w:hyperlink>
        </w:p>
        <w:p w14:paraId="72CBA69B" w14:textId="56036DFF" w:rsidR="00650554" w:rsidRDefault="00612916">
          <w:pPr>
            <w:pStyle w:val="TOC2"/>
            <w:rPr>
              <w:rFonts w:asciiTheme="minorHAnsi" w:eastAsiaTheme="minorEastAsia" w:hAnsiTheme="minorHAnsi" w:cstheme="minorBidi"/>
              <w:noProof/>
              <w:sz w:val="22"/>
              <w:szCs w:val="22"/>
              <w:lang w:val="fr-CH" w:eastAsia="fr-CH"/>
            </w:rPr>
          </w:pPr>
          <w:hyperlink w:anchor="_Toc518027534" w:history="1">
            <w:r w:rsidR="00650554" w:rsidRPr="005F3138">
              <w:rPr>
                <w:rStyle w:val="Hyperlink"/>
                <w:noProof/>
              </w:rPr>
              <w:t>B.</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Crimes de guerre</w:t>
            </w:r>
            <w:r w:rsidR="00650554">
              <w:rPr>
                <w:noProof/>
                <w:webHidden/>
              </w:rPr>
              <w:tab/>
            </w:r>
            <w:r w:rsidR="00650554">
              <w:rPr>
                <w:noProof/>
                <w:webHidden/>
              </w:rPr>
              <w:fldChar w:fldCharType="begin"/>
            </w:r>
            <w:r w:rsidR="00650554">
              <w:rPr>
                <w:noProof/>
                <w:webHidden/>
              </w:rPr>
              <w:instrText xml:space="preserve"> PAGEREF _Toc518027534 \h </w:instrText>
            </w:r>
            <w:r w:rsidR="00650554">
              <w:rPr>
                <w:noProof/>
                <w:webHidden/>
              </w:rPr>
            </w:r>
            <w:r w:rsidR="00650554">
              <w:rPr>
                <w:noProof/>
                <w:webHidden/>
              </w:rPr>
              <w:fldChar w:fldCharType="separate"/>
            </w:r>
            <w:r w:rsidR="00AE33CF">
              <w:rPr>
                <w:noProof/>
                <w:webHidden/>
              </w:rPr>
              <w:t>100</w:t>
            </w:r>
            <w:r w:rsidR="00650554">
              <w:rPr>
                <w:noProof/>
                <w:webHidden/>
              </w:rPr>
              <w:fldChar w:fldCharType="end"/>
            </w:r>
          </w:hyperlink>
        </w:p>
        <w:p w14:paraId="09C37123" w14:textId="7529D3FF" w:rsidR="00650554" w:rsidRDefault="00612916">
          <w:pPr>
            <w:pStyle w:val="TOC2"/>
            <w:rPr>
              <w:rFonts w:asciiTheme="minorHAnsi" w:eastAsiaTheme="minorEastAsia" w:hAnsiTheme="minorHAnsi" w:cstheme="minorBidi"/>
              <w:noProof/>
              <w:sz w:val="22"/>
              <w:szCs w:val="22"/>
              <w:lang w:val="fr-CH" w:eastAsia="fr-CH"/>
            </w:rPr>
          </w:pPr>
          <w:hyperlink w:anchor="_Toc518027535" w:history="1">
            <w:r w:rsidR="00650554" w:rsidRPr="005F3138">
              <w:rPr>
                <w:rStyle w:val="Hyperlink"/>
                <w:noProof/>
              </w:rPr>
              <w:t>C.</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Violations des droits de l’homme</w:t>
            </w:r>
            <w:r w:rsidR="00650554">
              <w:rPr>
                <w:noProof/>
                <w:webHidden/>
              </w:rPr>
              <w:tab/>
            </w:r>
            <w:r w:rsidR="00650554">
              <w:rPr>
                <w:noProof/>
                <w:webHidden/>
              </w:rPr>
              <w:fldChar w:fldCharType="begin"/>
            </w:r>
            <w:r w:rsidR="00650554">
              <w:rPr>
                <w:noProof/>
                <w:webHidden/>
              </w:rPr>
              <w:instrText xml:space="preserve"> PAGEREF _Toc518027535 \h </w:instrText>
            </w:r>
            <w:r w:rsidR="00650554">
              <w:rPr>
                <w:noProof/>
                <w:webHidden/>
              </w:rPr>
            </w:r>
            <w:r w:rsidR="00650554">
              <w:rPr>
                <w:noProof/>
                <w:webHidden/>
              </w:rPr>
              <w:fldChar w:fldCharType="separate"/>
            </w:r>
            <w:r w:rsidR="00AE33CF">
              <w:rPr>
                <w:noProof/>
                <w:webHidden/>
              </w:rPr>
              <w:t>114</w:t>
            </w:r>
            <w:r w:rsidR="00650554">
              <w:rPr>
                <w:noProof/>
                <w:webHidden/>
              </w:rPr>
              <w:fldChar w:fldCharType="end"/>
            </w:r>
          </w:hyperlink>
        </w:p>
        <w:p w14:paraId="29D803B0" w14:textId="61977C5E" w:rsidR="00650554" w:rsidRDefault="00612916">
          <w:pPr>
            <w:pStyle w:val="TOC1"/>
            <w:rPr>
              <w:rFonts w:asciiTheme="minorHAnsi" w:eastAsiaTheme="minorEastAsia" w:hAnsiTheme="minorHAnsi" w:cstheme="minorBidi"/>
              <w:noProof/>
              <w:sz w:val="22"/>
              <w:szCs w:val="22"/>
              <w:lang w:val="fr-CH" w:eastAsia="fr-CH"/>
            </w:rPr>
          </w:pPr>
          <w:hyperlink w:anchor="_Toc518027536" w:history="1">
            <w:r w:rsidR="00650554" w:rsidRPr="005F3138">
              <w:rPr>
                <w:rStyle w:val="Hyperlink"/>
                <w:noProof/>
              </w:rPr>
              <w:t>XII.</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Situation actuelle</w:t>
            </w:r>
            <w:r w:rsidR="00650554">
              <w:rPr>
                <w:noProof/>
                <w:webHidden/>
              </w:rPr>
              <w:tab/>
            </w:r>
            <w:r w:rsidR="00650554">
              <w:rPr>
                <w:noProof/>
                <w:webHidden/>
              </w:rPr>
              <w:fldChar w:fldCharType="begin"/>
            </w:r>
            <w:r w:rsidR="00650554">
              <w:rPr>
                <w:noProof/>
                <w:webHidden/>
              </w:rPr>
              <w:instrText xml:space="preserve"> PAGEREF _Toc518027536 \h </w:instrText>
            </w:r>
            <w:r w:rsidR="00650554">
              <w:rPr>
                <w:noProof/>
                <w:webHidden/>
              </w:rPr>
            </w:r>
            <w:r w:rsidR="00650554">
              <w:rPr>
                <w:noProof/>
                <w:webHidden/>
              </w:rPr>
              <w:fldChar w:fldCharType="separate"/>
            </w:r>
            <w:r w:rsidR="00AE33CF">
              <w:rPr>
                <w:noProof/>
                <w:webHidden/>
              </w:rPr>
              <w:t>116</w:t>
            </w:r>
            <w:r w:rsidR="00650554">
              <w:rPr>
                <w:noProof/>
                <w:webHidden/>
              </w:rPr>
              <w:fldChar w:fldCharType="end"/>
            </w:r>
          </w:hyperlink>
        </w:p>
        <w:p w14:paraId="5F1244B6" w14:textId="6F0E7DC7" w:rsidR="00650554" w:rsidRDefault="00612916">
          <w:pPr>
            <w:pStyle w:val="TOC1"/>
            <w:rPr>
              <w:rFonts w:asciiTheme="minorHAnsi" w:eastAsiaTheme="minorEastAsia" w:hAnsiTheme="minorHAnsi" w:cstheme="minorBidi"/>
              <w:noProof/>
              <w:sz w:val="22"/>
              <w:szCs w:val="22"/>
              <w:lang w:val="fr-CH" w:eastAsia="fr-CH"/>
            </w:rPr>
          </w:pPr>
          <w:hyperlink w:anchor="_Toc518027537" w:history="1">
            <w:r w:rsidR="00650554" w:rsidRPr="005F3138">
              <w:rPr>
                <w:rStyle w:val="Hyperlink"/>
                <w:noProof/>
              </w:rPr>
              <w:t>XIII.</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Conséquences</w:t>
            </w:r>
            <w:r w:rsidR="00650554">
              <w:rPr>
                <w:noProof/>
                <w:webHidden/>
              </w:rPr>
              <w:tab/>
            </w:r>
            <w:r w:rsidR="00650554">
              <w:rPr>
                <w:noProof/>
                <w:webHidden/>
              </w:rPr>
              <w:fldChar w:fldCharType="begin"/>
            </w:r>
            <w:r w:rsidR="00650554">
              <w:rPr>
                <w:noProof/>
                <w:webHidden/>
              </w:rPr>
              <w:instrText xml:space="preserve"> PAGEREF _Toc518027537 \h </w:instrText>
            </w:r>
            <w:r w:rsidR="00650554">
              <w:rPr>
                <w:noProof/>
                <w:webHidden/>
              </w:rPr>
            </w:r>
            <w:r w:rsidR="00650554">
              <w:rPr>
                <w:noProof/>
                <w:webHidden/>
              </w:rPr>
              <w:fldChar w:fldCharType="separate"/>
            </w:r>
            <w:r w:rsidR="00AE33CF">
              <w:rPr>
                <w:noProof/>
                <w:webHidden/>
              </w:rPr>
              <w:t>118</w:t>
            </w:r>
            <w:r w:rsidR="00650554">
              <w:rPr>
                <w:noProof/>
                <w:webHidden/>
              </w:rPr>
              <w:fldChar w:fldCharType="end"/>
            </w:r>
          </w:hyperlink>
        </w:p>
        <w:p w14:paraId="5AE2E8C9" w14:textId="78CBD39D" w:rsidR="00650554" w:rsidRDefault="00612916">
          <w:pPr>
            <w:pStyle w:val="TOC2"/>
            <w:rPr>
              <w:rFonts w:asciiTheme="minorHAnsi" w:eastAsiaTheme="minorEastAsia" w:hAnsiTheme="minorHAnsi" w:cstheme="minorBidi"/>
              <w:noProof/>
              <w:sz w:val="22"/>
              <w:szCs w:val="22"/>
              <w:lang w:val="fr-CH" w:eastAsia="fr-CH"/>
            </w:rPr>
          </w:pPr>
          <w:hyperlink w:anchor="_Toc518027538" w:history="1">
            <w:r w:rsidR="00650554" w:rsidRPr="005F3138">
              <w:rPr>
                <w:rStyle w:val="Hyperlink"/>
                <w:noProof/>
              </w:rPr>
              <w:t>A.</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Conséquences humanitaires</w:t>
            </w:r>
            <w:r w:rsidR="00650554">
              <w:rPr>
                <w:noProof/>
                <w:webHidden/>
              </w:rPr>
              <w:tab/>
            </w:r>
            <w:r w:rsidR="00650554">
              <w:rPr>
                <w:noProof/>
                <w:webHidden/>
              </w:rPr>
              <w:fldChar w:fldCharType="begin"/>
            </w:r>
            <w:r w:rsidR="00650554">
              <w:rPr>
                <w:noProof/>
                <w:webHidden/>
              </w:rPr>
              <w:instrText xml:space="preserve"> PAGEREF _Toc518027538 \h </w:instrText>
            </w:r>
            <w:r w:rsidR="00650554">
              <w:rPr>
                <w:noProof/>
                <w:webHidden/>
              </w:rPr>
            </w:r>
            <w:r w:rsidR="00650554">
              <w:rPr>
                <w:noProof/>
                <w:webHidden/>
              </w:rPr>
              <w:fldChar w:fldCharType="separate"/>
            </w:r>
            <w:r w:rsidR="00AE33CF">
              <w:rPr>
                <w:noProof/>
                <w:webHidden/>
              </w:rPr>
              <w:t>118</w:t>
            </w:r>
            <w:r w:rsidR="00650554">
              <w:rPr>
                <w:noProof/>
                <w:webHidden/>
              </w:rPr>
              <w:fldChar w:fldCharType="end"/>
            </w:r>
          </w:hyperlink>
        </w:p>
        <w:p w14:paraId="4E094BB9" w14:textId="2096EA1E" w:rsidR="00650554" w:rsidRDefault="00612916">
          <w:pPr>
            <w:pStyle w:val="TOC2"/>
            <w:rPr>
              <w:rFonts w:asciiTheme="minorHAnsi" w:eastAsiaTheme="minorEastAsia" w:hAnsiTheme="minorHAnsi" w:cstheme="minorBidi"/>
              <w:noProof/>
              <w:sz w:val="22"/>
              <w:szCs w:val="22"/>
              <w:lang w:val="fr-CH" w:eastAsia="fr-CH"/>
            </w:rPr>
          </w:pPr>
          <w:hyperlink w:anchor="_Toc518027539" w:history="1">
            <w:r w:rsidR="00650554" w:rsidRPr="005F3138">
              <w:rPr>
                <w:rStyle w:val="Hyperlink"/>
                <w:noProof/>
              </w:rPr>
              <w:t>B.</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Conséquences sur les enfants</w:t>
            </w:r>
            <w:r w:rsidR="00650554">
              <w:rPr>
                <w:noProof/>
                <w:webHidden/>
              </w:rPr>
              <w:tab/>
            </w:r>
            <w:r w:rsidR="00650554">
              <w:rPr>
                <w:noProof/>
                <w:webHidden/>
              </w:rPr>
              <w:fldChar w:fldCharType="begin"/>
            </w:r>
            <w:r w:rsidR="00650554">
              <w:rPr>
                <w:noProof/>
                <w:webHidden/>
              </w:rPr>
              <w:instrText xml:space="preserve"> PAGEREF _Toc518027539 \h </w:instrText>
            </w:r>
            <w:r w:rsidR="00650554">
              <w:rPr>
                <w:noProof/>
                <w:webHidden/>
              </w:rPr>
            </w:r>
            <w:r w:rsidR="00650554">
              <w:rPr>
                <w:noProof/>
                <w:webHidden/>
              </w:rPr>
              <w:fldChar w:fldCharType="separate"/>
            </w:r>
            <w:r w:rsidR="00AE33CF">
              <w:rPr>
                <w:noProof/>
                <w:webHidden/>
              </w:rPr>
              <w:t>119</w:t>
            </w:r>
            <w:r w:rsidR="00650554">
              <w:rPr>
                <w:noProof/>
                <w:webHidden/>
              </w:rPr>
              <w:fldChar w:fldCharType="end"/>
            </w:r>
          </w:hyperlink>
        </w:p>
        <w:p w14:paraId="55AAD6D7" w14:textId="17369F55" w:rsidR="00650554" w:rsidRDefault="00612916">
          <w:pPr>
            <w:pStyle w:val="TOC2"/>
            <w:rPr>
              <w:rFonts w:asciiTheme="minorHAnsi" w:eastAsiaTheme="minorEastAsia" w:hAnsiTheme="minorHAnsi" w:cstheme="minorBidi"/>
              <w:noProof/>
              <w:sz w:val="22"/>
              <w:szCs w:val="22"/>
              <w:lang w:val="fr-CH" w:eastAsia="fr-CH"/>
            </w:rPr>
          </w:pPr>
          <w:hyperlink w:anchor="_Toc518027540" w:history="1">
            <w:r w:rsidR="00650554" w:rsidRPr="005F3138">
              <w:rPr>
                <w:rStyle w:val="Hyperlink"/>
                <w:noProof/>
              </w:rPr>
              <w:t>C.</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Conséquences sur les femmes</w:t>
            </w:r>
            <w:r w:rsidR="00650554">
              <w:rPr>
                <w:noProof/>
                <w:webHidden/>
              </w:rPr>
              <w:tab/>
            </w:r>
            <w:r w:rsidR="00650554">
              <w:rPr>
                <w:noProof/>
                <w:webHidden/>
              </w:rPr>
              <w:fldChar w:fldCharType="begin"/>
            </w:r>
            <w:r w:rsidR="00650554">
              <w:rPr>
                <w:noProof/>
                <w:webHidden/>
              </w:rPr>
              <w:instrText xml:space="preserve"> PAGEREF _Toc518027540 \h </w:instrText>
            </w:r>
            <w:r w:rsidR="00650554">
              <w:rPr>
                <w:noProof/>
                <w:webHidden/>
              </w:rPr>
            </w:r>
            <w:r w:rsidR="00650554">
              <w:rPr>
                <w:noProof/>
                <w:webHidden/>
              </w:rPr>
              <w:fldChar w:fldCharType="separate"/>
            </w:r>
            <w:r w:rsidR="00AE33CF">
              <w:rPr>
                <w:noProof/>
                <w:webHidden/>
              </w:rPr>
              <w:t>121</w:t>
            </w:r>
            <w:r w:rsidR="00650554">
              <w:rPr>
                <w:noProof/>
                <w:webHidden/>
              </w:rPr>
              <w:fldChar w:fldCharType="end"/>
            </w:r>
          </w:hyperlink>
        </w:p>
        <w:p w14:paraId="1600DFC2" w14:textId="687A5903" w:rsidR="00650554" w:rsidRDefault="00612916">
          <w:pPr>
            <w:pStyle w:val="TOC2"/>
            <w:rPr>
              <w:rFonts w:asciiTheme="minorHAnsi" w:eastAsiaTheme="minorEastAsia" w:hAnsiTheme="minorHAnsi" w:cstheme="minorBidi"/>
              <w:noProof/>
              <w:sz w:val="22"/>
              <w:szCs w:val="22"/>
              <w:lang w:val="fr-CH" w:eastAsia="fr-CH"/>
            </w:rPr>
          </w:pPr>
          <w:hyperlink w:anchor="_Toc518027541" w:history="1">
            <w:r w:rsidR="00650554" w:rsidRPr="005F3138">
              <w:rPr>
                <w:rStyle w:val="Hyperlink"/>
                <w:noProof/>
              </w:rPr>
              <w:t>D.</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Réponse judiciaire</w:t>
            </w:r>
            <w:r w:rsidR="00650554">
              <w:rPr>
                <w:noProof/>
                <w:webHidden/>
              </w:rPr>
              <w:tab/>
            </w:r>
            <w:r w:rsidR="00650554">
              <w:rPr>
                <w:noProof/>
                <w:webHidden/>
              </w:rPr>
              <w:fldChar w:fldCharType="begin"/>
            </w:r>
            <w:r w:rsidR="00650554">
              <w:rPr>
                <w:noProof/>
                <w:webHidden/>
              </w:rPr>
              <w:instrText xml:space="preserve"> PAGEREF _Toc518027541 \h </w:instrText>
            </w:r>
            <w:r w:rsidR="00650554">
              <w:rPr>
                <w:noProof/>
                <w:webHidden/>
              </w:rPr>
            </w:r>
            <w:r w:rsidR="00650554">
              <w:rPr>
                <w:noProof/>
                <w:webHidden/>
              </w:rPr>
              <w:fldChar w:fldCharType="separate"/>
            </w:r>
            <w:r w:rsidR="00AE33CF">
              <w:rPr>
                <w:noProof/>
                <w:webHidden/>
              </w:rPr>
              <w:t>124</w:t>
            </w:r>
            <w:r w:rsidR="00650554">
              <w:rPr>
                <w:noProof/>
                <w:webHidden/>
              </w:rPr>
              <w:fldChar w:fldCharType="end"/>
            </w:r>
          </w:hyperlink>
        </w:p>
        <w:p w14:paraId="3A94CD4C" w14:textId="2F47E8A3" w:rsidR="00650554" w:rsidRDefault="00612916">
          <w:pPr>
            <w:pStyle w:val="TOC1"/>
            <w:rPr>
              <w:rFonts w:asciiTheme="minorHAnsi" w:eastAsiaTheme="minorEastAsia" w:hAnsiTheme="minorHAnsi" w:cstheme="minorBidi"/>
              <w:noProof/>
              <w:sz w:val="22"/>
              <w:szCs w:val="22"/>
              <w:lang w:val="fr-CH" w:eastAsia="fr-CH"/>
            </w:rPr>
          </w:pPr>
          <w:hyperlink w:anchor="_Toc518027542" w:history="1">
            <w:r w:rsidR="00650554" w:rsidRPr="005F3138">
              <w:rPr>
                <w:rStyle w:val="Hyperlink"/>
                <w:noProof/>
              </w:rPr>
              <w:t>XIV.</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Conclusions et recommandations</w:t>
            </w:r>
            <w:r w:rsidR="00650554">
              <w:rPr>
                <w:noProof/>
                <w:webHidden/>
              </w:rPr>
              <w:tab/>
            </w:r>
            <w:r w:rsidR="00650554">
              <w:rPr>
                <w:noProof/>
                <w:webHidden/>
              </w:rPr>
              <w:fldChar w:fldCharType="begin"/>
            </w:r>
            <w:r w:rsidR="00650554">
              <w:rPr>
                <w:noProof/>
                <w:webHidden/>
              </w:rPr>
              <w:instrText xml:space="preserve"> PAGEREF _Toc518027542 \h </w:instrText>
            </w:r>
            <w:r w:rsidR="00650554">
              <w:rPr>
                <w:noProof/>
                <w:webHidden/>
              </w:rPr>
            </w:r>
            <w:r w:rsidR="00650554">
              <w:rPr>
                <w:noProof/>
                <w:webHidden/>
              </w:rPr>
              <w:fldChar w:fldCharType="separate"/>
            </w:r>
            <w:r w:rsidR="00AE33CF">
              <w:rPr>
                <w:noProof/>
                <w:webHidden/>
              </w:rPr>
              <w:t>125</w:t>
            </w:r>
            <w:r w:rsidR="00650554">
              <w:rPr>
                <w:noProof/>
                <w:webHidden/>
              </w:rPr>
              <w:fldChar w:fldCharType="end"/>
            </w:r>
          </w:hyperlink>
        </w:p>
        <w:p w14:paraId="7994C2CF" w14:textId="4C2ED149" w:rsidR="00650554" w:rsidRDefault="00612916">
          <w:pPr>
            <w:pStyle w:val="TOC2"/>
            <w:rPr>
              <w:rFonts w:asciiTheme="minorHAnsi" w:eastAsiaTheme="minorEastAsia" w:hAnsiTheme="minorHAnsi" w:cstheme="minorBidi"/>
              <w:noProof/>
              <w:sz w:val="22"/>
              <w:szCs w:val="22"/>
              <w:lang w:val="fr-CH" w:eastAsia="fr-CH"/>
            </w:rPr>
          </w:pPr>
          <w:hyperlink w:anchor="_Toc518027543" w:history="1">
            <w:r w:rsidR="00650554" w:rsidRPr="005F3138">
              <w:rPr>
                <w:rStyle w:val="Hyperlink"/>
                <w:noProof/>
              </w:rPr>
              <w:t>A.</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Conclusions</w:t>
            </w:r>
            <w:r w:rsidR="00650554">
              <w:rPr>
                <w:noProof/>
                <w:webHidden/>
              </w:rPr>
              <w:tab/>
            </w:r>
            <w:r w:rsidR="00650554">
              <w:rPr>
                <w:noProof/>
                <w:webHidden/>
              </w:rPr>
              <w:fldChar w:fldCharType="begin"/>
            </w:r>
            <w:r w:rsidR="00650554">
              <w:rPr>
                <w:noProof/>
                <w:webHidden/>
              </w:rPr>
              <w:instrText xml:space="preserve"> PAGEREF _Toc518027543 \h </w:instrText>
            </w:r>
            <w:r w:rsidR="00650554">
              <w:rPr>
                <w:noProof/>
                <w:webHidden/>
              </w:rPr>
            </w:r>
            <w:r w:rsidR="00650554">
              <w:rPr>
                <w:noProof/>
                <w:webHidden/>
              </w:rPr>
              <w:fldChar w:fldCharType="separate"/>
            </w:r>
            <w:r w:rsidR="00AE33CF">
              <w:rPr>
                <w:noProof/>
                <w:webHidden/>
              </w:rPr>
              <w:t>125</w:t>
            </w:r>
            <w:r w:rsidR="00650554">
              <w:rPr>
                <w:noProof/>
                <w:webHidden/>
              </w:rPr>
              <w:fldChar w:fldCharType="end"/>
            </w:r>
          </w:hyperlink>
        </w:p>
        <w:p w14:paraId="5B02761C" w14:textId="4C008820" w:rsidR="00650554" w:rsidRDefault="00612916">
          <w:pPr>
            <w:pStyle w:val="TOC2"/>
            <w:rPr>
              <w:rFonts w:asciiTheme="minorHAnsi" w:eastAsiaTheme="minorEastAsia" w:hAnsiTheme="minorHAnsi" w:cstheme="minorBidi"/>
              <w:noProof/>
              <w:sz w:val="22"/>
              <w:szCs w:val="22"/>
              <w:lang w:val="fr-CH" w:eastAsia="fr-CH"/>
            </w:rPr>
          </w:pPr>
          <w:hyperlink w:anchor="_Toc518027544" w:history="1">
            <w:r w:rsidR="00650554" w:rsidRPr="005F3138">
              <w:rPr>
                <w:rStyle w:val="Hyperlink"/>
                <w:noProof/>
              </w:rPr>
              <w:t>B.</w:t>
            </w:r>
            <w:r w:rsidR="00650554">
              <w:rPr>
                <w:rFonts w:asciiTheme="minorHAnsi" w:eastAsiaTheme="minorEastAsia" w:hAnsiTheme="minorHAnsi" w:cstheme="minorBidi"/>
                <w:noProof/>
                <w:sz w:val="22"/>
                <w:szCs w:val="22"/>
                <w:lang w:val="fr-CH" w:eastAsia="fr-CH"/>
              </w:rPr>
              <w:tab/>
            </w:r>
            <w:r w:rsidR="00650554" w:rsidRPr="005F3138">
              <w:rPr>
                <w:rStyle w:val="Hyperlink"/>
                <w:noProof/>
              </w:rPr>
              <w:t>Recommandations</w:t>
            </w:r>
            <w:r w:rsidR="00650554">
              <w:rPr>
                <w:noProof/>
                <w:webHidden/>
              </w:rPr>
              <w:tab/>
            </w:r>
            <w:r w:rsidR="00650554">
              <w:rPr>
                <w:noProof/>
                <w:webHidden/>
              </w:rPr>
              <w:fldChar w:fldCharType="begin"/>
            </w:r>
            <w:r w:rsidR="00650554">
              <w:rPr>
                <w:noProof/>
                <w:webHidden/>
              </w:rPr>
              <w:instrText xml:space="preserve"> PAGEREF _Toc518027544 \h </w:instrText>
            </w:r>
            <w:r w:rsidR="00650554">
              <w:rPr>
                <w:noProof/>
                <w:webHidden/>
              </w:rPr>
            </w:r>
            <w:r w:rsidR="00650554">
              <w:rPr>
                <w:noProof/>
                <w:webHidden/>
              </w:rPr>
              <w:fldChar w:fldCharType="separate"/>
            </w:r>
            <w:r w:rsidR="00AE33CF">
              <w:rPr>
                <w:noProof/>
                <w:webHidden/>
              </w:rPr>
              <w:t>125</w:t>
            </w:r>
            <w:r w:rsidR="00650554">
              <w:rPr>
                <w:noProof/>
                <w:webHidden/>
              </w:rPr>
              <w:fldChar w:fldCharType="end"/>
            </w:r>
          </w:hyperlink>
        </w:p>
        <w:p w14:paraId="59B981B5" w14:textId="3648F7FD" w:rsidR="00B47CEC" w:rsidRPr="00C17129" w:rsidRDefault="008606F4">
          <w:r>
            <w:fldChar w:fldCharType="end"/>
          </w:r>
        </w:p>
      </w:sdtContent>
    </w:sdt>
    <w:p w14:paraId="4539CCE8" w14:textId="03FBD7DC" w:rsidR="008F2FEC" w:rsidRDefault="00FC3C24" w:rsidP="00BC668B">
      <w:pPr>
        <w:pStyle w:val="HMG"/>
        <w:tabs>
          <w:tab w:val="clear" w:pos="851"/>
          <w:tab w:val="right" w:pos="1134"/>
        </w:tabs>
        <w:spacing w:before="120" w:line="240" w:lineRule="exact"/>
        <w:rPr>
          <w:lang w:eastAsia="fr-FR"/>
        </w:rPr>
      </w:pPr>
      <w:r w:rsidRPr="00C17129">
        <w:br w:type="page"/>
      </w:r>
      <w:r w:rsidR="008F2FEC" w:rsidRPr="007562AB">
        <w:rPr>
          <w:lang w:eastAsia="fr-FR"/>
        </w:rPr>
        <w:lastRenderedPageBreak/>
        <w:t>Acronymes</w:t>
      </w:r>
    </w:p>
    <w:p w14:paraId="048588A3" w14:textId="77777777" w:rsidR="008F2FEC" w:rsidRPr="00565C02" w:rsidRDefault="008F2FEC" w:rsidP="005151A0">
      <w:pPr>
        <w:pStyle w:val="NoSpacing"/>
        <w:spacing w:after="120"/>
        <w:ind w:left="1138" w:right="1138"/>
        <w:rPr>
          <w:rFonts w:ascii="Times New Roman" w:hAnsi="Times New Roman" w:cs="Times New Roman"/>
          <w:sz w:val="20"/>
          <w:szCs w:val="20"/>
          <w:lang w:val="fr-FR"/>
        </w:rPr>
      </w:pPr>
      <w:r w:rsidRPr="00565C02">
        <w:rPr>
          <w:rFonts w:ascii="Times New Roman" w:hAnsi="Times New Roman" w:cs="Times New Roman"/>
          <w:sz w:val="20"/>
          <w:szCs w:val="20"/>
          <w:lang w:val="fr-FR"/>
        </w:rPr>
        <w:t>ANR</w:t>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t>Agence nationale de renseignements</w:t>
      </w:r>
    </w:p>
    <w:p w14:paraId="11D78001" w14:textId="77777777" w:rsidR="008F2FEC" w:rsidRPr="00565C02" w:rsidRDefault="008F2FEC" w:rsidP="005151A0">
      <w:pPr>
        <w:pStyle w:val="NoSpacing"/>
        <w:spacing w:after="120"/>
        <w:ind w:left="1138" w:right="1138"/>
        <w:rPr>
          <w:rFonts w:ascii="Times New Roman" w:hAnsi="Times New Roman" w:cs="Times New Roman"/>
          <w:sz w:val="20"/>
          <w:szCs w:val="20"/>
          <w:lang w:val="fr-FR"/>
        </w:rPr>
      </w:pPr>
      <w:r w:rsidRPr="00565C02">
        <w:rPr>
          <w:rFonts w:ascii="Times New Roman" w:hAnsi="Times New Roman" w:cs="Times New Roman"/>
          <w:sz w:val="20"/>
          <w:szCs w:val="20"/>
          <w:lang w:val="fr-FR"/>
        </w:rPr>
        <w:t>BCNUDH</w:t>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t>Bureau conjoint des Nations Unies aux droits de l’homme</w:t>
      </w:r>
    </w:p>
    <w:p w14:paraId="13564EFA" w14:textId="46B306A4" w:rsidR="008F2FEC" w:rsidRPr="00565C02" w:rsidRDefault="008F2FEC" w:rsidP="005151A0">
      <w:pPr>
        <w:pStyle w:val="NoSpacing"/>
        <w:spacing w:after="120"/>
        <w:ind w:left="1138" w:right="1138"/>
        <w:rPr>
          <w:rFonts w:ascii="Times New Roman" w:hAnsi="Times New Roman" w:cs="Times New Roman"/>
          <w:sz w:val="20"/>
          <w:szCs w:val="20"/>
          <w:lang w:val="fr-FR"/>
        </w:rPr>
      </w:pPr>
      <w:r w:rsidRPr="00565C02">
        <w:rPr>
          <w:rFonts w:ascii="Times New Roman" w:hAnsi="Times New Roman" w:cs="Times New Roman"/>
          <w:sz w:val="20"/>
          <w:szCs w:val="20"/>
          <w:lang w:val="fr-FR"/>
        </w:rPr>
        <w:t>CENCO</w:t>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t xml:space="preserve">Conférence épiscopale nationale </w:t>
      </w:r>
      <w:r w:rsidR="00A672EB">
        <w:rPr>
          <w:rFonts w:ascii="Times New Roman" w:hAnsi="Times New Roman" w:cs="Times New Roman"/>
          <w:sz w:val="20"/>
          <w:szCs w:val="20"/>
          <w:lang w:val="fr-FR"/>
        </w:rPr>
        <w:t>d</w:t>
      </w:r>
      <w:r w:rsidRPr="00565C02">
        <w:rPr>
          <w:rFonts w:ascii="Times New Roman" w:hAnsi="Times New Roman" w:cs="Times New Roman"/>
          <w:sz w:val="20"/>
          <w:szCs w:val="20"/>
          <w:lang w:val="fr-FR"/>
        </w:rPr>
        <w:t>u Congo</w:t>
      </w:r>
    </w:p>
    <w:p w14:paraId="71209187" w14:textId="77777777" w:rsidR="008F2FEC" w:rsidRPr="00565C02" w:rsidRDefault="008F2FEC" w:rsidP="005151A0">
      <w:pPr>
        <w:pStyle w:val="NoSpacing"/>
        <w:spacing w:after="120"/>
        <w:ind w:left="1138" w:right="1138"/>
        <w:rPr>
          <w:rFonts w:ascii="Times New Roman" w:hAnsi="Times New Roman" w:cs="Times New Roman"/>
          <w:sz w:val="20"/>
          <w:szCs w:val="20"/>
          <w:lang w:val="fr-FR"/>
        </w:rPr>
      </w:pPr>
      <w:r w:rsidRPr="00565C02">
        <w:rPr>
          <w:rFonts w:ascii="Times New Roman" w:hAnsi="Times New Roman" w:cs="Times New Roman"/>
          <w:sz w:val="20"/>
          <w:szCs w:val="20"/>
          <w:lang w:val="fr-FR"/>
        </w:rPr>
        <w:t>CENI</w:t>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t>Commission électorale nationale indépendante</w:t>
      </w:r>
    </w:p>
    <w:p w14:paraId="097BD78A" w14:textId="77777777" w:rsidR="008F2FEC" w:rsidRPr="00565C02" w:rsidRDefault="008F2FEC" w:rsidP="005151A0">
      <w:pPr>
        <w:pStyle w:val="NoSpacing"/>
        <w:spacing w:after="120"/>
        <w:ind w:left="1138" w:right="1138"/>
        <w:rPr>
          <w:rFonts w:ascii="Times New Roman" w:hAnsi="Times New Roman" w:cs="Times New Roman"/>
          <w:sz w:val="20"/>
          <w:szCs w:val="20"/>
          <w:lang w:val="fr-FR"/>
        </w:rPr>
      </w:pPr>
      <w:r w:rsidRPr="00565C02">
        <w:rPr>
          <w:rFonts w:ascii="Times New Roman" w:hAnsi="Times New Roman" w:cs="Times New Roman"/>
          <w:sz w:val="20"/>
          <w:szCs w:val="20"/>
          <w:lang w:val="fr-FR"/>
        </w:rPr>
        <w:t>CICR</w:t>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t>Comité international de la Croix-Rouge</w:t>
      </w:r>
    </w:p>
    <w:p w14:paraId="6F088765" w14:textId="677D3F11" w:rsidR="008F2FEC" w:rsidRPr="00565C02" w:rsidRDefault="00210375" w:rsidP="005151A0">
      <w:pPr>
        <w:pStyle w:val="NoSpacing"/>
        <w:spacing w:after="120"/>
        <w:ind w:left="1138" w:right="1138"/>
        <w:rPr>
          <w:rFonts w:ascii="Times New Roman" w:hAnsi="Times New Roman" w:cs="Times New Roman"/>
          <w:sz w:val="20"/>
          <w:szCs w:val="20"/>
          <w:lang w:val="fr-FR"/>
        </w:rPr>
      </w:pPr>
      <w:r>
        <w:rPr>
          <w:rFonts w:ascii="Times New Roman" w:hAnsi="Times New Roman" w:cs="Times New Roman"/>
          <w:sz w:val="20"/>
          <w:szCs w:val="20"/>
          <w:lang w:val="fr-FR"/>
        </w:rPr>
        <w:t>CNDH</w:t>
      </w:r>
      <w:r>
        <w:rPr>
          <w:rFonts w:ascii="Times New Roman" w:hAnsi="Times New Roman" w:cs="Times New Roman"/>
          <w:sz w:val="20"/>
          <w:szCs w:val="20"/>
          <w:lang w:val="fr-FR"/>
        </w:rPr>
        <w:tab/>
      </w:r>
      <w:r>
        <w:rPr>
          <w:rFonts w:ascii="Times New Roman" w:hAnsi="Times New Roman" w:cs="Times New Roman"/>
          <w:sz w:val="20"/>
          <w:szCs w:val="20"/>
          <w:lang w:val="fr-FR"/>
        </w:rPr>
        <w:tab/>
      </w:r>
      <w:r w:rsidR="008F2FEC" w:rsidRPr="00565C02">
        <w:rPr>
          <w:rFonts w:ascii="Times New Roman" w:hAnsi="Times New Roman" w:cs="Times New Roman"/>
          <w:sz w:val="20"/>
          <w:szCs w:val="20"/>
          <w:lang w:val="fr-FR"/>
        </w:rPr>
        <w:t>Commission nationale des droits de l'homme</w:t>
      </w:r>
    </w:p>
    <w:p w14:paraId="353F2BB9" w14:textId="77777777" w:rsidR="008F2FEC" w:rsidRPr="00565C02" w:rsidRDefault="008F2FEC" w:rsidP="005151A0">
      <w:pPr>
        <w:pStyle w:val="NoSpacing"/>
        <w:spacing w:after="120"/>
        <w:ind w:left="1138" w:right="1138"/>
        <w:rPr>
          <w:rFonts w:ascii="Times New Roman" w:hAnsi="Times New Roman" w:cs="Times New Roman"/>
          <w:sz w:val="20"/>
          <w:szCs w:val="20"/>
          <w:lang w:val="fr-FR"/>
        </w:rPr>
      </w:pPr>
      <w:r w:rsidRPr="00565C02">
        <w:rPr>
          <w:rFonts w:ascii="Times New Roman" w:hAnsi="Times New Roman" w:cs="Times New Roman"/>
          <w:sz w:val="20"/>
          <w:szCs w:val="20"/>
          <w:lang w:val="fr-FR"/>
        </w:rPr>
        <w:t>CPI</w:t>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t>Cour pénale internationale</w:t>
      </w:r>
    </w:p>
    <w:p w14:paraId="537D1FC3" w14:textId="77777777" w:rsidR="008F2FEC" w:rsidRPr="00565C02" w:rsidRDefault="008F2FEC" w:rsidP="005151A0">
      <w:pPr>
        <w:pStyle w:val="NoSpacing"/>
        <w:spacing w:after="120"/>
        <w:ind w:left="1138" w:right="1138"/>
        <w:rPr>
          <w:rFonts w:ascii="Times New Roman" w:hAnsi="Times New Roman" w:cs="Times New Roman"/>
          <w:sz w:val="20"/>
          <w:szCs w:val="20"/>
          <w:lang w:val="fr-FR"/>
        </w:rPr>
      </w:pPr>
      <w:r w:rsidRPr="00565C02">
        <w:rPr>
          <w:rFonts w:ascii="Times New Roman" w:hAnsi="Times New Roman" w:cs="Times New Roman"/>
          <w:sz w:val="20"/>
          <w:szCs w:val="20"/>
          <w:lang w:val="fr-FR"/>
        </w:rPr>
        <w:t>DGM</w:t>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t>Direction générale de migration</w:t>
      </w:r>
    </w:p>
    <w:p w14:paraId="02386797" w14:textId="77777777" w:rsidR="008F2FEC" w:rsidRPr="00565C02" w:rsidRDefault="008F2FEC" w:rsidP="005151A0">
      <w:pPr>
        <w:pStyle w:val="NoSpacing"/>
        <w:spacing w:after="120"/>
        <w:ind w:left="1138" w:right="1138"/>
        <w:rPr>
          <w:rFonts w:ascii="Times New Roman" w:hAnsi="Times New Roman" w:cs="Times New Roman"/>
          <w:sz w:val="20"/>
          <w:szCs w:val="20"/>
          <w:lang w:val="fr-FR"/>
        </w:rPr>
      </w:pPr>
      <w:r w:rsidRPr="00565C02">
        <w:rPr>
          <w:rFonts w:ascii="Times New Roman" w:hAnsi="Times New Roman" w:cs="Times New Roman"/>
          <w:sz w:val="20"/>
          <w:szCs w:val="20"/>
          <w:lang w:val="fr-FR"/>
        </w:rPr>
        <w:t>EEI</w:t>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t>Equipe d’experts internationaux sur la situation au Kasaï</w:t>
      </w:r>
    </w:p>
    <w:p w14:paraId="48EAC6F9" w14:textId="77777777" w:rsidR="008F2FEC" w:rsidRPr="00565C02" w:rsidRDefault="008F2FEC" w:rsidP="005151A0">
      <w:pPr>
        <w:pStyle w:val="NoSpacing"/>
        <w:spacing w:after="120"/>
        <w:ind w:left="1138" w:right="1138"/>
        <w:rPr>
          <w:rFonts w:ascii="Times New Roman" w:hAnsi="Times New Roman" w:cs="Times New Roman"/>
          <w:sz w:val="20"/>
          <w:szCs w:val="20"/>
          <w:lang w:val="fr-FR"/>
        </w:rPr>
      </w:pPr>
      <w:r w:rsidRPr="00565C02">
        <w:rPr>
          <w:rFonts w:ascii="Times New Roman" w:hAnsi="Times New Roman" w:cs="Times New Roman"/>
          <w:sz w:val="20"/>
          <w:szCs w:val="20"/>
          <w:lang w:val="fr-FR"/>
        </w:rPr>
        <w:t>EFO</w:t>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t>Ecole de formation des officiers</w:t>
      </w:r>
    </w:p>
    <w:p w14:paraId="71E0245C" w14:textId="22D2BD54" w:rsidR="008F2FEC" w:rsidRPr="00565C02" w:rsidRDefault="008F2FEC" w:rsidP="005151A0">
      <w:pPr>
        <w:pStyle w:val="NoSpacing"/>
        <w:spacing w:after="120"/>
        <w:ind w:left="1138" w:right="1138"/>
        <w:rPr>
          <w:rFonts w:ascii="Times New Roman" w:hAnsi="Times New Roman" w:cs="Times New Roman"/>
          <w:sz w:val="20"/>
          <w:szCs w:val="20"/>
          <w:lang w:val="fr-FR"/>
        </w:rPr>
      </w:pPr>
      <w:r w:rsidRPr="00565C02">
        <w:rPr>
          <w:rFonts w:ascii="Times New Roman" w:hAnsi="Times New Roman" w:cs="Times New Roman"/>
          <w:sz w:val="20"/>
          <w:szCs w:val="20"/>
          <w:lang w:val="fr-FR"/>
        </w:rPr>
        <w:t>FARDC</w:t>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t>Forces armées de la République démocratique du Congo</w:t>
      </w:r>
    </w:p>
    <w:p w14:paraId="3EDFCF77" w14:textId="77777777" w:rsidR="008F2FEC" w:rsidRPr="00565C02" w:rsidRDefault="008F2FEC" w:rsidP="005151A0">
      <w:pPr>
        <w:pStyle w:val="NoSpacing"/>
        <w:spacing w:after="120"/>
        <w:ind w:left="1138" w:right="1138"/>
        <w:rPr>
          <w:rFonts w:ascii="Times New Roman" w:hAnsi="Times New Roman" w:cs="Times New Roman"/>
          <w:sz w:val="20"/>
          <w:szCs w:val="20"/>
          <w:lang w:val="fr-FR"/>
        </w:rPr>
      </w:pPr>
      <w:r w:rsidRPr="00565C02">
        <w:rPr>
          <w:rFonts w:ascii="Times New Roman" w:hAnsi="Times New Roman" w:cs="Times New Roman"/>
          <w:sz w:val="20"/>
          <w:szCs w:val="20"/>
          <w:lang w:val="fr-FR"/>
        </w:rPr>
        <w:t>FIDH</w:t>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t>Fédération internationale des ligues des droits de l'homme</w:t>
      </w:r>
    </w:p>
    <w:p w14:paraId="2B26CD64" w14:textId="477A0827" w:rsidR="008F2FEC" w:rsidRPr="00565C02" w:rsidRDefault="00210375" w:rsidP="005151A0">
      <w:pPr>
        <w:pStyle w:val="NoSpacing"/>
        <w:spacing w:after="120"/>
        <w:ind w:left="1138" w:right="1138"/>
        <w:rPr>
          <w:rFonts w:ascii="Times New Roman" w:hAnsi="Times New Roman" w:cs="Times New Roman"/>
          <w:sz w:val="20"/>
          <w:szCs w:val="20"/>
          <w:lang w:val="fr-FR"/>
        </w:rPr>
      </w:pPr>
      <w:r>
        <w:rPr>
          <w:rFonts w:ascii="Times New Roman" w:hAnsi="Times New Roman" w:cs="Times New Roman"/>
          <w:sz w:val="20"/>
          <w:szCs w:val="20"/>
          <w:lang w:val="fr-FR"/>
        </w:rPr>
        <w:t>HCDH</w:t>
      </w:r>
      <w:r>
        <w:rPr>
          <w:rFonts w:ascii="Times New Roman" w:hAnsi="Times New Roman" w:cs="Times New Roman"/>
          <w:sz w:val="20"/>
          <w:szCs w:val="20"/>
          <w:lang w:val="fr-FR"/>
        </w:rPr>
        <w:tab/>
      </w:r>
      <w:r>
        <w:rPr>
          <w:rFonts w:ascii="Times New Roman" w:hAnsi="Times New Roman" w:cs="Times New Roman"/>
          <w:sz w:val="20"/>
          <w:szCs w:val="20"/>
          <w:lang w:val="fr-FR"/>
        </w:rPr>
        <w:tab/>
      </w:r>
      <w:r w:rsidR="008F2FEC" w:rsidRPr="00565C02">
        <w:rPr>
          <w:rFonts w:ascii="Times New Roman" w:hAnsi="Times New Roman" w:cs="Times New Roman"/>
          <w:sz w:val="20"/>
          <w:szCs w:val="20"/>
          <w:lang w:val="fr-FR"/>
        </w:rPr>
        <w:t>Haut-Commissariat des Nations Unies aux droits de l’homme</w:t>
      </w:r>
    </w:p>
    <w:p w14:paraId="0AA241E9" w14:textId="77777777" w:rsidR="008F2FEC" w:rsidRPr="00565C02" w:rsidRDefault="008F2FEC" w:rsidP="005151A0">
      <w:pPr>
        <w:pStyle w:val="NoSpacing"/>
        <w:spacing w:after="120"/>
        <w:ind w:left="1138" w:right="1138"/>
        <w:rPr>
          <w:rFonts w:ascii="Times New Roman" w:hAnsi="Times New Roman" w:cs="Times New Roman"/>
          <w:sz w:val="20"/>
          <w:szCs w:val="20"/>
          <w:lang w:val="fr-FR"/>
        </w:rPr>
      </w:pPr>
      <w:r w:rsidRPr="00565C02">
        <w:rPr>
          <w:rFonts w:ascii="Times New Roman" w:hAnsi="Times New Roman" w:cs="Times New Roman"/>
          <w:sz w:val="20"/>
          <w:szCs w:val="20"/>
          <w:lang w:val="fr-FR"/>
        </w:rPr>
        <w:t>IRRI</w:t>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t>International Refugee Rights Initiative</w:t>
      </w:r>
    </w:p>
    <w:p w14:paraId="0DC72D30" w14:textId="73BEA568" w:rsidR="008F2FEC" w:rsidRPr="00565C02" w:rsidRDefault="008F2FEC" w:rsidP="005151A0">
      <w:pPr>
        <w:pStyle w:val="NoSpacing"/>
        <w:spacing w:after="120"/>
        <w:ind w:left="1138" w:right="1138"/>
        <w:rPr>
          <w:rFonts w:ascii="Times New Roman" w:hAnsi="Times New Roman" w:cs="Times New Roman"/>
          <w:sz w:val="20"/>
          <w:szCs w:val="20"/>
          <w:lang w:val="fr-FR"/>
        </w:rPr>
      </w:pPr>
      <w:r w:rsidRPr="00565C02">
        <w:rPr>
          <w:rFonts w:ascii="Times New Roman" w:hAnsi="Times New Roman" w:cs="Times New Roman"/>
          <w:sz w:val="20"/>
          <w:szCs w:val="20"/>
          <w:lang w:val="fr-FR"/>
        </w:rPr>
        <w:t>LNI</w:t>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t>Légion national</w:t>
      </w:r>
      <w:r w:rsidR="00EB1126">
        <w:rPr>
          <w:rFonts w:ascii="Times New Roman" w:hAnsi="Times New Roman" w:cs="Times New Roman"/>
          <w:sz w:val="20"/>
          <w:szCs w:val="20"/>
          <w:lang w:val="fr-FR"/>
        </w:rPr>
        <w:t>e</w:t>
      </w:r>
      <w:r w:rsidRPr="00565C02">
        <w:rPr>
          <w:rFonts w:ascii="Times New Roman" w:hAnsi="Times New Roman" w:cs="Times New Roman"/>
          <w:sz w:val="20"/>
          <w:szCs w:val="20"/>
          <w:lang w:val="fr-FR"/>
        </w:rPr>
        <w:t xml:space="preserve"> d’intervention</w:t>
      </w:r>
    </w:p>
    <w:p w14:paraId="2D1D3DFD" w14:textId="378EC042" w:rsidR="008F2FEC" w:rsidRPr="00565C02" w:rsidRDefault="008F2FEC" w:rsidP="00210375">
      <w:pPr>
        <w:pStyle w:val="NoSpacing"/>
        <w:spacing w:after="120"/>
        <w:ind w:left="2833" w:right="1138" w:hanging="1695"/>
        <w:rPr>
          <w:rFonts w:ascii="Times New Roman" w:hAnsi="Times New Roman" w:cs="Times New Roman"/>
          <w:sz w:val="20"/>
          <w:szCs w:val="20"/>
          <w:lang w:val="fr-FR"/>
        </w:rPr>
      </w:pPr>
      <w:r w:rsidRPr="00565C02">
        <w:rPr>
          <w:rFonts w:ascii="Times New Roman" w:hAnsi="Times New Roman" w:cs="Times New Roman"/>
          <w:sz w:val="20"/>
          <w:szCs w:val="20"/>
          <w:lang w:val="fr-FR"/>
        </w:rPr>
        <w:t>MONUSCO</w:t>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t>Mission de l'Organisation des Nations Unies pour la stabilisation en République démocratique du Congo</w:t>
      </w:r>
    </w:p>
    <w:p w14:paraId="55DFEB8D" w14:textId="00ACE5E3" w:rsidR="008F2FEC" w:rsidRPr="00565C02" w:rsidRDefault="008F2FEC" w:rsidP="005151A0">
      <w:pPr>
        <w:pStyle w:val="NoSpacing"/>
        <w:spacing w:after="120"/>
        <w:ind w:left="1138" w:right="1138"/>
        <w:rPr>
          <w:rFonts w:ascii="Times New Roman" w:hAnsi="Times New Roman" w:cs="Times New Roman"/>
          <w:sz w:val="20"/>
          <w:szCs w:val="20"/>
          <w:lang w:val="fr-FR"/>
        </w:rPr>
      </w:pPr>
      <w:r w:rsidRPr="00565C02">
        <w:rPr>
          <w:rFonts w:ascii="Times New Roman" w:hAnsi="Times New Roman" w:cs="Times New Roman"/>
          <w:sz w:val="20"/>
          <w:szCs w:val="20"/>
          <w:lang w:val="fr-FR"/>
        </w:rPr>
        <w:t>ONU</w:t>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t xml:space="preserve">Organisation des Nations </w:t>
      </w:r>
      <w:r w:rsidR="00D02559" w:rsidRPr="00565C02">
        <w:rPr>
          <w:rFonts w:ascii="Times New Roman" w:hAnsi="Times New Roman" w:cs="Times New Roman"/>
          <w:sz w:val="20"/>
          <w:szCs w:val="20"/>
          <w:lang w:val="fr-FR"/>
        </w:rPr>
        <w:t>U</w:t>
      </w:r>
      <w:r w:rsidRPr="00565C02">
        <w:rPr>
          <w:rFonts w:ascii="Times New Roman" w:hAnsi="Times New Roman" w:cs="Times New Roman"/>
          <w:sz w:val="20"/>
          <w:szCs w:val="20"/>
          <w:lang w:val="fr-FR"/>
        </w:rPr>
        <w:t>nies</w:t>
      </w:r>
    </w:p>
    <w:p w14:paraId="4A7A0169" w14:textId="47FA12E3" w:rsidR="00E442FD" w:rsidRPr="00565C02" w:rsidRDefault="00E442FD" w:rsidP="00210375">
      <w:pPr>
        <w:pStyle w:val="NoSpacing"/>
        <w:spacing w:after="120"/>
        <w:ind w:left="2833" w:right="1138" w:hanging="1695"/>
        <w:rPr>
          <w:rFonts w:ascii="Times New Roman" w:hAnsi="Times New Roman" w:cs="Times New Roman"/>
          <w:sz w:val="20"/>
          <w:szCs w:val="20"/>
          <w:lang w:val="fr-FR"/>
        </w:rPr>
      </w:pPr>
      <w:r w:rsidRPr="00565C02">
        <w:rPr>
          <w:rFonts w:ascii="Times New Roman" w:hAnsi="Times New Roman" w:cs="Times New Roman"/>
          <w:sz w:val="20"/>
          <w:szCs w:val="20"/>
          <w:lang w:val="fr-FR"/>
        </w:rPr>
        <w:t>ONU Femmes</w:t>
      </w:r>
      <w:r w:rsidRPr="00565C02">
        <w:rPr>
          <w:rFonts w:ascii="Times New Roman" w:hAnsi="Times New Roman" w:cs="Times New Roman"/>
          <w:color w:val="222222"/>
          <w:sz w:val="20"/>
          <w:szCs w:val="20"/>
          <w:shd w:val="clear" w:color="auto" w:fill="FFFFFF"/>
          <w:lang w:val="fr-FR"/>
        </w:rPr>
        <w:t xml:space="preserve"> </w:t>
      </w:r>
      <w:r w:rsidRPr="00565C02">
        <w:rPr>
          <w:rFonts w:ascii="Times New Roman" w:hAnsi="Times New Roman" w:cs="Times New Roman"/>
          <w:color w:val="222222"/>
          <w:sz w:val="20"/>
          <w:szCs w:val="20"/>
          <w:shd w:val="clear" w:color="auto" w:fill="FFFFFF"/>
          <w:lang w:val="fr-FR"/>
        </w:rPr>
        <w:tab/>
        <w:t xml:space="preserve">Entité des Nations Unies pour l'égalité des sexes et l'autonomisation des femmes </w:t>
      </w:r>
    </w:p>
    <w:p w14:paraId="0A5C557F" w14:textId="24A9AE4B" w:rsidR="008F2FEC" w:rsidRPr="00565C02" w:rsidRDefault="008F2FEC" w:rsidP="005151A0">
      <w:pPr>
        <w:pStyle w:val="NoSpacing"/>
        <w:spacing w:after="120"/>
        <w:ind w:left="1138" w:right="1138"/>
        <w:rPr>
          <w:rFonts w:ascii="Times New Roman" w:hAnsi="Times New Roman" w:cs="Times New Roman"/>
          <w:sz w:val="20"/>
          <w:szCs w:val="20"/>
          <w:lang w:val="fr-FR"/>
        </w:rPr>
      </w:pPr>
      <w:r w:rsidRPr="00565C02">
        <w:rPr>
          <w:rFonts w:ascii="Times New Roman" w:hAnsi="Times New Roman" w:cs="Times New Roman"/>
          <w:sz w:val="20"/>
          <w:szCs w:val="20"/>
          <w:lang w:val="fr-FR"/>
        </w:rPr>
        <w:t>PAM</w:t>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t>Programme alimentaire mondial</w:t>
      </w:r>
    </w:p>
    <w:p w14:paraId="13489160" w14:textId="77777777" w:rsidR="008F2FEC" w:rsidRPr="00565C02" w:rsidRDefault="008F2FEC" w:rsidP="005151A0">
      <w:pPr>
        <w:pStyle w:val="NoSpacing"/>
        <w:spacing w:after="120"/>
        <w:ind w:left="1138" w:right="1138"/>
        <w:rPr>
          <w:rFonts w:ascii="Times New Roman" w:hAnsi="Times New Roman" w:cs="Times New Roman"/>
          <w:sz w:val="20"/>
          <w:szCs w:val="20"/>
          <w:lang w:val="fr-FR"/>
        </w:rPr>
      </w:pPr>
      <w:r w:rsidRPr="00565C02">
        <w:rPr>
          <w:rFonts w:ascii="Times New Roman" w:hAnsi="Times New Roman" w:cs="Times New Roman"/>
          <w:sz w:val="20"/>
          <w:szCs w:val="20"/>
          <w:lang w:val="fr-FR"/>
        </w:rPr>
        <w:t>PNC</w:t>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t>Police nationale congolaise</w:t>
      </w:r>
    </w:p>
    <w:p w14:paraId="61FDD81B" w14:textId="77777777" w:rsidR="008F2FEC" w:rsidRPr="00565C02" w:rsidRDefault="008F2FEC" w:rsidP="005151A0">
      <w:pPr>
        <w:pStyle w:val="NoSpacing"/>
        <w:spacing w:after="120"/>
        <w:ind w:left="1138" w:right="1138"/>
        <w:rPr>
          <w:rFonts w:ascii="Times New Roman" w:hAnsi="Times New Roman" w:cs="Times New Roman"/>
          <w:sz w:val="20"/>
          <w:szCs w:val="20"/>
          <w:lang w:val="fr-FR"/>
        </w:rPr>
      </w:pPr>
      <w:r w:rsidRPr="00565C02">
        <w:rPr>
          <w:rFonts w:ascii="Times New Roman" w:hAnsi="Times New Roman" w:cs="Times New Roman"/>
          <w:sz w:val="20"/>
          <w:szCs w:val="20"/>
          <w:lang w:val="fr-FR"/>
        </w:rPr>
        <w:t>PPRD</w:t>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t>Parti du peuple pour la reconstruction et la démocratie</w:t>
      </w:r>
    </w:p>
    <w:p w14:paraId="6258618B" w14:textId="77777777" w:rsidR="008F2FEC" w:rsidRPr="00565C02" w:rsidRDefault="008F2FEC" w:rsidP="005151A0">
      <w:pPr>
        <w:pStyle w:val="NoSpacing"/>
        <w:spacing w:after="120"/>
        <w:ind w:left="1138" w:right="1138"/>
        <w:rPr>
          <w:rFonts w:ascii="Times New Roman" w:hAnsi="Times New Roman" w:cs="Times New Roman"/>
          <w:sz w:val="20"/>
          <w:szCs w:val="20"/>
          <w:lang w:val="fr-FR"/>
        </w:rPr>
      </w:pPr>
      <w:r w:rsidRPr="00565C02">
        <w:rPr>
          <w:rFonts w:ascii="Times New Roman" w:hAnsi="Times New Roman" w:cs="Times New Roman"/>
          <w:sz w:val="20"/>
          <w:szCs w:val="20"/>
          <w:lang w:val="fr-FR"/>
        </w:rPr>
        <w:t>RFI</w:t>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t>Radio France internationale</w:t>
      </w:r>
    </w:p>
    <w:p w14:paraId="73A2F440" w14:textId="77777777" w:rsidR="008F2FEC" w:rsidRPr="00565C02" w:rsidRDefault="008F2FEC" w:rsidP="005151A0">
      <w:pPr>
        <w:pStyle w:val="NoSpacing"/>
        <w:spacing w:after="120"/>
        <w:ind w:left="1138" w:right="1138"/>
        <w:rPr>
          <w:rFonts w:ascii="Times New Roman" w:hAnsi="Times New Roman" w:cs="Times New Roman"/>
          <w:sz w:val="20"/>
          <w:szCs w:val="20"/>
          <w:lang w:val="fr-FR"/>
        </w:rPr>
      </w:pPr>
      <w:r w:rsidRPr="00565C02">
        <w:rPr>
          <w:rFonts w:ascii="Times New Roman" w:hAnsi="Times New Roman" w:cs="Times New Roman"/>
          <w:sz w:val="20"/>
          <w:szCs w:val="20"/>
          <w:lang w:val="fr-FR"/>
        </w:rPr>
        <w:t>RDC</w:t>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t>République démocratique du Congo</w:t>
      </w:r>
    </w:p>
    <w:p w14:paraId="4D812486" w14:textId="77777777" w:rsidR="008F2FEC" w:rsidRPr="00565C02" w:rsidRDefault="008F2FEC" w:rsidP="005151A0">
      <w:pPr>
        <w:pStyle w:val="NoSpacing"/>
        <w:spacing w:after="120"/>
        <w:ind w:left="1138" w:right="1138"/>
        <w:rPr>
          <w:rFonts w:ascii="Times New Roman" w:hAnsi="Times New Roman" w:cs="Times New Roman"/>
          <w:sz w:val="20"/>
          <w:szCs w:val="20"/>
          <w:lang w:val="fr-FR"/>
        </w:rPr>
      </w:pPr>
      <w:r w:rsidRPr="00565C02">
        <w:rPr>
          <w:rFonts w:ascii="Times New Roman" w:hAnsi="Times New Roman" w:cs="Times New Roman"/>
          <w:sz w:val="20"/>
          <w:szCs w:val="20"/>
          <w:lang w:val="fr-FR"/>
        </w:rPr>
        <w:t>TPIY</w:t>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t>Tribunal pénal international pour l'ex-Yougoslavie</w:t>
      </w:r>
    </w:p>
    <w:p w14:paraId="6E630A75" w14:textId="77777777" w:rsidR="008F2FEC" w:rsidRPr="00565C02" w:rsidRDefault="008F2FEC" w:rsidP="005151A0">
      <w:pPr>
        <w:pStyle w:val="NoSpacing"/>
        <w:spacing w:after="120"/>
        <w:ind w:left="1138" w:right="1138"/>
        <w:rPr>
          <w:rFonts w:ascii="Times New Roman" w:hAnsi="Times New Roman" w:cs="Times New Roman"/>
          <w:sz w:val="20"/>
          <w:szCs w:val="20"/>
          <w:lang w:val="fr-FR"/>
        </w:rPr>
      </w:pPr>
      <w:r w:rsidRPr="00565C02">
        <w:rPr>
          <w:rFonts w:ascii="Times New Roman" w:hAnsi="Times New Roman" w:cs="Times New Roman"/>
          <w:sz w:val="20"/>
          <w:szCs w:val="20"/>
          <w:lang w:val="fr-FR"/>
        </w:rPr>
        <w:t>UDPS</w:t>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t>Union pour la démocratie et le progrès social</w:t>
      </w:r>
    </w:p>
    <w:p w14:paraId="3DD090B6" w14:textId="3CBFCA12" w:rsidR="008F2FEC" w:rsidRPr="008F2FEC" w:rsidRDefault="008F2FEC" w:rsidP="005151A0">
      <w:pPr>
        <w:pStyle w:val="NoSpacing"/>
        <w:spacing w:after="120"/>
        <w:ind w:left="1138" w:right="1138"/>
        <w:rPr>
          <w:rFonts w:ascii="Times New Roman" w:hAnsi="Times New Roman" w:cs="Times New Roman"/>
          <w:sz w:val="20"/>
          <w:szCs w:val="20"/>
          <w:lang w:val="fr-FR"/>
        </w:rPr>
      </w:pPr>
      <w:r w:rsidRPr="00565C02">
        <w:rPr>
          <w:rFonts w:ascii="Times New Roman" w:hAnsi="Times New Roman" w:cs="Times New Roman"/>
          <w:sz w:val="20"/>
          <w:szCs w:val="20"/>
          <w:lang w:val="fr-FR"/>
        </w:rPr>
        <w:t>UNICEF</w:t>
      </w:r>
      <w:r w:rsidRPr="00565C02">
        <w:rPr>
          <w:rFonts w:ascii="Times New Roman" w:hAnsi="Times New Roman" w:cs="Times New Roman"/>
          <w:sz w:val="20"/>
          <w:szCs w:val="20"/>
          <w:lang w:val="fr-FR"/>
        </w:rPr>
        <w:tab/>
      </w:r>
      <w:r w:rsidRPr="00565C02">
        <w:rPr>
          <w:rFonts w:ascii="Times New Roman" w:hAnsi="Times New Roman" w:cs="Times New Roman"/>
          <w:sz w:val="20"/>
          <w:szCs w:val="20"/>
          <w:lang w:val="fr-FR"/>
        </w:rPr>
        <w:tab/>
        <w:t>Fonds des Nations Unies pour l'enfance</w:t>
      </w:r>
    </w:p>
    <w:p w14:paraId="49B23D0D" w14:textId="37488695" w:rsidR="008F2FEC" w:rsidRPr="007562AB" w:rsidRDefault="008F2FEC" w:rsidP="008F2FEC">
      <w:pPr>
        <w:pStyle w:val="SingleTxtG"/>
        <w:ind w:left="2268"/>
      </w:pPr>
    </w:p>
    <w:p w14:paraId="647437E5" w14:textId="3F3A8341" w:rsidR="008F2FEC" w:rsidRDefault="008F2FEC"/>
    <w:p w14:paraId="42CA387E" w14:textId="745FE5A1" w:rsidR="008F2FEC" w:rsidRDefault="008F2FEC">
      <w:pPr>
        <w:rPr>
          <w:b/>
          <w:sz w:val="22"/>
          <w:szCs w:val="22"/>
        </w:rPr>
      </w:pPr>
      <w:r>
        <w:rPr>
          <w:b/>
          <w:sz w:val="22"/>
          <w:szCs w:val="22"/>
        </w:rPr>
        <w:br w:type="page"/>
      </w:r>
    </w:p>
    <w:p w14:paraId="59FD222A" w14:textId="00936019" w:rsidR="00356488" w:rsidRPr="00C817F6" w:rsidRDefault="00356488" w:rsidP="00E50830">
      <w:pPr>
        <w:pStyle w:val="Heading1"/>
        <w:spacing w:before="360" w:after="240" w:line="300" w:lineRule="exact"/>
        <w:ind w:left="1124" w:right="1138" w:hanging="273"/>
      </w:pPr>
      <w:bookmarkStart w:id="1" w:name="_Toc516472964"/>
      <w:bookmarkStart w:id="2" w:name="_Toc515370292"/>
      <w:bookmarkStart w:id="3" w:name="_Toc518027513"/>
      <w:r w:rsidRPr="00C817F6">
        <w:lastRenderedPageBreak/>
        <w:t>Introduction</w:t>
      </w:r>
      <w:bookmarkEnd w:id="1"/>
      <w:bookmarkEnd w:id="2"/>
      <w:bookmarkEnd w:id="3"/>
    </w:p>
    <w:p w14:paraId="5F147953" w14:textId="309E89FD" w:rsidR="00356488" w:rsidRPr="00CB2CDD" w:rsidRDefault="00356488" w:rsidP="00E16064">
      <w:pPr>
        <w:pStyle w:val="BodyText"/>
        <w:tabs>
          <w:tab w:val="left" w:pos="1559"/>
          <w:tab w:val="left" w:pos="1984"/>
          <w:tab w:val="left" w:leader="dot" w:pos="7654"/>
          <w:tab w:val="right" w:pos="8929"/>
        </w:tabs>
        <w:spacing w:line="240" w:lineRule="atLeast"/>
        <w:ind w:left="1138" w:right="1138" w:firstLine="0"/>
      </w:pPr>
      <w:r w:rsidRPr="00C17129">
        <w:t xml:space="preserve">L’Equipe </w:t>
      </w:r>
      <w:r w:rsidRPr="00CB2CDD">
        <w:t>d’experts internationaux sur la situation au Kasaï (EEI) a été créée pour une période d’un an par la résolution 35/33 du Conseil des droits de l’homme adoptée à l’unanimité le 23 juin 2017</w:t>
      </w:r>
      <w:r w:rsidRPr="007F1170">
        <w:rPr>
          <w:rStyle w:val="FootnoteReference"/>
        </w:rPr>
        <w:footnoteReference w:id="3"/>
      </w:r>
      <w:r w:rsidR="00A672EB">
        <w:t>.</w:t>
      </w:r>
    </w:p>
    <w:p w14:paraId="2F7F5DB7" w14:textId="77777777" w:rsidR="00356488" w:rsidRPr="00CB2CDD" w:rsidRDefault="00356488" w:rsidP="00E16064">
      <w:pPr>
        <w:pStyle w:val="BodyText"/>
        <w:tabs>
          <w:tab w:val="left" w:pos="1559"/>
          <w:tab w:val="left" w:pos="1984"/>
          <w:tab w:val="left" w:leader="dot" w:pos="7654"/>
          <w:tab w:val="right" w:pos="8929"/>
        </w:tabs>
        <w:spacing w:line="240" w:lineRule="atLeast"/>
        <w:ind w:left="1138" w:right="1138" w:firstLine="0"/>
      </w:pPr>
      <w:r w:rsidRPr="00CB2CDD">
        <w:t>Le 26 juillet 2017, le Haut-Commissaire des Nations Unies aux droits de l’homme a nommé Bacre Waly Ndiaye (Sénégal), Fatimata M’Baye (Mauritanie) et Luc Côté (Canada) comme Experts internationaux. Bacre Waly Ndiaye a été désigné par le Haut-Commissaire des Nations Unies aux droits de l’homme comme Président de l’EEI.</w:t>
      </w:r>
    </w:p>
    <w:p w14:paraId="443AF2EC" w14:textId="72E34E2A" w:rsidR="00356488" w:rsidRPr="00CB2CDD" w:rsidRDefault="00356488" w:rsidP="00E16064">
      <w:pPr>
        <w:pStyle w:val="BodyText"/>
        <w:tabs>
          <w:tab w:val="left" w:pos="1559"/>
          <w:tab w:val="left" w:pos="1984"/>
          <w:tab w:val="left" w:leader="dot" w:pos="7654"/>
          <w:tab w:val="right" w:pos="8929"/>
        </w:tabs>
        <w:spacing w:line="240" w:lineRule="atLeast"/>
        <w:ind w:left="1138" w:right="1138" w:firstLine="0"/>
      </w:pPr>
      <w:r w:rsidRPr="00CB2CDD">
        <w:t xml:space="preserve">Les Experts internationaux ont conduit trois missions en République démocratique du Congo (RDC) et en particulier au Kasaï. Ils ont décidé de ne pas se rendre en Angola compte tenu de la mission que le Haut-Commissariat des Nations Unies aux droits de l’homme (HCDH) y a mené en juin 2017. Au cours de </w:t>
      </w:r>
      <w:r w:rsidR="00A672EB">
        <w:t>leurs</w:t>
      </w:r>
      <w:r w:rsidRPr="00CB2CDD">
        <w:t xml:space="preserve"> trois visites en RDC d’une douzaine de jours chacune, les Experts internationaux ont rencontré des victimes et des témoins des violences au Kasaï et se sont également entretenus avec plusieurs ministres du Gouvernement congolais, des gouverneurs de province, des responsables des forces armées, y compris de la justice militaire, de la police, des services de renseignement, ainsi qu’avec des membres de la communauté internationale et de la société civile.</w:t>
      </w:r>
    </w:p>
    <w:p w14:paraId="24861F7A" w14:textId="77777777" w:rsidR="00356488" w:rsidRPr="00CB2CDD" w:rsidRDefault="00356488" w:rsidP="00E16064">
      <w:pPr>
        <w:pStyle w:val="BodyText"/>
        <w:tabs>
          <w:tab w:val="left" w:pos="1559"/>
          <w:tab w:val="left" w:pos="1984"/>
          <w:tab w:val="left" w:leader="dot" w:pos="7654"/>
          <w:tab w:val="right" w:pos="8929"/>
        </w:tabs>
        <w:spacing w:line="240" w:lineRule="atLeast"/>
        <w:ind w:left="1138" w:right="1138" w:firstLine="0"/>
      </w:pPr>
      <w:r w:rsidRPr="00CB2CDD">
        <w:t xml:space="preserve">Les Experts internationaux ont été assistés par un secrétariat établi et supporté par le HCDH. Ce secrétariat, composé de 14 professionnels du HCDH, d’une professionnelle d’ONU Femmes, spécialiste des questions de genre, et de trois assistants linguistiques, était basé à Kananga dans la province du Kasaï Central. </w:t>
      </w:r>
    </w:p>
    <w:p w14:paraId="487259B2" w14:textId="77777777" w:rsidR="00356488" w:rsidRPr="00CB2CDD" w:rsidRDefault="00356488" w:rsidP="00E16064">
      <w:pPr>
        <w:pStyle w:val="BodyText"/>
        <w:tabs>
          <w:tab w:val="left" w:pos="1559"/>
          <w:tab w:val="left" w:pos="1984"/>
          <w:tab w:val="left" w:leader="dot" w:pos="7654"/>
          <w:tab w:val="right" w:pos="8929"/>
        </w:tabs>
        <w:spacing w:line="240" w:lineRule="atLeast"/>
        <w:ind w:left="1138" w:right="1138" w:firstLine="0"/>
      </w:pPr>
      <w:r w:rsidRPr="00CB2CDD">
        <w:t>L’EEI a délivré une présentation orale au Conseil des droits de l’homme en mars 2018. Le présent rapport contient les conclusions finales et une présentation détaillée des enquêtes menées par l’EEI. Les informations contenues dans ce rapport doivent être lues en conjonction avec le Rapport de l’Equipe d’experts internationaux sur la situation au Kasaï (A/HRC/38/31).</w:t>
      </w:r>
    </w:p>
    <w:p w14:paraId="65E7DB5A" w14:textId="60998C77" w:rsidR="00356488" w:rsidRPr="00C817F6" w:rsidRDefault="00356488" w:rsidP="00E50830">
      <w:pPr>
        <w:pStyle w:val="Heading1"/>
        <w:spacing w:before="360" w:after="240" w:line="300" w:lineRule="exact"/>
        <w:ind w:left="1124" w:right="1138" w:hanging="273"/>
      </w:pPr>
      <w:bookmarkStart w:id="4" w:name="_Toc516472965"/>
      <w:bookmarkStart w:id="5" w:name="_Toc515370293"/>
      <w:bookmarkStart w:id="6" w:name="_Toc518027514"/>
      <w:r w:rsidRPr="00C817F6">
        <w:t>Mandat et interprétation du mandat</w:t>
      </w:r>
      <w:bookmarkEnd w:id="4"/>
      <w:bookmarkEnd w:id="5"/>
      <w:bookmarkEnd w:id="6"/>
    </w:p>
    <w:p w14:paraId="0AD6F5CC" w14:textId="77777777"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pPr>
      <w:r w:rsidRPr="00C17129">
        <w:t>Le paragraphe 10 de la résolution 35/33 du Conseil des droits de l’homme « [p]rie le Haut-Commissaire des Nations Unies aux droits de l’homme de dépêcher une équipe d’experts internationaux […] afin de réunir et de conserver des informations, d’établir les faits et les circonstances […] concernant des violations présumées des droits de l’homme et des violations du droit international humanitaire dans les régions du Kasaï, de communiquer aux autorités judiciaires de la [RDC] les conclusions de cette enquête afin d’établir la vérité et de faire en sorte que les auteurs des crimes odieux soient tous traduits devant les autorités judiciaires de la [RDC] ».</w:t>
      </w:r>
    </w:p>
    <w:p w14:paraId="73A04E60" w14:textId="334C2B41"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pPr>
      <w:r w:rsidRPr="00C17129">
        <w:t xml:space="preserve">L’EEI observe que le paragraphe 10 de la résolution 35/33 lui demande « d’établir les faits et les circonstances conformément aux normes internationales et à la pratique ». L’EEI considère que cette disposition signifie qu’elle se doit, comme toutes les commissions d’enquêtes et autres mécanismes d’établissement des faits créés par le Conseil des droits de l’homme, d’agir de manière indépendante dans la mise en œuvre de son mandat. L’EEI a donc </w:t>
      </w:r>
      <w:r w:rsidRPr="009D4BFC">
        <w:t>œuvré</w:t>
      </w:r>
      <w:r w:rsidRPr="00C17129">
        <w:t xml:space="preserve"> dans le strict respect du principe d’indépendance vis-à-vis de tout Etat, </w:t>
      </w:r>
      <w:r w:rsidR="00591FD8">
        <w:t xml:space="preserve">de </w:t>
      </w:r>
      <w:r w:rsidRPr="00C17129">
        <w:t>toute partie impliquée dans la crise, ainsi que du HCDH</w:t>
      </w:r>
      <w:r w:rsidR="00A672EB">
        <w:t xml:space="preserve"> et</w:t>
      </w:r>
      <w:r w:rsidRPr="00C17129">
        <w:t xml:space="preserve"> des autre</w:t>
      </w:r>
      <w:r>
        <w:t>s</w:t>
      </w:r>
      <w:r w:rsidRPr="00C17129">
        <w:t xml:space="preserve"> organes des Nations Unies, </w:t>
      </w:r>
      <w:r>
        <w:lastRenderedPageBreak/>
        <w:t>tel</w:t>
      </w:r>
      <w:r w:rsidR="00591FD8">
        <w:t>le</w:t>
      </w:r>
      <w:r>
        <w:t xml:space="preserve"> que</w:t>
      </w:r>
      <w:r w:rsidRPr="00935513">
        <w:rPr>
          <w:rStyle w:val="CommentReference"/>
        </w:rPr>
        <w:t xml:space="preserve"> </w:t>
      </w:r>
      <w:r w:rsidRPr="00C17129">
        <w:t xml:space="preserve">la Mission de l’Organisation des Nations Unies pour la stabilisation en République démocratique du Congo </w:t>
      </w:r>
      <w:r w:rsidRPr="002521FD">
        <w:t>(</w:t>
      </w:r>
      <w:r w:rsidRPr="00935513">
        <w:t>MONUSCO</w:t>
      </w:r>
      <w:r w:rsidRPr="002521FD">
        <w:t>)</w:t>
      </w:r>
      <w:r>
        <w:t>.</w:t>
      </w:r>
    </w:p>
    <w:p w14:paraId="67EBACB6" w14:textId="0C242D51"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pPr>
      <w:r w:rsidRPr="00C17129">
        <w:t xml:space="preserve">L’EEI considère que son mandat consiste à établir les faits et circonstances des violations des droits de l’homme et du droit international humanitaire commises depuis 2016 au Kasaï qui sont susceptibles de constituer des crimes en droit international pénal. Eu égard au large mandat qui lui a été confié et au temps relativement court pour sa mise en œuvre, l’EEI a décidé de concentrer en priorité ses enquêtes sur les actes de violence les plus graves – </w:t>
      </w:r>
      <w:r w:rsidRPr="00145CF6">
        <w:t>tel</w:t>
      </w:r>
      <w:r>
        <w:t>s</w:t>
      </w:r>
      <w:r w:rsidRPr="00145CF6">
        <w:t xml:space="preserve"> que</w:t>
      </w:r>
      <w:r w:rsidRPr="00C17129">
        <w:t xml:space="preserve"> les atteintes au droit à la vie et à l’intégrité physique, notamment les violences sexuelles et basées sur le genre, ou encore les violences faites aux enfants – en portant une attention particulière à ceux susceptibles de constituer des crimes internationaux.</w:t>
      </w:r>
    </w:p>
    <w:p w14:paraId="574DBB6D" w14:textId="15EA5372"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pPr>
      <w:r w:rsidRPr="00C17129">
        <w:t xml:space="preserve">L’enquête sur le meurtre des deux membres du Groupe d’experts sur la République démocratique du Congo créé en application de la résolution 1533 (2004) du Conseil de sécurité, la suédo-chilienne Zaida Catalán et l’américain Michael Sharp, ainsi que la disparition de leurs quatre accompagnateurs congolais en mars 2017, relève de la compétence de l’EEI. Toutefois, la mise en place postérieure par le Secrétaire </w:t>
      </w:r>
      <w:r w:rsidR="00A672EB">
        <w:t>g</w:t>
      </w:r>
      <w:r w:rsidRPr="00C17129">
        <w:t>énéral des Nations Unies d’un mécanisme de suivi chargé d’assister l’enquête criminelle ouverte au niveau national a incité l’EEI à ne pas utiliser de ressources substantielles à la documentation de cet incident et à se focaliser sur les autres aspects de la crise.</w:t>
      </w:r>
    </w:p>
    <w:p w14:paraId="5C1C215C" w14:textId="7D2BE49B"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pPr>
      <w:r w:rsidRPr="00C17129">
        <w:t xml:space="preserve">L’EEI considère que l’expression « les régions du Kasaï » utilisée dans la résolution pour définir sa compétence </w:t>
      </w:r>
      <w:r w:rsidR="009677B5">
        <w:t>provinciale</w:t>
      </w:r>
      <w:r w:rsidRPr="00C17129">
        <w:t xml:space="preserve"> englobe les cinq provinces suivantes issues du redécoupage administratif mis en œuvre en juillet 2015 : Kasaï, Kasaï Central, Kasaï Oriental, Lomami, et Sankuru</w:t>
      </w:r>
      <w:r w:rsidRPr="007F1170">
        <w:rPr>
          <w:rStyle w:val="FootnoteReference"/>
        </w:rPr>
        <w:footnoteReference w:id="4"/>
      </w:r>
      <w:r w:rsidRPr="00C17129">
        <w:t xml:space="preserve">. Les enquêtes se sont principalement concentrées sur les provinces du Kasaï et du Kasaï Central, et dans une moindre mesure sur les provinces du Kasaï Oriental et </w:t>
      </w:r>
      <w:r w:rsidRPr="00DA72E2">
        <w:t>d</w:t>
      </w:r>
      <w:r>
        <w:t>e</w:t>
      </w:r>
      <w:r w:rsidRPr="00C17129">
        <w:t xml:space="preserve"> Lomami</w:t>
      </w:r>
      <w:r w:rsidRPr="007F1170">
        <w:rPr>
          <w:rStyle w:val="FootnoteReference"/>
        </w:rPr>
        <w:footnoteReference w:id="5"/>
      </w:r>
      <w:r w:rsidRPr="00C17129">
        <w:t>.</w:t>
      </w:r>
    </w:p>
    <w:p w14:paraId="3E389B51" w14:textId="17EE0286"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pPr>
      <w:r w:rsidRPr="00C17129">
        <w:t xml:space="preserve">Le paragraphe 10 de la résolution 35/33 ne précise pas les contours temporels de la compétence du mandat. L’EEI considère qu’elle est compétente pour documenter les actes de violence commis au Kasaï depuis 2016 et jusqu’à ce jour. Pour être en mesure de finaliser son rapport, l’EEI a clôturé ses enquêtes le </w:t>
      </w:r>
      <w:r w:rsidRPr="00CB2CDD">
        <w:t>20 mai 2018</w:t>
      </w:r>
      <w:r w:rsidRPr="00C17129">
        <w:t>.</w:t>
      </w:r>
    </w:p>
    <w:p w14:paraId="1CAB448D" w14:textId="57325A18" w:rsidR="00356488" w:rsidRPr="00C17129" w:rsidRDefault="009677B5" w:rsidP="00E16064">
      <w:pPr>
        <w:pStyle w:val="BodyText"/>
        <w:tabs>
          <w:tab w:val="left" w:pos="1559"/>
          <w:tab w:val="left" w:pos="1984"/>
          <w:tab w:val="left" w:leader="dot" w:pos="7654"/>
          <w:tab w:val="right" w:pos="8929"/>
        </w:tabs>
        <w:spacing w:line="240" w:lineRule="atLeast"/>
        <w:ind w:left="1138" w:right="1138" w:firstLine="0"/>
      </w:pPr>
      <w:r>
        <w:t>L’EEI est d’avis</w:t>
      </w:r>
      <w:r w:rsidR="00356488" w:rsidRPr="00C17129">
        <w:t xml:space="preserve"> qu’en mentionnant dans ses paragraphes 2 et 10 le fait que tous les auteurs et responsables des violations et crimes commis au Kasaï se doivent d’être traduits en justice, la résolution 35/33 lui a confié le mandat d’examiner le rôle de tous les acteurs impliqués dans la vague de violence qui touche le Kasaï depuis 2016.</w:t>
      </w:r>
    </w:p>
    <w:p w14:paraId="71718BB1" w14:textId="2A2A91D0" w:rsidR="00356488" w:rsidRPr="004902E3" w:rsidRDefault="00356488" w:rsidP="005151A0">
      <w:pPr>
        <w:pStyle w:val="ListParagraph"/>
        <w:numPr>
          <w:ilvl w:val="0"/>
          <w:numId w:val="4"/>
        </w:numPr>
        <w:tabs>
          <w:tab w:val="left" w:pos="567"/>
        </w:tabs>
        <w:spacing w:after="120" w:line="240" w:lineRule="atLeast"/>
        <w:ind w:left="1138" w:right="1138" w:firstLine="0"/>
        <w:contextualSpacing w:val="0"/>
        <w:jc w:val="both"/>
      </w:pPr>
      <w:bookmarkStart w:id="7" w:name="_Toc514589518"/>
      <w:bookmarkStart w:id="8" w:name="_Toc514589519"/>
      <w:bookmarkStart w:id="9" w:name="_Toc514589520"/>
      <w:bookmarkStart w:id="10" w:name="_Toc514589521"/>
      <w:bookmarkEnd w:id="7"/>
      <w:bookmarkEnd w:id="8"/>
      <w:bookmarkEnd w:id="9"/>
      <w:bookmarkEnd w:id="10"/>
      <w:r>
        <w:t>En vertu du</w:t>
      </w:r>
      <w:r w:rsidRPr="009D4BFC">
        <w:t xml:space="preserve"> paragraphe 10 de la résolution 35/33</w:t>
      </w:r>
      <w:r>
        <w:t>,</w:t>
      </w:r>
      <w:r w:rsidRPr="009D4BFC">
        <w:t xml:space="preserve"> </w:t>
      </w:r>
      <w:r>
        <w:t>l’EEI</w:t>
      </w:r>
      <w:r w:rsidRPr="009D4BFC">
        <w:t xml:space="preserve"> </w:t>
      </w:r>
      <w:r>
        <w:t xml:space="preserve">doit </w:t>
      </w:r>
      <w:r w:rsidRPr="009D4BFC">
        <w:t xml:space="preserve">communiquer ses conclusions aux autorités judiciaires de la </w:t>
      </w:r>
      <w:r>
        <w:t>RDC</w:t>
      </w:r>
      <w:r w:rsidRPr="009D4BFC">
        <w:t xml:space="preserve"> afin de faire en sorte que les auteurs de crimes soient traduits </w:t>
      </w:r>
      <w:r>
        <w:t>en justice</w:t>
      </w:r>
      <w:r w:rsidRPr="009D4BFC">
        <w:t>.</w:t>
      </w:r>
      <w:r>
        <w:t xml:space="preserve"> C</w:t>
      </w:r>
      <w:r w:rsidRPr="009D4BFC">
        <w:t xml:space="preserve">e rapport ainsi que </w:t>
      </w:r>
      <w:r>
        <w:t>le</w:t>
      </w:r>
      <w:r w:rsidRPr="009D4BFC">
        <w:t xml:space="preserve"> Rapport </w:t>
      </w:r>
      <w:r w:rsidRPr="009D4BFC">
        <w:rPr>
          <w:szCs w:val="18"/>
        </w:rPr>
        <w:t>de l’Equipe d’experts internationaux sur la situation au Kasaï (A/HRC/38/</w:t>
      </w:r>
      <w:r w:rsidRPr="00843764">
        <w:rPr>
          <w:szCs w:val="18"/>
        </w:rPr>
        <w:t>31) ont</w:t>
      </w:r>
      <w:r>
        <w:rPr>
          <w:szCs w:val="18"/>
        </w:rPr>
        <w:t xml:space="preserve"> </w:t>
      </w:r>
      <w:r w:rsidRPr="001C3496">
        <w:t>été</w:t>
      </w:r>
      <w:r w:rsidRPr="004902E3">
        <w:t xml:space="preserve"> transmis aux autorités judiciaires de la </w:t>
      </w:r>
      <w:r>
        <w:t>RDC</w:t>
      </w:r>
      <w:r w:rsidR="009677B5">
        <w:t>.</w:t>
      </w:r>
    </w:p>
    <w:p w14:paraId="2C090787" w14:textId="77777777" w:rsidR="00356488" w:rsidRPr="00C17129" w:rsidRDefault="00356488" w:rsidP="00E16064">
      <w:pPr>
        <w:pStyle w:val="ListParagraph"/>
        <w:numPr>
          <w:ilvl w:val="0"/>
          <w:numId w:val="4"/>
        </w:numPr>
        <w:tabs>
          <w:tab w:val="left" w:pos="567"/>
        </w:tabs>
        <w:spacing w:after="120" w:line="240" w:lineRule="atLeast"/>
        <w:ind w:left="1138" w:right="1138" w:firstLine="0"/>
        <w:contextualSpacing w:val="0"/>
        <w:jc w:val="both"/>
      </w:pPr>
      <w:r w:rsidRPr="00C17129">
        <w:t>Pour préserver le droit à présomption d’innocence, l’EEI n’a pas publié la liste des auteurs présumés qu’elle a pu identifier grâce à son travail d’enquête. Cette liste confidentielle a été remise au Haut-Commissaire des Nations Unies aux droits de l’homme, qui en est le gardien.</w:t>
      </w:r>
    </w:p>
    <w:p w14:paraId="71729431" w14:textId="4BC5DE7A" w:rsidR="00356488" w:rsidRPr="00C817F6" w:rsidRDefault="00356488" w:rsidP="00E50830">
      <w:pPr>
        <w:pStyle w:val="Heading1"/>
        <w:spacing w:before="360" w:after="240" w:line="300" w:lineRule="exact"/>
        <w:ind w:left="1124" w:right="1138" w:hanging="273"/>
      </w:pPr>
      <w:bookmarkStart w:id="11" w:name="_Toc516472966"/>
      <w:bookmarkStart w:id="12" w:name="_Toc515370294"/>
      <w:bookmarkStart w:id="13" w:name="_Toc518027515"/>
      <w:r w:rsidRPr="00C817F6">
        <w:lastRenderedPageBreak/>
        <w:t>Coopération avec l’EEI</w:t>
      </w:r>
      <w:bookmarkEnd w:id="11"/>
      <w:bookmarkEnd w:id="12"/>
      <w:bookmarkEnd w:id="13"/>
    </w:p>
    <w:p w14:paraId="53AC06F3" w14:textId="375A0D3C"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pPr>
      <w:r w:rsidRPr="00C17129">
        <w:t xml:space="preserve">L’EEI remercie la RDC pour sa coopération et pour lui avoir facilité ses visites et l’accès au pays. Elle étend ses remerciements à la MONUSCO </w:t>
      </w:r>
      <w:r w:rsidRPr="00AA00C4">
        <w:t>pour son soutien</w:t>
      </w:r>
      <w:r>
        <w:t xml:space="preserve">, et </w:t>
      </w:r>
      <w:r w:rsidRPr="00C17129">
        <w:t>aux organes et fonds des Nations Unies, en particulier le HCDH</w:t>
      </w:r>
      <w:r>
        <w:t xml:space="preserve"> et ONU Femmes</w:t>
      </w:r>
      <w:r w:rsidRPr="00C17129">
        <w:t>, ainsi qu’aux organisations gouvernementales et non-gouvernementales pour leur coopération. Elle remercie surtout les victimes et témoins qui ont accepté de part</w:t>
      </w:r>
      <w:r w:rsidR="009677B5">
        <w:t>ager leur expérience avec elle.</w:t>
      </w:r>
    </w:p>
    <w:p w14:paraId="09936887" w14:textId="1717E873" w:rsidR="00356488" w:rsidRPr="00C817F6" w:rsidRDefault="00356488" w:rsidP="00E50830">
      <w:pPr>
        <w:pStyle w:val="Heading1"/>
        <w:spacing w:before="360" w:after="240" w:line="300" w:lineRule="exact"/>
        <w:ind w:left="1124" w:right="1138" w:hanging="273"/>
      </w:pPr>
      <w:bookmarkStart w:id="14" w:name="_Toc516472967"/>
      <w:bookmarkStart w:id="15" w:name="_Toc515370295"/>
      <w:bookmarkStart w:id="16" w:name="_Toc518027516"/>
      <w:r w:rsidRPr="00C817F6">
        <w:t>Méthodologie</w:t>
      </w:r>
      <w:bookmarkEnd w:id="14"/>
      <w:bookmarkEnd w:id="15"/>
      <w:bookmarkEnd w:id="16"/>
      <w:r w:rsidRPr="00C817F6">
        <w:t xml:space="preserve"> </w:t>
      </w:r>
    </w:p>
    <w:p w14:paraId="771DCB1F" w14:textId="35011172" w:rsidR="00356488" w:rsidRPr="00FE5E8D" w:rsidRDefault="00356488" w:rsidP="00E50830">
      <w:pPr>
        <w:pStyle w:val="Heading2"/>
        <w:spacing w:before="360" w:line="270" w:lineRule="exact"/>
        <w:ind w:left="1138" w:right="1138" w:hanging="571"/>
        <w:rPr>
          <w:sz w:val="24"/>
          <w:szCs w:val="24"/>
          <w:lang w:val="fr-FR"/>
        </w:rPr>
      </w:pPr>
      <w:bookmarkStart w:id="17" w:name="_Toc516472968"/>
      <w:bookmarkStart w:id="18" w:name="_Toc515370296"/>
      <w:bookmarkStart w:id="19" w:name="_Toc518027517"/>
      <w:r w:rsidRPr="00FE5E8D">
        <w:rPr>
          <w:sz w:val="24"/>
          <w:szCs w:val="24"/>
          <w:lang w:val="fr-FR"/>
        </w:rPr>
        <w:t>Principes généraux</w:t>
      </w:r>
      <w:bookmarkEnd w:id="17"/>
      <w:bookmarkEnd w:id="18"/>
      <w:bookmarkEnd w:id="19"/>
    </w:p>
    <w:p w14:paraId="4D065A6C" w14:textId="6A443E61"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pPr>
      <w:r w:rsidRPr="00C17129">
        <w:t xml:space="preserve">L’EEI a collecté des informations auprès de nombreuses sources. </w:t>
      </w:r>
      <w:r>
        <w:t>L’EEI</w:t>
      </w:r>
      <w:r w:rsidRPr="00C17129">
        <w:t xml:space="preserve"> a </w:t>
      </w:r>
      <w:r>
        <w:t xml:space="preserve">d’abord </w:t>
      </w:r>
      <w:r w:rsidRPr="00C17129">
        <w:t>collecté une partie importante de la documentation existante sur la vague de violence au Kasaï depuis 2016. Cette documentation, qualifiée de source secondaire parce qu’elle n’a pas été directement recueillie par l’EEI, comprend des rapports et documents de la MONUSCO ainsi qu</w:t>
      </w:r>
      <w:r>
        <w:t>e d</w:t>
      </w:r>
      <w:r w:rsidRPr="00C17129">
        <w:t>’organes, fonds et programmes des Nations Unies, d’organisations gouvernementales et non-gouvernementales, d’instituts de recherche, et de toute autre entité que l’EEI a jugé crédible et fiable dans sa</w:t>
      </w:r>
      <w:r>
        <w:t xml:space="preserve"> méthodologie et sa</w:t>
      </w:r>
      <w:r w:rsidRPr="00C17129">
        <w:t xml:space="preserve"> documentation de la situation </w:t>
      </w:r>
      <w:r>
        <w:t>des droits de l’homme au Kasaï.</w:t>
      </w:r>
    </w:p>
    <w:p w14:paraId="07C7CC50" w14:textId="77777777"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pPr>
      <w:r>
        <w:t>L’EEI</w:t>
      </w:r>
      <w:r w:rsidRPr="009D4BFC">
        <w:t xml:space="preserve"> a également</w:t>
      </w:r>
      <w:r w:rsidRPr="00C17129">
        <w:t xml:space="preserve"> directement recueilli des informations auprès des sources primaires suivantes :</w:t>
      </w:r>
    </w:p>
    <w:p w14:paraId="16F5BBD5" w14:textId="508B7A15" w:rsidR="00356488" w:rsidRPr="00C17129" w:rsidRDefault="00356488" w:rsidP="007A1810">
      <w:pPr>
        <w:pStyle w:val="BodyText"/>
        <w:numPr>
          <w:ilvl w:val="0"/>
          <w:numId w:val="10"/>
        </w:numPr>
        <w:tabs>
          <w:tab w:val="left" w:pos="1559"/>
          <w:tab w:val="left" w:pos="1984"/>
          <w:tab w:val="left" w:leader="dot" w:pos="7654"/>
          <w:tab w:val="right" w:pos="8929"/>
        </w:tabs>
        <w:spacing w:line="240" w:lineRule="atLeast"/>
        <w:ind w:right="1138"/>
      </w:pPr>
      <w:r>
        <w:t>d</w:t>
      </w:r>
      <w:r w:rsidRPr="00C17129">
        <w:t xml:space="preserve">es témoignages </w:t>
      </w:r>
      <w:r w:rsidR="009677B5">
        <w:t>de victimes d’actes de violence</w:t>
      </w:r>
      <w:r w:rsidRPr="00C17129">
        <w:t>, de témoins oculaires, de membres de la famille ou des connaissances proches des victimes ayant des informations directes sur les incidents en question ;</w:t>
      </w:r>
    </w:p>
    <w:p w14:paraId="6C3398A4" w14:textId="0B99C310" w:rsidR="00356488" w:rsidRPr="00C17129" w:rsidRDefault="00356488" w:rsidP="007A1810">
      <w:pPr>
        <w:pStyle w:val="BodyText"/>
        <w:numPr>
          <w:ilvl w:val="0"/>
          <w:numId w:val="10"/>
        </w:numPr>
        <w:tabs>
          <w:tab w:val="left" w:pos="1559"/>
          <w:tab w:val="left" w:pos="1984"/>
          <w:tab w:val="left" w:leader="dot" w:pos="7654"/>
          <w:tab w:val="right" w:pos="8929"/>
        </w:tabs>
        <w:spacing w:line="240" w:lineRule="atLeast"/>
        <w:ind w:right="1138"/>
      </w:pPr>
      <w:r>
        <w:t>d</w:t>
      </w:r>
      <w:r w:rsidRPr="00C17129">
        <w:t>es témoignages d’autres personnes ayant des informations directes et fi</w:t>
      </w:r>
      <w:r w:rsidR="009677B5">
        <w:t>ables sur des actes de violence</w:t>
      </w:r>
      <w:r w:rsidRPr="00C17129">
        <w:t>, ou sur les circonstances dans lesquelles ils ont été commis ou commandités ;</w:t>
      </w:r>
    </w:p>
    <w:p w14:paraId="1273C99C" w14:textId="77777777" w:rsidR="00356488" w:rsidRPr="00C17129" w:rsidRDefault="00356488" w:rsidP="007A1810">
      <w:pPr>
        <w:pStyle w:val="BodyText"/>
        <w:numPr>
          <w:ilvl w:val="0"/>
          <w:numId w:val="10"/>
        </w:numPr>
        <w:tabs>
          <w:tab w:val="left" w:pos="1559"/>
          <w:tab w:val="left" w:pos="1984"/>
          <w:tab w:val="left" w:leader="dot" w:pos="7654"/>
          <w:tab w:val="right" w:pos="8929"/>
        </w:tabs>
        <w:spacing w:line="240" w:lineRule="atLeast"/>
        <w:ind w:right="1138"/>
      </w:pPr>
      <w:r>
        <w:t>d</w:t>
      </w:r>
      <w:r w:rsidRPr="00C17129">
        <w:t>es images satellites, des photos, vidéos et documents audio provenant de sources fiables et que l’EEI a été en mesure d’authentifier ;</w:t>
      </w:r>
    </w:p>
    <w:p w14:paraId="7F0A2D3A" w14:textId="77777777" w:rsidR="00356488" w:rsidRPr="00C17129" w:rsidRDefault="00356488" w:rsidP="007A1810">
      <w:pPr>
        <w:pStyle w:val="BodyText"/>
        <w:numPr>
          <w:ilvl w:val="0"/>
          <w:numId w:val="10"/>
        </w:numPr>
        <w:tabs>
          <w:tab w:val="left" w:pos="1559"/>
          <w:tab w:val="left" w:pos="1984"/>
          <w:tab w:val="left" w:leader="dot" w:pos="7654"/>
          <w:tab w:val="right" w:pos="8929"/>
        </w:tabs>
        <w:spacing w:line="240" w:lineRule="atLeast"/>
        <w:ind w:right="1138"/>
      </w:pPr>
      <w:r>
        <w:t>d</w:t>
      </w:r>
      <w:r w:rsidRPr="00C17129">
        <w:t>es documents qui appuient les témoignages directs, tels que des documents médicaux attestant de blessures des victimes, des correspondances, des copies de jugements ou d’autres documents découlant de procédures judiciaires ;</w:t>
      </w:r>
    </w:p>
    <w:p w14:paraId="4475F5D1" w14:textId="4CAA4528" w:rsidR="00356488" w:rsidRPr="00C17129" w:rsidRDefault="00356488" w:rsidP="007A1810">
      <w:pPr>
        <w:pStyle w:val="BodyText"/>
        <w:numPr>
          <w:ilvl w:val="0"/>
          <w:numId w:val="10"/>
        </w:numPr>
        <w:tabs>
          <w:tab w:val="left" w:pos="1559"/>
          <w:tab w:val="left" w:pos="1984"/>
          <w:tab w:val="left" w:leader="dot" w:pos="7654"/>
          <w:tab w:val="right" w:pos="8929"/>
        </w:tabs>
        <w:spacing w:line="240" w:lineRule="atLeast"/>
        <w:ind w:right="1138"/>
      </w:pPr>
      <w:r>
        <w:t>d</w:t>
      </w:r>
      <w:r w:rsidRPr="00C17129">
        <w:t>es déclarations d’auteu</w:t>
      </w:r>
      <w:r w:rsidR="009677B5">
        <w:t>rs présumés d’actes de violence</w:t>
      </w:r>
      <w:r w:rsidRPr="00C17129">
        <w:t xml:space="preserve"> ;</w:t>
      </w:r>
    </w:p>
    <w:p w14:paraId="7C64348E" w14:textId="77777777" w:rsidR="00356488" w:rsidRPr="00C17129" w:rsidRDefault="00356488" w:rsidP="007A1810">
      <w:pPr>
        <w:pStyle w:val="BodyText"/>
        <w:numPr>
          <w:ilvl w:val="0"/>
          <w:numId w:val="10"/>
        </w:numPr>
        <w:tabs>
          <w:tab w:val="left" w:pos="1559"/>
          <w:tab w:val="left" w:pos="1984"/>
          <w:tab w:val="left" w:leader="dot" w:pos="7654"/>
          <w:tab w:val="right" w:pos="8929"/>
        </w:tabs>
        <w:spacing w:line="240" w:lineRule="atLeast"/>
        <w:ind w:right="1138"/>
      </w:pPr>
      <w:r>
        <w:t>d</w:t>
      </w:r>
      <w:r w:rsidRPr="00C17129">
        <w:t>es informations publiques et officielles, telles que les lois, règlements, directives, déclarations, ainsi que tout document officiel pertinent du Gouvernement de la RDC.</w:t>
      </w:r>
    </w:p>
    <w:p w14:paraId="2B411F6D" w14:textId="7F0E4AD1"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pPr>
      <w:r w:rsidRPr="00C17129">
        <w:t xml:space="preserve">L’EEI, par le biais de son secrétariat basé à Kananga, a </w:t>
      </w:r>
      <w:r w:rsidRPr="00CD54AC">
        <w:t xml:space="preserve">conduit </w:t>
      </w:r>
      <w:r w:rsidRPr="00C817F6">
        <w:t>524</w:t>
      </w:r>
      <w:r w:rsidRPr="00CD54AC">
        <w:t xml:space="preserve"> entretiens</w:t>
      </w:r>
      <w:r w:rsidRPr="00C17129">
        <w:t xml:space="preserve"> avec des victimes, des témoins, des auteurs présumés</w:t>
      </w:r>
      <w:r w:rsidRPr="007F1170">
        <w:rPr>
          <w:rStyle w:val="FootnoteReference"/>
        </w:rPr>
        <w:footnoteReference w:id="6"/>
      </w:r>
      <w:r w:rsidRPr="00C17129">
        <w:t xml:space="preserve"> et d’autres sources au cours de missions dans les provinces du Kasaï, Kasaï Central, Kasaï Oriental et </w:t>
      </w:r>
      <w:r w:rsidRPr="00925707">
        <w:t>d</w:t>
      </w:r>
      <w:r w:rsidR="00EB1126">
        <w:t>e</w:t>
      </w:r>
      <w:r w:rsidRPr="00C17129">
        <w:t xml:space="preserve"> Lomami ainsi que dans les villes de Kinshasa et Kikwit.</w:t>
      </w:r>
    </w:p>
    <w:p w14:paraId="7C5F6B8A" w14:textId="77777777"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pPr>
      <w:r w:rsidRPr="00C817F6">
        <w:t>L’EEI a mis en place des procédures conformes aux meilleures pratiques en matière de protection des témoins.</w:t>
      </w:r>
      <w:r w:rsidRPr="00A6140B">
        <w:t xml:space="preserve"> Pour chaque entretien, la sécurité du témoin a été évaluée afin de prendre les mesures nécessaires pour éviter de faire courir tout risque à la personne </w:t>
      </w:r>
      <w:r>
        <w:lastRenderedPageBreak/>
        <w:t>rencontrée</w:t>
      </w:r>
      <w:r w:rsidRPr="00C817F6">
        <w:t xml:space="preserve">. Par exemple, les lieux d’entretien ont été sélectionnés de façon à protéger la vie privée et les entretiens conduits de manière individuelle et en toute confidentialité. Dans certains cas, </w:t>
      </w:r>
      <w:r w:rsidRPr="00A6140B">
        <w:t xml:space="preserve">l’EEI a décidé du déplacement de témoins vers des endroits plus sécurisés afin de les interroger. Toutefois, </w:t>
      </w:r>
      <w:r w:rsidRPr="00CF2CF2">
        <w:t xml:space="preserve">la capacité limitée d’offrir une protection appropriée a </w:t>
      </w:r>
      <w:r>
        <w:t xml:space="preserve">parfois </w:t>
      </w:r>
      <w:r w:rsidRPr="00C817F6">
        <w:t xml:space="preserve">conduit l’EEI à devoir renoncer à </w:t>
      </w:r>
      <w:r>
        <w:t>recueillir le témoignage de certaines personnes afin de</w:t>
      </w:r>
      <w:r w:rsidRPr="00C817F6">
        <w:t xml:space="preserve"> ne pas les </w:t>
      </w:r>
      <w:r w:rsidRPr="00C17129">
        <w:t>exposer au</w:t>
      </w:r>
      <w:r w:rsidRPr="00C817F6">
        <w:t xml:space="preserve"> danger. </w:t>
      </w:r>
      <w:r w:rsidRPr="00C17129">
        <w:t>Dans un souci de protection des victimes et des témoins avec lesquels elle s’est entretenue, l’EEI a décidé de ne pas mentionner dans le rapport le</w:t>
      </w:r>
      <w:r>
        <w:t>urs</w:t>
      </w:r>
      <w:r w:rsidRPr="00C17129">
        <w:t xml:space="preserve"> nom</w:t>
      </w:r>
      <w:r>
        <w:t>s</w:t>
      </w:r>
      <w:r w:rsidRPr="00C17129">
        <w:t xml:space="preserve"> et les détails qui permettraient leur identification.</w:t>
      </w:r>
    </w:p>
    <w:p w14:paraId="73AD9041" w14:textId="1DECBB76"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pPr>
      <w:r w:rsidRPr="00C17129">
        <w:t>L’EEI a rencontré un certain nombre de difficultés à la conduite efficace de ses enquêtes. Elle a relevé des réticences de la part de certains témoi</w:t>
      </w:r>
      <w:r w:rsidR="009677B5">
        <w:t>ns à parler d’actes de violence</w:t>
      </w:r>
      <w:r w:rsidRPr="00C17129">
        <w:t xml:space="preserve"> commis par des forces de défense et de sécurité. Par ailleurs, l’EEI a été confronté</w:t>
      </w:r>
      <w:r>
        <w:t>e</w:t>
      </w:r>
      <w:r w:rsidRPr="00C17129">
        <w:t xml:space="preserve"> quotidiennement à des difficultés d’accès aux témoins dues à la grande superficie du territoire à couvrir, au mauvais état des routes et à des considérations sécuritaires. L’EEI a également rencontré des retards dans le déploiement des membres du secrétariat sur le terrain.</w:t>
      </w:r>
    </w:p>
    <w:p w14:paraId="64840905" w14:textId="77777777"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pPr>
      <w:r w:rsidRPr="00C17129">
        <w:t xml:space="preserve">Devant l’ampleur des violences au Kasaï, l’EEI a adopté une stratégie visant à ne documenter que </w:t>
      </w:r>
      <w:r>
        <w:t>d</w:t>
      </w:r>
      <w:r w:rsidRPr="00C17129">
        <w:t>es incidents graves et emblématiques des différentes phases temporelles et géographiques de la crise. Cette stratégie a pris en compte des critères tels</w:t>
      </w:r>
      <w:r w:rsidRPr="009D4BFC">
        <w:t xml:space="preserve"> que</w:t>
      </w:r>
      <w:r w:rsidRPr="00C17129">
        <w:t xml:space="preserve"> la nature des violences, le nombre de victimes, la manière dont les violences ont été commises ainsi que leur impact. L’objectif poursuivi par cette stratégie de sélection a été de présenter une liste d’incidents représentatifs de la crise qui touche le Kasaï depuis 2016 afin d’offrir une vision la plus objective et compréhensive possible.</w:t>
      </w:r>
      <w:r>
        <w:t xml:space="preserve"> Le présent rapport ne reflète donc qu’une petite partie des actes et des crimes commis.</w:t>
      </w:r>
    </w:p>
    <w:p w14:paraId="385AE4F3" w14:textId="4693F57A"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pPr>
      <w:r w:rsidRPr="00C17129">
        <w:t xml:space="preserve">Les conclusions de l’EEI démontrent que de très nombreuses personnes ont perdu la vie </w:t>
      </w:r>
      <w:r w:rsidR="009677B5">
        <w:t>en raison des actes de violence</w:t>
      </w:r>
      <w:r w:rsidRPr="00C17129">
        <w:t>. Il serait illusoire de vouloir chiffrer de manière définitive le nombre de victimes de ces violences depuis 2016. Comprendre et expliquer, plutôt que chiffrer, a semblé être le moyen le plus efficace de prévenir la récurrence des violences et de s’assurer que la question de l’impunité pour les auteurs des violations et des crimes soit adressée.</w:t>
      </w:r>
    </w:p>
    <w:p w14:paraId="120E19D8" w14:textId="773956C6"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pPr>
      <w:r w:rsidRPr="00C17129">
        <w:t xml:space="preserve">Les enquêtes menées par l’EEI ont confirmé l’existence d’un grand nombre de fosses communes au Kasaï. Dans la mesure du possible, celles-ci ont été localisées afin de faciliter de futures </w:t>
      </w:r>
      <w:r w:rsidR="009677B5">
        <w:t>proc</w:t>
      </w:r>
      <w:r w:rsidR="009677B5" w:rsidRPr="00C17129">
        <w:t>é</w:t>
      </w:r>
      <w:r w:rsidR="009677B5">
        <w:t>dur</w:t>
      </w:r>
      <w:r w:rsidRPr="00C17129">
        <w:t xml:space="preserve">es judiciaires. Toutefois, l’EEI considère qu’elle n’a ni le mandat ni les ressources </w:t>
      </w:r>
      <w:r w:rsidRPr="009D4BFC">
        <w:t xml:space="preserve">techniques </w:t>
      </w:r>
      <w:r w:rsidRPr="00C17129">
        <w:t>pour conduire des exhumations et/ou des examens de médecine légale. L’EEI a donc fait le choix de concentrer son travail d’enquête</w:t>
      </w:r>
      <w:r w:rsidR="009677B5">
        <w:t xml:space="preserve"> sur le recueil de témoignages.</w:t>
      </w:r>
    </w:p>
    <w:p w14:paraId="42022599" w14:textId="2510CA48" w:rsidR="00356488" w:rsidRPr="00FE5E8D" w:rsidRDefault="00356488" w:rsidP="00E50830">
      <w:pPr>
        <w:pStyle w:val="Heading2"/>
        <w:spacing w:before="360" w:line="270" w:lineRule="exact"/>
        <w:ind w:left="1138" w:right="1138" w:hanging="571"/>
        <w:rPr>
          <w:sz w:val="24"/>
          <w:szCs w:val="24"/>
          <w:lang w:val="fr-FR"/>
        </w:rPr>
      </w:pPr>
      <w:bookmarkStart w:id="20" w:name="_Toc515370297"/>
      <w:bookmarkStart w:id="21" w:name="_Toc516472969"/>
      <w:bookmarkStart w:id="22" w:name="_Toc518027518"/>
      <w:r w:rsidRPr="00FE5E8D">
        <w:rPr>
          <w:sz w:val="24"/>
          <w:szCs w:val="24"/>
          <w:lang w:val="fr-FR"/>
        </w:rPr>
        <w:t>Méthodologie de documentation des violences sexuelles</w:t>
      </w:r>
      <w:bookmarkEnd w:id="20"/>
      <w:r w:rsidRPr="00FE5E8D">
        <w:rPr>
          <w:sz w:val="24"/>
          <w:szCs w:val="24"/>
          <w:lang w:val="fr-FR"/>
        </w:rPr>
        <w:t xml:space="preserve"> et basées sur le genre</w:t>
      </w:r>
      <w:bookmarkEnd w:id="21"/>
      <w:bookmarkEnd w:id="22"/>
    </w:p>
    <w:p w14:paraId="676925E9" w14:textId="2B4D3E4D" w:rsidR="00356488" w:rsidRPr="00925707" w:rsidRDefault="00356488" w:rsidP="00E16064">
      <w:pPr>
        <w:pStyle w:val="BodyText"/>
        <w:tabs>
          <w:tab w:val="left" w:pos="1559"/>
          <w:tab w:val="left" w:pos="1984"/>
          <w:tab w:val="left" w:leader="dot" w:pos="7654"/>
          <w:tab w:val="right" w:pos="8929"/>
        </w:tabs>
        <w:spacing w:line="240" w:lineRule="atLeast"/>
        <w:ind w:left="1138" w:right="1138" w:firstLine="0"/>
      </w:pPr>
      <w:r>
        <w:t>L’EEI</w:t>
      </w:r>
      <w:r w:rsidRPr="00925707">
        <w:t xml:space="preserve"> a intégré une perspective</w:t>
      </w:r>
      <w:r w:rsidR="00A00A7A">
        <w:t xml:space="preserve"> </w:t>
      </w:r>
      <w:r w:rsidR="001F5B4E">
        <w:t>sexosp</w:t>
      </w:r>
      <w:r w:rsidR="001F5B4E" w:rsidRPr="00925707">
        <w:t>é</w:t>
      </w:r>
      <w:r w:rsidR="001F5B4E">
        <w:t>cifique</w:t>
      </w:r>
      <w:r w:rsidRPr="00925707">
        <w:t xml:space="preserve"> dans l’ensemble de son travail et a porté une attention particulière aux allégations de violences sexuelles et basées sur le genre, notamment à l’égard des femmes et des filles. Elle a également pris en considération la dimension genre dans son analyse des autres crimes et violations commis ainsi que sur les effets </w:t>
      </w:r>
      <w:r w:rsidRPr="00C17129">
        <w:t>que l’ensemble de ceux-ci</w:t>
      </w:r>
      <w:r w:rsidRPr="00925707">
        <w:t xml:space="preserve"> avaient en fonction des victimes et de leur sexe. Elle a aussi tenu compte des problèmes spécifiques qui pouvaient survenir dans les enquêtes sur des allégations de violences sexuelles visant aussi bien les femmes et filles que les hommes et garçons. A cette fin, </w:t>
      </w:r>
      <w:r>
        <w:t>l’EEI</w:t>
      </w:r>
      <w:r w:rsidRPr="00925707">
        <w:t xml:space="preserve"> s’est adjoint les services d’une spécialiste des questions de genre / enquêtrice sur les violences sexuelles et basées sur le genre fournie par ONU Femmes, l’entité des Nations Unies consacrée à l’égalité des sexes et à l’autonomisation des femmes.</w:t>
      </w:r>
    </w:p>
    <w:p w14:paraId="47E058D9" w14:textId="67978360" w:rsidR="00356488" w:rsidRPr="00925707" w:rsidRDefault="00356488" w:rsidP="00E16064">
      <w:pPr>
        <w:pStyle w:val="BodyText"/>
        <w:tabs>
          <w:tab w:val="left" w:pos="1559"/>
          <w:tab w:val="left" w:pos="1984"/>
          <w:tab w:val="left" w:leader="dot" w:pos="7654"/>
          <w:tab w:val="right" w:pos="8929"/>
        </w:tabs>
        <w:spacing w:line="240" w:lineRule="atLeast"/>
        <w:ind w:left="1138" w:right="1138" w:firstLine="0"/>
      </w:pPr>
      <w:r>
        <w:lastRenderedPageBreak/>
        <w:t>L’EEI</w:t>
      </w:r>
      <w:r w:rsidRPr="00925707">
        <w:t xml:space="preserve"> a apporté une grande attention aux violences sexuelles et basées sur le genre qui demeurent un élément central des évènements qui se déroulent dans les provinces du Kasaï depuis 2016 et a adopté une méthodologie de travail et de documentation adaptée. Elle s’est également informée sur les traditions et coutumes qui tiennent une place importante dans la région du Kasaï et leur incidence sur la perception du genre dans la société kasaïenne afin de mieux appréhender la signification de certains comportements, l</w:t>
      </w:r>
      <w:r w:rsidR="009677B5">
        <w:t>es violations et crimes observé</w:t>
      </w:r>
      <w:r w:rsidRPr="00925707">
        <w:t>s et leurs conséquences sur les personnes et les communautés. Cela a notamment été rendu possible grâce à des entretiens avec des représentantes d’organisations et de réseaux de femmes, des personnes travaillant pour des organisations de support médical et psychologique aux victimes de violences sexuelles et des représentants d’organisations sur le terrain.</w:t>
      </w:r>
    </w:p>
    <w:p w14:paraId="04BD6AAE" w14:textId="7DA7144C"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pPr>
      <w:r w:rsidRPr="00925707">
        <w:t>Les informations recueillies laissent apparaitre que les femmes, avec les enfants</w:t>
      </w:r>
      <w:r w:rsidRPr="0049283E">
        <w:t xml:space="preserve">, </w:t>
      </w:r>
      <w:r>
        <w:t>sont</w:t>
      </w:r>
      <w:r w:rsidRPr="00925707">
        <w:t xml:space="preserve"> les principales victimes directes et indirectes des violences qui se sont produites au Kasaï depuis 2016. </w:t>
      </w:r>
      <w:r>
        <w:t>L’EEI</w:t>
      </w:r>
      <w:r w:rsidRPr="00925707">
        <w:t xml:space="preserve"> a eu recours à un réseau d’intermédiaires, y compris des réseaux de femmes, afin d’avoir accès aux victimes et/ou témoins de violences sexuelles et de pouvoir les rencontrer de manière confidentielle. Elle a également travaillé avec des organisations spécialisées dans la prise en charge des victimes de violences sexuelles afin de s’assurer dans la mesure du possible d’une prise en charge notamment médicale et psychologique des survivantes. Les arrangements de sécurité adoptés ont pris en compte des considérations liées au genre, à l’âge et aux besoins des victimes, notamment des survivantes et survivants de violences sexuelles, afin que les lieux d’entretiens offrent toutes les conditions </w:t>
      </w:r>
      <w:r w:rsidR="009677B5">
        <w:t>propices de confort et sécurité</w:t>
      </w:r>
      <w:r w:rsidRPr="00925707">
        <w:t xml:space="preserve"> pour ces personnes. </w:t>
      </w:r>
      <w:r>
        <w:t>De même, l</w:t>
      </w:r>
      <w:r w:rsidRPr="0049283E">
        <w:t>es</w:t>
      </w:r>
      <w:r w:rsidRPr="00925707">
        <w:t xml:space="preserve"> lieux des entretiens ont été choisis afin de répondre à des soucis de confidentialité et de sécurité et les enquêteurs ont utilisé des méthodes prenant en compte l’âge, des considérations de genre et la fragilité des personnes rencontrées.</w:t>
      </w:r>
      <w:r>
        <w:t xml:space="preserve"> </w:t>
      </w:r>
      <w:r w:rsidR="009677B5">
        <w:t>L’EEI</w:t>
      </w:r>
      <w:r w:rsidRPr="0049283E">
        <w:t xml:space="preserve"> a également eu recours aux services d’interprètes hommes et femmes ayant de l’expérience dans l’interprétariat auprès de survivants de violences sexuelles et basées sur le genre et de victimes fragiles. </w:t>
      </w:r>
      <w:r w:rsidRPr="00925707">
        <w:t>Un glossaire de termes en français, anglais, swahili, lingala et tshiluba ayant trait aux violences sexuelles a été constitué et mis</w:t>
      </w:r>
      <w:r w:rsidR="009677B5">
        <w:t xml:space="preserve"> à disposition des interprètes.</w:t>
      </w:r>
    </w:p>
    <w:p w14:paraId="71B253A0" w14:textId="108FB5A8" w:rsidR="00356488" w:rsidRPr="00FE5E8D" w:rsidRDefault="00356488" w:rsidP="00E50830">
      <w:pPr>
        <w:pStyle w:val="Heading2"/>
        <w:spacing w:before="360" w:line="270" w:lineRule="exact"/>
        <w:ind w:left="1138" w:right="1138" w:hanging="571"/>
        <w:rPr>
          <w:sz w:val="24"/>
          <w:szCs w:val="24"/>
          <w:lang w:val="fr-FR"/>
        </w:rPr>
      </w:pPr>
      <w:bookmarkStart w:id="23" w:name="_Toc516472970"/>
      <w:bookmarkStart w:id="24" w:name="_Toc515370298"/>
      <w:bookmarkStart w:id="25" w:name="_Toc518027519"/>
      <w:r w:rsidRPr="00FE5E8D">
        <w:rPr>
          <w:sz w:val="24"/>
          <w:szCs w:val="24"/>
          <w:lang w:val="fr-FR"/>
        </w:rPr>
        <w:t>Méthodologie de documentation des violences et crimes commis contre les enfants</w:t>
      </w:r>
      <w:bookmarkEnd w:id="23"/>
      <w:bookmarkEnd w:id="24"/>
      <w:bookmarkEnd w:id="25"/>
    </w:p>
    <w:p w14:paraId="613F06BA" w14:textId="00701F85"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rPr>
          <w:shd w:val="clear" w:color="auto" w:fill="FFFFFF"/>
        </w:rPr>
      </w:pPr>
      <w:r w:rsidRPr="00C17129">
        <w:rPr>
          <w:shd w:val="clear" w:color="auto" w:fill="FFFFFF"/>
        </w:rPr>
        <w:t xml:space="preserve">L’EEI a également apporté une attention particulière aux violences </w:t>
      </w:r>
      <w:r w:rsidRPr="00E16064">
        <w:t>commises</w:t>
      </w:r>
      <w:r w:rsidRPr="00C17129">
        <w:rPr>
          <w:shd w:val="clear" w:color="auto" w:fill="FFFFFF"/>
        </w:rPr>
        <w:t xml:space="preserve"> contre les enfants et mis en place une méthodologie de documentation adaptée aux b</w:t>
      </w:r>
      <w:r w:rsidR="009677B5">
        <w:rPr>
          <w:shd w:val="clear" w:color="auto" w:fill="FFFFFF"/>
        </w:rPr>
        <w:t>esoins spécifiques des mineurs.</w:t>
      </w:r>
    </w:p>
    <w:p w14:paraId="49F1F319" w14:textId="30B079CA"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rPr>
          <w:shd w:val="clear" w:color="auto" w:fill="FFFFFF"/>
        </w:rPr>
      </w:pPr>
      <w:r w:rsidRPr="00C17129">
        <w:rPr>
          <w:shd w:val="clear" w:color="auto" w:fill="FFFFFF"/>
        </w:rPr>
        <w:t>L’EEI a fait le choix de documenter en pa</w:t>
      </w:r>
      <w:r w:rsidR="009677B5">
        <w:rPr>
          <w:shd w:val="clear" w:color="auto" w:fill="FFFFFF"/>
        </w:rPr>
        <w:t>rticulier les actes de violence</w:t>
      </w:r>
      <w:r w:rsidRPr="00C17129">
        <w:rPr>
          <w:shd w:val="clear" w:color="auto" w:fill="FFFFFF"/>
        </w:rPr>
        <w:t xml:space="preserve"> les plus graves commis </w:t>
      </w:r>
      <w:r w:rsidR="009677B5">
        <w:rPr>
          <w:shd w:val="clear" w:color="auto" w:fill="FFFFFF"/>
        </w:rPr>
        <w:t>contre</w:t>
      </w:r>
      <w:r w:rsidRPr="00C17129">
        <w:rPr>
          <w:shd w:val="clear" w:color="auto" w:fill="FFFFFF"/>
        </w:rPr>
        <w:t xml:space="preserve"> les garçons et filles mineures au Kasaï y compris les six violations et crimes les plus graves faites aux enfants au sens </w:t>
      </w:r>
      <w:r>
        <w:rPr>
          <w:shd w:val="clear" w:color="auto" w:fill="FFFFFF"/>
        </w:rPr>
        <w:t>des</w:t>
      </w:r>
      <w:r w:rsidRPr="00C17129">
        <w:rPr>
          <w:shd w:val="clear" w:color="auto" w:fill="FFFFFF"/>
        </w:rPr>
        <w:t xml:space="preserve"> </w:t>
      </w:r>
      <w:r>
        <w:rPr>
          <w:shd w:val="clear" w:color="auto" w:fill="FFFFFF"/>
        </w:rPr>
        <w:t>r</w:t>
      </w:r>
      <w:r w:rsidRPr="00C17129">
        <w:rPr>
          <w:shd w:val="clear" w:color="auto" w:fill="FFFFFF"/>
        </w:rPr>
        <w:t>ésolution</w:t>
      </w:r>
      <w:r>
        <w:rPr>
          <w:shd w:val="clear" w:color="auto" w:fill="FFFFFF"/>
        </w:rPr>
        <w:t>s</w:t>
      </w:r>
      <w:r w:rsidRPr="00C17129">
        <w:rPr>
          <w:shd w:val="clear" w:color="auto" w:fill="FFFFFF"/>
        </w:rPr>
        <w:t xml:space="preserve"> 1261 et </w:t>
      </w:r>
      <w:r w:rsidRPr="00E16064">
        <w:t>suivantes</w:t>
      </w:r>
      <w:r w:rsidRPr="00C17129">
        <w:rPr>
          <w:shd w:val="clear" w:color="auto" w:fill="FFFFFF"/>
        </w:rPr>
        <w:t xml:space="preserve"> du Conseil de Sécurité</w:t>
      </w:r>
      <w:r>
        <w:rPr>
          <w:shd w:val="clear" w:color="auto" w:fill="FFFFFF"/>
        </w:rPr>
        <w:t xml:space="preserve"> </w:t>
      </w:r>
      <w:r w:rsidRPr="00C17129">
        <w:rPr>
          <w:shd w:val="clear" w:color="auto" w:fill="FFFFFF"/>
        </w:rPr>
        <w:t>: le meurtre et les mutilations d’enfants, le recrutement et l’utilisation d’enfants, les viol</w:t>
      </w:r>
      <w:r>
        <w:rPr>
          <w:shd w:val="clear" w:color="auto" w:fill="FFFFFF"/>
        </w:rPr>
        <w:t xml:space="preserve">ences </w:t>
      </w:r>
      <w:r w:rsidRPr="00C17129">
        <w:rPr>
          <w:shd w:val="clear" w:color="auto" w:fill="FFFFFF"/>
        </w:rPr>
        <w:t xml:space="preserve">sexuelles </w:t>
      </w:r>
      <w:r>
        <w:rPr>
          <w:shd w:val="clear" w:color="auto" w:fill="FFFFFF"/>
        </w:rPr>
        <w:t>faites aux enfants</w:t>
      </w:r>
      <w:r w:rsidRPr="00C17129">
        <w:rPr>
          <w:shd w:val="clear" w:color="auto" w:fill="FFFFFF"/>
        </w:rPr>
        <w:t>, l’enlèvement d’enfants</w:t>
      </w:r>
      <w:r>
        <w:rPr>
          <w:shd w:val="clear" w:color="auto" w:fill="FFFFFF"/>
        </w:rPr>
        <w:t>, et dans une moindre mesure, les attaques contre les écoles et les hôpitaux et le déni d’accès à l’aide humanitaire</w:t>
      </w:r>
      <w:r w:rsidRPr="007F1170">
        <w:rPr>
          <w:rStyle w:val="FootnoteReference"/>
        </w:rPr>
        <w:footnoteReference w:id="7"/>
      </w:r>
      <w:r w:rsidRPr="00C17129">
        <w:rPr>
          <w:shd w:val="clear" w:color="auto" w:fill="FFFFFF"/>
        </w:rPr>
        <w:t xml:space="preserve">. Il est important de souligner que les enfants ont également été des instruments de la violence, contraints de commettre des violations et atteintes aux droits de l’homme et des crimes, notamment des </w:t>
      </w:r>
      <w:r>
        <w:rPr>
          <w:shd w:val="clear" w:color="auto" w:fill="FFFFFF"/>
        </w:rPr>
        <w:t>meurtres</w:t>
      </w:r>
      <w:r w:rsidRPr="00C17129">
        <w:rPr>
          <w:shd w:val="clear" w:color="auto" w:fill="FFFFFF"/>
        </w:rPr>
        <w:t>.</w:t>
      </w:r>
    </w:p>
    <w:p w14:paraId="6207E4A4" w14:textId="77777777"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rPr>
          <w:shd w:val="clear" w:color="auto" w:fill="FFFFFF"/>
        </w:rPr>
      </w:pPr>
      <w:r w:rsidRPr="00C17129">
        <w:rPr>
          <w:shd w:val="clear" w:color="auto" w:fill="FFFFFF"/>
        </w:rPr>
        <w:lastRenderedPageBreak/>
        <w:t xml:space="preserve">Concernant la stratégie de collecte d’informations, l’EEI a d’abord conduit une analyse des sources secondaires disponibles </w:t>
      </w:r>
      <w:r w:rsidRPr="00E16064">
        <w:t>portant</w:t>
      </w:r>
      <w:r w:rsidRPr="00C17129">
        <w:rPr>
          <w:shd w:val="clear" w:color="auto" w:fill="FFFFFF"/>
        </w:rPr>
        <w:t xml:space="preserve"> sur la situation des filles et garçons affectés par les violences commises dans les provinces du Kasaï depuis 2016. Pour déterminer les sources considérées comme crédibles et fiables, l’EEI a porté une attention particulière à la démonstration par ces sources d’une connaissance de la situation des droits de l’enfant au Kasaï. Cela a permis une meilleure compréhension du contexte socio-culturel et notamment, de la place de l’enfan</w:t>
      </w:r>
      <w:r>
        <w:rPr>
          <w:shd w:val="clear" w:color="auto" w:fill="FFFFFF"/>
        </w:rPr>
        <w:t>t dans les communautés locales.</w:t>
      </w:r>
    </w:p>
    <w:p w14:paraId="63DB4A42" w14:textId="4E2CC765"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rPr>
          <w:shd w:val="clear" w:color="auto" w:fill="FFFFFF"/>
        </w:rPr>
      </w:pPr>
      <w:r>
        <w:rPr>
          <w:shd w:val="clear" w:color="auto" w:fill="FFFFFF"/>
        </w:rPr>
        <w:t>Pr</w:t>
      </w:r>
      <w:r w:rsidRPr="00C17129">
        <w:rPr>
          <w:shd w:val="clear" w:color="auto" w:fill="FFFFFF"/>
        </w:rPr>
        <w:t xml:space="preserve">iorité a été </w:t>
      </w:r>
      <w:r>
        <w:rPr>
          <w:shd w:val="clear" w:color="auto" w:fill="FFFFFF"/>
        </w:rPr>
        <w:t xml:space="preserve">donnée à la conduite </w:t>
      </w:r>
      <w:r w:rsidRPr="00C17129">
        <w:rPr>
          <w:shd w:val="clear" w:color="auto" w:fill="FFFFFF"/>
        </w:rPr>
        <w:t>d</w:t>
      </w:r>
      <w:r>
        <w:rPr>
          <w:shd w:val="clear" w:color="auto" w:fill="FFFFFF"/>
        </w:rPr>
        <w:t>’</w:t>
      </w:r>
      <w:r w:rsidRPr="00C17129">
        <w:rPr>
          <w:shd w:val="clear" w:color="auto" w:fill="FFFFFF"/>
        </w:rPr>
        <w:t>entretiens avec des enfants qu</w:t>
      </w:r>
      <w:r w:rsidR="009677B5">
        <w:rPr>
          <w:shd w:val="clear" w:color="auto" w:fill="FFFFFF"/>
        </w:rPr>
        <w:t>’ils soient témoins direct</w:t>
      </w:r>
      <w:r w:rsidRPr="00C17129">
        <w:rPr>
          <w:shd w:val="clear" w:color="auto" w:fill="FFFFFF"/>
        </w:rPr>
        <w:t>s, victimes et/ou auteurs de violences. L’objectif était de mettre en lumière leur expérience en leur donnant la parole. L’EEI a privilégié aller à la rencontre des enfants, là où ils se trouvaient afin qu’ils n’aient</w:t>
      </w:r>
      <w:r>
        <w:rPr>
          <w:shd w:val="clear" w:color="auto" w:fill="FFFFFF"/>
        </w:rPr>
        <w:t xml:space="preserve"> pas</w:t>
      </w:r>
      <w:r w:rsidRPr="00C17129">
        <w:rPr>
          <w:shd w:val="clear" w:color="auto" w:fill="FFFFFF"/>
        </w:rPr>
        <w:t xml:space="preserve"> à parcourir de longues distances. Les principales considérations prises en compte ont été la sécurité et </w:t>
      </w:r>
      <w:r w:rsidR="009677B5">
        <w:rPr>
          <w:shd w:val="clear" w:color="auto" w:fill="FFFFFF"/>
        </w:rPr>
        <w:t>l</w:t>
      </w:r>
      <w:r w:rsidRPr="00C17129">
        <w:rPr>
          <w:shd w:val="clear" w:color="auto" w:fill="FFFFFF"/>
        </w:rPr>
        <w:t>es garanties de confidentialité pour toutes les personnes qui ont été en contact avec l’EEI, les enfants en particulier</w:t>
      </w:r>
      <w:r w:rsidR="009677B5">
        <w:rPr>
          <w:shd w:val="clear" w:color="auto" w:fill="FFFFFF"/>
        </w:rPr>
        <w:t> ;</w:t>
      </w:r>
      <w:r>
        <w:rPr>
          <w:shd w:val="clear" w:color="auto" w:fill="FFFFFF"/>
        </w:rPr>
        <w:t xml:space="preserve"> l</w:t>
      </w:r>
      <w:r w:rsidRPr="00C17129">
        <w:rPr>
          <w:shd w:val="clear" w:color="auto" w:fill="FFFFFF"/>
        </w:rPr>
        <w:t>a finalit</w:t>
      </w:r>
      <w:r>
        <w:rPr>
          <w:shd w:val="clear" w:color="auto" w:fill="FFFFFF"/>
        </w:rPr>
        <w:t>é étant de les protéger contre d’éventuelles</w:t>
      </w:r>
      <w:r w:rsidRPr="00C17129">
        <w:rPr>
          <w:shd w:val="clear" w:color="auto" w:fill="FFFFFF"/>
        </w:rPr>
        <w:t xml:space="preserve"> représailles, la stigmatisation et le rejet. Par ailleurs, l’EEI s’est montrée à l’écoute des craintes exprimées par les enfants et par leurs représentants légaux. Dans la décision d’engager ou non</w:t>
      </w:r>
      <w:r>
        <w:rPr>
          <w:shd w:val="clear" w:color="auto" w:fill="FFFFFF"/>
        </w:rPr>
        <w:t xml:space="preserve"> </w:t>
      </w:r>
      <w:r w:rsidRPr="00C17129">
        <w:rPr>
          <w:shd w:val="clear" w:color="auto" w:fill="FFFFFF"/>
        </w:rPr>
        <w:t xml:space="preserve">un entretien avec un enfant, l’EEI a mis </w:t>
      </w:r>
      <w:r w:rsidR="009677B5">
        <w:rPr>
          <w:shd w:val="clear" w:color="auto" w:fill="FFFFFF"/>
        </w:rPr>
        <w:t>au</w:t>
      </w:r>
      <w:r w:rsidRPr="00C17129">
        <w:rPr>
          <w:shd w:val="clear" w:color="auto" w:fill="FFFFFF"/>
        </w:rPr>
        <w:t xml:space="preserve"> premier plan sa protection et son bien-être en identifiant</w:t>
      </w:r>
      <w:r>
        <w:rPr>
          <w:shd w:val="clear" w:color="auto" w:fill="FFFFFF"/>
        </w:rPr>
        <w:t>,</w:t>
      </w:r>
      <w:r w:rsidRPr="00C17129">
        <w:rPr>
          <w:shd w:val="clear" w:color="auto" w:fill="FFFFFF"/>
        </w:rPr>
        <w:t xml:space="preserve"> par exemple, au préalable l’existence de structures à même d’apporter une assistance aux besoins de base d</w:t>
      </w:r>
      <w:r w:rsidR="009677B5">
        <w:rPr>
          <w:shd w:val="clear" w:color="auto" w:fill="FFFFFF"/>
        </w:rPr>
        <w:t>e l’enfant et de sa communauté.</w:t>
      </w:r>
    </w:p>
    <w:p w14:paraId="6EBCA848" w14:textId="06032FDB"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rPr>
          <w:shd w:val="clear" w:color="auto" w:fill="FFFFFF"/>
        </w:rPr>
      </w:pPr>
      <w:r>
        <w:rPr>
          <w:shd w:val="clear" w:color="auto" w:fill="FFFFFF"/>
        </w:rPr>
        <w:t>L</w:t>
      </w:r>
      <w:r w:rsidRPr="00C17129">
        <w:rPr>
          <w:shd w:val="clear" w:color="auto" w:fill="FFFFFF"/>
        </w:rPr>
        <w:t xml:space="preserve">a gravité des violences vécues, des traumatismes physiques et </w:t>
      </w:r>
      <w:r>
        <w:rPr>
          <w:shd w:val="clear" w:color="auto" w:fill="FFFFFF"/>
        </w:rPr>
        <w:t>psychiques</w:t>
      </w:r>
      <w:r w:rsidRPr="00C17129">
        <w:rPr>
          <w:shd w:val="clear" w:color="auto" w:fill="FFFFFF"/>
        </w:rPr>
        <w:t xml:space="preserve"> occasionnés et l’extrême préca</w:t>
      </w:r>
      <w:r w:rsidR="009677B5">
        <w:rPr>
          <w:shd w:val="clear" w:color="auto" w:fill="FFFFFF"/>
        </w:rPr>
        <w:t>rité de ces enfants ont imposé</w:t>
      </w:r>
      <w:r w:rsidRPr="00C17129">
        <w:rPr>
          <w:shd w:val="clear" w:color="auto" w:fill="FFFFFF"/>
        </w:rPr>
        <w:t xml:space="preserve"> l’adoption de techniques d’entretien adaptées. L’EEI a privilégié l’utilisation des techniques d’entretiens cognitifs pour stimuler la mémoire des victimes sans les influencer. L’enfant est ainsi par exemple amené à raconter tout ce dont il se souvient de l’incident, puis à se concentrer sur ce qu’il a vu, ce qu’il a ressenti, ce qu’il a entendu et sur les circonstances de l’incident. Il a également été important d’adapter l’approche à l’âge des enfants rencontrés</w:t>
      </w:r>
      <w:r>
        <w:rPr>
          <w:shd w:val="clear" w:color="auto" w:fill="FFFFFF"/>
        </w:rPr>
        <w:t>,</w:t>
      </w:r>
      <w:r w:rsidRPr="00C17129">
        <w:rPr>
          <w:shd w:val="clear" w:color="auto" w:fill="FFFFFF"/>
        </w:rPr>
        <w:t xml:space="preserve"> à leur </w:t>
      </w:r>
      <w:r>
        <w:rPr>
          <w:shd w:val="clear" w:color="auto" w:fill="FFFFFF"/>
        </w:rPr>
        <w:t xml:space="preserve">sexe et aux différentes violences qu’ils ont commises, subies ou dont ils ont été </w:t>
      </w:r>
      <w:r w:rsidR="00591FD8">
        <w:rPr>
          <w:shd w:val="clear" w:color="auto" w:fill="FFFFFF"/>
        </w:rPr>
        <w:t xml:space="preserve">les </w:t>
      </w:r>
      <w:r>
        <w:rPr>
          <w:shd w:val="clear" w:color="auto" w:fill="FFFFFF"/>
        </w:rPr>
        <w:t>témoins.</w:t>
      </w:r>
    </w:p>
    <w:p w14:paraId="5690B7FC" w14:textId="30CE99DA" w:rsidR="00356488" w:rsidRPr="00C817F6" w:rsidRDefault="00356488" w:rsidP="00E50830">
      <w:pPr>
        <w:pStyle w:val="Heading1"/>
        <w:spacing w:before="360" w:after="240" w:line="300" w:lineRule="exact"/>
        <w:ind w:left="1124" w:right="1138" w:hanging="273"/>
      </w:pPr>
      <w:bookmarkStart w:id="26" w:name="_Toc516472971"/>
      <w:bookmarkStart w:id="27" w:name="_Toc515370299"/>
      <w:bookmarkStart w:id="28" w:name="_Toc518027520"/>
      <w:r w:rsidRPr="00C817F6">
        <w:t>Standard de preuve</w:t>
      </w:r>
      <w:bookmarkEnd w:id="26"/>
      <w:bookmarkEnd w:id="27"/>
      <w:bookmarkEnd w:id="28"/>
    </w:p>
    <w:p w14:paraId="08EF12B2" w14:textId="77777777"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pPr>
      <w:r w:rsidRPr="00C17129">
        <w:t xml:space="preserve">L’EEI a adopté le même niveau de preuve que la majorité des commissions d’enquête internationales et autres missions d’établissement des faits, à savoir celui des « motifs </w:t>
      </w:r>
      <w:r w:rsidRPr="00E16064">
        <w:rPr>
          <w:shd w:val="clear" w:color="auto" w:fill="FFFFFF"/>
        </w:rPr>
        <w:t>raisonnables</w:t>
      </w:r>
      <w:r w:rsidRPr="00C17129">
        <w:t xml:space="preserve"> de croire ». Pour fonder ses conclusions factuelles, l’EEI a veillé à réunir un ensemble d’informations fiables et concordantes sur la base desquelles une personne raisonnable et normalement prudente aurait des motifs de croire qu’un incident ou qu’un comportement s’est produit. </w:t>
      </w:r>
    </w:p>
    <w:p w14:paraId="56ACE977" w14:textId="77777777"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pPr>
      <w:r w:rsidRPr="00C17129">
        <w:t>L’EEI a procédé à une analyse rigoureuse des informations collectées et a évalué individuellement la crédibilité d</w:t>
      </w:r>
      <w:r w:rsidRPr="00E16064">
        <w:rPr>
          <w:shd w:val="clear" w:color="auto" w:fill="FFFFFF"/>
        </w:rPr>
        <w:t>e</w:t>
      </w:r>
      <w:r w:rsidRPr="00C17129">
        <w:t xml:space="preserve">s témoignages et la fiabilité des éléments de preuve recueillis. Concernant la fiabilité des sources, l’EEI a pris en compte la nature de </w:t>
      </w:r>
      <w:r>
        <w:t>la source</w:t>
      </w:r>
      <w:r w:rsidRPr="00C17129">
        <w:t xml:space="preserve"> qui a fourni l’information, son indépendance et sa méthodologie. La crédibilité des témoins a été évaluée en prenant en compte leurs intérêts personnels et politiques, leur position par rapport aux évènements et leur motivation à être entendus. L’EEI a aussi évalué la cohérence interne du récit et la capacité du témoin à se souvenir des évènements au regard de son âge, de son état de santé, et de son traumatisme.</w:t>
      </w:r>
    </w:p>
    <w:p w14:paraId="428559EA" w14:textId="77777777" w:rsidR="00356488" w:rsidRPr="00C17129" w:rsidRDefault="00356488" w:rsidP="00E16064">
      <w:pPr>
        <w:pStyle w:val="BodyText"/>
        <w:tabs>
          <w:tab w:val="left" w:pos="1559"/>
          <w:tab w:val="left" w:pos="1984"/>
          <w:tab w:val="left" w:leader="dot" w:pos="7654"/>
          <w:tab w:val="right" w:pos="8929"/>
        </w:tabs>
        <w:spacing w:line="240" w:lineRule="atLeast"/>
        <w:ind w:left="1138" w:right="1138" w:firstLine="0"/>
        <w:rPr>
          <w:sz w:val="28"/>
          <w:szCs w:val="28"/>
        </w:rPr>
      </w:pPr>
      <w:r w:rsidRPr="00C17129">
        <w:t>L’EEI a cherché à obtenir des informations concordantes auprès d’au moins deux sources indépendantes et fiables.</w:t>
      </w:r>
      <w:r w:rsidRPr="00C17129" w:rsidDel="009D4BFC">
        <w:t xml:space="preserve"> </w:t>
      </w:r>
      <w:r>
        <w:t>Néanmoins</w:t>
      </w:r>
      <w:r w:rsidRPr="00C17129">
        <w:t xml:space="preserve">, les informations obtenues d’un rapport d’enquête d’une source secondaire ayant suivi une méthodologie qui exigeait déjà la corroboration des informations obtenues n’ont pas toujours nécessité de nouvelles enquêtes de la part de l’EEI. L’exigence de corroboration n’a pas été appliquée strictement dans les cas de violences sexuelles en raison de la difficulté de l’obtenir d’une autre source </w:t>
      </w:r>
      <w:r w:rsidRPr="00C17129">
        <w:lastRenderedPageBreak/>
        <w:t>indépendante, en particulier lorsque la victime n’a pas bénéficié d’une assistance médicale</w:t>
      </w:r>
      <w:r w:rsidRPr="007F1170">
        <w:rPr>
          <w:rStyle w:val="FootnoteReference"/>
        </w:rPr>
        <w:footnoteReference w:id="8"/>
      </w:r>
      <w:r w:rsidRPr="00C17129">
        <w:t>.</w:t>
      </w:r>
    </w:p>
    <w:p w14:paraId="10D73E20" w14:textId="26F07658" w:rsidR="00356488" w:rsidRPr="00C817F6" w:rsidRDefault="00356488" w:rsidP="00E50830">
      <w:pPr>
        <w:pStyle w:val="Heading1"/>
        <w:spacing w:before="360" w:after="240" w:line="300" w:lineRule="exact"/>
        <w:ind w:left="1124" w:right="1138" w:hanging="273"/>
      </w:pPr>
      <w:bookmarkStart w:id="29" w:name="_Toc514589527"/>
      <w:bookmarkStart w:id="30" w:name="_Toc514589528"/>
      <w:bookmarkStart w:id="31" w:name="_Toc514589529"/>
      <w:bookmarkStart w:id="32" w:name="_Toc514589530"/>
      <w:bookmarkStart w:id="33" w:name="_Toc516472972"/>
      <w:bookmarkStart w:id="34" w:name="_Toc515370300"/>
      <w:bookmarkStart w:id="35" w:name="_Toc518027521"/>
      <w:bookmarkEnd w:id="29"/>
      <w:bookmarkEnd w:id="30"/>
      <w:bookmarkEnd w:id="31"/>
      <w:bookmarkEnd w:id="32"/>
      <w:r w:rsidRPr="00C817F6">
        <w:t>Sauvegarde et archivage des informations</w:t>
      </w:r>
      <w:bookmarkEnd w:id="33"/>
      <w:bookmarkEnd w:id="34"/>
      <w:bookmarkEnd w:id="35"/>
    </w:p>
    <w:p w14:paraId="2C771C7B" w14:textId="77BDFCFD" w:rsidR="00356488" w:rsidRPr="00DA72E2" w:rsidRDefault="00356488" w:rsidP="00E16064">
      <w:pPr>
        <w:pStyle w:val="BodyText"/>
        <w:tabs>
          <w:tab w:val="left" w:pos="1559"/>
          <w:tab w:val="left" w:pos="1984"/>
          <w:tab w:val="left" w:leader="dot" w:pos="7654"/>
          <w:tab w:val="right" w:pos="8929"/>
        </w:tabs>
        <w:spacing w:line="240" w:lineRule="atLeast"/>
        <w:ind w:left="1138" w:right="1138" w:firstLine="0"/>
        <w:rPr>
          <w:sz w:val="24"/>
        </w:rPr>
      </w:pPr>
      <w:r w:rsidRPr="00C17129">
        <w:t xml:space="preserve">Le paragraphe 10 de la résolution 35/33 demande à l’EEI « de réunir et de conserver des informations ». Dès lors, elle a veillé à collecter et conserver de manière claire et organisée dans une base de données sécurisée et confidentielle toutes les informations qu’elle a pu réunir. Les notes d’entretiens conduits par l’EEI ainsi que tous les documents collectés au cours de l’enquête sont sauvegardés dans cette base de données, dont la garde </w:t>
      </w:r>
      <w:r w:rsidR="00A0437B">
        <w:t xml:space="preserve">a </w:t>
      </w:r>
      <w:r w:rsidRPr="00C17129">
        <w:t>été confiée au Haut-Commissaire des Nations Unies aux droits de l’homme. L’EEI a autorisé ce dernier à partager les informations contenues dans la base de données avec tout organe et toute juridiction compétente remplissant les critères établis par le HCDH</w:t>
      </w:r>
      <w:r>
        <w:t>.</w:t>
      </w:r>
    </w:p>
    <w:p w14:paraId="1E315A6D" w14:textId="434F9EA1" w:rsidR="00FF52C5" w:rsidRDefault="007947CC" w:rsidP="00E50830">
      <w:pPr>
        <w:pStyle w:val="Heading1"/>
        <w:spacing w:before="360" w:after="240" w:line="300" w:lineRule="exact"/>
        <w:ind w:left="1124" w:right="1138" w:hanging="273"/>
      </w:pPr>
      <w:bookmarkStart w:id="36" w:name="_Toc518027522"/>
      <w:r>
        <w:t>Contexte</w:t>
      </w:r>
      <w:bookmarkEnd w:id="36"/>
    </w:p>
    <w:p w14:paraId="0CDB5E5F" w14:textId="3D70F84B" w:rsidR="007B2997" w:rsidRPr="00C17129" w:rsidRDefault="00060038" w:rsidP="00E16064">
      <w:pPr>
        <w:pStyle w:val="BodyText"/>
        <w:tabs>
          <w:tab w:val="left" w:pos="1559"/>
          <w:tab w:val="left" w:pos="1984"/>
          <w:tab w:val="left" w:leader="dot" w:pos="7654"/>
          <w:tab w:val="right" w:pos="8929"/>
        </w:tabs>
        <w:spacing w:line="240" w:lineRule="atLeast"/>
        <w:ind w:left="1138" w:right="1138" w:firstLine="0"/>
      </w:pPr>
      <w:r w:rsidRPr="007B2997">
        <w:t>Le Kasaï</w:t>
      </w:r>
      <w:r w:rsidR="009B6E92">
        <w:t>,</w:t>
      </w:r>
      <w:r w:rsidRPr="007B2997">
        <w:t xml:space="preserve"> constitué depuis </w:t>
      </w:r>
      <w:r w:rsidR="007B2997" w:rsidRPr="0049283E">
        <w:t xml:space="preserve">le redécoupage provincial de </w:t>
      </w:r>
      <w:r w:rsidRPr="007B2997">
        <w:t>juillet 2015 de cinq pro</w:t>
      </w:r>
      <w:r w:rsidR="007B2997" w:rsidRPr="0049283E">
        <w:t>vinces</w:t>
      </w:r>
      <w:r w:rsidR="009B6E92">
        <w:t xml:space="preserve">, </w:t>
      </w:r>
      <w:r w:rsidR="007B2997" w:rsidRPr="0049283E">
        <w:t xml:space="preserve">le Kasaï, le Kasaï Central, le </w:t>
      </w:r>
      <w:r w:rsidRPr="007B2997">
        <w:t xml:space="preserve">Kasaï Oriental, </w:t>
      </w:r>
      <w:r w:rsidR="007B2997" w:rsidRPr="0049283E">
        <w:t xml:space="preserve">le </w:t>
      </w:r>
      <w:r w:rsidRPr="007B2997">
        <w:t xml:space="preserve">Lomami, et </w:t>
      </w:r>
      <w:r w:rsidR="007B2997" w:rsidRPr="0049283E">
        <w:t xml:space="preserve">le </w:t>
      </w:r>
      <w:r w:rsidRPr="007B2997">
        <w:t>Sankuru</w:t>
      </w:r>
      <w:r w:rsidR="009B6E92">
        <w:t xml:space="preserve">, </w:t>
      </w:r>
      <w:r w:rsidR="007B2997" w:rsidRPr="00C17129">
        <w:t>reste une des régions les moins développées de la RDC. Au plan national, le niveau de pauvreté a connu une diminution depuis les vingt dernières années. Toutefois, entre 2005 et 2012,</w:t>
      </w:r>
      <w:r w:rsidR="009677B5">
        <w:t xml:space="preserve"> alors que ce taux diminuait dans d’autres r</w:t>
      </w:r>
      <w:r w:rsidR="009677B5" w:rsidRPr="00A81DEA">
        <w:t>é</w:t>
      </w:r>
      <w:r w:rsidR="009677B5">
        <w:t>gions de la RDC,</w:t>
      </w:r>
      <w:r w:rsidR="007B2997" w:rsidRPr="00C17129">
        <w:t xml:space="preserve"> le taux de pauvreté a au</w:t>
      </w:r>
      <w:r w:rsidR="007B2997" w:rsidRPr="00C17129">
        <w:rPr>
          <w:rStyle w:val="BodyTextChar"/>
        </w:rPr>
        <w:t>g</w:t>
      </w:r>
      <w:r w:rsidR="007B2997" w:rsidRPr="00C17129">
        <w:t>menté au Kasaï, pour atteindre plus de 70% de la population</w:t>
      </w:r>
      <w:r w:rsidR="007B2997" w:rsidRPr="007F1170">
        <w:rPr>
          <w:rStyle w:val="FootnoteReference"/>
        </w:rPr>
        <w:footnoteReference w:id="9"/>
      </w:r>
      <w:r w:rsidR="007B2997" w:rsidRPr="00C17129">
        <w:t>. Malgré de riches ressources naturelles</w:t>
      </w:r>
      <w:r w:rsidR="007B2997" w:rsidRPr="007F1170">
        <w:rPr>
          <w:rStyle w:val="FootnoteReference"/>
        </w:rPr>
        <w:footnoteReference w:id="10"/>
      </w:r>
      <w:r w:rsidR="007B2997" w:rsidRPr="00C17129">
        <w:t>, l’économie du Kasaï s’est effondrée depuis plusieurs décennies. L’Etat n’a investi que faiblement dans les services de base et les infrastructures, renforçant l’extrême pauvreté de la population et un sous-développement chronique</w:t>
      </w:r>
      <w:r w:rsidR="007B2997" w:rsidRPr="007F1170">
        <w:rPr>
          <w:rStyle w:val="FootnoteReference"/>
        </w:rPr>
        <w:footnoteReference w:id="11"/>
      </w:r>
      <w:r w:rsidR="007B2997" w:rsidRPr="00C17129">
        <w:t>.</w:t>
      </w:r>
    </w:p>
    <w:p w14:paraId="28E2C29D" w14:textId="3397CA12" w:rsidR="00060038" w:rsidRPr="00A81DEA" w:rsidRDefault="00700E09" w:rsidP="00E16064">
      <w:pPr>
        <w:pStyle w:val="BodyText"/>
        <w:tabs>
          <w:tab w:val="left" w:pos="1559"/>
          <w:tab w:val="left" w:pos="1984"/>
          <w:tab w:val="left" w:leader="dot" w:pos="7654"/>
          <w:tab w:val="right" w:pos="8929"/>
        </w:tabs>
        <w:spacing w:line="240" w:lineRule="atLeast"/>
        <w:ind w:left="1138" w:right="1138" w:firstLine="0"/>
      </w:pPr>
      <w:r>
        <w:t>Le Kasaï est</w:t>
      </w:r>
      <w:r w:rsidRPr="00A81DEA">
        <w:t xml:space="preserve"> majoritairement peuplé de personnes de l’ethnie </w:t>
      </w:r>
      <w:r w:rsidR="00A0437B">
        <w:t>l</w:t>
      </w:r>
      <w:r w:rsidRPr="00A81DEA">
        <w:t>uba</w:t>
      </w:r>
      <w:r>
        <w:t>.</w:t>
      </w:r>
      <w:r w:rsidRPr="00A81DEA">
        <w:t xml:space="preserve"> </w:t>
      </w:r>
      <w:r w:rsidR="00060038" w:rsidRPr="00A81DEA">
        <w:t xml:space="preserve">A l’approche de l’indépendance, des violences ont éclaté au sein de la population </w:t>
      </w:r>
      <w:r w:rsidR="00A0437B">
        <w:t>l</w:t>
      </w:r>
      <w:r w:rsidR="00060038" w:rsidRPr="00A81DEA">
        <w:t xml:space="preserve">uba. Aujourd’hui, cette population, qui partage une langue commune, le </w:t>
      </w:r>
      <w:r w:rsidR="00A0437B">
        <w:t>t</w:t>
      </w:r>
      <w:r w:rsidR="00060038" w:rsidRPr="00A81DEA">
        <w:t xml:space="preserve">shiluba, est relativement unie. </w:t>
      </w:r>
      <w:r w:rsidR="00EB1126">
        <w:t>En revanche</w:t>
      </w:r>
      <w:r w:rsidR="00060038" w:rsidRPr="00A81DEA">
        <w:t xml:space="preserve">, les tensions entre les populations </w:t>
      </w:r>
      <w:r w:rsidR="004A163E">
        <w:t>l</w:t>
      </w:r>
      <w:r w:rsidR="00060038" w:rsidRPr="00A81DEA">
        <w:t>uba</w:t>
      </w:r>
      <w:r w:rsidR="004A163E">
        <w:t>s</w:t>
      </w:r>
      <w:r w:rsidR="00060038" w:rsidRPr="00A81DEA">
        <w:t xml:space="preserve"> et les populations </w:t>
      </w:r>
      <w:r w:rsidR="00651768">
        <w:t>chokwe</w:t>
      </w:r>
      <w:r w:rsidR="004A163E">
        <w:t>s</w:t>
      </w:r>
      <w:r w:rsidR="00060038" w:rsidRPr="00A81DEA">
        <w:t xml:space="preserve"> et </w:t>
      </w:r>
      <w:r w:rsidR="001562A3">
        <w:t>p</w:t>
      </w:r>
      <w:r w:rsidR="00060038" w:rsidRPr="00A81DEA">
        <w:t>ende</w:t>
      </w:r>
      <w:r w:rsidR="004A163E">
        <w:t>s</w:t>
      </w:r>
      <w:r w:rsidR="00060038" w:rsidRPr="00A81DEA">
        <w:t xml:space="preserve">, présentes dans la partie sud et est de la province du Kasaï ont repris de l’importance avec le redécoupage territorial </w:t>
      </w:r>
      <w:r w:rsidR="009677B5">
        <w:t>de</w:t>
      </w:r>
      <w:r w:rsidR="00060038" w:rsidRPr="00A81DEA">
        <w:t xml:space="preserve"> 2015. La division de l’ancienne province du Kasaï Occidental en deux nouvelles provinces a particulièrement exacerbé les tensions. Si le Kasaï Central reste dominé par la population </w:t>
      </w:r>
      <w:r w:rsidR="00A0437B">
        <w:t>l</w:t>
      </w:r>
      <w:r w:rsidR="00060038" w:rsidRPr="00A81DEA">
        <w:t xml:space="preserve">uba, celle-ci a perdu de l’influence au profit des populations </w:t>
      </w:r>
      <w:r w:rsidR="00651768">
        <w:t>chokwe</w:t>
      </w:r>
      <w:r w:rsidR="004A163E">
        <w:t>s</w:t>
      </w:r>
      <w:r w:rsidR="00060038" w:rsidRPr="00A81DEA">
        <w:t xml:space="preserve"> et </w:t>
      </w:r>
      <w:r w:rsidR="004A163E">
        <w:t>p</w:t>
      </w:r>
      <w:r w:rsidR="00060038" w:rsidRPr="00A81DEA">
        <w:t>ende</w:t>
      </w:r>
      <w:r w:rsidR="004A163E">
        <w:t>s</w:t>
      </w:r>
      <w:r w:rsidR="00060038" w:rsidRPr="00A81DEA">
        <w:t xml:space="preserve"> dans la province du Kasaï. </w:t>
      </w:r>
      <w:r w:rsidR="00C23028">
        <w:t>L</w:t>
      </w:r>
      <w:r w:rsidR="00060038" w:rsidRPr="00A81DEA">
        <w:t>a crise au Kasaï ne peut</w:t>
      </w:r>
      <w:r>
        <w:t xml:space="preserve"> pas</w:t>
      </w:r>
      <w:r w:rsidR="00C23028">
        <w:t xml:space="preserve"> non plus</w:t>
      </w:r>
      <w:r w:rsidR="00060038" w:rsidRPr="00A81DEA">
        <w:t xml:space="preserve"> être isolée de</w:t>
      </w:r>
      <w:r>
        <w:t>s</w:t>
      </w:r>
      <w:r w:rsidR="00060038" w:rsidRPr="00A81DEA">
        <w:t xml:space="preserve"> conflits locaux préexistants de chefferies coutumières et de partage des ressources foncières et minières.</w:t>
      </w:r>
    </w:p>
    <w:p w14:paraId="77C24353" w14:textId="04075160" w:rsidR="00A81DEA" w:rsidRPr="0049283E" w:rsidRDefault="00A81DEA" w:rsidP="00E16064">
      <w:pPr>
        <w:pStyle w:val="BodyText"/>
        <w:tabs>
          <w:tab w:val="left" w:pos="1559"/>
          <w:tab w:val="left" w:pos="1984"/>
          <w:tab w:val="left" w:leader="dot" w:pos="7654"/>
          <w:tab w:val="right" w:pos="8929"/>
        </w:tabs>
        <w:spacing w:line="240" w:lineRule="atLeast"/>
        <w:ind w:left="1138" w:right="1138" w:firstLine="0"/>
      </w:pPr>
      <w:r w:rsidRPr="0049283E">
        <w:t xml:space="preserve">Le pouvoir coutumier, lié étroitement à l’identité ethnique, est une </w:t>
      </w:r>
      <w:r w:rsidR="009677B5">
        <w:t>composant</w:t>
      </w:r>
      <w:r w:rsidRPr="0049283E">
        <w:t xml:space="preserve">e importante du système du pouvoir local. Les chefs coutumiers jouent un rôle important dans l’administration publique, la gestion des villages, l’accès à la terre, et la justice locale ; ils exercent aussi des fonctions spirituelles importantes. </w:t>
      </w:r>
      <w:r w:rsidR="00C23028">
        <w:t>Ils</w:t>
      </w:r>
      <w:r w:rsidRPr="0049283E">
        <w:t xml:space="preserve"> sont nommés selon la tradition de la chefferie, puis reconnus par les autorités publiques, dont ils reçoivent un salaire</w:t>
      </w:r>
      <w:r w:rsidR="00700E09" w:rsidRPr="007F1170">
        <w:rPr>
          <w:rStyle w:val="FootnoteReference"/>
        </w:rPr>
        <w:footnoteReference w:id="12"/>
      </w:r>
      <w:r w:rsidRPr="0049283E">
        <w:t xml:space="preserve">. </w:t>
      </w:r>
      <w:r w:rsidRPr="0049283E">
        <w:lastRenderedPageBreak/>
        <w:t xml:space="preserve">Bien que le rôle du chef coutumier soit en principe apolitique, les autorités étatiques exercent régulièrement des pressions à leur égard pour les inciter à s’aligner politiquement sur les autorités provinciales et nationales allant jusqu’à refuser de reconnaitre le statut de chef coutumier à des chefs pourtant nommés </w:t>
      </w:r>
      <w:r>
        <w:t xml:space="preserve">en accord avec </w:t>
      </w:r>
      <w:r w:rsidRPr="0049283E">
        <w:t>la tradition.</w:t>
      </w:r>
    </w:p>
    <w:p w14:paraId="7FFDCF29" w14:textId="6F0A282F" w:rsidR="00A81DEA" w:rsidRDefault="00A81DEA" w:rsidP="00E16064">
      <w:pPr>
        <w:pStyle w:val="BodyText"/>
        <w:tabs>
          <w:tab w:val="left" w:pos="1559"/>
          <w:tab w:val="left" w:pos="1984"/>
          <w:tab w:val="left" w:leader="dot" w:pos="7654"/>
          <w:tab w:val="right" w:pos="8929"/>
        </w:tabs>
        <w:spacing w:line="240" w:lineRule="atLeast"/>
        <w:ind w:left="1138" w:right="1138" w:firstLine="0"/>
      </w:pPr>
      <w:r w:rsidRPr="00A81DEA">
        <w:t xml:space="preserve">Le Kasaï est traditionnellement un fief du principal parti d’opposition, l’Union pour la démocratie et le progrès social (UDPS). Cela explique en partie la marginalisation de la </w:t>
      </w:r>
      <w:r w:rsidR="001F5B4E">
        <w:t>région au plan national par le G</w:t>
      </w:r>
      <w:r w:rsidRPr="00A81DEA">
        <w:t>ouvernement. La vague de violence au Kasaï depuis 2016 s’inscrit dans un contexte national de tensions autour des élections présidentielles. En décembre 2016, la majorité présidentielle et l’opposition politique ont signé un accord prévoyant la tenue d’élections présidentielles avant fin 2017 et interdisant au Président Kabila de se présenter pour un troisième mandat</w:t>
      </w:r>
      <w:r w:rsidR="00BE6484" w:rsidRPr="007F1170">
        <w:rPr>
          <w:rStyle w:val="FootnoteReference"/>
        </w:rPr>
        <w:footnoteReference w:id="13"/>
      </w:r>
      <w:r w:rsidRPr="00A81DEA">
        <w:t>. Pourtant, au cours de l’année 2017, il est devenu clair que les élections n’auraient pas lieu à la fin de l’année comme le prévoyait cet accord.</w:t>
      </w:r>
      <w:r w:rsidR="00BE6484">
        <w:t xml:space="preserve"> </w:t>
      </w:r>
      <w:r w:rsidR="00BE6484" w:rsidRPr="00EC398D">
        <w:t>Des manifestations</w:t>
      </w:r>
      <w:r w:rsidR="00BE6484">
        <w:t xml:space="preserve"> relatives au respect de l’accord</w:t>
      </w:r>
      <w:r w:rsidR="00BE6484" w:rsidRPr="00EC398D">
        <w:t xml:space="preserve"> ont été interdites</w:t>
      </w:r>
      <w:r w:rsidR="00BE6484">
        <w:t xml:space="preserve"> ou </w:t>
      </w:r>
      <w:r w:rsidR="00BE6484" w:rsidRPr="00EC398D">
        <w:t>réprimées</w:t>
      </w:r>
      <w:r w:rsidR="00BE6484">
        <w:t xml:space="preserve"> dans plusieurs villes</w:t>
      </w:r>
      <w:r w:rsidR="00BE6484" w:rsidRPr="00EC398D">
        <w:t>.</w:t>
      </w:r>
      <w:r w:rsidRPr="00A81DEA">
        <w:t xml:space="preserve"> Le Kasaï n’a pas été particulièrement touché par les manifestations qui ont eu lieu à travers la RDC. Bien qu’il soit difficile d’exclure que le contexte politique national ait pu influencer la réaction des autorités dans la gestion de la crise au Kasaï, peu d’éléments permettent de conclure qu’il existe une connexion directe entre </w:t>
      </w:r>
      <w:r w:rsidR="00D20DB8">
        <w:t xml:space="preserve">le déclenchement de </w:t>
      </w:r>
      <w:r w:rsidRPr="00A81DEA">
        <w:t>la vague de violence au K</w:t>
      </w:r>
      <w:r>
        <w:t xml:space="preserve">asaï et le processus </w:t>
      </w:r>
      <w:r w:rsidR="00BE6484">
        <w:t>des élections présidentielles</w:t>
      </w:r>
      <w:r>
        <w:t>.</w:t>
      </w:r>
    </w:p>
    <w:p w14:paraId="3D5F8288" w14:textId="4B46096E" w:rsidR="007947CC" w:rsidRDefault="007947CC" w:rsidP="00E16064">
      <w:pPr>
        <w:pStyle w:val="BodyText"/>
        <w:tabs>
          <w:tab w:val="left" w:pos="1559"/>
          <w:tab w:val="left" w:pos="1984"/>
          <w:tab w:val="left" w:leader="dot" w:pos="7654"/>
          <w:tab w:val="right" w:pos="8929"/>
        </w:tabs>
        <w:spacing w:line="240" w:lineRule="atLeast"/>
        <w:ind w:left="1138" w:right="1138" w:firstLine="0"/>
      </w:pPr>
      <w:r w:rsidRPr="00B24258">
        <w:t>La vie d</w:t>
      </w:r>
      <w:r w:rsidR="00D20DB8">
        <w:t xml:space="preserve">u peuple </w:t>
      </w:r>
      <w:r w:rsidR="001562A3">
        <w:t>l</w:t>
      </w:r>
      <w:r w:rsidR="00D20DB8">
        <w:t>uba</w:t>
      </w:r>
      <w:r w:rsidRPr="00B24258">
        <w:t xml:space="preserve"> demeure codifiée par la coutume et les traditions</w:t>
      </w:r>
      <w:r w:rsidR="00D20DB8">
        <w:t> ;</w:t>
      </w:r>
      <w:r>
        <w:t xml:space="preserve"> la sorcellerie et les superstitions tiennent une place prépondérante</w:t>
      </w:r>
      <w:r w:rsidRPr="007F1170">
        <w:rPr>
          <w:rStyle w:val="FootnoteReference"/>
        </w:rPr>
        <w:footnoteReference w:id="14"/>
      </w:r>
      <w:r w:rsidRPr="00CB2CDD">
        <w:t xml:space="preserve">. </w:t>
      </w:r>
      <w:r>
        <w:t xml:space="preserve">Il existe également des fétiches, bons ou mauvais. Ainsi on trouve des fétiches d’immunité contre des projectiles, des fétiches de disparition. Ces fétiches </w:t>
      </w:r>
      <w:r w:rsidR="003509AD">
        <w:t xml:space="preserve">peuvent être </w:t>
      </w:r>
      <w:r>
        <w:t xml:space="preserve">portés sur le corps ou cachés dans les vêtements que l’on porte. Certains sont avalés ou dissimulés dans le corps, sous forme de poudre. Certains objets du quotidien ou des animaux tels les chèvres et les poules peuvent aussi avoir une signification particulière. </w:t>
      </w:r>
      <w:r w:rsidRPr="00B24258">
        <w:t xml:space="preserve">Un </w:t>
      </w:r>
      <w:r>
        <w:t xml:space="preserve">grand </w:t>
      </w:r>
      <w:r w:rsidRPr="00B24258">
        <w:t>nombre de règles vient régir la vie de la communauté</w:t>
      </w:r>
      <w:r>
        <w:t xml:space="preserve"> </w:t>
      </w:r>
      <w:r w:rsidRPr="00B24258">
        <w:t xml:space="preserve">et leur transgression </w:t>
      </w:r>
      <w:r>
        <w:t xml:space="preserve">peut </w:t>
      </w:r>
      <w:r w:rsidRPr="00B24258">
        <w:t>entraine</w:t>
      </w:r>
      <w:r>
        <w:t>r</w:t>
      </w:r>
      <w:r w:rsidRPr="00B24258">
        <w:t xml:space="preserve"> de graves conséquences</w:t>
      </w:r>
      <w:r>
        <w:t xml:space="preserve">, non seulement pour celui qui transgresse la norme mais </w:t>
      </w:r>
      <w:r w:rsidR="00D20DB8">
        <w:t xml:space="preserve">aussi </w:t>
      </w:r>
      <w:r>
        <w:t>pour son entourage. La transgression est source de malheur, de maladie ou de mort. La réparation d’une transgression appelle le plus souvent la tenue d’une cérémonie et le versement d’offrandes afin d’éviter la punition des ancêtres.</w:t>
      </w:r>
    </w:p>
    <w:p w14:paraId="141F8030" w14:textId="544A4532" w:rsidR="007947CC" w:rsidRDefault="007947CC" w:rsidP="00E16064">
      <w:pPr>
        <w:pStyle w:val="BodyText"/>
        <w:tabs>
          <w:tab w:val="left" w:pos="1559"/>
          <w:tab w:val="left" w:pos="1984"/>
          <w:tab w:val="left" w:leader="dot" w:pos="7654"/>
          <w:tab w:val="right" w:pos="8929"/>
        </w:tabs>
        <w:spacing w:line="240" w:lineRule="atLeast"/>
        <w:ind w:left="1138" w:right="1138" w:firstLine="0"/>
      </w:pPr>
      <w:r>
        <w:t xml:space="preserve">La femme est un des piliers fondamentaux du foyer et de la communauté et s’attaquer à elle revient à s’attaquer à la communauté. Ainsi un certain nombre de croyances entourent le </w:t>
      </w:r>
      <w:r w:rsidR="003168AC">
        <w:t>corps de la femme</w:t>
      </w:r>
      <w:r w:rsidR="003168AC" w:rsidRPr="007F1170">
        <w:rPr>
          <w:rStyle w:val="FootnoteReference"/>
        </w:rPr>
        <w:footnoteReference w:id="15"/>
      </w:r>
      <w:r w:rsidR="003168AC">
        <w:t xml:space="preserve">. </w:t>
      </w:r>
      <w:r>
        <w:t xml:space="preserve">Il existe des règles strictes concernant la nudité, et particulièrement qui peut voir une femme mariée nue. Ainsi une femme ne doit pas voir sa fille ou sa belle-fille nue ; si cela se produit, une cérémonie réparatrice est nécessaire. </w:t>
      </w:r>
    </w:p>
    <w:p w14:paraId="178570AE" w14:textId="78EF6A5E" w:rsidR="007947CC" w:rsidRDefault="007947CC" w:rsidP="00E16064">
      <w:pPr>
        <w:pStyle w:val="BodyText"/>
        <w:tabs>
          <w:tab w:val="left" w:pos="1559"/>
          <w:tab w:val="left" w:pos="1984"/>
          <w:tab w:val="left" w:leader="dot" w:pos="7654"/>
          <w:tab w:val="right" w:pos="8929"/>
        </w:tabs>
        <w:spacing w:line="240" w:lineRule="atLeast"/>
        <w:ind w:left="1138" w:right="1138" w:firstLine="0"/>
      </w:pPr>
      <w:r>
        <w:t>L’organisation sociale</w:t>
      </w:r>
      <w:r w:rsidR="003509AD">
        <w:t xml:space="preserve"> du peuple </w:t>
      </w:r>
      <w:r w:rsidR="001562A3">
        <w:t>l</w:t>
      </w:r>
      <w:r w:rsidR="003509AD">
        <w:t>uba</w:t>
      </w:r>
      <w:r>
        <w:t xml:space="preserve"> est patriarcale et patrilinéaire. Le but du mariage est multiple mais inclut l’agrandissement de la famille du père. Des règles strictes entourent la personne avec qui on peut avoir des relations sexuelles et se marier. La virginité de la mariée n’est pas obligatoire mais elle reste importante. Les enfants représentent une grande richesse pour la famille au sens élargi. Le choix du nom d’un enfant est important même si les noms modernes ont fait leur apparition avec la colonisation. Dans la tradition, les dépenses réalisées pour les filles sont vues à fonds perdu car elles seront mariées à d’autres familles et leurs enfants viendront agrandir celles-ci. Les </w:t>
      </w:r>
      <w:r>
        <w:lastRenderedPageBreak/>
        <w:t>femmes qui ne sont pas mariées sont stigmatisées dans la communauté. Le mariage traditionnel reste prépondérant et celui-ci n’est pas valable sans le versement de la dot.</w:t>
      </w:r>
      <w:r w:rsidR="009219B7">
        <w:t xml:space="preserve"> La situation économique du Kasaï et le chômage élevé des jeunes est une cause anxiogène dans la communauté car les jeunes hommes ont des difficultés à s’acquitter de la dot.</w:t>
      </w:r>
      <w:r>
        <w:t xml:space="preserve"> L’infidélité conjugale de la femme, et la coutume ne fait pas la distinction entre le viol et l’adultère, est une faute très grave ; celle-ci ne peut être réparée, si le mari le veut bien, que par une cérémonie de purification et le versement d’offrandes expiatoires par la famille de la femme. En attendant, la femme perd ses droits d’épouse. Le mari peut également décider de divorcer et la famille de la femme doit alors rembourser la dot. Si rien n’est fait pour réparer l’affront que constitue l’adultère, la croyance veut que des personnes puissent mourir.</w:t>
      </w:r>
    </w:p>
    <w:p w14:paraId="3914BC9B" w14:textId="53DE784D" w:rsidR="007947CC" w:rsidRDefault="007947CC" w:rsidP="00E16064">
      <w:pPr>
        <w:pStyle w:val="BodyText"/>
        <w:tabs>
          <w:tab w:val="left" w:pos="1559"/>
          <w:tab w:val="left" w:pos="1984"/>
          <w:tab w:val="left" w:leader="dot" w:pos="7654"/>
          <w:tab w:val="right" w:pos="8929"/>
        </w:tabs>
        <w:spacing w:line="240" w:lineRule="atLeast"/>
        <w:ind w:left="1138" w:right="1138" w:firstLine="0"/>
      </w:pPr>
      <w:r>
        <w:t xml:space="preserve">Hormis pour les personnes âgées, lorsqu’une personne meurt, il est nécessaire de trouver une raison à ce décès. </w:t>
      </w:r>
      <w:r w:rsidRPr="0049283E">
        <w:t>Ainsi</w:t>
      </w:r>
      <w:r>
        <w:t xml:space="preserve"> par exemple, dans un couple, lorsque le mari décède, on va se demander si une faute de son épouse ne serait pas à l’origine de la mort. Hors les chefs qui sont généralement enterrés dès le décès constaté, les enterrements ont lieu 24 à 48 heures après le décès car les enterrements hâtifs sont considérés comme une insulte au défunt. </w:t>
      </w:r>
      <w:r w:rsidR="00591FD8">
        <w:t xml:space="preserve">Les pleurs sont importants lors d’un décès et sont la principale </w:t>
      </w:r>
      <w:r w:rsidR="00AD269F">
        <w:t>expression</w:t>
      </w:r>
      <w:r w:rsidR="00591FD8">
        <w:t xml:space="preserve"> du deuil.</w:t>
      </w:r>
    </w:p>
    <w:p w14:paraId="41CE56EE" w14:textId="18BA0029" w:rsidR="001838A5" w:rsidRDefault="001838A5" w:rsidP="00E50830">
      <w:pPr>
        <w:pStyle w:val="Heading1"/>
        <w:spacing w:before="360" w:after="240" w:line="300" w:lineRule="exact"/>
        <w:ind w:left="1124" w:right="1138" w:hanging="273"/>
      </w:pPr>
      <w:bookmarkStart w:id="37" w:name="_Toc518027523"/>
      <w:r w:rsidRPr="00C17129">
        <w:t xml:space="preserve">Principaux acteurs </w:t>
      </w:r>
      <w:r w:rsidR="001A7DCC">
        <w:t>de la crise au Kasaï</w:t>
      </w:r>
      <w:bookmarkEnd w:id="37"/>
    </w:p>
    <w:p w14:paraId="23E9B8F0" w14:textId="32A4E4BC" w:rsidR="001838A5" w:rsidRPr="00FE5E8D" w:rsidRDefault="001838A5" w:rsidP="00BC668B">
      <w:pPr>
        <w:pStyle w:val="Heading2"/>
        <w:spacing w:before="360" w:line="270" w:lineRule="exact"/>
        <w:ind w:left="1138" w:right="1138" w:hanging="571"/>
        <w:rPr>
          <w:sz w:val="24"/>
          <w:szCs w:val="24"/>
          <w:lang w:val="fr-FR"/>
        </w:rPr>
      </w:pPr>
      <w:bookmarkStart w:id="38" w:name="_Toc518027524"/>
      <w:r w:rsidRPr="00FE5E8D">
        <w:rPr>
          <w:sz w:val="24"/>
          <w:szCs w:val="24"/>
          <w:lang w:val="fr-FR"/>
        </w:rPr>
        <w:t xml:space="preserve">Les </w:t>
      </w:r>
      <w:r w:rsidR="001A7DCC" w:rsidRPr="00FE5E8D">
        <w:rPr>
          <w:sz w:val="24"/>
          <w:szCs w:val="24"/>
          <w:lang w:val="fr-FR"/>
        </w:rPr>
        <w:t>f</w:t>
      </w:r>
      <w:r w:rsidRPr="00FE5E8D">
        <w:rPr>
          <w:sz w:val="24"/>
          <w:szCs w:val="24"/>
          <w:lang w:val="fr-FR"/>
        </w:rPr>
        <w:t>orces de défense et de sécurité</w:t>
      </w:r>
      <w:bookmarkEnd w:id="38"/>
    </w:p>
    <w:p w14:paraId="586885CF" w14:textId="7AE7D0D7" w:rsidR="001838A5" w:rsidRPr="00204A04" w:rsidRDefault="001838A5" w:rsidP="00E16064">
      <w:pPr>
        <w:pStyle w:val="BodyText"/>
        <w:tabs>
          <w:tab w:val="left" w:pos="1559"/>
          <w:tab w:val="left" w:pos="1984"/>
          <w:tab w:val="left" w:leader="dot" w:pos="7654"/>
          <w:tab w:val="right" w:pos="8929"/>
        </w:tabs>
        <w:spacing w:line="240" w:lineRule="atLeast"/>
        <w:ind w:left="1138" w:right="1138" w:firstLine="0"/>
      </w:pPr>
      <w:r w:rsidRPr="00CB2CDD">
        <w:t>Les forces de défense et de sécurité congolaises englobent les Forces armées de la République démocratique du Congo (</w:t>
      </w:r>
      <w:r w:rsidRPr="00944F6F">
        <w:t>FARDC</w:t>
      </w:r>
      <w:r w:rsidRPr="00CB2CDD">
        <w:t>), la Police nationale congolaise (</w:t>
      </w:r>
      <w:r w:rsidRPr="00944F6F">
        <w:t>PNC</w:t>
      </w:r>
      <w:r w:rsidRPr="00CB2CDD">
        <w:t>), l’Agence nationale de renseignement</w:t>
      </w:r>
      <w:r w:rsidR="00AD269F">
        <w:t>s</w:t>
      </w:r>
      <w:r w:rsidRPr="00CB2CDD">
        <w:t xml:space="preserve"> (</w:t>
      </w:r>
      <w:r w:rsidRPr="00944F6F">
        <w:t>ANR</w:t>
      </w:r>
      <w:r w:rsidRPr="00CB2CDD">
        <w:t>) et la Direction générale de migration (</w:t>
      </w:r>
      <w:r w:rsidRPr="00944F6F">
        <w:t>DGM</w:t>
      </w:r>
      <w:r w:rsidRPr="00CB2CDD">
        <w:t>). Le travail de l’EEI a particulièrement mis en lumière l’implication des FARDC et dans une moindre mesure de la PNC dans les évènements qui se sont déroulés au Kasaï depuis 2016.</w:t>
      </w:r>
    </w:p>
    <w:p w14:paraId="3CE24000" w14:textId="04E5FC4D" w:rsidR="001838A5" w:rsidRPr="007F0D97" w:rsidRDefault="001838A5" w:rsidP="00E16064">
      <w:pPr>
        <w:pStyle w:val="BodyText"/>
        <w:tabs>
          <w:tab w:val="left" w:pos="1559"/>
          <w:tab w:val="left" w:pos="1984"/>
          <w:tab w:val="left" w:leader="dot" w:pos="7654"/>
          <w:tab w:val="right" w:pos="8929"/>
        </w:tabs>
        <w:spacing w:line="240" w:lineRule="atLeast"/>
        <w:ind w:left="1138" w:right="1138" w:firstLine="0"/>
      </w:pPr>
      <w:r w:rsidRPr="007F0D97">
        <w:t>Les FARDC sont les héritières de la Force publique de l’Etat indépendant du Congo, puis de l’Armée nationale congolaise et des Forces armées zaïroises depuis l’indépendance. Historiquement, les membres des forces armées ont eu une propension à commettre des violations graves contre la population, à vivre au crochet de celle-ci, à piller et à tuer</w:t>
      </w:r>
      <w:r>
        <w:t xml:space="preserve"> le plus souvent</w:t>
      </w:r>
      <w:r w:rsidRPr="007F0D97">
        <w:t xml:space="preserve"> </w:t>
      </w:r>
      <w:r>
        <w:t>en toute impunité</w:t>
      </w:r>
      <w:r w:rsidRPr="007F0D97">
        <w:t>, à ne pas protéger la population et à la considérer plutôt comme un ennemi</w:t>
      </w:r>
      <w:r>
        <w:t>.</w:t>
      </w:r>
      <w:r w:rsidRPr="007F0D97">
        <w:t xml:space="preserve"> </w:t>
      </w:r>
      <w:r>
        <w:t>Cette situation perdure</w:t>
      </w:r>
      <w:r w:rsidRPr="007F0D97">
        <w:t xml:space="preserve"> encore aujourd’hui. La composition ethnique de l’armée</w:t>
      </w:r>
      <w:r w:rsidR="0061588E">
        <w:t xml:space="preserve"> a joué et</w:t>
      </w:r>
      <w:r w:rsidRPr="007F0D97">
        <w:t xml:space="preserve"> </w:t>
      </w:r>
      <w:r w:rsidRPr="003C4EFB">
        <w:t xml:space="preserve">continue </w:t>
      </w:r>
      <w:r w:rsidRPr="007F0D97">
        <w:t xml:space="preserve">de jouer un rôle important dans la dynamique des FARDC et dans les nominations aux postes-clés. En </w:t>
      </w:r>
      <w:r>
        <w:t xml:space="preserve">novembre </w:t>
      </w:r>
      <w:r w:rsidRPr="007F0D97">
        <w:t>2007, le Secrétaire général</w:t>
      </w:r>
      <w:r w:rsidR="00AD269F">
        <w:t xml:space="preserve"> de l’ONU</w:t>
      </w:r>
      <w:r w:rsidRPr="007F0D97">
        <w:t xml:space="preserve"> relevait dans</w:t>
      </w:r>
      <w:r>
        <w:t xml:space="preserve"> un</w:t>
      </w:r>
      <w:r w:rsidRPr="007F0D97">
        <w:t xml:space="preserve"> rapport que les FARDC, indisciplinées et mal encadrées, continuaient de menacer la sécurité de la population</w:t>
      </w:r>
      <w:r w:rsidRPr="007F1170">
        <w:rPr>
          <w:rStyle w:val="FootnoteReference"/>
        </w:rPr>
        <w:footnoteReference w:id="16"/>
      </w:r>
      <w:r w:rsidRPr="007F0D97">
        <w:t xml:space="preserve">. Malgré l’assistance de la communauté internationale, et particulièrement de la MONUSCO, à la RDC dans la réforme de son secteur de la sécurité, cette dernière n’a toujours pas réussi à former une armée professionnelle, </w:t>
      </w:r>
      <w:r w:rsidRPr="0049283E">
        <w:t>correctement</w:t>
      </w:r>
      <w:r w:rsidRPr="007F0D97">
        <w:t xml:space="preserve"> organisée et disciplinée. Les membres des FARDC continuent de commettre fréquemment de graves violations des droits de l’homme contre la population civile et de vivre à ses dépens tout en continuant de jouir de l’impunité</w:t>
      </w:r>
      <w:r w:rsidR="009D14DA">
        <w:t>.</w:t>
      </w:r>
      <w:r w:rsidRPr="007F0D97">
        <w:t xml:space="preserve"> </w:t>
      </w:r>
      <w:r w:rsidR="009D14DA">
        <w:t>C</w:t>
      </w:r>
      <w:r w:rsidRPr="007F0D97">
        <w:t>e</w:t>
      </w:r>
      <w:r w:rsidR="009D14DA">
        <w:t>ci</w:t>
      </w:r>
      <w:r w:rsidRPr="007F0D97">
        <w:t xml:space="preserve"> malgré les dispositions explicites de la Constitution</w:t>
      </w:r>
      <w:r w:rsidRPr="007F1170">
        <w:rPr>
          <w:rStyle w:val="FootnoteReference"/>
        </w:rPr>
        <w:footnoteReference w:id="17"/>
      </w:r>
      <w:r w:rsidRPr="007F0D97">
        <w:t>, de la Loi organique n° 11/012 du 11 août 2011 portant organisation et fonctionnement des forces armées et de la Loi nº 13/005 du 15 janvier 2013 portant statut du militaire des Forces Armées de la République Démocratique du Congo</w:t>
      </w:r>
      <w:r w:rsidR="009D14DA">
        <w:t xml:space="preserve"> qui</w:t>
      </w:r>
      <w:r w:rsidR="0061588E">
        <w:t xml:space="preserve"> consacrent le rôle des FARDC </w:t>
      </w:r>
      <w:r w:rsidR="005E2371">
        <w:t>pour</w:t>
      </w:r>
      <w:r w:rsidR="0061588E">
        <w:t xml:space="preserve"> la protection de la population et la promotion et protection des droits </w:t>
      </w:r>
      <w:r w:rsidR="005E2371">
        <w:lastRenderedPageBreak/>
        <w:t>de l’homme</w:t>
      </w:r>
      <w:r w:rsidR="0061588E">
        <w:t xml:space="preserve">. </w:t>
      </w:r>
      <w:r>
        <w:t>Certains auteurs de crimes et de violations graves sont traduits en justice ; néanmoins, au regard des violations rapportées, peu sont encore sanctionnés.</w:t>
      </w:r>
    </w:p>
    <w:p w14:paraId="4EBE05C2" w14:textId="1339C888" w:rsidR="001838A5" w:rsidRPr="007F0D97" w:rsidRDefault="001838A5" w:rsidP="00992BC4">
      <w:pPr>
        <w:pStyle w:val="BodyText"/>
        <w:tabs>
          <w:tab w:val="left" w:pos="1559"/>
          <w:tab w:val="left" w:pos="1984"/>
          <w:tab w:val="left" w:leader="dot" w:pos="7654"/>
          <w:tab w:val="right" w:pos="8929"/>
        </w:tabs>
        <w:spacing w:line="240" w:lineRule="atLeast"/>
        <w:ind w:left="1138" w:right="1138" w:firstLine="0"/>
      </w:pPr>
      <w:r w:rsidRPr="007F0D97">
        <w:t xml:space="preserve">La réponse </w:t>
      </w:r>
      <w:r>
        <w:t xml:space="preserve">des FARDC </w:t>
      </w:r>
      <w:r w:rsidRPr="007F0D97">
        <w:t xml:space="preserve">contre </w:t>
      </w:r>
      <w:r>
        <w:t>la milice</w:t>
      </w:r>
      <w:r w:rsidRPr="007F0D97">
        <w:t xml:space="preserve"> Kamuina Nsapu est caractéristique d’un conflit asymétrique : il s’agit essentiellement d’un conflit entre des forces armées officielles et un opposant informel, moins équipé, avec moins de ressources humaines et logistiques mais résilient. A ce jour, on peut observer cinq phases de réaction des FARDC contre la milice Kamuina Nsapu.</w:t>
      </w:r>
    </w:p>
    <w:p w14:paraId="6AEFC16F" w14:textId="163DADD1" w:rsidR="001838A5" w:rsidRPr="007F0D97" w:rsidRDefault="001838A5" w:rsidP="00992BC4">
      <w:pPr>
        <w:pStyle w:val="BodyText"/>
        <w:tabs>
          <w:tab w:val="left" w:pos="1559"/>
          <w:tab w:val="left" w:pos="1984"/>
          <w:tab w:val="left" w:leader="dot" w:pos="7654"/>
          <w:tab w:val="right" w:pos="8929"/>
        </w:tabs>
        <w:spacing w:line="240" w:lineRule="atLeast"/>
        <w:ind w:left="1138" w:right="1138" w:firstLine="0"/>
      </w:pPr>
      <w:r w:rsidRPr="007F0D97">
        <w:t>La première phase, ou phase de réaction rapide, met en scène l’ancienne 5</w:t>
      </w:r>
      <w:r w:rsidRPr="0049283E">
        <w:rPr>
          <w:vertAlign w:val="superscript"/>
        </w:rPr>
        <w:t>ème</w:t>
      </w:r>
      <w:r w:rsidRPr="007F0D97">
        <w:t xml:space="preserve"> Brigade intégrée, fruit du brassage entre d’anciens membres de groupes armés et de membres des forces armées</w:t>
      </w:r>
      <w:r>
        <w:t>,</w:t>
      </w:r>
      <w:r w:rsidRPr="007F0D97">
        <w:t xml:space="preserve"> qui fut stationnée pendant un certain temps au Nord Kivu avant d’être redéployée à Kananga en juin 2007. Certains commandants seraient impliqués dans de graves violations des droits de l’homme </w:t>
      </w:r>
      <w:r>
        <w:t xml:space="preserve">commises </w:t>
      </w:r>
      <w:r w:rsidRPr="007F0D97">
        <w:t>dans l’est de la RDC. Fin 2011, cette brigade est devenue le 2101</w:t>
      </w:r>
      <w:r w:rsidRPr="0049283E">
        <w:rPr>
          <w:vertAlign w:val="superscript"/>
        </w:rPr>
        <w:t>ème</w:t>
      </w:r>
      <w:r w:rsidRPr="007F0D97">
        <w:t xml:space="preserve"> Régiment et formait le gros des troupes de la 21</w:t>
      </w:r>
      <w:r w:rsidRPr="0049283E">
        <w:rPr>
          <w:vertAlign w:val="superscript"/>
        </w:rPr>
        <w:t>ème</w:t>
      </w:r>
      <w:r w:rsidRPr="007F0D97">
        <w:t xml:space="preserve"> Région militaire (commandée à partir de Mbuji Mayi) faisant partie de la 2</w:t>
      </w:r>
      <w:r w:rsidR="00AD269F" w:rsidRPr="0049283E">
        <w:rPr>
          <w:vertAlign w:val="superscript"/>
        </w:rPr>
        <w:t>è</w:t>
      </w:r>
      <w:r w:rsidRPr="0049283E">
        <w:rPr>
          <w:vertAlign w:val="superscript"/>
        </w:rPr>
        <w:t>me</w:t>
      </w:r>
      <w:r w:rsidRPr="007F0D97">
        <w:t xml:space="preserve"> zone de défense (commandé</w:t>
      </w:r>
      <w:r>
        <w:t>e</w:t>
      </w:r>
      <w:r w:rsidRPr="007F0D97">
        <w:t xml:space="preserve"> de Lubumbashi) en application de la Loi organique n° 11/012 du 11 août 2011</w:t>
      </w:r>
      <w:r w:rsidRPr="007F1170">
        <w:rPr>
          <w:rStyle w:val="FootnoteReference"/>
        </w:rPr>
        <w:footnoteReference w:id="18"/>
      </w:r>
      <w:r w:rsidRPr="007F0D97">
        <w:t xml:space="preserve">. Les affrontements lors de cette phase de réaction rapide ont duré d’avril </w:t>
      </w:r>
      <w:r w:rsidRPr="005E2371">
        <w:t>à août 2016,</w:t>
      </w:r>
      <w:r w:rsidRPr="007F0D97">
        <w:t xml:space="preserve"> affectant sans distinction</w:t>
      </w:r>
      <w:r>
        <w:t xml:space="preserve"> les membres de la milice et</w:t>
      </w:r>
      <w:r w:rsidRPr="007F0D97">
        <w:t xml:space="preserve"> la population du Kasa</w:t>
      </w:r>
      <w:r w:rsidR="00A00A7A">
        <w:t>ï</w:t>
      </w:r>
      <w:r w:rsidRPr="007F0D97">
        <w:t xml:space="preserve"> </w:t>
      </w:r>
      <w:r w:rsidR="005E2371">
        <w:t>C</w:t>
      </w:r>
      <w:r w:rsidRPr="007F0D97">
        <w:t>entral, en raison du manque d’information sur les buts et les capacités de la milice Kamuina Nsapu. En conséquence, la population a initialement soutenu le mouvement Kamuina Nsapu d’autant plus que les membres du 2101</w:t>
      </w:r>
      <w:r w:rsidRPr="0049283E">
        <w:rPr>
          <w:vertAlign w:val="superscript"/>
        </w:rPr>
        <w:t>ème</w:t>
      </w:r>
      <w:r w:rsidRPr="007F0D97">
        <w:t xml:space="preserve"> régiment sont principalement perçus par elle comme des </w:t>
      </w:r>
      <w:r w:rsidR="00591FD8">
        <w:t>« </w:t>
      </w:r>
      <w:r w:rsidRPr="007F0D97">
        <w:t>étrangers</w:t>
      </w:r>
      <w:r w:rsidR="00591FD8">
        <w:t> »</w:t>
      </w:r>
      <w:r w:rsidRPr="007F0D97">
        <w:t xml:space="preserve">, des </w:t>
      </w:r>
      <w:r>
        <w:t>« </w:t>
      </w:r>
      <w:r w:rsidRPr="007F0D97">
        <w:t>rwandais</w:t>
      </w:r>
      <w:r>
        <w:t> »,</w:t>
      </w:r>
      <w:r w:rsidRPr="007F0D97">
        <w:t xml:space="preserve"> car ils viennent de l’est de la RDC.</w:t>
      </w:r>
    </w:p>
    <w:p w14:paraId="0ADCB6FD" w14:textId="244CE0DD" w:rsidR="001838A5" w:rsidRPr="007F0D97" w:rsidRDefault="001838A5" w:rsidP="00992BC4">
      <w:pPr>
        <w:pStyle w:val="BodyText"/>
        <w:tabs>
          <w:tab w:val="left" w:pos="1559"/>
          <w:tab w:val="left" w:pos="1984"/>
          <w:tab w:val="left" w:leader="dot" w:pos="7654"/>
          <w:tab w:val="right" w:pos="8929"/>
        </w:tabs>
        <w:spacing w:line="240" w:lineRule="atLeast"/>
        <w:ind w:left="1138" w:right="1138" w:firstLine="0"/>
      </w:pPr>
      <w:r w:rsidRPr="007F0D97">
        <w:t xml:space="preserve">La seconde phase, ou phase anti-insurrectionnelle de base, débute avec la mort du chef du mouvement Kamuina Nsapu et se déroule jusque début mars 2017. Alors que les autorités </w:t>
      </w:r>
      <w:r>
        <w:t xml:space="preserve">acquièrent une meilleure </w:t>
      </w:r>
      <w:r w:rsidRPr="007F0D97">
        <w:t>connaissance du mouvement Kamuina Nsapu</w:t>
      </w:r>
      <w:r>
        <w:t>, l</w:t>
      </w:r>
      <w:r w:rsidRPr="007F0D97">
        <w:t>es FARDC renforcent leurs troupes pour atteindre 7</w:t>
      </w:r>
      <w:r w:rsidR="00AD269F">
        <w:t xml:space="preserve"> </w:t>
      </w:r>
      <w:r w:rsidRPr="007F0D97">
        <w:t xml:space="preserve">000 hommes fin 2016 </w:t>
      </w:r>
      <w:r w:rsidR="00E52125" w:rsidRPr="00CB2CDD">
        <w:t>alors qu’ils estiment</w:t>
      </w:r>
      <w:r w:rsidRPr="00E52125">
        <w:t xml:space="preserve"> </w:t>
      </w:r>
      <w:r w:rsidR="001562A3">
        <w:t xml:space="preserve">alors </w:t>
      </w:r>
      <w:r w:rsidRPr="00E52125">
        <w:t>entre 500 et 1</w:t>
      </w:r>
      <w:r w:rsidR="00AD269F">
        <w:t xml:space="preserve"> </w:t>
      </w:r>
      <w:r w:rsidRPr="00E52125">
        <w:t xml:space="preserve">000 </w:t>
      </w:r>
      <w:r w:rsidR="00E52125" w:rsidRPr="00CB2CDD">
        <w:t xml:space="preserve">le nombre de </w:t>
      </w:r>
      <w:r w:rsidRPr="00E52125">
        <w:t>combattants Kamuina Nsapu</w:t>
      </w:r>
      <w:r w:rsidR="00E52125">
        <w:t xml:space="preserve"> à neutraliser</w:t>
      </w:r>
      <w:r w:rsidRPr="00E52125">
        <w:t>. Les FARDC tentent de garder un profil</w:t>
      </w:r>
      <w:r w:rsidRPr="005E2371">
        <w:t xml:space="preserve"> bas dans leurs actions</w:t>
      </w:r>
      <w:r w:rsidRPr="00E52125">
        <w:t xml:space="preserve"> et</w:t>
      </w:r>
      <w:r w:rsidRPr="007F0D97">
        <w:t xml:space="preserve"> comptent sur la mise en place de barrières, de cordons de sécurité, d’opérations de recherche et d’actions de terre brûlée, </w:t>
      </w:r>
      <w:r>
        <w:t>et d’</w:t>
      </w:r>
      <w:r w:rsidRPr="007F0D97">
        <w:t>opérations psychologiques utilisant les média</w:t>
      </w:r>
      <w:r w:rsidR="003B33D1">
        <w:t>s</w:t>
      </w:r>
      <w:r w:rsidRPr="007F0D97">
        <w:t xml:space="preserve"> pour arriver à leurs fins. Cette tactique continue d’éloigner les FARDC de tout soutien de la population</w:t>
      </w:r>
      <w:r w:rsidRPr="007F1170">
        <w:rPr>
          <w:rStyle w:val="FootnoteReference"/>
        </w:rPr>
        <w:footnoteReference w:id="19"/>
      </w:r>
      <w:r w:rsidRPr="007F0D97">
        <w:t>.</w:t>
      </w:r>
    </w:p>
    <w:p w14:paraId="5064BE88" w14:textId="204ADBCE" w:rsidR="001838A5" w:rsidRPr="007F0D97" w:rsidRDefault="001838A5" w:rsidP="00992BC4">
      <w:pPr>
        <w:pStyle w:val="BodyText"/>
        <w:tabs>
          <w:tab w:val="left" w:pos="1559"/>
          <w:tab w:val="left" w:pos="1984"/>
          <w:tab w:val="left" w:leader="dot" w:pos="7654"/>
          <w:tab w:val="right" w:pos="8929"/>
        </w:tabs>
        <w:spacing w:line="240" w:lineRule="atLeast"/>
        <w:ind w:left="1138" w:right="1138" w:firstLine="0"/>
      </w:pPr>
      <w:r w:rsidRPr="007F0D97">
        <w:t>La troisième phase, ou phase de reconnaissance nationale et d’opération psychologique, se situe entre mars et septembre 2017. Le Gouvernement de la RDC crée le secteur opérationnel du Grand Kasaï le 9 mars 2017 et le</w:t>
      </w:r>
      <w:r w:rsidR="007B5E83">
        <w:t xml:space="preserve"> même</w:t>
      </w:r>
      <w:r w:rsidRPr="007F0D97">
        <w:t xml:space="preserve"> mois on assiste à de</w:t>
      </w:r>
      <w:r w:rsidR="007B5E83">
        <w:t>s</w:t>
      </w:r>
      <w:r w:rsidRPr="007F0D97">
        <w:t xml:space="preserve"> négociation</w:t>
      </w:r>
      <w:r w:rsidR="007B5E83">
        <w:t>s</w:t>
      </w:r>
      <w:r w:rsidRPr="007F0D97">
        <w:t xml:space="preserve"> entre la famille de Jean-Prince Mpandi et le gouverneur du Kasaï </w:t>
      </w:r>
      <w:r w:rsidR="007B5E83">
        <w:t>C</w:t>
      </w:r>
      <w:r w:rsidRPr="007F0D97">
        <w:t>entral</w:t>
      </w:r>
      <w:r w:rsidR="007B5E83">
        <w:t>. Celles-ci conduisent à la restitution par les autorités</w:t>
      </w:r>
      <w:r w:rsidR="003B33D1">
        <w:t xml:space="preserve"> congolaises</w:t>
      </w:r>
      <w:r w:rsidR="007B5E83">
        <w:t xml:space="preserve"> du corps de </w:t>
      </w:r>
      <w:r w:rsidR="007B5E83" w:rsidRPr="007F0D97">
        <w:t>Jean-Prince Mpandi</w:t>
      </w:r>
      <w:r w:rsidR="007B5E83">
        <w:t xml:space="preserve"> et à la désignation</w:t>
      </w:r>
      <w:r w:rsidR="003B33D1">
        <w:t>,</w:t>
      </w:r>
      <w:r w:rsidR="007B5E83">
        <w:t xml:space="preserve"> par les représentants de la famille</w:t>
      </w:r>
      <w:r w:rsidR="003B33D1">
        <w:t>,</w:t>
      </w:r>
      <w:r w:rsidR="007B5E83">
        <w:t xml:space="preserve"> d’un nouveau chef Kamuina Nsapu. Malgré cet accord, la milice Kamuina Nsapu continue ses activités</w:t>
      </w:r>
      <w:r w:rsidRPr="007F0D97">
        <w:t>. On estime qu’à ce moment</w:t>
      </w:r>
      <w:r w:rsidR="006560CD">
        <w:t>-</w:t>
      </w:r>
      <w:r w:rsidR="007B5E83">
        <w:t xml:space="preserve">là, </w:t>
      </w:r>
      <w:r w:rsidRPr="007F0D97">
        <w:t>la milice Kamuina Nsapu regroupe au moins 2</w:t>
      </w:r>
      <w:r w:rsidR="000C6055">
        <w:t xml:space="preserve"> </w:t>
      </w:r>
      <w:r w:rsidRPr="007F0D97">
        <w:t xml:space="preserve">500 combattants, principalement des enfants. Mais, c’est plus la stratégie et la tactique que le nombre de combattants qui importe maintenant car la milice </w:t>
      </w:r>
      <w:r w:rsidR="003B33D1">
        <w:t>a</w:t>
      </w:r>
      <w:r w:rsidR="007B5E83">
        <w:t xml:space="preserve"> la capacité</w:t>
      </w:r>
      <w:r w:rsidRPr="007F0D97">
        <w:t xml:space="preserve"> d’envoyer des combattants sur tout le territoire </w:t>
      </w:r>
      <w:r w:rsidR="0061479D">
        <w:t>des L</w:t>
      </w:r>
      <w:r w:rsidR="007B5E83">
        <w:t>uba</w:t>
      </w:r>
      <w:r w:rsidR="0061479D">
        <w:t>s</w:t>
      </w:r>
      <w:r w:rsidR="007B5E83">
        <w:t xml:space="preserve"> </w:t>
      </w:r>
      <w:r>
        <w:t>du Kasaï</w:t>
      </w:r>
      <w:r w:rsidRPr="007F1170">
        <w:rPr>
          <w:rStyle w:val="FootnoteReference"/>
        </w:rPr>
        <w:footnoteReference w:id="20"/>
      </w:r>
      <w:r w:rsidRPr="0049283E">
        <w:t xml:space="preserve"> qu’elle recrut</w:t>
      </w:r>
      <w:r w:rsidRPr="007F0D97">
        <w:t>e</w:t>
      </w:r>
      <w:r w:rsidRPr="0049283E">
        <w:t xml:space="preserve"> dans la jeunesse sans emploi</w:t>
      </w:r>
      <w:r w:rsidRPr="007F0D97">
        <w:t>. Cela pose une menace aux capacités opérationnelles et logistiques des FARDC qui ne peuvent être présents sur l’ensemble du territoire kasaïen. Les FARDC lancent alors des opérations psychologiques : en impliquant</w:t>
      </w:r>
      <w:r w:rsidR="007B5E83">
        <w:t xml:space="preserve"> parfois</w:t>
      </w:r>
      <w:r w:rsidRPr="007F0D97">
        <w:t xml:space="preserve"> la communauté internationale en cherchant à faire reconnaitre la milice Kamuina</w:t>
      </w:r>
      <w:r w:rsidR="007B5E83">
        <w:t xml:space="preserve"> Nsapu</w:t>
      </w:r>
      <w:r w:rsidRPr="007F0D97">
        <w:t xml:space="preserve"> comme groupe terroriste ou en avertissant la </w:t>
      </w:r>
      <w:r w:rsidRPr="007F0D97">
        <w:lastRenderedPageBreak/>
        <w:t>population locale que les pratiques su</w:t>
      </w:r>
      <w:r>
        <w:t>r</w:t>
      </w:r>
      <w:r w:rsidRPr="007F0D97">
        <w:t>naturelles n’empêcheront pas les FARDC de tuer les miliciens.</w:t>
      </w:r>
    </w:p>
    <w:p w14:paraId="43EE5135" w14:textId="737A95D0" w:rsidR="001838A5" w:rsidRPr="007F0D97" w:rsidRDefault="001838A5" w:rsidP="00992BC4">
      <w:pPr>
        <w:pStyle w:val="BodyText"/>
        <w:tabs>
          <w:tab w:val="left" w:pos="1559"/>
          <w:tab w:val="left" w:pos="1984"/>
          <w:tab w:val="left" w:leader="dot" w:pos="7654"/>
          <w:tab w:val="right" w:pos="8929"/>
        </w:tabs>
        <w:spacing w:line="240" w:lineRule="atLeast"/>
        <w:ind w:left="1138" w:right="1138" w:firstLine="0"/>
      </w:pPr>
      <w:r w:rsidRPr="007F0D97">
        <w:t>La quatrième phase, ou phase initiale de conflit non-conventionnel, débute en octobre 2017 pour se terminer à la fin de la même année. Les FARDC semblent reconnaître au niveau opérationnel l’utilisation de pouvoirs supranaturels de la milice Kamuina Nsapu. Cela a pour conséquence le recours par les FARDC à leurs propres cérémonies mystiques afin d’insuffler un sentiment d’invulnérabilité aux troupes</w:t>
      </w:r>
      <w:r w:rsidRPr="007F1170">
        <w:rPr>
          <w:rStyle w:val="FootnoteReference"/>
        </w:rPr>
        <w:footnoteReference w:id="21"/>
      </w:r>
      <w:r w:rsidRPr="007F0D97">
        <w:t xml:space="preserve">. On arrive à un </w:t>
      </w:r>
      <w:r w:rsidRPr="0049283E">
        <w:rPr>
          <w:i/>
        </w:rPr>
        <w:t>status quo</w:t>
      </w:r>
      <w:r w:rsidRPr="007F0D97">
        <w:t xml:space="preserve"> des affrontements. Les troupes </w:t>
      </w:r>
      <w:r>
        <w:t xml:space="preserve">FARDC </w:t>
      </w:r>
      <w:r w:rsidRPr="007F0D97">
        <w:t>redescendent à 4</w:t>
      </w:r>
      <w:r w:rsidR="00992BC4">
        <w:t xml:space="preserve"> </w:t>
      </w:r>
      <w:r w:rsidRPr="007F0D97">
        <w:t xml:space="preserve">500 hommes et sont principalement organisées au sein de trois régiments, stationnés au Kasaï, Kasaï </w:t>
      </w:r>
      <w:r w:rsidR="00FA7CDB">
        <w:t>C</w:t>
      </w:r>
      <w:r w:rsidRPr="007F0D97">
        <w:t xml:space="preserve">entral et Kasaï </w:t>
      </w:r>
      <w:r w:rsidR="00FA7CDB">
        <w:t>O</w:t>
      </w:r>
      <w:r w:rsidRPr="007F0D97">
        <w:t>riental commandées à partir du quartier général du secteur opérationnel à Kananga.</w:t>
      </w:r>
    </w:p>
    <w:p w14:paraId="28AE2404" w14:textId="53E7048A" w:rsidR="001838A5" w:rsidRPr="007F0D97" w:rsidRDefault="001838A5" w:rsidP="00992BC4">
      <w:pPr>
        <w:pStyle w:val="BodyText"/>
        <w:tabs>
          <w:tab w:val="left" w:pos="1559"/>
          <w:tab w:val="left" w:pos="1984"/>
          <w:tab w:val="left" w:leader="dot" w:pos="7654"/>
          <w:tab w:val="right" w:pos="8929"/>
        </w:tabs>
        <w:spacing w:line="240" w:lineRule="atLeast"/>
        <w:ind w:left="1138" w:right="1138" w:firstLine="0"/>
      </w:pPr>
      <w:r w:rsidRPr="007F0D97">
        <w:t xml:space="preserve">La cinquième phase, ou phase actuelle de conflit non-conventionnel, a débuté en janvier 2018. Alors que la milice Kamuina Nsapu semble renforcer </w:t>
      </w:r>
      <w:r>
        <w:t>son</w:t>
      </w:r>
      <w:r w:rsidRPr="007F0D97">
        <w:t xml:space="preserve"> recours aux croyances su</w:t>
      </w:r>
      <w:r>
        <w:t>r</w:t>
      </w:r>
      <w:r w:rsidRPr="007F0D97">
        <w:t xml:space="preserve">naturelles pour combattre les forces de défense </w:t>
      </w:r>
      <w:r w:rsidR="00FA7CDB">
        <w:t xml:space="preserve">et de sécurité </w:t>
      </w:r>
      <w:r w:rsidRPr="007F0D97">
        <w:t xml:space="preserve">et prend principalement les FARDC pour cible, les FARDC remanient leur organisation au Kasaï </w:t>
      </w:r>
      <w:r w:rsidR="00FA7CDB">
        <w:t xml:space="preserve">en </w:t>
      </w:r>
      <w:r w:rsidRPr="007F0D97">
        <w:t>de plus petites unités. Le recours aux croyances su</w:t>
      </w:r>
      <w:r>
        <w:t>r</w:t>
      </w:r>
      <w:r w:rsidRPr="007F0D97">
        <w:t>naturel</w:t>
      </w:r>
      <w:r>
        <w:t>les</w:t>
      </w:r>
      <w:r w:rsidRPr="007F0D97">
        <w:t xml:space="preserve"> par une partie des FARDC a créé une rupture avec ceux qui n’y croient pas.</w:t>
      </w:r>
    </w:p>
    <w:p w14:paraId="3BA8650D" w14:textId="345B350F" w:rsidR="001838A5" w:rsidRPr="00B31AF7" w:rsidRDefault="001838A5" w:rsidP="00992BC4">
      <w:pPr>
        <w:pStyle w:val="BodyText"/>
        <w:tabs>
          <w:tab w:val="left" w:pos="1559"/>
          <w:tab w:val="left" w:pos="1984"/>
          <w:tab w:val="left" w:leader="dot" w:pos="7654"/>
          <w:tab w:val="right" w:pos="8929"/>
        </w:tabs>
        <w:spacing w:line="240" w:lineRule="atLeast"/>
        <w:ind w:left="1138" w:right="1138" w:firstLine="0"/>
      </w:pPr>
      <w:r w:rsidRPr="005F4BB6">
        <w:t>La PNC</w:t>
      </w:r>
      <w:r>
        <w:t>, quant à elle,</w:t>
      </w:r>
      <w:r w:rsidRPr="005F4BB6">
        <w:t xml:space="preserve"> </w:t>
      </w:r>
      <w:r w:rsidR="00591FD8">
        <w:t xml:space="preserve">est </w:t>
      </w:r>
      <w:r w:rsidRPr="005F4BB6">
        <w:t>très largement sous équipée et sous entraînée pour répondre aux violences au Kasaï, malgré des renforts d’une unité spécialisée dans le maintien de l’ordre</w:t>
      </w:r>
      <w:r w:rsidR="00533331">
        <w:t xml:space="preserve">, la </w:t>
      </w:r>
      <w:r w:rsidR="00533331" w:rsidRPr="008F2FEC">
        <w:t>Légion national</w:t>
      </w:r>
      <w:r w:rsidR="00EB1126">
        <w:t>e</w:t>
      </w:r>
      <w:r w:rsidR="00533331" w:rsidRPr="008F2FEC">
        <w:t xml:space="preserve"> d’intervention</w:t>
      </w:r>
      <w:r w:rsidR="00533331">
        <w:t xml:space="preserve"> (</w:t>
      </w:r>
      <w:r w:rsidR="00533331" w:rsidRPr="00F236D4">
        <w:t>LNI</w:t>
      </w:r>
      <w:r w:rsidR="00533331">
        <w:t>)</w:t>
      </w:r>
      <w:r w:rsidRPr="005F4BB6">
        <w:t>.</w:t>
      </w:r>
      <w:r w:rsidR="00FA7CDB">
        <w:t xml:space="preserve"> </w:t>
      </w:r>
      <w:r w:rsidR="00B46E4B">
        <w:t xml:space="preserve">Dans les premiers mois du conflit, la PNC était, dans la plupart des cas, le seul représentant armé des forces de défense et de sécurité sur le terrain. Certains agents de la PNC </w:t>
      </w:r>
      <w:r w:rsidR="001317ED">
        <w:t>ont combattu contre</w:t>
      </w:r>
      <w:r w:rsidR="00B46E4B">
        <w:t xml:space="preserve"> la milice Kamuina Nsapu </w:t>
      </w:r>
      <w:r w:rsidR="008B39F2">
        <w:t>mais ils ont</w:t>
      </w:r>
      <w:r w:rsidR="00B46E4B">
        <w:t xml:space="preserve"> souvent </w:t>
      </w:r>
      <w:r w:rsidR="008B39F2">
        <w:t xml:space="preserve">été </w:t>
      </w:r>
      <w:r w:rsidR="00B46E4B">
        <w:t xml:space="preserve">vaincus. </w:t>
      </w:r>
      <w:r w:rsidR="001317ED">
        <w:t>L</w:t>
      </w:r>
      <w:r w:rsidR="00B46E4B">
        <w:t xml:space="preserve">a majorité des agents de la PNC </w:t>
      </w:r>
      <w:r w:rsidR="001317ED">
        <w:t>a fait le choix de la fuite</w:t>
      </w:r>
      <w:r w:rsidR="00C65067">
        <w:t xml:space="preserve"> à l’arrivée de la milice Kamuina Nsapu</w:t>
      </w:r>
      <w:r w:rsidR="00204A04">
        <w:t>.</w:t>
      </w:r>
      <w:r w:rsidR="00C65067">
        <w:t xml:space="preserve"> </w:t>
      </w:r>
      <w:r w:rsidR="00204A04">
        <w:t>Lorsque les agents de PNC n’ont pas réussi à fuir, ils</w:t>
      </w:r>
      <w:r w:rsidR="00C65067">
        <w:t xml:space="preserve"> ont </w:t>
      </w:r>
      <w:r w:rsidR="00204A04">
        <w:t xml:space="preserve">fréquemment </w:t>
      </w:r>
      <w:r w:rsidR="00C65067">
        <w:t xml:space="preserve">été </w:t>
      </w:r>
      <w:r w:rsidR="00204A04">
        <w:t xml:space="preserve">les </w:t>
      </w:r>
      <w:r w:rsidR="008B39F2">
        <w:t>premières</w:t>
      </w:r>
      <w:r w:rsidR="00C65067">
        <w:t xml:space="preserve"> victimes</w:t>
      </w:r>
      <w:r w:rsidR="00204A04">
        <w:t xml:space="preserve"> des miliciens Kamuina Nsapu, souvent</w:t>
      </w:r>
      <w:r w:rsidR="00C65067">
        <w:t xml:space="preserve"> sans opportunité de </w:t>
      </w:r>
      <w:r w:rsidR="003B33D1">
        <w:t>combattre</w:t>
      </w:r>
      <w:r w:rsidR="00C65067">
        <w:t xml:space="preserve">. </w:t>
      </w:r>
      <w:r w:rsidR="00B46E4B">
        <w:t xml:space="preserve">Dans certains cas, la PNC est </w:t>
      </w:r>
      <w:r w:rsidR="00FA7CDB">
        <w:t>intervenue</w:t>
      </w:r>
      <w:r w:rsidR="00B46E4B">
        <w:t xml:space="preserve"> </w:t>
      </w:r>
      <w:r w:rsidR="00FA7CDB">
        <w:t>en soutien des FARDC lors d’opérations militaires</w:t>
      </w:r>
      <w:r w:rsidR="00B46E4B">
        <w:t>.</w:t>
      </w:r>
    </w:p>
    <w:p w14:paraId="46397505" w14:textId="4D392C7D" w:rsidR="001838A5" w:rsidRPr="00FE5E8D" w:rsidRDefault="001838A5" w:rsidP="00BC668B">
      <w:pPr>
        <w:pStyle w:val="Heading2"/>
        <w:spacing w:before="360" w:line="270" w:lineRule="exact"/>
        <w:ind w:left="1138" w:right="1138" w:hanging="571"/>
        <w:rPr>
          <w:sz w:val="24"/>
          <w:szCs w:val="24"/>
        </w:rPr>
      </w:pPr>
      <w:bookmarkStart w:id="39" w:name="_Toc518027525"/>
      <w:r w:rsidRPr="00FE5E8D">
        <w:rPr>
          <w:sz w:val="24"/>
          <w:szCs w:val="24"/>
        </w:rPr>
        <w:t xml:space="preserve">La milice </w:t>
      </w:r>
      <w:r w:rsidRPr="00992BC4">
        <w:rPr>
          <w:sz w:val="24"/>
          <w:szCs w:val="24"/>
          <w:lang w:val="fr-FR"/>
        </w:rPr>
        <w:t>Kamuina</w:t>
      </w:r>
      <w:r w:rsidRPr="00FE5E8D">
        <w:rPr>
          <w:sz w:val="24"/>
          <w:szCs w:val="24"/>
        </w:rPr>
        <w:t xml:space="preserve"> Nsapu</w:t>
      </w:r>
      <w:bookmarkEnd w:id="39"/>
    </w:p>
    <w:p w14:paraId="254B1DBB" w14:textId="28C2C92C" w:rsidR="001838A5" w:rsidRDefault="001838A5" w:rsidP="00992BC4">
      <w:pPr>
        <w:pStyle w:val="BodyText"/>
        <w:tabs>
          <w:tab w:val="left" w:pos="1559"/>
          <w:tab w:val="left" w:pos="1984"/>
          <w:tab w:val="left" w:leader="dot" w:pos="7654"/>
          <w:tab w:val="right" w:pos="8929"/>
        </w:tabs>
        <w:spacing w:line="240" w:lineRule="atLeast"/>
        <w:ind w:left="1138" w:right="1138" w:firstLine="0"/>
      </w:pPr>
      <w:r w:rsidRPr="0049283E">
        <w:t xml:space="preserve">Le </w:t>
      </w:r>
      <w:r>
        <w:t>terme Kamuina Nsapu renvoie aussi bien au village et groupement du même nom</w:t>
      </w:r>
      <w:r w:rsidRPr="007F1170">
        <w:rPr>
          <w:rStyle w:val="FootnoteReference"/>
        </w:rPr>
        <w:footnoteReference w:id="22"/>
      </w:r>
      <w:r>
        <w:t xml:space="preserve">, siège du pouvoir coutumier du clan </w:t>
      </w:r>
      <w:r w:rsidR="00006825" w:rsidRPr="00586BE7">
        <w:t>Bashila</w:t>
      </w:r>
      <w:r w:rsidR="00AD269F">
        <w:t xml:space="preserve"> Kasanga,</w:t>
      </w:r>
      <w:r>
        <w:t xml:space="preserve"> qu’au titre du chef de ce clan ou à la milice et ses membres.</w:t>
      </w:r>
    </w:p>
    <w:p w14:paraId="4DC04B66" w14:textId="74C7CE3B" w:rsidR="001838A5" w:rsidRPr="0049283E" w:rsidRDefault="001838A5" w:rsidP="00992BC4">
      <w:pPr>
        <w:pStyle w:val="BodyText"/>
        <w:tabs>
          <w:tab w:val="left" w:pos="1559"/>
          <w:tab w:val="left" w:pos="1984"/>
          <w:tab w:val="left" w:leader="dot" w:pos="7654"/>
          <w:tab w:val="right" w:pos="8929"/>
        </w:tabs>
        <w:spacing w:line="240" w:lineRule="atLeast"/>
        <w:ind w:left="1138" w:right="1138" w:firstLine="0"/>
      </w:pPr>
      <w:r>
        <w:t xml:space="preserve">Le </w:t>
      </w:r>
      <w:r w:rsidR="00B21C1B">
        <w:t xml:space="preserve">mouvement </w:t>
      </w:r>
      <w:r>
        <w:t xml:space="preserve">Kamuina Nsapu est ancré dans l’héritage culturel de la nation </w:t>
      </w:r>
      <w:r w:rsidR="0061479D">
        <w:t>l</w:t>
      </w:r>
      <w:r>
        <w:t xml:space="preserve">uba qui est aujourd’hui présente dans trois régions de la RDC : dans la province du Haut-Lomami ; à l’est, par-delà la rivière Lualaba jusqu’au lac Tanganyika ; à l’ouest dans ce qui compose le Kasaï. Les Bashilange, c’est-à-dire ceux qui ont le léopard comme totem clanique, sont les </w:t>
      </w:r>
      <w:r w:rsidR="0061479D">
        <w:t>L</w:t>
      </w:r>
      <w:r>
        <w:t>uba</w:t>
      </w:r>
      <w:r w:rsidR="003B33D1">
        <w:t>s</w:t>
      </w:r>
      <w:r>
        <w:t xml:space="preserve"> du Kasa</w:t>
      </w:r>
      <w:r w:rsidR="006560CD">
        <w:t>ï</w:t>
      </w:r>
      <w:r w:rsidRPr="007F1170">
        <w:rPr>
          <w:rStyle w:val="FootnoteReference"/>
        </w:rPr>
        <w:footnoteReference w:id="23"/>
      </w:r>
      <w:r>
        <w:t>. Historiquement, les Bashilange ont eu du mal à cohabiter avec le colonisateur et contrairement à d’autres clans, ont refusé de travailler ou d’étudier avec lui. Après l’indépendance, la situation économique des Bashilange ne s’est pas améliorée, cela à cause du décalage entre les emplois disponibles et leurs compétences. Depuis, le taux de chômage est resté élevé. La vie quotidienne des Luba</w:t>
      </w:r>
      <w:r w:rsidR="0061479D">
        <w:t>s</w:t>
      </w:r>
      <w:r>
        <w:t xml:space="preserve"> reste très influencée par leurs croyances ancestrales, qui jouent un rôle central dans leur organisation sociale.</w:t>
      </w:r>
    </w:p>
    <w:p w14:paraId="6519784C" w14:textId="137CB46B" w:rsidR="001838A5" w:rsidRDefault="001838A5" w:rsidP="00992BC4">
      <w:pPr>
        <w:pStyle w:val="BodyText"/>
        <w:tabs>
          <w:tab w:val="left" w:pos="1559"/>
          <w:tab w:val="left" w:pos="1984"/>
          <w:tab w:val="left" w:leader="dot" w:pos="7654"/>
          <w:tab w:val="right" w:pos="8929"/>
        </w:tabs>
        <w:spacing w:line="240" w:lineRule="atLeast"/>
        <w:ind w:left="1138" w:right="1138" w:firstLine="0"/>
      </w:pPr>
      <w:r w:rsidRPr="0049283E">
        <w:t>La milice Kamuina Nsapu, majoritairement composé</w:t>
      </w:r>
      <w:r>
        <w:t>e</w:t>
      </w:r>
      <w:r w:rsidRPr="0049283E">
        <w:t xml:space="preserve"> de personnes d’origine </w:t>
      </w:r>
      <w:r w:rsidR="0061479D">
        <w:t>l</w:t>
      </w:r>
      <w:r w:rsidRPr="0049283E">
        <w:t>uba, est née d’un conflit de pouvoir coutumier. Le chef Kamuina Nsapu</w:t>
      </w:r>
      <w:r>
        <w:t>, chef du village du même nom,</w:t>
      </w:r>
      <w:r w:rsidRPr="0049283E">
        <w:t xml:space="preserve"> est</w:t>
      </w:r>
      <w:r>
        <w:t xml:space="preserve"> le chef du groupement de </w:t>
      </w:r>
      <w:r w:rsidR="00006825" w:rsidRPr="00586BE7">
        <w:t>Bashila</w:t>
      </w:r>
      <w:r>
        <w:t xml:space="preserve"> Kasanga, le chef du peuple </w:t>
      </w:r>
      <w:r w:rsidR="00006825" w:rsidRPr="00586BE7">
        <w:t>Bashila</w:t>
      </w:r>
      <w:r w:rsidR="00006825" w:rsidDel="00006825">
        <w:t xml:space="preserve"> </w:t>
      </w:r>
      <w:r>
        <w:t xml:space="preserve">Kasanga et </w:t>
      </w:r>
      <w:r w:rsidRPr="0049283E">
        <w:t xml:space="preserve">le chef militaire du royaume Bashilange. </w:t>
      </w:r>
    </w:p>
    <w:p w14:paraId="1D28D932" w14:textId="749EEBF0" w:rsidR="001838A5" w:rsidRDefault="001838A5" w:rsidP="00992BC4">
      <w:pPr>
        <w:pStyle w:val="BodyText"/>
        <w:tabs>
          <w:tab w:val="left" w:pos="1559"/>
          <w:tab w:val="left" w:pos="1984"/>
          <w:tab w:val="left" w:leader="dot" w:pos="7654"/>
          <w:tab w:val="right" w:pos="8929"/>
        </w:tabs>
        <w:spacing w:line="240" w:lineRule="atLeast"/>
        <w:ind w:left="1138" w:right="1138" w:firstLine="0"/>
      </w:pPr>
      <w:r>
        <w:t>A</w:t>
      </w:r>
      <w:r w:rsidRPr="0049283E">
        <w:t>près la mort de l’ancien chef Kamuina Nsapu</w:t>
      </w:r>
      <w:r w:rsidRPr="00FD386A">
        <w:t xml:space="preserve"> en septembre 2012</w:t>
      </w:r>
      <w:r w:rsidRPr="0049283E">
        <w:t xml:space="preserve">, Ntuma Mupala, chef de la chefferie </w:t>
      </w:r>
      <w:r w:rsidR="00006825" w:rsidRPr="00586BE7">
        <w:t>Bashila</w:t>
      </w:r>
      <w:r w:rsidRPr="0049283E">
        <w:t xml:space="preserve"> Kasanga</w:t>
      </w:r>
      <w:r w:rsidRPr="007F1170">
        <w:rPr>
          <w:rStyle w:val="FootnoteReference"/>
        </w:rPr>
        <w:footnoteReference w:id="24"/>
      </w:r>
      <w:r w:rsidRPr="0049283E">
        <w:t>, sur le territoire de Dibaya, province du Kasaï Central, Jean-Prince Mpandi est nommé comme successeur</w:t>
      </w:r>
      <w:r w:rsidRPr="00FD386A">
        <w:t xml:space="preserve"> par la famille Kamuina Nsapu</w:t>
      </w:r>
      <w:r w:rsidRPr="0082580D">
        <w:t xml:space="preserve"> </w:t>
      </w:r>
      <w:r>
        <w:t>e</w:t>
      </w:r>
      <w:r w:rsidRPr="0049283E">
        <w:t>n septembre 2013</w:t>
      </w:r>
      <w:r w:rsidRPr="007F1170">
        <w:rPr>
          <w:rStyle w:val="FootnoteReference"/>
        </w:rPr>
        <w:footnoteReference w:id="25"/>
      </w:r>
      <w:r w:rsidRPr="0049283E">
        <w:t xml:space="preserve">. La chefferie </w:t>
      </w:r>
      <w:r w:rsidR="00006825" w:rsidRPr="00586BE7">
        <w:t>Bashila</w:t>
      </w:r>
      <w:r w:rsidRPr="0049283E">
        <w:t xml:space="preserve"> Kasanga appartient au royaume des Bashilange dont les chefferies se sont étendues depuis l’époque coloniale jusqu’en Angola voisin. </w:t>
      </w:r>
      <w:r w:rsidRPr="00FD386A">
        <w:t xml:space="preserve">Afin d’être reconnu comme chef coutumier, </w:t>
      </w:r>
      <w:r>
        <w:t>le droit congolais</w:t>
      </w:r>
      <w:r w:rsidRPr="00FD386A">
        <w:t xml:space="preserve"> prévoit que Jean-</w:t>
      </w:r>
      <w:r>
        <w:t>P</w:t>
      </w:r>
      <w:r w:rsidRPr="00FD386A">
        <w:t xml:space="preserve">rince </w:t>
      </w:r>
      <w:r>
        <w:t>Mp</w:t>
      </w:r>
      <w:r w:rsidRPr="00FD386A">
        <w:t>andi doit être investi et reconnu comme tel par les autorités publiques dans un arrêté</w:t>
      </w:r>
      <w:r w:rsidRPr="007F1170">
        <w:rPr>
          <w:rStyle w:val="FootnoteReference"/>
        </w:rPr>
        <w:footnoteReference w:id="26"/>
      </w:r>
      <w:r w:rsidRPr="00FD386A">
        <w:t xml:space="preserve">. </w:t>
      </w:r>
      <w:r w:rsidRPr="0049283E">
        <w:t>La demande de reconnaissance de Jean-Prince Mpandi comme chef coutumier Kamuina Nsapu est rejetée par le Ministre de l’Intérieur, Evariste Boshab, pour des raisons politiques alors que les autorités appuient Ntenda Tshiambi, chef coutumier du village Ntenda, rival de Jean-Prince Mpandi et politiquement proche du Gouverneur du Kasaï Central de l’époque, Alex Kande</w:t>
      </w:r>
      <w:r w:rsidRPr="007F1170">
        <w:rPr>
          <w:rStyle w:val="FootnoteReference"/>
        </w:rPr>
        <w:footnoteReference w:id="27"/>
      </w:r>
      <w:r w:rsidRPr="0049283E">
        <w:t>.</w:t>
      </w:r>
    </w:p>
    <w:p w14:paraId="432127FC" w14:textId="1571BA6B" w:rsidR="001838A5" w:rsidRDefault="001838A5" w:rsidP="005965F3">
      <w:pPr>
        <w:pStyle w:val="BodyText"/>
        <w:tabs>
          <w:tab w:val="left" w:pos="1559"/>
          <w:tab w:val="left" w:pos="1984"/>
          <w:tab w:val="left" w:leader="dot" w:pos="7654"/>
          <w:tab w:val="right" w:pos="8929"/>
        </w:tabs>
        <w:spacing w:line="240" w:lineRule="atLeast"/>
        <w:ind w:left="1138" w:right="1138" w:firstLine="0"/>
      </w:pPr>
      <w:r w:rsidRPr="0025600D">
        <w:t>Le 3 avril 2016, une perquisition a été conduite au domicile du chef coutumier Kamuina Nsapu, Jean-Prince Mpandi dans le village Kamuina Nsapu, groupement de Dibayati, territoire de Dibaya, Kasaï Central</w:t>
      </w:r>
      <w:r>
        <w:t xml:space="preserve"> </w:t>
      </w:r>
      <w:r w:rsidRPr="00F322B4">
        <w:t>alors qu’il se trouv</w:t>
      </w:r>
      <w:r>
        <w:t>ait</w:t>
      </w:r>
      <w:r w:rsidRPr="00F322B4">
        <w:t xml:space="preserve"> en Afrique du Sud</w:t>
      </w:r>
      <w:r w:rsidRPr="0025600D">
        <w:t>. Cette perquisition ordonnée par les autorités judiciaires et conduite sur ordre de mission signé par le gouverneur du Kasaï Central de l’époque, Alex Kande Mupompa, avait pour objectif la recherche d’armes à feu</w:t>
      </w:r>
      <w:r w:rsidRPr="007F1170">
        <w:rPr>
          <w:rStyle w:val="FootnoteReference"/>
        </w:rPr>
        <w:footnoteReference w:id="28"/>
      </w:r>
      <w:r w:rsidR="00AD269F">
        <w:rPr>
          <w:rStyle w:val="FootnoteReference"/>
          <w:vertAlign w:val="baseline"/>
        </w:rPr>
        <w:t>.</w:t>
      </w:r>
    </w:p>
    <w:p w14:paraId="6A07B9B3" w14:textId="4220E0CC" w:rsidR="001838A5" w:rsidRDefault="00591FD8" w:rsidP="005965F3">
      <w:pPr>
        <w:pStyle w:val="BodyText"/>
        <w:tabs>
          <w:tab w:val="left" w:pos="1559"/>
          <w:tab w:val="left" w:pos="1984"/>
          <w:tab w:val="left" w:leader="dot" w:pos="7654"/>
          <w:tab w:val="right" w:pos="8929"/>
        </w:tabs>
        <w:spacing w:line="240" w:lineRule="atLeast"/>
        <w:ind w:left="1138" w:right="1138" w:firstLine="0"/>
      </w:pPr>
      <w:r w:rsidRPr="00FE5E8D">
        <w:t>En</w:t>
      </w:r>
      <w:r w:rsidR="001838A5" w:rsidRPr="00FE5E8D">
        <w:t xml:space="preserve"> avril 2016</w:t>
      </w:r>
      <w:r w:rsidR="001838A5" w:rsidRPr="00591FD8">
        <w:t>,</w:t>
      </w:r>
      <w:r w:rsidR="001838A5" w:rsidRPr="0049283E">
        <w:t xml:space="preserve"> Jean-Prince Mpandi retourne à Kamuina Nsapu. Dès lors, il annonce la création d’un mouvement « politico-coutumier » reposant sur les pratiques et la légitimité du pouvoir coutumier et le système des croyances ancestrales. Son mouvement s’oppose aux autorités étatiques et aux « étrangers »</w:t>
      </w:r>
      <w:r w:rsidR="001838A5" w:rsidRPr="007F1170">
        <w:rPr>
          <w:rStyle w:val="FootnoteReference"/>
        </w:rPr>
        <w:footnoteReference w:id="29"/>
      </w:r>
      <w:r w:rsidR="001838A5" w:rsidRPr="0049283E">
        <w:t xml:space="preserve"> responsables, selon lui, du harcèlement de la population et du manque d’opportunités économiques</w:t>
      </w:r>
      <w:r w:rsidR="001838A5" w:rsidRPr="007F1170">
        <w:rPr>
          <w:rStyle w:val="FootnoteReference"/>
        </w:rPr>
        <w:footnoteReference w:id="30"/>
      </w:r>
      <w:r w:rsidR="001838A5" w:rsidRPr="0049283E">
        <w:t>.</w:t>
      </w:r>
    </w:p>
    <w:p w14:paraId="456BE8FC" w14:textId="2AC88B48" w:rsidR="001838A5" w:rsidRPr="00863106" w:rsidRDefault="001838A5" w:rsidP="005965F3">
      <w:pPr>
        <w:pStyle w:val="BodyText"/>
        <w:tabs>
          <w:tab w:val="left" w:pos="1559"/>
          <w:tab w:val="left" w:pos="1984"/>
          <w:tab w:val="left" w:leader="dot" w:pos="7654"/>
          <w:tab w:val="right" w:pos="8929"/>
        </w:tabs>
        <w:spacing w:line="240" w:lineRule="atLeast"/>
        <w:ind w:left="1138" w:right="1138" w:firstLine="0"/>
      </w:pPr>
      <w:r w:rsidRPr="00477494">
        <w:t>Le lancement officiel du mouvement</w:t>
      </w:r>
      <w:r>
        <w:t xml:space="preserve"> a lieu le 28 juillet 2016</w:t>
      </w:r>
      <w:r w:rsidRPr="007F1170">
        <w:rPr>
          <w:rStyle w:val="FootnoteReference"/>
        </w:rPr>
        <w:footnoteReference w:id="31"/>
      </w:r>
      <w:r>
        <w:t xml:space="preserve">. Jean-Prince Mpandi a prononcé à cette occasion un discours </w:t>
      </w:r>
      <w:r w:rsidRPr="0025600D">
        <w:t>à l’attention de</w:t>
      </w:r>
      <w:r>
        <w:t>s</w:t>
      </w:r>
      <w:r w:rsidRPr="0025600D">
        <w:t xml:space="preserve"> miliciens Kamuina Nsapu</w:t>
      </w:r>
      <w:r>
        <w:t xml:space="preserve"> dans lequel il </w:t>
      </w:r>
      <w:r w:rsidRPr="0025600D">
        <w:t>a indiqué que la perquisition à son domicile aurait été conduite par cinq militaires.</w:t>
      </w:r>
      <w:r w:rsidRPr="00C30D1B">
        <w:t xml:space="preserve"> </w:t>
      </w:r>
      <w:r w:rsidRPr="00AD28A7">
        <w:t>Dans ce même discours</w:t>
      </w:r>
      <w:r>
        <w:t>, Jean-Prince Mpandi</w:t>
      </w:r>
      <w:r w:rsidRPr="00AD28A7">
        <w:t xml:space="preserve"> </w:t>
      </w:r>
      <w:r>
        <w:t xml:space="preserve">a expliqué </w:t>
      </w:r>
      <w:r w:rsidRPr="00AD28A7">
        <w:t xml:space="preserve">qu’au cours de cette perquisition les militaires auraient </w:t>
      </w:r>
      <w:r>
        <w:t>profané</w:t>
      </w:r>
      <w:r w:rsidRPr="001B76FF">
        <w:t xml:space="preserve"> </w:t>
      </w:r>
      <w:r w:rsidRPr="00AD28A7">
        <w:t xml:space="preserve">ses fétiches, ses vêtements de chef coutumier et tenté de violer </w:t>
      </w:r>
      <w:r>
        <w:t>son épouse</w:t>
      </w:r>
      <w:r w:rsidRPr="007F1170">
        <w:rPr>
          <w:rStyle w:val="FootnoteReference"/>
        </w:rPr>
        <w:footnoteReference w:id="32"/>
      </w:r>
      <w:r w:rsidR="00477494">
        <w:t>.</w:t>
      </w:r>
      <w:r w:rsidRPr="00C30D1B">
        <w:t xml:space="preserve"> </w:t>
      </w:r>
      <w:r w:rsidRPr="00AD28A7">
        <w:t xml:space="preserve">D’après les informations disponibles </w:t>
      </w:r>
      <w:r w:rsidRPr="00D37CAD">
        <w:t>aucune arme n’aurait été découverte lors de cette perquisition</w:t>
      </w:r>
      <w:r w:rsidRPr="007F1170">
        <w:rPr>
          <w:rStyle w:val="FootnoteReference"/>
        </w:rPr>
        <w:footnoteReference w:id="33"/>
      </w:r>
      <w:r w:rsidRPr="00D37CAD">
        <w:t>,</w:t>
      </w:r>
      <w:r w:rsidRPr="00AD28A7">
        <w:t xml:space="preserve"> mais c</w:t>
      </w:r>
      <w:r w:rsidRPr="00287C44">
        <w:t xml:space="preserve">et incident </w:t>
      </w:r>
      <w:r>
        <w:t>a</w:t>
      </w:r>
      <w:r w:rsidRPr="001B76FF">
        <w:t xml:space="preserve"> </w:t>
      </w:r>
      <w:r w:rsidRPr="00287C44">
        <w:t xml:space="preserve">accentué </w:t>
      </w:r>
      <w:r w:rsidR="00477494">
        <w:t>l’animosité</w:t>
      </w:r>
      <w:r w:rsidRPr="001B76FF">
        <w:t xml:space="preserve"> </w:t>
      </w:r>
      <w:r>
        <w:t>de Jean-Prince Mpandi</w:t>
      </w:r>
      <w:r w:rsidRPr="00287C44">
        <w:t xml:space="preserve"> vis-à-vis des autorités politiques, des forces </w:t>
      </w:r>
      <w:r w:rsidR="00477494">
        <w:t xml:space="preserve">de </w:t>
      </w:r>
      <w:r w:rsidRPr="00287C44">
        <w:t xml:space="preserve">défense et de sécurité et à l’encontre du chef du village </w:t>
      </w:r>
      <w:r>
        <w:t xml:space="preserve">voisin </w:t>
      </w:r>
      <w:r w:rsidRPr="00287C44">
        <w:t xml:space="preserve">de Ntenda, membre de la </w:t>
      </w:r>
      <w:r w:rsidRPr="00974432">
        <w:t xml:space="preserve">famille </w:t>
      </w:r>
      <w:r w:rsidRPr="009463CD">
        <w:t>Kamuina Nsapu</w:t>
      </w:r>
      <w:r w:rsidRPr="00974432">
        <w:t xml:space="preserve"> et</w:t>
      </w:r>
      <w:r w:rsidRPr="00AD28A7">
        <w:t xml:space="preserve"> suspecté d’être à l’origine d’une dénonciation qui aurait conduit à la perquis</w:t>
      </w:r>
      <w:r>
        <w:t>it</w:t>
      </w:r>
      <w:r w:rsidRPr="00AD28A7">
        <w:t>ion</w:t>
      </w:r>
      <w:r w:rsidRPr="007F1170">
        <w:rPr>
          <w:rStyle w:val="FootnoteReference"/>
        </w:rPr>
        <w:footnoteReference w:id="34"/>
      </w:r>
      <w:r w:rsidRPr="00287C44">
        <w:t>.</w:t>
      </w:r>
    </w:p>
    <w:p w14:paraId="57D5E708" w14:textId="4CF82805" w:rsidR="001838A5" w:rsidRPr="0049283E" w:rsidRDefault="001838A5" w:rsidP="005965F3">
      <w:pPr>
        <w:pStyle w:val="BodyText"/>
        <w:tabs>
          <w:tab w:val="left" w:pos="1559"/>
          <w:tab w:val="left" w:pos="1984"/>
          <w:tab w:val="left" w:leader="dot" w:pos="7654"/>
          <w:tab w:val="right" w:pos="8929"/>
        </w:tabs>
        <w:spacing w:line="240" w:lineRule="atLeast"/>
        <w:ind w:left="1138" w:right="1138" w:firstLine="0"/>
      </w:pPr>
      <w:r>
        <w:t>Jean-Prince Mpandi</w:t>
      </w:r>
      <w:r w:rsidRPr="0049283E">
        <w:t xml:space="preserve"> a recruté des miliciens, en majorité des enfants,</w:t>
      </w:r>
      <w:r>
        <w:t xml:space="preserve"> </w:t>
      </w:r>
      <w:r w:rsidRPr="0049283E">
        <w:t xml:space="preserve">dans son village et </w:t>
      </w:r>
      <w:r w:rsidRPr="00AD28A7">
        <w:t>sur le territoire de Dibaya</w:t>
      </w:r>
      <w:r w:rsidR="00477494" w:rsidRPr="007F1170">
        <w:rPr>
          <w:rStyle w:val="FootnoteReference"/>
        </w:rPr>
        <w:footnoteReference w:id="35"/>
      </w:r>
      <w:r w:rsidR="00A0437B">
        <w:t xml:space="preserve"> </w:t>
      </w:r>
      <w:r w:rsidR="00477494">
        <w:t xml:space="preserve">et </w:t>
      </w:r>
      <w:r w:rsidR="00591FD8">
        <w:t xml:space="preserve">fait </w:t>
      </w:r>
      <w:r w:rsidR="00477494">
        <w:t>érig</w:t>
      </w:r>
      <w:r w:rsidR="00AD269F">
        <w:t>er</w:t>
      </w:r>
      <w:r w:rsidR="00477494">
        <w:t xml:space="preserve"> des </w:t>
      </w:r>
      <w:r w:rsidRPr="0049283E">
        <w:t>barrières à partir de juin 2016 pour contrôler la circulation des agents de l’Etat</w:t>
      </w:r>
      <w:r>
        <w:t xml:space="preserve"> qu’il voulait empêcher de pénétrer dans Kamuina Nsapu</w:t>
      </w:r>
      <w:r w:rsidRPr="007F1170">
        <w:rPr>
          <w:rStyle w:val="FootnoteReference"/>
        </w:rPr>
        <w:footnoteReference w:id="36"/>
      </w:r>
      <w:r w:rsidRPr="0049283E">
        <w:t>. La première attaque de la milice Kamuina Nsapu a été dirigée contre le village du chef rival Ntenda Tshiambi</w:t>
      </w:r>
      <w:r w:rsidRPr="007F1170">
        <w:rPr>
          <w:rStyle w:val="FootnoteReference"/>
        </w:rPr>
        <w:footnoteReference w:id="37"/>
      </w:r>
      <w:r w:rsidRPr="0049283E">
        <w:t xml:space="preserve">. Par la suite, </w:t>
      </w:r>
      <w:r>
        <w:t>la milice Kamuina Nsapu</w:t>
      </w:r>
      <w:r w:rsidRPr="0049283E">
        <w:t xml:space="preserve"> a attaqué les symboles de l’Etat sur le territoire de Dibaya</w:t>
      </w:r>
      <w:r w:rsidRPr="007F1170">
        <w:rPr>
          <w:rStyle w:val="FootnoteReference"/>
        </w:rPr>
        <w:footnoteReference w:id="38"/>
      </w:r>
      <w:r w:rsidRPr="0049283E">
        <w:t xml:space="preserve">. Les efforts des autorités politiques pour trouver une solution négociée avec le chef coutumier Kamuina Nsapu ayant été inefficaces, celles-ci ont rapidement choisi le recours à la force. </w:t>
      </w:r>
    </w:p>
    <w:p w14:paraId="440D15CB" w14:textId="63BCE423" w:rsidR="001838A5" w:rsidRPr="0049283E" w:rsidRDefault="001838A5" w:rsidP="005965F3">
      <w:pPr>
        <w:pStyle w:val="BodyText"/>
        <w:tabs>
          <w:tab w:val="left" w:pos="1559"/>
          <w:tab w:val="left" w:pos="1984"/>
          <w:tab w:val="left" w:leader="dot" w:pos="7654"/>
          <w:tab w:val="right" w:pos="8929"/>
        </w:tabs>
        <w:spacing w:line="240" w:lineRule="atLeast"/>
        <w:ind w:left="1138" w:right="1138" w:firstLine="0"/>
      </w:pPr>
      <w:r w:rsidRPr="0049283E">
        <w:t>Le 12 août 2016, Jean-Prince Mpandi est tué dans l’attaque de son village par les forces de défense et de sécurité et son cadavre transporté à Kananga, provoquant l’indignation des Bashilange.</w:t>
      </w:r>
      <w:r w:rsidRPr="00F824D9">
        <w:t xml:space="preserve"> En effet, selon la tradition, les chefs coutumier</w:t>
      </w:r>
      <w:r>
        <w:t>s</w:t>
      </w:r>
      <w:r w:rsidRPr="00F824D9">
        <w:t xml:space="preserve"> sont enterrés en secret la nuit de leur mort</w:t>
      </w:r>
      <w:r>
        <w:t xml:space="preserve"> suivant des rites bien établis</w:t>
      </w:r>
      <w:r w:rsidRPr="00F824D9">
        <w:t>.</w:t>
      </w:r>
      <w:r w:rsidRPr="0049283E">
        <w:t xml:space="preserve"> L’appartenance de la famille Kamuina Nsapu au royaume des Bashilange a favorisé l’expansion rapide de la milice qui s’est propagée grâce à un système de recrutement bien organisé et la mise en place de t</w:t>
      </w:r>
      <w:r w:rsidRPr="00477494">
        <w:t>shiota</w:t>
      </w:r>
      <w:r w:rsidRPr="0049283E">
        <w:t xml:space="preserve"> (</w:t>
      </w:r>
      <w:r w:rsidR="00E2660C">
        <w:t>foyer</w:t>
      </w:r>
      <w:r w:rsidRPr="0049283E">
        <w:t xml:space="preserve"> </w:t>
      </w:r>
      <w:r w:rsidR="00E2660C">
        <w:t>initiatique</w:t>
      </w:r>
      <w:r w:rsidRPr="0049283E">
        <w:t>). Des envoyés du défunt chef Kamuina Nsapu, parfois appelés « apôtres », sont passés de village en village sur une zone géographique de plus en plus étendue pour y installer leurs tshiota, décapitant les chefs de village qui s’opposaient au mouvement. Des</w:t>
      </w:r>
      <w:r w:rsidR="00591FD8">
        <w:t xml:space="preserve"> groupes de</w:t>
      </w:r>
      <w:r w:rsidRPr="0049283E">
        <w:t xml:space="preserve"> </w:t>
      </w:r>
      <w:r w:rsidR="00E12CA0">
        <w:t>miliciens</w:t>
      </w:r>
      <w:r w:rsidRPr="0049283E">
        <w:t xml:space="preserve"> Kamuina Nsapu marchent vers Kananga afin de ramener le corps de Jean-Prince Mpandi dans son village pour l’enterrer. Ils entreront à Kananga le 22 septembre 2016 et des affrontements avec les forces de défense et de sécurité s’en suivront. Les tshiota ont </w:t>
      </w:r>
      <w:r w:rsidRPr="00E12CA0">
        <w:t>ainsi</w:t>
      </w:r>
      <w:r w:rsidRPr="0049283E">
        <w:t xml:space="preserve"> été installés dans les cinq provinces du Kasaï. Les villageois ont été appelés à se rallier volontairement au mouvement ; </w:t>
      </w:r>
      <w:r>
        <w:t xml:space="preserve">certains seront contraints ; </w:t>
      </w:r>
      <w:r w:rsidRPr="0049283E">
        <w:t>ceux qui refusaient ont souvent été décapités</w:t>
      </w:r>
      <w:r w:rsidRPr="007F1170">
        <w:rPr>
          <w:rStyle w:val="FootnoteReference"/>
        </w:rPr>
        <w:footnoteReference w:id="39"/>
      </w:r>
      <w:r w:rsidRPr="0049283E">
        <w:t>.</w:t>
      </w:r>
      <w:r w:rsidR="00E12CA0">
        <w:t xml:space="preserve"> </w:t>
      </w:r>
    </w:p>
    <w:p w14:paraId="4509D833" w14:textId="77777777" w:rsidR="001838A5" w:rsidRPr="0049283E" w:rsidRDefault="001838A5" w:rsidP="005965F3">
      <w:pPr>
        <w:pStyle w:val="BodyText"/>
        <w:tabs>
          <w:tab w:val="left" w:pos="1559"/>
          <w:tab w:val="left" w:pos="1984"/>
          <w:tab w:val="left" w:leader="dot" w:pos="7654"/>
          <w:tab w:val="right" w:pos="8929"/>
        </w:tabs>
        <w:spacing w:line="240" w:lineRule="atLeast"/>
        <w:ind w:left="1138" w:right="1138" w:firstLine="0"/>
      </w:pPr>
      <w:r w:rsidRPr="0049283E">
        <w:t>Au tshiota, en présence d’un « apôtre » ou d’un chef de haut rang, souvent appelé « président », les recrues, y compris de jeunes enfants, ont dû suivre le rite du baptême, qui impliqu</w:t>
      </w:r>
      <w:r>
        <w:t>e</w:t>
      </w:r>
      <w:r w:rsidRPr="0049283E">
        <w:t xml:space="preserve"> de boire une potion composée de plusieurs ingrédients</w:t>
      </w:r>
      <w:r w:rsidRPr="0041506E">
        <w:t> tels de l’alcool, des os humains broyés, du sang humain ou des insectes</w:t>
      </w:r>
      <w:r w:rsidRPr="0049283E">
        <w:t xml:space="preserve"> et de suivre des pratiques rituelles</w:t>
      </w:r>
      <w:r w:rsidRPr="007F1170">
        <w:rPr>
          <w:rStyle w:val="FootnoteReference"/>
        </w:rPr>
        <w:footnoteReference w:id="40"/>
      </w:r>
      <w:r w:rsidRPr="0049283E">
        <w:t>. Les recrues faisaient alors partie de la milice où les croyances ancestrales</w:t>
      </w:r>
      <w:r>
        <w:t>,</w:t>
      </w:r>
      <w:r w:rsidRPr="0049283E">
        <w:t xml:space="preserve"> les rites</w:t>
      </w:r>
      <w:r>
        <w:t xml:space="preserve"> et les fétiches</w:t>
      </w:r>
      <w:r w:rsidRPr="0049283E">
        <w:t xml:space="preserve"> jouaient un rôle extrêmement important</w:t>
      </w:r>
      <w:r w:rsidRPr="007F1170">
        <w:rPr>
          <w:rStyle w:val="FootnoteReference"/>
        </w:rPr>
        <w:footnoteReference w:id="41"/>
      </w:r>
      <w:r w:rsidRPr="0049283E">
        <w:t>. Pour maintenir leur invincibilité face aux armes à feu</w:t>
      </w:r>
      <w:r>
        <w:t xml:space="preserve"> des forces de défense et de sécurité</w:t>
      </w:r>
      <w:r w:rsidRPr="0049283E">
        <w:t>, ces croyances exigeaient l’adhésion à des règles de vie strictes</w:t>
      </w:r>
      <w:r w:rsidRPr="007F1170">
        <w:rPr>
          <w:rStyle w:val="FootnoteReference"/>
        </w:rPr>
        <w:footnoteReference w:id="42"/>
      </w:r>
      <w:r w:rsidRPr="0049283E">
        <w:t>. Le tshiota était aussi le lieu privilégié des décapitations</w:t>
      </w:r>
      <w:r>
        <w:t>,</w:t>
      </w:r>
      <w:r w:rsidRPr="0049283E">
        <w:t xml:space="preserve"> souvent pratiquées par des enfants, et d</w:t>
      </w:r>
      <w:r>
        <w:t xml:space="preserve">es </w:t>
      </w:r>
      <w:r w:rsidRPr="0049283E">
        <w:t>actes de cannibalisme</w:t>
      </w:r>
      <w:r>
        <w:t>.</w:t>
      </w:r>
      <w:r w:rsidRPr="00BB1AB8">
        <w:t xml:space="preserve"> </w:t>
      </w:r>
      <w:r w:rsidRPr="00322AEA">
        <w:t>On y ramenait des têtes et d’autres parties du corps des victimes d’attaques ainsi que leur sang</w:t>
      </w:r>
      <w:r w:rsidRPr="007F1170">
        <w:rPr>
          <w:rStyle w:val="FootnoteReference"/>
        </w:rPr>
        <w:footnoteReference w:id="43"/>
      </w:r>
      <w:r w:rsidRPr="0049283E">
        <w:t xml:space="preserve">. </w:t>
      </w:r>
    </w:p>
    <w:p w14:paraId="25B7F2FF" w14:textId="20E2E7FD" w:rsidR="001838A5" w:rsidRPr="0049283E" w:rsidRDefault="001838A5" w:rsidP="005965F3">
      <w:pPr>
        <w:pStyle w:val="BodyText"/>
        <w:tabs>
          <w:tab w:val="left" w:pos="1559"/>
          <w:tab w:val="left" w:pos="1984"/>
          <w:tab w:val="left" w:leader="dot" w:pos="7654"/>
          <w:tab w:val="right" w:pos="8929"/>
        </w:tabs>
        <w:spacing w:line="240" w:lineRule="atLeast"/>
        <w:ind w:left="1138" w:right="1138" w:firstLine="0"/>
      </w:pPr>
      <w:r w:rsidRPr="0049283E">
        <w:t>L’organisation des unités et la planification des opérations offensives se décidaient au tshiota</w:t>
      </w:r>
      <w:r w:rsidRPr="007F1170">
        <w:rPr>
          <w:rStyle w:val="FootnoteReference"/>
        </w:rPr>
        <w:footnoteReference w:id="44"/>
      </w:r>
      <w:r w:rsidRPr="0049283E">
        <w:t xml:space="preserve">. Avant les affrontements, les miliciens participaient à des rituels impliquant notamment </w:t>
      </w:r>
      <w:r w:rsidRPr="002508E2">
        <w:t>la consommation</w:t>
      </w:r>
      <w:r w:rsidRPr="0049283E">
        <w:t xml:space="preserve"> d’une potion </w:t>
      </w:r>
      <w:r>
        <w:t xml:space="preserve">souvent </w:t>
      </w:r>
      <w:r w:rsidRPr="0049283E">
        <w:t>alcoolisée</w:t>
      </w:r>
      <w:r>
        <w:t xml:space="preserve"> et l’ingestion de drogues comme du chanvre</w:t>
      </w:r>
      <w:r w:rsidRPr="007F1170">
        <w:rPr>
          <w:rStyle w:val="FootnoteReference"/>
        </w:rPr>
        <w:footnoteReference w:id="45"/>
      </w:r>
      <w:r w:rsidRPr="0049283E">
        <w:t xml:space="preserve">. Typiquement, lors des combats, les miliciens Kamuina Nsapu s’organisaient avec, en première ligne, une ou plusieurs jeunes filles appelées </w:t>
      </w:r>
      <w:r w:rsidR="00DB37FF">
        <w:t>« </w:t>
      </w:r>
      <w:r w:rsidRPr="005965F3">
        <w:t>ya mama</w:t>
      </w:r>
      <w:r w:rsidR="00DB37FF">
        <w:t> »</w:t>
      </w:r>
      <w:r w:rsidRPr="007F1170">
        <w:rPr>
          <w:rStyle w:val="FootnoteReference"/>
        </w:rPr>
        <w:footnoteReference w:id="46"/>
      </w:r>
      <w:r w:rsidR="00E12CA0">
        <w:t>.</w:t>
      </w:r>
      <w:r w:rsidRPr="0049283E">
        <w:t xml:space="preserve"> Elles avaient, selon leurs croyances, le pouvoir d’intercepter les projectiles d’armes à feu dans leurs jupes</w:t>
      </w:r>
      <w:r>
        <w:t xml:space="preserve"> et les renvoyer vers l’ennemi</w:t>
      </w:r>
      <w:r w:rsidRPr="007F1170">
        <w:rPr>
          <w:rStyle w:val="FootnoteReference"/>
        </w:rPr>
        <w:footnoteReference w:id="47"/>
      </w:r>
      <w:r w:rsidRPr="0049283E">
        <w:t>. Juste derrière suivaient des garçons munis d’armes blanches</w:t>
      </w:r>
      <w:r>
        <w:t xml:space="preserve"> (couteaux, machettes), de lance-pierres</w:t>
      </w:r>
      <w:r w:rsidRPr="0049283E">
        <w:t xml:space="preserve"> et de bâtons</w:t>
      </w:r>
      <w:r w:rsidRPr="007F1170">
        <w:rPr>
          <w:rStyle w:val="FootnoteReference"/>
        </w:rPr>
        <w:footnoteReference w:id="48"/>
      </w:r>
      <w:r w:rsidRPr="0049283E">
        <w:t>. Ces derniers, dont certains avaient la forme d’un fusil, avaient, selon la croyance, le pouvoir magique de se transformer en armes mortelles. Des miliciens plus âgés et mieux équipés avec des fusils traditionnels ou de chasse et parfois des armes automatiques étaient en dernière ligne</w:t>
      </w:r>
      <w:r w:rsidRPr="007F1170">
        <w:rPr>
          <w:rStyle w:val="FootnoteReference"/>
        </w:rPr>
        <w:footnoteReference w:id="49"/>
      </w:r>
      <w:r w:rsidR="00AD269F">
        <w:t>.</w:t>
      </w:r>
    </w:p>
    <w:p w14:paraId="1CF1EBA4" w14:textId="71CFD508" w:rsidR="001838A5" w:rsidRPr="0049283E" w:rsidRDefault="001838A5" w:rsidP="005965F3">
      <w:pPr>
        <w:pStyle w:val="BodyText"/>
        <w:tabs>
          <w:tab w:val="left" w:pos="1559"/>
          <w:tab w:val="left" w:pos="1984"/>
          <w:tab w:val="left" w:leader="dot" w:pos="7654"/>
          <w:tab w:val="right" w:pos="8929"/>
        </w:tabs>
        <w:spacing w:line="240" w:lineRule="atLeast"/>
        <w:ind w:left="1138" w:right="1138" w:firstLine="0"/>
      </w:pPr>
      <w:r w:rsidRPr="0049283E">
        <w:t>Le nombre de miliciens constituant un groupe opérationnel variait mais se situait généralement entre 15 et 30, dont une majorité d’enfants</w:t>
      </w:r>
      <w:r w:rsidRPr="007F1170">
        <w:rPr>
          <w:rStyle w:val="FootnoteReference"/>
        </w:rPr>
        <w:footnoteReference w:id="50"/>
      </w:r>
      <w:r w:rsidRPr="0049283E">
        <w:t>. A la tête de chaque groupe se trouvait un « général » ou un « capita »</w:t>
      </w:r>
      <w:r w:rsidRPr="007F1170">
        <w:rPr>
          <w:rStyle w:val="FootnoteReference"/>
        </w:rPr>
        <w:footnoteReference w:id="51"/>
      </w:r>
      <w:r w:rsidRPr="0049283E">
        <w:t xml:space="preserve">. Pendant les opérations, les miliciens Kamuina Nsapu </w:t>
      </w:r>
      <w:r w:rsidRPr="00E12CA0">
        <w:t xml:space="preserve">portaient presque toujours les mêmes signes distinctifs : des bandeaux rouges autour de la tête avec des </w:t>
      </w:r>
      <w:r w:rsidRPr="004D2A06">
        <w:t>feuilles, des plumes, et des petits couteaux coincés dedans, des fétiches autour du cou et parfois des bandeaux rouges autour des bras</w:t>
      </w:r>
      <w:r w:rsidRPr="007F1170">
        <w:rPr>
          <w:rStyle w:val="FootnoteReference"/>
        </w:rPr>
        <w:footnoteReference w:id="52"/>
      </w:r>
      <w:r w:rsidRPr="00E12CA0">
        <w:t xml:space="preserve"> ; les </w:t>
      </w:r>
      <w:r w:rsidR="00DB37FF">
        <w:t>« </w:t>
      </w:r>
      <w:r w:rsidRPr="005965F3">
        <w:t>ya mama</w:t>
      </w:r>
      <w:r w:rsidR="00DB37FF">
        <w:t> »</w:t>
      </w:r>
      <w:r>
        <w:t xml:space="preserve"> portaient des jupes</w:t>
      </w:r>
      <w:r w:rsidR="00591FD8">
        <w:t xml:space="preserve"> courtes</w:t>
      </w:r>
      <w:r>
        <w:t xml:space="preserve"> de couleur rouge</w:t>
      </w:r>
      <w:r w:rsidRPr="007F1170">
        <w:rPr>
          <w:rStyle w:val="FootnoteReference"/>
        </w:rPr>
        <w:footnoteReference w:id="53"/>
      </w:r>
      <w:r>
        <w:t>.</w:t>
      </w:r>
      <w:r w:rsidRPr="0049283E">
        <w:t xml:space="preserve"> La milice Kamuina Nsapu a été capable en un temps très court de recruter des miliciens, de mener des attaques dans les cinq provinces du Kasaï et de prendre le contrôle de villages et de cités pendant plusieurs semaines, voire des mois.</w:t>
      </w:r>
    </w:p>
    <w:p w14:paraId="07E9C59A" w14:textId="26A44073" w:rsidR="001838A5" w:rsidRPr="003760EA" w:rsidRDefault="00E12CA0" w:rsidP="005965F3">
      <w:pPr>
        <w:pStyle w:val="BodyText"/>
        <w:tabs>
          <w:tab w:val="left" w:pos="1559"/>
          <w:tab w:val="left" w:pos="1984"/>
          <w:tab w:val="left" w:leader="dot" w:pos="7654"/>
          <w:tab w:val="right" w:pos="8929"/>
        </w:tabs>
        <w:spacing w:line="240" w:lineRule="atLeast"/>
        <w:ind w:left="1138" w:right="1138" w:firstLine="0"/>
      </w:pPr>
      <w:r w:rsidRPr="00EC398D">
        <w:t xml:space="preserve">Si </w:t>
      </w:r>
      <w:r>
        <w:t>dans les premiers mois du conflit</w:t>
      </w:r>
      <w:r w:rsidRPr="00EC398D">
        <w:t xml:space="preserve">, </w:t>
      </w:r>
      <w:r>
        <w:t>la milice Kamuina Nsapu s’attaquai</w:t>
      </w:r>
      <w:r w:rsidRPr="00EC398D">
        <w:t xml:space="preserve">t à </w:t>
      </w:r>
      <w:r>
        <w:t>ce qu’elle considérait</w:t>
      </w:r>
      <w:r w:rsidRPr="00EC398D">
        <w:t xml:space="preserve"> être</w:t>
      </w:r>
      <w:r>
        <w:t xml:space="preserve"> des symboles de l’E</w:t>
      </w:r>
      <w:r w:rsidRPr="00EC398D">
        <w:t xml:space="preserve">tat, à partir de 2017 </w:t>
      </w:r>
      <w:r>
        <w:t>elle vise</w:t>
      </w:r>
      <w:r w:rsidRPr="00EC398D">
        <w:t xml:space="preserve"> tous ceux qui s’opposent au mouvement</w:t>
      </w:r>
      <w:r>
        <w:t xml:space="preserve"> en</w:t>
      </w:r>
      <w:r w:rsidRPr="00EC398D">
        <w:t xml:space="preserve"> recourant à des formes de violence de plus en plus extrêmes</w:t>
      </w:r>
      <w:r w:rsidR="00CE3F87">
        <w:t>.</w:t>
      </w:r>
      <w:r>
        <w:t xml:space="preserve"> </w:t>
      </w:r>
      <w:r w:rsidR="00CE3F87">
        <w:t>S</w:t>
      </w:r>
      <w:r w:rsidR="001838A5" w:rsidRPr="009A7EB4" w:rsidDel="00E12CA0">
        <w:t>es attaques ont</w:t>
      </w:r>
      <w:r w:rsidR="00CE3F87">
        <w:t xml:space="preserve"> également</w:t>
      </w:r>
      <w:r w:rsidR="001838A5" w:rsidRPr="009A7EB4" w:rsidDel="00E12CA0">
        <w:t xml:space="preserve"> pris un caractère ethnique en dehors des zones lubaphones.</w:t>
      </w:r>
    </w:p>
    <w:p w14:paraId="2E4E6250" w14:textId="5AF67CB4" w:rsidR="001838A5" w:rsidRPr="00FE5E8D" w:rsidRDefault="001838A5" w:rsidP="00BC668B">
      <w:pPr>
        <w:pStyle w:val="Heading2"/>
        <w:spacing w:before="360" w:line="270" w:lineRule="exact"/>
        <w:ind w:left="1138" w:right="1138" w:hanging="571"/>
        <w:rPr>
          <w:sz w:val="24"/>
          <w:szCs w:val="24"/>
        </w:rPr>
      </w:pPr>
      <w:bookmarkStart w:id="40" w:name="_Toc518027526"/>
      <w:r w:rsidRPr="00FE5E8D">
        <w:rPr>
          <w:sz w:val="24"/>
          <w:szCs w:val="24"/>
        </w:rPr>
        <w:t xml:space="preserve">Les </w:t>
      </w:r>
      <w:r w:rsidRPr="005965F3">
        <w:rPr>
          <w:sz w:val="24"/>
          <w:szCs w:val="24"/>
          <w:lang w:val="fr-FR"/>
        </w:rPr>
        <w:t>milices</w:t>
      </w:r>
      <w:r w:rsidRPr="00FE5E8D">
        <w:rPr>
          <w:sz w:val="24"/>
          <w:szCs w:val="24"/>
        </w:rPr>
        <w:t xml:space="preserve"> Bana Mura</w:t>
      </w:r>
      <w:bookmarkEnd w:id="40"/>
    </w:p>
    <w:p w14:paraId="101E67D7" w14:textId="29EE0C3B" w:rsidR="001838A5" w:rsidRDefault="001838A5" w:rsidP="005965F3">
      <w:pPr>
        <w:pStyle w:val="BodyText"/>
        <w:tabs>
          <w:tab w:val="left" w:pos="1559"/>
          <w:tab w:val="left" w:pos="1984"/>
          <w:tab w:val="left" w:leader="dot" w:pos="7654"/>
          <w:tab w:val="right" w:pos="8929"/>
        </w:tabs>
        <w:spacing w:line="240" w:lineRule="atLeast"/>
        <w:ind w:left="1138" w:right="1138" w:firstLine="0"/>
      </w:pPr>
      <w:r w:rsidRPr="0049283E">
        <w:t>Les milices Bana Mura sont composées en grande majorité d’hommes jeunes de l’ethnie</w:t>
      </w:r>
      <w:r>
        <w:t xml:space="preserve"> </w:t>
      </w:r>
      <w:r w:rsidR="00651768">
        <w:t>chokwe</w:t>
      </w:r>
      <w:r w:rsidRPr="0049283E">
        <w:t>,</w:t>
      </w:r>
      <w:r w:rsidRPr="0039647C">
        <w:t xml:space="preserve"> </w:t>
      </w:r>
      <w:r w:rsidRPr="0049283E">
        <w:t xml:space="preserve">mais aussi de quelques hommes des ethnies </w:t>
      </w:r>
      <w:r w:rsidR="004A163E">
        <w:t>p</w:t>
      </w:r>
      <w:r w:rsidRPr="0049283E">
        <w:t xml:space="preserve">ende et </w:t>
      </w:r>
      <w:r w:rsidR="004A163E">
        <w:t>t</w:t>
      </w:r>
      <w:r w:rsidRPr="0049283E">
        <w:t>et</w:t>
      </w:r>
      <w:r w:rsidR="00A00A7A">
        <w:t>e</w:t>
      </w:r>
      <w:r w:rsidRPr="0049283E">
        <w:t>la</w:t>
      </w:r>
      <w:r w:rsidRPr="007F1170">
        <w:rPr>
          <w:rStyle w:val="FootnoteReference"/>
        </w:rPr>
        <w:footnoteReference w:id="54"/>
      </w:r>
      <w:r>
        <w:t xml:space="preserve">, </w:t>
      </w:r>
      <w:r w:rsidRPr="0039647C">
        <w:t xml:space="preserve">recrutés localement. </w:t>
      </w:r>
      <w:r w:rsidRPr="0049283E">
        <w:t xml:space="preserve">Les milices Bana Mura ont été créées </w:t>
      </w:r>
      <w:r w:rsidRPr="0039647C">
        <w:t xml:space="preserve">localement </w:t>
      </w:r>
      <w:r w:rsidR="00AD269F">
        <w:t>à partir de</w:t>
      </w:r>
      <w:r w:rsidRPr="0049283E">
        <w:t xml:space="preserve"> février</w:t>
      </w:r>
      <w:r>
        <w:t>-</w:t>
      </w:r>
      <w:r w:rsidRPr="0049283E">
        <w:t xml:space="preserve">mars 2017 dans la province du Kasaï, dans certaines parties du territoire de Kamonia et de la ville de Tshikapa, en réaction aux attaques de la milice Kamuina Nsapu, d’ethnie </w:t>
      </w:r>
      <w:r w:rsidR="0061479D">
        <w:t>l</w:t>
      </w:r>
      <w:r w:rsidR="0061479D" w:rsidRPr="0049283E">
        <w:t>uba</w:t>
      </w:r>
      <w:r w:rsidRPr="0049283E">
        <w:t xml:space="preserve">, contre les </w:t>
      </w:r>
      <w:r w:rsidR="00651768">
        <w:t>Chokwe</w:t>
      </w:r>
      <w:r w:rsidR="008844A4">
        <w:t>s</w:t>
      </w:r>
      <w:r w:rsidRPr="0049283E">
        <w:t xml:space="preserve"> et Pende</w:t>
      </w:r>
      <w:r w:rsidR="008844A4">
        <w:t>s</w:t>
      </w:r>
      <w:r w:rsidRPr="007F1170">
        <w:rPr>
          <w:rStyle w:val="FootnoteReference"/>
        </w:rPr>
        <w:footnoteReference w:id="55"/>
      </w:r>
      <w:r w:rsidR="004D2A06">
        <w:t>.</w:t>
      </w:r>
      <w:r w:rsidRPr="0049283E">
        <w:t xml:space="preserve"> </w:t>
      </w:r>
      <w:r>
        <w:t>Elles s’en sont</w:t>
      </w:r>
      <w:r w:rsidR="004D2A06">
        <w:t xml:space="preserve"> principalement</w:t>
      </w:r>
      <w:r>
        <w:t xml:space="preserve"> prises </w:t>
      </w:r>
      <w:r w:rsidR="004D2A06">
        <w:t xml:space="preserve">à la population </w:t>
      </w:r>
      <w:r w:rsidR="0061479D">
        <w:t>l</w:t>
      </w:r>
      <w:r w:rsidR="004D2A06">
        <w:t>uba, mais aussi aux populations suspectées de soutenir la milice Kamuina Nsapu</w:t>
      </w:r>
      <w:r w:rsidR="006560CD">
        <w:t>,</w:t>
      </w:r>
      <w:r w:rsidR="004D2A06">
        <w:t xml:space="preserve"> tel</w:t>
      </w:r>
      <w:r w:rsidR="00EB1126">
        <w:t>les</w:t>
      </w:r>
      <w:r w:rsidR="004D2A06">
        <w:t xml:space="preserve"> que l</w:t>
      </w:r>
      <w:r w:rsidR="00130845">
        <w:t xml:space="preserve">a </w:t>
      </w:r>
      <w:r w:rsidR="00565C02">
        <w:t>population</w:t>
      </w:r>
      <w:r w:rsidR="00130845">
        <w:t xml:space="preserve"> </w:t>
      </w:r>
      <w:r w:rsidR="0061479D">
        <w:t>b</w:t>
      </w:r>
      <w:r w:rsidR="004D2A06">
        <w:t>indi</w:t>
      </w:r>
      <w:r w:rsidRPr="007F1170">
        <w:rPr>
          <w:rStyle w:val="FootnoteReference"/>
        </w:rPr>
        <w:footnoteReference w:id="56"/>
      </w:r>
      <w:r>
        <w:t xml:space="preserve">. Les </w:t>
      </w:r>
      <w:r w:rsidR="00130845">
        <w:t xml:space="preserve">miliciens Bana Mura </w:t>
      </w:r>
      <w:r w:rsidR="004D2A06">
        <w:t xml:space="preserve">étaient </w:t>
      </w:r>
      <w:r>
        <w:t>armés de machettes neuves de marque Tramontina et de diverses armes à feu, certaines neuves</w:t>
      </w:r>
      <w:r w:rsidRPr="007F1170">
        <w:rPr>
          <w:rStyle w:val="FootnoteReference"/>
        </w:rPr>
        <w:footnoteReference w:id="57"/>
      </w:r>
      <w:r>
        <w:t>.</w:t>
      </w:r>
    </w:p>
    <w:p w14:paraId="32CE654B" w14:textId="2C580E53" w:rsidR="00261236" w:rsidRDefault="004D2A06" w:rsidP="005965F3">
      <w:pPr>
        <w:pStyle w:val="BodyText"/>
        <w:tabs>
          <w:tab w:val="left" w:pos="1559"/>
          <w:tab w:val="left" w:pos="1984"/>
          <w:tab w:val="left" w:leader="dot" w:pos="7654"/>
          <w:tab w:val="right" w:pos="8929"/>
        </w:tabs>
        <w:spacing w:line="240" w:lineRule="atLeast"/>
        <w:ind w:left="1138" w:right="1138" w:firstLine="0"/>
      </w:pPr>
      <w:r w:rsidRPr="009D14DA">
        <w:t xml:space="preserve">L’EEI a collecté de multiples témoignages et informations provenant d’autres sources montrant qu’il existe des liens plus ou moins étroits entre les </w:t>
      </w:r>
      <w:r w:rsidR="00946A69" w:rsidRPr="00941569">
        <w:t>forces de défense et de sécurité</w:t>
      </w:r>
      <w:r w:rsidRPr="00941569">
        <w:t xml:space="preserve"> et les milices Bana Mura. Dans la cité de Kamonia ces liens étaient très étroits. </w:t>
      </w:r>
      <w:r w:rsidR="00261236">
        <w:t>L</w:t>
      </w:r>
      <w:r w:rsidR="009D14DA" w:rsidRPr="00941569">
        <w:t>a création des milices Bana Mura dans la cité de Kamonia</w:t>
      </w:r>
      <w:r w:rsidR="00941569">
        <w:t xml:space="preserve"> s’est faite</w:t>
      </w:r>
      <w:r w:rsidR="00941569" w:rsidRPr="00096EF1">
        <w:t xml:space="preserve"> sous l’impulsion de plusieurs chefs locaux </w:t>
      </w:r>
      <w:r w:rsidR="00651768">
        <w:t>chokwe</w:t>
      </w:r>
      <w:r w:rsidR="004A163E">
        <w:t>s</w:t>
      </w:r>
      <w:r w:rsidR="00941569" w:rsidRPr="00096EF1">
        <w:t>, dont un ancien député national</w:t>
      </w:r>
      <w:r w:rsidR="00941569" w:rsidRPr="007F1170">
        <w:rPr>
          <w:rStyle w:val="FootnoteReference"/>
        </w:rPr>
        <w:footnoteReference w:id="58"/>
      </w:r>
      <w:r w:rsidR="00941569">
        <w:t xml:space="preserve"> </w:t>
      </w:r>
      <w:r w:rsidR="00261236">
        <w:t>et</w:t>
      </w:r>
      <w:r w:rsidR="00130845">
        <w:t xml:space="preserve"> a </w:t>
      </w:r>
      <w:r w:rsidR="009D14DA" w:rsidRPr="00941569">
        <w:t xml:space="preserve">été </w:t>
      </w:r>
      <w:r w:rsidR="00130845">
        <w:t xml:space="preserve">largement </w:t>
      </w:r>
      <w:r w:rsidR="009D14DA" w:rsidRPr="00941569">
        <w:t>encouragé</w:t>
      </w:r>
      <w:r w:rsidR="00941569">
        <w:t>e</w:t>
      </w:r>
      <w:r w:rsidR="009D14DA" w:rsidRPr="00941569">
        <w:t xml:space="preserve"> par un Colonel de la PNC</w:t>
      </w:r>
      <w:r w:rsidR="009D14DA" w:rsidRPr="007F1170">
        <w:rPr>
          <w:rStyle w:val="FootnoteReference"/>
        </w:rPr>
        <w:footnoteReference w:id="59"/>
      </w:r>
      <w:r w:rsidR="00941569">
        <w:t>.</w:t>
      </w:r>
      <w:r w:rsidR="009D14DA" w:rsidRPr="009D14DA">
        <w:t xml:space="preserve"> </w:t>
      </w:r>
      <w:r w:rsidR="00941569">
        <w:t>D</w:t>
      </w:r>
      <w:r w:rsidR="009D14DA" w:rsidRPr="009D14DA">
        <w:t>es réunions ont eu lieu entre</w:t>
      </w:r>
      <w:r w:rsidR="009D14DA" w:rsidRPr="00096EF1">
        <w:t xml:space="preserve"> les miliciens et </w:t>
      </w:r>
      <w:r w:rsidR="009D14DA">
        <w:t>c</w:t>
      </w:r>
      <w:r w:rsidR="009D14DA" w:rsidRPr="00096EF1">
        <w:t>e colonel de la PNC</w:t>
      </w:r>
      <w:r w:rsidR="009D14DA" w:rsidRPr="007F1170">
        <w:rPr>
          <w:rStyle w:val="FootnoteReference"/>
        </w:rPr>
        <w:footnoteReference w:id="60"/>
      </w:r>
      <w:r w:rsidR="009D14DA" w:rsidRPr="00096EF1">
        <w:t xml:space="preserve">. </w:t>
      </w:r>
      <w:r w:rsidR="009D14DA">
        <w:t>Par ailleurs</w:t>
      </w:r>
      <w:r w:rsidR="00AD269F">
        <w:t>,</w:t>
      </w:r>
      <w:r w:rsidR="009D14DA">
        <w:t xml:space="preserve"> </w:t>
      </w:r>
      <w:r w:rsidR="00941569">
        <w:t>plusieurs témoignages et d’autres sources secondaires confirment des dist</w:t>
      </w:r>
      <w:r w:rsidR="006560CD">
        <w:t>r</w:t>
      </w:r>
      <w:r w:rsidR="00941569">
        <w:t>ibutions d’</w:t>
      </w:r>
      <w:r w:rsidR="009D14DA">
        <w:t>armes</w:t>
      </w:r>
      <w:r w:rsidR="00941569">
        <w:t xml:space="preserve"> aux miliciens Bana </w:t>
      </w:r>
      <w:r w:rsidR="00941569" w:rsidRPr="00941569">
        <w:t>Mura</w:t>
      </w:r>
      <w:r w:rsidR="009D14DA" w:rsidRPr="007F1170">
        <w:rPr>
          <w:rStyle w:val="FootnoteReference"/>
        </w:rPr>
        <w:footnoteReference w:id="61"/>
      </w:r>
      <w:r w:rsidR="009D14DA" w:rsidRPr="00096EF1">
        <w:t xml:space="preserve">. </w:t>
      </w:r>
      <w:r w:rsidR="00130845">
        <w:t>Dans la cité de Kamonia et dans les villages voisins, l</w:t>
      </w:r>
      <w:r w:rsidR="00941569">
        <w:t xml:space="preserve">es forces de défense et de sécurité et les miliciens Bana Mura ont combattu et mené </w:t>
      </w:r>
      <w:r w:rsidR="00130845">
        <w:t>des</w:t>
      </w:r>
      <w:r w:rsidR="00941569">
        <w:t xml:space="preserve"> opérations de traque des miliciens Kamuina Nsapu </w:t>
      </w:r>
      <w:r w:rsidR="00130845">
        <w:t>de manière conjointe</w:t>
      </w:r>
      <w:r w:rsidR="00941569" w:rsidRPr="007F1170">
        <w:rPr>
          <w:rStyle w:val="FootnoteReference"/>
        </w:rPr>
        <w:footnoteReference w:id="62"/>
      </w:r>
      <w:r w:rsidR="00941569">
        <w:t>.</w:t>
      </w:r>
      <w:r w:rsidR="00261236">
        <w:t xml:space="preserve"> De plus, d</w:t>
      </w:r>
      <w:r w:rsidR="00130845">
        <w:t xml:space="preserve">’autres opérations ont été conduites </w:t>
      </w:r>
      <w:r w:rsidR="00261236">
        <w:t>conjointement entre les forces de défense et de sécurité et les milices Bana Mura sur le territoire de Kamonia</w:t>
      </w:r>
      <w:r w:rsidR="00261236" w:rsidRPr="007F1170">
        <w:rPr>
          <w:rStyle w:val="FootnoteReference"/>
        </w:rPr>
        <w:footnoteReference w:id="63"/>
      </w:r>
      <w:r w:rsidR="00261236">
        <w:t xml:space="preserve">. </w:t>
      </w:r>
      <w:r w:rsidR="00941569">
        <w:t>Dans le secteur de</w:t>
      </w:r>
      <w:r w:rsidR="00941569" w:rsidRPr="005C02EF">
        <w:t xml:space="preserve"> Lovua-L</w:t>
      </w:r>
      <w:r w:rsidR="00941569">
        <w:t>ongatshimo</w:t>
      </w:r>
      <w:r w:rsidR="00941569" w:rsidRPr="005C02EF">
        <w:t>,</w:t>
      </w:r>
      <w:r w:rsidR="00941569">
        <w:t xml:space="preserve"> </w:t>
      </w:r>
      <w:r w:rsidR="00261236">
        <w:t xml:space="preserve">toujours sur le </w:t>
      </w:r>
      <w:r w:rsidR="00941569">
        <w:t xml:space="preserve">territoire de Kamonia, </w:t>
      </w:r>
      <w:r w:rsidR="00130845" w:rsidRPr="00CB2CDD">
        <w:t>le chef du groupement de Muyeji</w:t>
      </w:r>
      <w:r w:rsidR="00130845">
        <w:t xml:space="preserve"> a joué un rôle prépondérant dans la création de milices Bana Mura, leur armement et la planification d</w:t>
      </w:r>
      <w:r w:rsidR="0061479D">
        <w:t>’attaques contre la population l</w:t>
      </w:r>
      <w:r w:rsidR="00130845">
        <w:t>uba dans les villages de son groupement</w:t>
      </w:r>
      <w:r w:rsidR="009F5FFA">
        <w:t>,</w:t>
      </w:r>
      <w:r w:rsidR="00130845">
        <w:t xml:space="preserve"> tel</w:t>
      </w:r>
      <w:r w:rsidR="00261236">
        <w:t>s</w:t>
      </w:r>
      <w:r w:rsidR="00130845">
        <w:t xml:space="preserve"> que </w:t>
      </w:r>
      <w:r w:rsidR="00261236">
        <w:t xml:space="preserve">les villages de </w:t>
      </w:r>
      <w:r w:rsidR="00130845">
        <w:t>Senge (ou Cinq), Camp Kwilu, Kakongo et Mvula-Milenge. Si certains acteurs locaux des forces de défense et de sécurité tels que</w:t>
      </w:r>
      <w:r w:rsidR="009F5FFA">
        <w:t xml:space="preserve"> des agents de</w:t>
      </w:r>
      <w:r w:rsidR="00130845">
        <w:t xml:space="preserve"> la DGM et</w:t>
      </w:r>
      <w:r w:rsidR="009F5FFA">
        <w:t xml:space="preserve"> de</w:t>
      </w:r>
      <w:r w:rsidR="00130845">
        <w:t xml:space="preserve"> l’ANR ont pu jouer un rôle dans ces attaques, la présence de</w:t>
      </w:r>
      <w:r w:rsidR="009F5FFA">
        <w:t>s</w:t>
      </w:r>
      <w:r w:rsidR="00130845">
        <w:t xml:space="preserve"> FARDC</w:t>
      </w:r>
      <w:r w:rsidR="009F5FFA">
        <w:t xml:space="preserve"> et</w:t>
      </w:r>
      <w:r w:rsidR="00261236">
        <w:t xml:space="preserve"> de la PNC</w:t>
      </w:r>
      <w:r w:rsidR="00130845">
        <w:t xml:space="preserve"> n’a pas été rapportée</w:t>
      </w:r>
      <w:r w:rsidR="001317ED" w:rsidRPr="007F1170">
        <w:rPr>
          <w:rStyle w:val="FootnoteReference"/>
        </w:rPr>
        <w:footnoteReference w:id="64"/>
      </w:r>
      <w:r w:rsidR="00130845">
        <w:t xml:space="preserve">. </w:t>
      </w:r>
      <w:r w:rsidR="00261236">
        <w:t>L</w:t>
      </w:r>
      <w:r w:rsidR="00261236" w:rsidRPr="002352EA">
        <w:t>es milices Bana Mura ont opéré seules</w:t>
      </w:r>
      <w:r w:rsidR="001317ED">
        <w:t xml:space="preserve"> dans ce secteur</w:t>
      </w:r>
      <w:r w:rsidR="00261236">
        <w:t xml:space="preserve"> </w:t>
      </w:r>
      <w:r w:rsidR="009F5FFA">
        <w:t xml:space="preserve">mais </w:t>
      </w:r>
      <w:r w:rsidR="00261236" w:rsidRPr="002352EA">
        <w:t xml:space="preserve">sans que les forces de défense et de sécurité n’interviennent pour stopper les violences </w:t>
      </w:r>
      <w:r w:rsidR="00261236" w:rsidRPr="0049283E">
        <w:t>ou</w:t>
      </w:r>
      <w:r w:rsidR="00261236" w:rsidRPr="002352EA">
        <w:t xml:space="preserve"> venir en aide aux victimes</w:t>
      </w:r>
      <w:r w:rsidR="00261236">
        <w:t xml:space="preserve">. </w:t>
      </w:r>
      <w:r w:rsidR="00261236" w:rsidRPr="0049283E">
        <w:t>Plus r</w:t>
      </w:r>
      <w:r w:rsidR="00261236" w:rsidRPr="002352EA">
        <w:t>écemment, les forces de défense et de sécurité se sont parfois affrontées aux milices Bana Mura</w:t>
      </w:r>
      <w:r w:rsidR="001317ED" w:rsidRPr="007F1170">
        <w:rPr>
          <w:rStyle w:val="FootnoteReference"/>
        </w:rPr>
        <w:footnoteReference w:id="65"/>
      </w:r>
      <w:r w:rsidR="00261236" w:rsidRPr="0049283E">
        <w:t>.</w:t>
      </w:r>
    </w:p>
    <w:p w14:paraId="19772076" w14:textId="72975F66" w:rsidR="00946A69" w:rsidRDefault="00946A69" w:rsidP="005965F3">
      <w:pPr>
        <w:pStyle w:val="BodyText"/>
        <w:tabs>
          <w:tab w:val="left" w:pos="1559"/>
          <w:tab w:val="left" w:pos="1984"/>
          <w:tab w:val="left" w:leader="dot" w:pos="7654"/>
          <w:tab w:val="right" w:pos="8929"/>
        </w:tabs>
        <w:spacing w:line="240" w:lineRule="atLeast"/>
        <w:ind w:left="1138" w:right="1138" w:firstLine="0"/>
      </w:pPr>
      <w:r>
        <w:t>L’EEI</w:t>
      </w:r>
      <w:r w:rsidR="004D2A06" w:rsidRPr="00EC398D">
        <w:t xml:space="preserve"> n’a pas reçu d’i</w:t>
      </w:r>
      <w:r>
        <w:t>nformations suffisantes qui</w:t>
      </w:r>
      <w:r w:rsidR="00261236">
        <w:t xml:space="preserve"> permettent</w:t>
      </w:r>
      <w:r w:rsidR="004D2A06" w:rsidRPr="00EC398D">
        <w:t xml:space="preserve"> de conclure </w:t>
      </w:r>
      <w:r w:rsidR="004D2A06">
        <w:t xml:space="preserve">à </w:t>
      </w:r>
      <w:r w:rsidR="004D2A06" w:rsidRPr="0049283E">
        <w:t>l’existence d’une chaîn</w:t>
      </w:r>
      <w:r w:rsidR="004D2A06" w:rsidRPr="002352EA">
        <w:t>e de commandement commune</w:t>
      </w:r>
      <w:r w:rsidR="004D2A06" w:rsidRPr="00EC398D">
        <w:t xml:space="preserve"> </w:t>
      </w:r>
      <w:r w:rsidR="004D2A06">
        <w:t xml:space="preserve">entre les </w:t>
      </w:r>
      <w:r>
        <w:t>différentes</w:t>
      </w:r>
      <w:r w:rsidR="004D2A06">
        <w:t xml:space="preserve"> milices Bana Mura </w:t>
      </w:r>
      <w:r w:rsidR="004D2A06" w:rsidRPr="00EC398D">
        <w:t>qui opéraient dans le territoire de Kamonia</w:t>
      </w:r>
      <w:r>
        <w:t>, province du Kasaï</w:t>
      </w:r>
      <w:r w:rsidR="004D2A06" w:rsidRPr="00EC398D">
        <w:t xml:space="preserve">. </w:t>
      </w:r>
      <w:r w:rsidR="004800F3">
        <w:t>Néanmoins certains</w:t>
      </w:r>
      <w:r w:rsidR="004D2A06" w:rsidRPr="00EC398D">
        <w:t xml:space="preserve"> liens </w:t>
      </w:r>
      <w:r w:rsidR="004D2A06" w:rsidRPr="0049283E">
        <w:t>existaient entre les différentes milices Bana Mura</w:t>
      </w:r>
      <w:r w:rsidR="004D2A06" w:rsidRPr="00EC398D">
        <w:t xml:space="preserve">. Par exemple, des distributions d’armes ont eu lieu à plusieurs endroits du territoire de Kamonia au cours de la même période et les armes utilisées par les différents groupes lors des attaques étaient identiques. </w:t>
      </w:r>
    </w:p>
    <w:p w14:paraId="5986E2D9" w14:textId="4A7E43C3" w:rsidR="00771DAE" w:rsidRDefault="00771DAE" w:rsidP="00BC668B">
      <w:pPr>
        <w:pStyle w:val="Heading1"/>
        <w:spacing w:before="360" w:after="240" w:line="300" w:lineRule="exact"/>
        <w:ind w:left="1124" w:right="1138" w:hanging="415"/>
      </w:pPr>
      <w:bookmarkStart w:id="41" w:name="_Toc518027527"/>
      <w:r>
        <w:t>Etablissement des faits et circonstances</w:t>
      </w:r>
      <w:bookmarkEnd w:id="41"/>
    </w:p>
    <w:p w14:paraId="26B990CD" w14:textId="75D7714D" w:rsidR="00771DAE" w:rsidRPr="00FE5E8D" w:rsidRDefault="00AD269F" w:rsidP="00BC668B">
      <w:pPr>
        <w:pStyle w:val="Heading2"/>
        <w:spacing w:before="360" w:line="270" w:lineRule="exact"/>
        <w:ind w:left="1138" w:right="1138" w:hanging="571"/>
        <w:rPr>
          <w:sz w:val="24"/>
          <w:szCs w:val="24"/>
          <w:lang w:val="fr-FR"/>
        </w:rPr>
      </w:pPr>
      <w:bookmarkStart w:id="42" w:name="_Toc518027528"/>
      <w:r>
        <w:rPr>
          <w:sz w:val="24"/>
          <w:szCs w:val="24"/>
          <w:lang w:val="fr-FR"/>
        </w:rPr>
        <w:t xml:space="preserve">Avril-août 2016 – </w:t>
      </w:r>
      <w:r w:rsidR="00771DAE" w:rsidRPr="00FE5E8D">
        <w:rPr>
          <w:sz w:val="24"/>
          <w:szCs w:val="24"/>
          <w:lang w:val="fr-FR"/>
        </w:rPr>
        <w:t>début des violences sur le territoire de Dibaya – Kasaï Central</w:t>
      </w:r>
      <w:bookmarkEnd w:id="42"/>
      <w:r w:rsidR="00771DAE" w:rsidRPr="00FE5E8D">
        <w:rPr>
          <w:sz w:val="24"/>
          <w:szCs w:val="24"/>
          <w:lang w:val="fr-FR"/>
        </w:rPr>
        <w:t xml:space="preserve"> </w:t>
      </w:r>
    </w:p>
    <w:p w14:paraId="37F4C684" w14:textId="2865C8C3" w:rsidR="00771DAE" w:rsidRPr="00106487" w:rsidRDefault="00771DAE" w:rsidP="005965F3">
      <w:pPr>
        <w:pStyle w:val="BodyText"/>
        <w:tabs>
          <w:tab w:val="left" w:pos="1559"/>
          <w:tab w:val="left" w:pos="1984"/>
          <w:tab w:val="left" w:leader="dot" w:pos="7654"/>
          <w:tab w:val="right" w:pos="8929"/>
        </w:tabs>
        <w:spacing w:line="240" w:lineRule="atLeast"/>
        <w:ind w:left="1138" w:right="1138" w:firstLine="0"/>
      </w:pPr>
      <w:r w:rsidRPr="004A7604">
        <w:t>La perquisition du domicile du chef coutumier Kamuina Nsapu</w:t>
      </w:r>
      <w:r>
        <w:t xml:space="preserve">, </w:t>
      </w:r>
      <w:r w:rsidRPr="004A7604">
        <w:t>Jean-Prince Mpandi</w:t>
      </w:r>
      <w:r>
        <w:t>,</w:t>
      </w:r>
      <w:r w:rsidRPr="004A7604">
        <w:t xml:space="preserve"> le 3 avril 2016,</w:t>
      </w:r>
      <w:r>
        <w:t xml:space="preserve"> et</w:t>
      </w:r>
      <w:r w:rsidRPr="004A7604">
        <w:t xml:space="preserve"> la création subséquente de son mouvement « politico-coutumier » ont annoncé le début des violences </w:t>
      </w:r>
      <w:r w:rsidR="000C0568">
        <w:t>dans</w:t>
      </w:r>
      <w:r w:rsidRPr="004A7604">
        <w:t xml:space="preserve"> le territoire de Dibaya, Kasaï Central</w:t>
      </w:r>
      <w:r w:rsidRPr="007F1170">
        <w:rPr>
          <w:rStyle w:val="FootnoteReference"/>
        </w:rPr>
        <w:footnoteReference w:id="66"/>
      </w:r>
      <w:r w:rsidRPr="004A7604">
        <w:t>.</w:t>
      </w:r>
      <w:r w:rsidRPr="008779AB">
        <w:t xml:space="preserve"> Après son retour</w:t>
      </w:r>
      <w:r>
        <w:t xml:space="preserve"> au village Kamuina Nsapu, </w:t>
      </w:r>
      <w:r w:rsidRPr="004A7604">
        <w:t>Jean-Prince Mpandi</w:t>
      </w:r>
      <w:r>
        <w:t xml:space="preserve"> a mobilisé la population pour qu’elle adhère à son mouvement et dans le but de créer une milice. </w:t>
      </w:r>
      <w:r w:rsidRPr="00106487">
        <w:t xml:space="preserve">Entre mai et août 2016, Jean-Prince Mpandi </w:t>
      </w:r>
      <w:r>
        <w:t>a recruté</w:t>
      </w:r>
      <w:r w:rsidRPr="00106487">
        <w:t xml:space="preserve"> massivement </w:t>
      </w:r>
      <w:r>
        <w:t xml:space="preserve">des miliciens </w:t>
      </w:r>
      <w:r w:rsidRPr="00106487">
        <w:t xml:space="preserve">dans son village, </w:t>
      </w:r>
      <w:r>
        <w:t xml:space="preserve">dans </w:t>
      </w:r>
      <w:r w:rsidRPr="00106487">
        <w:t xml:space="preserve">les villages du groupement </w:t>
      </w:r>
      <w:r w:rsidRPr="00F73930">
        <w:t>de Dibataie</w:t>
      </w:r>
      <w:r w:rsidRPr="007F1170">
        <w:rPr>
          <w:rStyle w:val="FootnoteReference"/>
        </w:rPr>
        <w:footnoteReference w:id="67"/>
      </w:r>
      <w:r>
        <w:t xml:space="preserve">, puis </w:t>
      </w:r>
      <w:r w:rsidRPr="00106487">
        <w:t xml:space="preserve">plus largement </w:t>
      </w:r>
      <w:r w:rsidR="003E1838">
        <w:t>dans</w:t>
      </w:r>
      <w:r w:rsidR="003E1838" w:rsidRPr="00106487">
        <w:t xml:space="preserve"> </w:t>
      </w:r>
      <w:r w:rsidRPr="00106487">
        <w:t>le territoire de Dibaya</w:t>
      </w:r>
      <w:r>
        <w:t>,</w:t>
      </w:r>
      <w:r w:rsidRPr="00106487">
        <w:t xml:space="preserve"> dans les villages et groupements des chefs coutumiers dont il avait</w:t>
      </w:r>
      <w:r>
        <w:t xml:space="preserve"> </w:t>
      </w:r>
      <w:r w:rsidRPr="00106487">
        <w:t>le soutien</w:t>
      </w:r>
      <w:r w:rsidRPr="007F1170">
        <w:rPr>
          <w:rStyle w:val="FootnoteReference"/>
        </w:rPr>
        <w:footnoteReference w:id="68"/>
      </w:r>
      <w:r w:rsidRPr="00106487">
        <w:t xml:space="preserve">. </w:t>
      </w:r>
      <w:r>
        <w:t>L</w:t>
      </w:r>
      <w:r w:rsidRPr="00106487">
        <w:t xml:space="preserve">e recrutement </w:t>
      </w:r>
      <w:r>
        <w:t>dans la milice Kamuina Nsapu</w:t>
      </w:r>
      <w:r w:rsidRPr="00106487">
        <w:t xml:space="preserve"> visait </w:t>
      </w:r>
      <w:r>
        <w:t>l’ensemble de la population mais en tout premier lieu</w:t>
      </w:r>
      <w:r w:rsidRPr="00106487">
        <w:t xml:space="preserve"> </w:t>
      </w:r>
      <w:r w:rsidR="003E1838">
        <w:t>l</w:t>
      </w:r>
      <w:r w:rsidR="003E1838" w:rsidRPr="00106487">
        <w:t xml:space="preserve">es </w:t>
      </w:r>
      <w:r w:rsidRPr="00106487">
        <w:t>enfants, garçons et fi</w:t>
      </w:r>
      <w:r>
        <w:t>lles, dont certains très jeunes</w:t>
      </w:r>
      <w:r w:rsidRPr="007F1170">
        <w:rPr>
          <w:rStyle w:val="FootnoteReference"/>
        </w:rPr>
        <w:footnoteReference w:id="69"/>
      </w:r>
      <w:r w:rsidRPr="00106487">
        <w:t xml:space="preserve">. </w:t>
      </w:r>
      <w:r>
        <w:t>L’enrôlement</w:t>
      </w:r>
      <w:r w:rsidRPr="00106487">
        <w:t xml:space="preserve"> passait par l’accomplissement d’un rituel </w:t>
      </w:r>
      <w:r w:rsidR="001167FD">
        <w:t>de</w:t>
      </w:r>
      <w:r w:rsidRPr="00106487">
        <w:t xml:space="preserve"> </w:t>
      </w:r>
      <w:r>
        <w:t>« </w:t>
      </w:r>
      <w:r w:rsidRPr="00106487">
        <w:t>baptême</w:t>
      </w:r>
      <w:r>
        <w:t> »</w:t>
      </w:r>
      <w:r w:rsidRPr="00106487">
        <w:t xml:space="preserve"> </w:t>
      </w:r>
      <w:r>
        <w:t>au</w:t>
      </w:r>
      <w:r w:rsidRPr="00106487">
        <w:t xml:space="preserve"> tshiota</w:t>
      </w:r>
      <w:r w:rsidRPr="007F1170">
        <w:rPr>
          <w:rStyle w:val="FootnoteReference"/>
        </w:rPr>
        <w:footnoteReference w:id="70"/>
      </w:r>
      <w:r w:rsidRPr="00106487">
        <w:t xml:space="preserve">. </w:t>
      </w:r>
    </w:p>
    <w:p w14:paraId="447078B7" w14:textId="7ED368B7" w:rsidR="00771DAE" w:rsidRPr="00E73214" w:rsidRDefault="00771DAE" w:rsidP="005965F3">
      <w:pPr>
        <w:pStyle w:val="BodyText"/>
        <w:tabs>
          <w:tab w:val="left" w:pos="1559"/>
          <w:tab w:val="left" w:pos="1984"/>
          <w:tab w:val="left" w:leader="dot" w:pos="7654"/>
          <w:tab w:val="right" w:pos="8929"/>
        </w:tabs>
        <w:spacing w:line="240" w:lineRule="atLeast"/>
        <w:ind w:left="1138" w:right="1138" w:firstLine="0"/>
      </w:pPr>
      <w:r w:rsidRPr="00E73214">
        <w:t>Par exemple, en mai-juin 2016, Jean-Prince Mpandi a enrôlé</w:t>
      </w:r>
      <w:r>
        <w:t xml:space="preserve"> dans la milice </w:t>
      </w:r>
      <w:r w:rsidRPr="00E73214">
        <w:t xml:space="preserve">environ 200 personnes, </w:t>
      </w:r>
      <w:r>
        <w:t xml:space="preserve">dont des enfants âgés de 5-6 ans </w:t>
      </w:r>
      <w:r w:rsidRPr="00E73214">
        <w:t xml:space="preserve">lors d’une cérémonie de baptême collectif au village Kamuina Nsapu. </w:t>
      </w:r>
      <w:r>
        <w:t>D</w:t>
      </w:r>
      <w:r w:rsidRPr="00E73214">
        <w:t xml:space="preserve">’autres chefs de villages étaient présents ainsi que des membres de la famille </w:t>
      </w:r>
      <w:r w:rsidR="003E1838">
        <w:t>de</w:t>
      </w:r>
      <w:r w:rsidRPr="00E73214">
        <w:t xml:space="preserve"> Jean-Prince Mpandi</w:t>
      </w:r>
      <w:r w:rsidRPr="007F1170">
        <w:rPr>
          <w:rStyle w:val="FootnoteReference"/>
        </w:rPr>
        <w:footnoteReference w:id="71"/>
      </w:r>
      <w:r w:rsidRPr="00E73214">
        <w:t xml:space="preserve">. </w:t>
      </w:r>
      <w:r>
        <w:t>Le</w:t>
      </w:r>
      <w:r w:rsidRPr="00E73214">
        <w:t xml:space="preserve"> 4 août 2016, Jean-Prince Mpandi a prononcé un discours dans le v</w:t>
      </w:r>
      <w:r>
        <w:t xml:space="preserve">illage de Mfuamba </w:t>
      </w:r>
      <w:r w:rsidRPr="00E73214">
        <w:t xml:space="preserve">appelant la population à se révolter et à rejoindre </w:t>
      </w:r>
      <w:r w:rsidR="00A73DBE">
        <w:t xml:space="preserve">le </w:t>
      </w:r>
      <w:r w:rsidRPr="00E73214">
        <w:t xml:space="preserve">mouvement </w:t>
      </w:r>
      <w:r w:rsidR="00A73DBE">
        <w:t>Kamuina Nsapu</w:t>
      </w:r>
      <w:r w:rsidRPr="00E73214">
        <w:t xml:space="preserve">. Suite à </w:t>
      </w:r>
      <w:r>
        <w:t>ce</w:t>
      </w:r>
      <w:r w:rsidRPr="00E73214">
        <w:t xml:space="preserve"> discours de nombreux jeunes de Mfuamba sont partis pour le village Kamuina Nsapu. Plus de 100 enfants de l’école de Mfuamba ont rejoint les rangs de la milice ce jour-là</w:t>
      </w:r>
      <w:r w:rsidRPr="007F1170">
        <w:rPr>
          <w:rStyle w:val="FootnoteReference"/>
        </w:rPr>
        <w:footnoteReference w:id="72"/>
      </w:r>
      <w:r w:rsidRPr="00E73214">
        <w:t>.</w:t>
      </w:r>
      <w:r>
        <w:t xml:space="preserve"> </w:t>
      </w:r>
      <w:r w:rsidRPr="00E73214">
        <w:t>Un témoin explique qu’</w:t>
      </w:r>
      <w:r w:rsidR="00E771F7">
        <w:t xml:space="preserve">en août 2016, </w:t>
      </w:r>
      <w:r w:rsidRPr="00E73214">
        <w:t>il a été stoppé avec trois autres garçons âgés de 14 à 17 ans à une barrière tenue par huit miliciens Kamuina Nsapu au niveau du village de Kabudi</w:t>
      </w:r>
      <w:r>
        <w:t>,</w:t>
      </w:r>
      <w:r w:rsidRPr="00E73214">
        <w:t xml:space="preserve"> sur la route entre les villages de Mfuamba et Tshimbulu. L’un des miliciens qui se faisait appeler le « délégué » a </w:t>
      </w:r>
      <w:r w:rsidR="0016217F">
        <w:t>demandé</w:t>
      </w:r>
      <w:r w:rsidR="00A73DBE">
        <w:t xml:space="preserve"> </w:t>
      </w:r>
      <w:r>
        <w:t xml:space="preserve">aux quatre garçons </w:t>
      </w:r>
      <w:r w:rsidRPr="00E73214">
        <w:t>de rejo</w:t>
      </w:r>
      <w:r>
        <w:t>indre la milice et les a menacés</w:t>
      </w:r>
      <w:r w:rsidRPr="00E73214">
        <w:t xml:space="preserve"> de mort en cas de refus. Les quatre garçons ont </w:t>
      </w:r>
      <w:r>
        <w:t>donc</w:t>
      </w:r>
      <w:r w:rsidRPr="00E73214">
        <w:t xml:space="preserve"> suivi un enfant milicien jusqu’</w:t>
      </w:r>
      <w:r w:rsidR="00A73DBE">
        <w:t>au</w:t>
      </w:r>
      <w:r w:rsidRPr="00E73214">
        <w:t xml:space="preserve"> tshiota de Kabudi. Un homme qui portait un bandeau rouge autour de la tête et une robe rouge</w:t>
      </w:r>
      <w:r w:rsidR="00E63F5B">
        <w:t xml:space="preserve"> les a </w:t>
      </w:r>
      <w:r w:rsidRPr="00E73214">
        <w:t>baptisé</w:t>
      </w:r>
      <w:r w:rsidR="00E63F5B">
        <w:t>s</w:t>
      </w:r>
      <w:r>
        <w:t>.</w:t>
      </w:r>
      <w:r w:rsidRPr="00E73214">
        <w:t xml:space="preserve"> </w:t>
      </w:r>
      <w:r>
        <w:t xml:space="preserve">Ils </w:t>
      </w:r>
      <w:r w:rsidRPr="00E73214">
        <w:t>ont ainsi intégré la milice Kamuina Nsapu</w:t>
      </w:r>
      <w:r w:rsidRPr="007F1170">
        <w:rPr>
          <w:rStyle w:val="FootnoteReference"/>
        </w:rPr>
        <w:footnoteReference w:id="73"/>
      </w:r>
      <w:r w:rsidRPr="00E73214">
        <w:t>.</w:t>
      </w:r>
    </w:p>
    <w:p w14:paraId="29D3D841" w14:textId="63D3A7A5" w:rsidR="00771DAE" w:rsidRPr="00D37CAD" w:rsidRDefault="00E771F7" w:rsidP="005965F3">
      <w:pPr>
        <w:pStyle w:val="BodyText"/>
        <w:tabs>
          <w:tab w:val="left" w:pos="1559"/>
          <w:tab w:val="left" w:pos="1984"/>
          <w:tab w:val="left" w:leader="dot" w:pos="7654"/>
          <w:tab w:val="right" w:pos="8929"/>
        </w:tabs>
        <w:spacing w:line="240" w:lineRule="atLeast"/>
        <w:ind w:left="1138" w:right="1138" w:firstLine="0"/>
      </w:pPr>
      <w:r>
        <w:t>Outre l</w:t>
      </w:r>
      <w:r w:rsidR="00771DAE" w:rsidRPr="00D37CAD">
        <w:t xml:space="preserve">es </w:t>
      </w:r>
      <w:r w:rsidR="00771DAE">
        <w:t>éléments collectés par</w:t>
      </w:r>
      <w:r w:rsidR="00771DAE" w:rsidRPr="00D37CAD">
        <w:t xml:space="preserve"> </w:t>
      </w:r>
      <w:r w:rsidR="00771DAE">
        <w:t>l’EEI</w:t>
      </w:r>
      <w:r w:rsidR="00771DAE" w:rsidRPr="00D37CAD">
        <w:t xml:space="preserve">, la MONUSCO a documenté plus de 112 cas </w:t>
      </w:r>
      <w:r w:rsidR="00E63F5B">
        <w:t>d’enfants</w:t>
      </w:r>
      <w:r w:rsidR="00771DAE" w:rsidRPr="00D37CAD">
        <w:t xml:space="preserve"> parmi lesquels au mo</w:t>
      </w:r>
      <w:r w:rsidR="00771DAE">
        <w:t xml:space="preserve">ins 17 filles, recrutés dans la milice </w:t>
      </w:r>
      <w:r w:rsidR="00771DAE" w:rsidRPr="00D37CAD">
        <w:t>Kamuina Nsapu entre avril et ao</w:t>
      </w:r>
      <w:r w:rsidR="00771DAE">
        <w:t>û</w:t>
      </w:r>
      <w:r w:rsidR="00771DAE" w:rsidRPr="00D37CAD">
        <w:t>t 2016</w:t>
      </w:r>
      <w:r w:rsidR="00771DAE" w:rsidRPr="00E73214">
        <w:t xml:space="preserve"> </w:t>
      </w:r>
      <w:r w:rsidR="00771DAE" w:rsidRPr="00D37CAD">
        <w:t xml:space="preserve">dans le territoire de Dibaya. Certains </w:t>
      </w:r>
      <w:r w:rsidR="00E63F5B">
        <w:t xml:space="preserve">de ces enfants ont indiqué </w:t>
      </w:r>
      <w:r w:rsidR="00771DAE" w:rsidRPr="00D37CAD">
        <w:t xml:space="preserve">la présence de dizaines </w:t>
      </w:r>
      <w:r w:rsidR="0016217F" w:rsidRPr="00D37CAD">
        <w:t>d’</w:t>
      </w:r>
      <w:r w:rsidR="0016217F">
        <w:t>autres</w:t>
      </w:r>
      <w:r w:rsidR="0016217F" w:rsidRPr="00D37CAD">
        <w:t xml:space="preserve"> </w:t>
      </w:r>
      <w:r>
        <w:t xml:space="preserve">enfants </w:t>
      </w:r>
      <w:r w:rsidR="00771DAE" w:rsidRPr="00D37CAD">
        <w:t>kidnappés et recrutés tout comme eux</w:t>
      </w:r>
      <w:r>
        <w:t>. Cela</w:t>
      </w:r>
      <w:r w:rsidR="00771DAE" w:rsidRPr="00D37CAD">
        <w:t xml:space="preserve"> tend à dém</w:t>
      </w:r>
      <w:r w:rsidR="00771DAE">
        <w:t xml:space="preserve">ontrer que le nombre d’enfants enrôlés </w:t>
      </w:r>
      <w:r w:rsidR="00771DAE" w:rsidRPr="00D37CAD">
        <w:t>dans ce territoire pendant cette période est très supérieur au nombre de cas documentés. Ces enfants, étaient essentiellement âgés de 4 à 15 ans</w:t>
      </w:r>
      <w:r>
        <w:t xml:space="preserve">, quelques-uns de </w:t>
      </w:r>
      <w:r w:rsidR="00771DAE" w:rsidRPr="00D37CAD">
        <w:t>16-17 ans. Le 15 ao</w:t>
      </w:r>
      <w:r w:rsidR="00771DAE">
        <w:t>û</w:t>
      </w:r>
      <w:r w:rsidR="00771DAE" w:rsidRPr="00D37CAD">
        <w:t>t 2016</w:t>
      </w:r>
      <w:r w:rsidR="00771DAE">
        <w:t>,</w:t>
      </w:r>
      <w:r w:rsidR="00771DAE" w:rsidRPr="00D37CAD">
        <w:t xml:space="preserve"> dans le village de Tshikula, au moins 11 enfants ont été kidnappés par les Kamuina Nsapu </w:t>
      </w:r>
      <w:r w:rsidR="00771DAE">
        <w:t xml:space="preserve">alors qu’ils rentraient </w:t>
      </w:r>
      <w:r w:rsidR="00771DAE" w:rsidRPr="00D37CAD">
        <w:t>de l’école. Les plus jeunes</w:t>
      </w:r>
      <w:r w:rsidR="00771DAE">
        <w:t xml:space="preserve"> </w:t>
      </w:r>
      <w:r w:rsidR="00771DAE" w:rsidRPr="00D37CAD">
        <w:t xml:space="preserve">racontent qu’ils ont été utilisés pour garder le tshiota ou pour servir à la garde rapprochée du </w:t>
      </w:r>
      <w:r w:rsidR="00771DAE">
        <w:t>c</w:t>
      </w:r>
      <w:r w:rsidR="00771DAE" w:rsidRPr="00D37CAD">
        <w:t>hef Kamuina Nsapu</w:t>
      </w:r>
      <w:r w:rsidR="00771DAE">
        <w:t xml:space="preserve">, </w:t>
      </w:r>
      <w:r w:rsidR="00771DAE" w:rsidRPr="00E73214">
        <w:t>Jean-Prince Mpandi</w:t>
      </w:r>
      <w:r w:rsidR="00771DAE" w:rsidRPr="00D37CAD">
        <w:t>. D’autres</w:t>
      </w:r>
      <w:r w:rsidR="00771DAE">
        <w:t>,</w:t>
      </w:r>
      <w:r w:rsidR="00771DAE" w:rsidRPr="00D37CAD">
        <w:t xml:space="preserve"> parmi les plus âgés, étaient chargés de procéder à l’arrestation d’habitants des villages qui ne respectaient pas les règles </w:t>
      </w:r>
      <w:r w:rsidR="00771DAE">
        <w:t>imposées par</w:t>
      </w:r>
      <w:r w:rsidR="00771DAE" w:rsidRPr="00D37CAD">
        <w:t xml:space="preserve"> la milice. </w:t>
      </w:r>
      <w:r w:rsidR="00771DAE">
        <w:t>Tous</w:t>
      </w:r>
      <w:r>
        <w:t>,</w:t>
      </w:r>
      <w:r w:rsidR="00771DAE">
        <w:t xml:space="preserve"> des plus jeunes</w:t>
      </w:r>
      <w:r w:rsidR="00771DAE" w:rsidRPr="00D37CAD">
        <w:t xml:space="preserve"> aux plus âgés</w:t>
      </w:r>
      <w:r>
        <w:t>,</w:t>
      </w:r>
      <w:r w:rsidR="00771DAE" w:rsidRPr="00D37CAD">
        <w:t xml:space="preserve"> ont été utilisés </w:t>
      </w:r>
      <w:r w:rsidR="00771DAE">
        <w:t>lors d’</w:t>
      </w:r>
      <w:r w:rsidR="00771DAE" w:rsidRPr="00D37CAD">
        <w:t xml:space="preserve">affrontements contre les </w:t>
      </w:r>
      <w:r w:rsidR="00771DAE">
        <w:t>f</w:t>
      </w:r>
      <w:r w:rsidR="00771DAE" w:rsidRPr="00D37CAD">
        <w:t>orces de défense et de sécurité. Il ressort que la plupart des enfants kidnappés et recrutés durant cette période ont par la suite été utilisés pour attaquer le village de Ntenda et différents points de la ville de Kananga</w:t>
      </w:r>
      <w:r w:rsidR="00F252ED">
        <w:t>,</w:t>
      </w:r>
      <w:r w:rsidR="00771DAE" w:rsidRPr="00D37CAD">
        <w:t xml:space="preserve"> notamment l’aéroport</w:t>
      </w:r>
      <w:r w:rsidR="00771DAE">
        <w:t xml:space="preserve"> en septembre 2016</w:t>
      </w:r>
      <w:r w:rsidR="00771DAE" w:rsidRPr="007F1170">
        <w:rPr>
          <w:rStyle w:val="FootnoteReference"/>
        </w:rPr>
        <w:footnoteReference w:id="74"/>
      </w:r>
      <w:r w:rsidR="00771DAE" w:rsidRPr="00D37CAD">
        <w:t>.</w:t>
      </w:r>
    </w:p>
    <w:p w14:paraId="3F1BEBF0" w14:textId="49D357BB" w:rsidR="00771DAE" w:rsidRDefault="00771DAE" w:rsidP="005965F3">
      <w:pPr>
        <w:pStyle w:val="BodyText"/>
        <w:tabs>
          <w:tab w:val="left" w:pos="1559"/>
          <w:tab w:val="left" w:pos="1984"/>
          <w:tab w:val="left" w:leader="dot" w:pos="7654"/>
          <w:tab w:val="right" w:pos="8929"/>
        </w:tabs>
        <w:spacing w:line="240" w:lineRule="atLeast"/>
        <w:ind w:left="1138" w:right="1138" w:firstLine="0"/>
      </w:pPr>
      <w:r>
        <w:t>A partir de juin 2016, l</w:t>
      </w:r>
      <w:r w:rsidRPr="00AD28A7">
        <w:t>es miliciens</w:t>
      </w:r>
      <w:r>
        <w:t xml:space="preserve"> Kamuina Nsapu</w:t>
      </w:r>
      <w:r w:rsidRPr="00AD28A7">
        <w:t xml:space="preserve"> ont érigé des barrières dans les environs du village Kamuina Nsapu </w:t>
      </w:r>
      <w:r>
        <w:t xml:space="preserve">dont le but était de contrôler la circulation des policiers, </w:t>
      </w:r>
      <w:r w:rsidR="000C0568">
        <w:t xml:space="preserve">des </w:t>
      </w:r>
      <w:r>
        <w:t>militaires ou de tout autre agent de l’Etat</w:t>
      </w:r>
      <w:r w:rsidRPr="007F1170">
        <w:rPr>
          <w:rStyle w:val="FootnoteReference"/>
        </w:rPr>
        <w:footnoteReference w:id="75"/>
      </w:r>
      <w:r w:rsidRPr="00AD28A7">
        <w:t xml:space="preserve">. Il existait par exemple des barrières au niveau des villages de Mbondo, Ntambwe, Kayembe, Tshikula et </w:t>
      </w:r>
      <w:r>
        <w:t>Kabunji</w:t>
      </w:r>
      <w:r w:rsidRPr="007F1170">
        <w:rPr>
          <w:rStyle w:val="FootnoteReference"/>
        </w:rPr>
        <w:footnoteReference w:id="76"/>
      </w:r>
      <w:r w:rsidRPr="00AD28A7">
        <w:t xml:space="preserve">. </w:t>
      </w:r>
      <w:r>
        <w:t xml:space="preserve">Lorsque des FARDC ou des PNC croisaient des miliciens Kamuina Nsapu, ces derniers leur demandaient de retirer leurs uniformes pour pouvoir continuer leur route. </w:t>
      </w:r>
      <w:r w:rsidRPr="00AD28A7">
        <w:t xml:space="preserve">Au moins un policier qui avait refusé de retirer </w:t>
      </w:r>
      <w:r>
        <w:t>son uniforme</w:t>
      </w:r>
      <w:r w:rsidRPr="00AD28A7">
        <w:t xml:space="preserve"> </w:t>
      </w:r>
      <w:r>
        <w:t>a</w:t>
      </w:r>
      <w:r w:rsidRPr="00AD28A7">
        <w:t xml:space="preserve"> été blessé après avoir été battu par des miliciens Kamuina Nsapu non loin de l’hôpital général du village de Tshikula</w:t>
      </w:r>
      <w:r w:rsidRPr="007F1170">
        <w:rPr>
          <w:rStyle w:val="FootnoteReference"/>
        </w:rPr>
        <w:footnoteReference w:id="77"/>
      </w:r>
      <w:r w:rsidRPr="00AD28A7">
        <w:t xml:space="preserve">. </w:t>
      </w:r>
    </w:p>
    <w:p w14:paraId="377142C7" w14:textId="1B082E6D" w:rsidR="00771DAE" w:rsidRPr="00AD28A7" w:rsidRDefault="00771DAE" w:rsidP="005965F3">
      <w:pPr>
        <w:pStyle w:val="BodyText"/>
        <w:tabs>
          <w:tab w:val="left" w:pos="1559"/>
          <w:tab w:val="left" w:pos="1984"/>
          <w:tab w:val="left" w:leader="dot" w:pos="7654"/>
          <w:tab w:val="right" w:pos="8929"/>
        </w:tabs>
        <w:spacing w:line="240" w:lineRule="atLeast"/>
        <w:ind w:left="1138" w:right="1138" w:firstLine="0"/>
      </w:pPr>
      <w:r w:rsidRPr="00AD28A7">
        <w:t xml:space="preserve">Le </w:t>
      </w:r>
      <w:r w:rsidRPr="00D37CAD">
        <w:t>22 juillet 2016</w:t>
      </w:r>
      <w:r w:rsidRPr="00AD28A7">
        <w:t xml:space="preserve">, les Kamuina Nsapu </w:t>
      </w:r>
      <w:r>
        <w:t xml:space="preserve">ont lancé </w:t>
      </w:r>
      <w:r w:rsidRPr="00AD28A7">
        <w:t>leur toute première attaque</w:t>
      </w:r>
      <w:r>
        <w:t xml:space="preserve"> contre les symboles de l’Etat</w:t>
      </w:r>
      <w:r w:rsidRPr="00AD28A7">
        <w:t xml:space="preserve">. Elle </w:t>
      </w:r>
      <w:r>
        <w:t>était</w:t>
      </w:r>
      <w:r w:rsidRPr="00AD28A7">
        <w:t xml:space="preserve"> dirigée contre le sous-commissariat</w:t>
      </w:r>
      <w:r>
        <w:t xml:space="preserve"> de police</w:t>
      </w:r>
      <w:r w:rsidRPr="00AD28A7">
        <w:t xml:space="preserve"> du village de </w:t>
      </w:r>
      <w:r>
        <w:t>Mf</w:t>
      </w:r>
      <w:r w:rsidRPr="00AD28A7">
        <w:t>uamba</w:t>
      </w:r>
      <w:r w:rsidR="00E1130B">
        <w:t xml:space="preserve"> qui </w:t>
      </w:r>
      <w:r>
        <w:t xml:space="preserve">a été </w:t>
      </w:r>
      <w:r w:rsidRPr="00AD28A7">
        <w:t xml:space="preserve">attaqué puis incendié au cours de la nuit par des miliciens munis </w:t>
      </w:r>
      <w:r>
        <w:t>de flèches, bâtons et machettes qui sont ensuite repartis vers le village Kamuina Nsapu</w:t>
      </w:r>
      <w:r w:rsidRPr="007F1170">
        <w:rPr>
          <w:rStyle w:val="FootnoteReference"/>
        </w:rPr>
        <w:footnoteReference w:id="78"/>
      </w:r>
      <w:r w:rsidRPr="00AD28A7">
        <w:t>.</w:t>
      </w:r>
      <w:r>
        <w:t xml:space="preserve"> </w:t>
      </w:r>
    </w:p>
    <w:p w14:paraId="0F1BA8C2" w14:textId="2B5459DF" w:rsidR="00771DAE" w:rsidRPr="00AD28A7" w:rsidRDefault="00771DAE" w:rsidP="005965F3">
      <w:pPr>
        <w:pStyle w:val="BodyText"/>
        <w:tabs>
          <w:tab w:val="left" w:pos="1559"/>
          <w:tab w:val="left" w:pos="1984"/>
          <w:tab w:val="left" w:leader="dot" w:pos="7654"/>
          <w:tab w:val="right" w:pos="8929"/>
        </w:tabs>
        <w:spacing w:line="240" w:lineRule="atLeast"/>
        <w:ind w:left="1138" w:right="1138" w:firstLine="0"/>
      </w:pPr>
      <w:r w:rsidRPr="00AE3509">
        <w:t>Le 23 juillet 2016, Jean-Prince Mpandi et ses miliciens ont attaqué le village de Ntenda situé à quelques kilomètres du village Kamuina Nsapu</w:t>
      </w:r>
      <w:r w:rsidRPr="007F1170">
        <w:rPr>
          <w:rStyle w:val="FootnoteReference"/>
        </w:rPr>
        <w:footnoteReference w:id="79"/>
      </w:r>
      <w:r w:rsidRPr="00AE3509">
        <w:t>. Avant l’attaque, un accrochage entre le chef du village</w:t>
      </w:r>
      <w:r>
        <w:t xml:space="preserve"> de</w:t>
      </w:r>
      <w:r w:rsidRPr="00AE3509">
        <w:t xml:space="preserve"> Ntenda et des miliciens Kamuina Nsapu qui tenaient une barrière</w:t>
      </w:r>
      <w:r>
        <w:t xml:space="preserve"> a eu lieu</w:t>
      </w:r>
      <w:r w:rsidRPr="00AE3509">
        <w:t>. Cet accrochage aurait provoqué la colère du chef Kamuina Nsapu et</w:t>
      </w:r>
      <w:r>
        <w:t xml:space="preserve"> </w:t>
      </w:r>
      <w:r w:rsidRPr="00AE3509">
        <w:t>été l’un des éléments déclencheur de l’attaque du village de Ntenda</w:t>
      </w:r>
      <w:r w:rsidRPr="007F1170">
        <w:rPr>
          <w:rStyle w:val="FootnoteReference"/>
        </w:rPr>
        <w:footnoteReference w:id="80"/>
      </w:r>
      <w:r w:rsidRPr="00AE3509">
        <w:t>. Un</w:t>
      </w:r>
      <w:r w:rsidR="00EB1126">
        <w:t>e</w:t>
      </w:r>
      <w:r w:rsidRPr="00AE3509">
        <w:t xml:space="preserve"> autre raison avancée pour cette attaque </w:t>
      </w:r>
      <w:r>
        <w:t>aurait été</w:t>
      </w:r>
      <w:r w:rsidRPr="00AE3509">
        <w:t xml:space="preserve"> le refus du chef du village Ntenda d’adhérer au mouvement Kamuina Nsapu</w:t>
      </w:r>
      <w:r w:rsidRPr="007F1170">
        <w:rPr>
          <w:rStyle w:val="FootnoteReference"/>
        </w:rPr>
        <w:footnoteReference w:id="81"/>
      </w:r>
      <w:r w:rsidRPr="00AE3509">
        <w:t>.</w:t>
      </w:r>
      <w:r>
        <w:t xml:space="preserve"> De plus, i</w:t>
      </w:r>
      <w:r w:rsidRPr="00AE3509">
        <w:t>l existait un conflit ancien entre Jean-Prince Mpandi et le chef du village Ntenda</w:t>
      </w:r>
      <w:r>
        <w:t>, notamment</w:t>
      </w:r>
      <w:r w:rsidRPr="00AE3509">
        <w:t xml:space="preserve"> sur </w:t>
      </w:r>
      <w:r w:rsidR="004B4F91" w:rsidRPr="00AE3509">
        <w:t>l</w:t>
      </w:r>
      <w:r w:rsidR="004B4F91">
        <w:t>e</w:t>
      </w:r>
      <w:r w:rsidR="004B4F91" w:rsidRPr="00AE3509">
        <w:t xml:space="preserve"> </w:t>
      </w:r>
      <w:r w:rsidRPr="00AE3509">
        <w:t>partage du pouvoir coutumier</w:t>
      </w:r>
      <w:r w:rsidRPr="007F1170">
        <w:rPr>
          <w:rStyle w:val="FootnoteReference"/>
        </w:rPr>
        <w:footnoteReference w:id="82"/>
      </w:r>
      <w:r w:rsidRPr="00AE3509">
        <w:t xml:space="preserve">. </w:t>
      </w:r>
      <w:r w:rsidRPr="00D37CAD">
        <w:t xml:space="preserve">D’après une mission d’enquête spéciale conduite entre le 23 septembre et le 30 octobre 2016 par le </w:t>
      </w:r>
      <w:r w:rsidR="00D02559" w:rsidRPr="008F2FEC">
        <w:t xml:space="preserve">Bureau conjoint des Nations Unies aux droits de </w:t>
      </w:r>
      <w:r w:rsidR="00D02559" w:rsidRPr="004637BD">
        <w:t>l’homme</w:t>
      </w:r>
      <w:r w:rsidR="00D02559" w:rsidRPr="00FE5E8D">
        <w:t xml:space="preserve"> (</w:t>
      </w:r>
      <w:r w:rsidRPr="00FE5E8D">
        <w:t>BCNUDH</w:t>
      </w:r>
      <w:r w:rsidR="00D02559" w:rsidRPr="004637BD">
        <w:t>)</w:t>
      </w:r>
      <w:r w:rsidRPr="004637BD">
        <w:t xml:space="preserve"> de</w:t>
      </w:r>
      <w:r w:rsidRPr="00D37CAD">
        <w:t xml:space="preserve"> la MONUSCO,</w:t>
      </w:r>
      <w:r w:rsidRPr="00287C44">
        <w:t xml:space="preserve"> l</w:t>
      </w:r>
      <w:r>
        <w:t xml:space="preserve">e bilan de cette </w:t>
      </w:r>
      <w:r w:rsidRPr="00AD28A7">
        <w:t xml:space="preserve">attaque est d’au moins six morts </w:t>
      </w:r>
      <w:r w:rsidRPr="00287C44">
        <w:t>pa</w:t>
      </w:r>
      <w:r w:rsidR="000C0568">
        <w:t>r arme à feu et arme blanche</w:t>
      </w:r>
      <w:r w:rsidRPr="00287C44">
        <w:t xml:space="preserve"> et </w:t>
      </w:r>
      <w:r>
        <w:t xml:space="preserve">de </w:t>
      </w:r>
      <w:r w:rsidRPr="00287C44">
        <w:t>quatre personnes blessées par balle</w:t>
      </w:r>
      <w:r>
        <w:t>.</w:t>
      </w:r>
      <w:r w:rsidRPr="00655811">
        <w:t xml:space="preserve"> </w:t>
      </w:r>
      <w:r>
        <w:t>L</w:t>
      </w:r>
      <w:r w:rsidRPr="00974432">
        <w:t>e frère du chef du village Ntenda</w:t>
      </w:r>
      <w:r w:rsidRPr="00287C44">
        <w:t xml:space="preserve"> </w:t>
      </w:r>
      <w:r>
        <w:t>a</w:t>
      </w:r>
      <w:r w:rsidRPr="00287C44">
        <w:t xml:space="preserve"> été brûlé vif et un autre homme tué par un pilon puis brûlé par les miliciens Kamuina Nsapu. </w:t>
      </w:r>
      <w:r>
        <w:t>Cette mission</w:t>
      </w:r>
      <w:r w:rsidRPr="00287C44">
        <w:t xml:space="preserve"> ainsi que </w:t>
      </w:r>
      <w:r>
        <w:t>l’EEI</w:t>
      </w:r>
      <w:r w:rsidRPr="00287C44">
        <w:t xml:space="preserve"> </w:t>
      </w:r>
      <w:r>
        <w:t>ont également confirmé</w:t>
      </w:r>
      <w:r w:rsidRPr="00287C44">
        <w:t xml:space="preserve"> qu’au moins une centaine de maisons ont été incendiées. De plus</w:t>
      </w:r>
      <w:r w:rsidR="004B4F91">
        <w:t>,</w:t>
      </w:r>
      <w:r w:rsidRPr="00287C44">
        <w:t xml:space="preserve"> au moins huit églises, deux écoles primaires ainsi qu’un centre de santé </w:t>
      </w:r>
      <w:r>
        <w:t>ont</w:t>
      </w:r>
      <w:r w:rsidRPr="00287C44">
        <w:t xml:space="preserve"> été pillés</w:t>
      </w:r>
      <w:r w:rsidRPr="007F1170">
        <w:rPr>
          <w:rStyle w:val="FootnoteReference"/>
        </w:rPr>
        <w:footnoteReference w:id="83"/>
      </w:r>
      <w:r w:rsidRPr="00287C44">
        <w:t xml:space="preserve">. </w:t>
      </w:r>
    </w:p>
    <w:p w14:paraId="3325D380" w14:textId="5D07E133" w:rsidR="00771DAE" w:rsidRPr="00AD28A7" w:rsidRDefault="00771DAE" w:rsidP="005965F3">
      <w:pPr>
        <w:pStyle w:val="BodyText"/>
        <w:tabs>
          <w:tab w:val="left" w:pos="1559"/>
          <w:tab w:val="left" w:pos="1984"/>
          <w:tab w:val="left" w:leader="dot" w:pos="7654"/>
          <w:tab w:val="right" w:pos="8929"/>
        </w:tabs>
        <w:spacing w:line="240" w:lineRule="atLeast"/>
        <w:ind w:left="1138" w:right="1138" w:firstLine="0"/>
      </w:pPr>
      <w:r>
        <w:t xml:space="preserve">Entre cette attaque et la mort de </w:t>
      </w:r>
      <w:r w:rsidRPr="00AE3509">
        <w:t>Jean-Prince Mpandi</w:t>
      </w:r>
      <w:r w:rsidR="004B4F91">
        <w:t>,</w:t>
      </w:r>
      <w:r>
        <w:t xml:space="preserve"> le </w:t>
      </w:r>
      <w:r w:rsidRPr="00AD28A7">
        <w:t>12 août 2016, la milice Kamuina Nsapu</w:t>
      </w:r>
      <w:r>
        <w:t>,</w:t>
      </w:r>
      <w:r w:rsidRPr="00AD28A7">
        <w:t xml:space="preserve"> sous les ordres </w:t>
      </w:r>
      <w:r>
        <w:t xml:space="preserve">de </w:t>
      </w:r>
      <w:r w:rsidRPr="00AE3509">
        <w:t>Jean-Prince Mpandi</w:t>
      </w:r>
      <w:r>
        <w:t>,</w:t>
      </w:r>
      <w:r w:rsidRPr="00AD28A7">
        <w:t xml:space="preserve"> a conduit une série d’attaques dans plusieurs villages </w:t>
      </w:r>
      <w:r>
        <w:t>du</w:t>
      </w:r>
      <w:r w:rsidRPr="00AD28A7">
        <w:t xml:space="preserve"> territoire de Dibaya. Ces attaques visaient les symboles de l’autorité </w:t>
      </w:r>
      <w:r>
        <w:t>étatique</w:t>
      </w:r>
      <w:r w:rsidRPr="00AD28A7">
        <w:t xml:space="preserve"> et ont </w:t>
      </w:r>
      <w:r>
        <w:t xml:space="preserve">abouti </w:t>
      </w:r>
      <w:r w:rsidRPr="00AD28A7">
        <w:t xml:space="preserve">à la destruction et au pillage de bâtiments publics ou </w:t>
      </w:r>
      <w:r w:rsidR="004B4F91">
        <w:t>considér</w:t>
      </w:r>
      <w:r w:rsidR="004B4F91" w:rsidRPr="00AD28A7">
        <w:t>és</w:t>
      </w:r>
      <w:r w:rsidR="004B4F91">
        <w:t xml:space="preserve"> comme tels </w:t>
      </w:r>
      <w:r w:rsidRPr="00AD28A7">
        <w:t>et à l’attaque</w:t>
      </w:r>
      <w:r>
        <w:t xml:space="preserve"> physique</w:t>
      </w:r>
      <w:r w:rsidRPr="00AD28A7">
        <w:t xml:space="preserve"> de personnes symbolisant </w:t>
      </w:r>
      <w:r w:rsidR="004B4F91">
        <w:t xml:space="preserve">ou assimilées à </w:t>
      </w:r>
      <w:r w:rsidRPr="00AD28A7">
        <w:t xml:space="preserve">l’autorité publique. Les agents de la PNC ont été les premières victimes des attaques de la milice Kamuina Nsapu. Au cours du mois d’août 2016, les villages de </w:t>
      </w:r>
      <w:r>
        <w:t>Mf</w:t>
      </w:r>
      <w:r w:rsidRPr="0030038A">
        <w:t>uamba</w:t>
      </w:r>
      <w:r w:rsidRPr="00AD28A7">
        <w:t xml:space="preserve">, Tshimbulu, </w:t>
      </w:r>
      <w:r w:rsidR="000C0568">
        <w:t>Tshikula, Dibaya et Bukonde ont</w:t>
      </w:r>
      <w:r>
        <w:t xml:space="preserve"> été attaqués par</w:t>
      </w:r>
      <w:r w:rsidRPr="00AD28A7">
        <w:t xml:space="preserve"> la milice Kamuina Nsapu</w:t>
      </w:r>
      <w:r w:rsidRPr="007F1170">
        <w:rPr>
          <w:rStyle w:val="FootnoteReference"/>
        </w:rPr>
        <w:footnoteReference w:id="84"/>
      </w:r>
      <w:r w:rsidRPr="00AD28A7">
        <w:t>.</w:t>
      </w:r>
    </w:p>
    <w:p w14:paraId="4D2F91BE" w14:textId="73F0B094" w:rsidR="00771DAE" w:rsidRPr="00AD28A7" w:rsidRDefault="00771DAE" w:rsidP="005965F3">
      <w:pPr>
        <w:pStyle w:val="BodyText"/>
        <w:tabs>
          <w:tab w:val="left" w:pos="1559"/>
          <w:tab w:val="left" w:pos="1984"/>
          <w:tab w:val="left" w:leader="dot" w:pos="7654"/>
          <w:tab w:val="right" w:pos="8929"/>
        </w:tabs>
        <w:spacing w:line="240" w:lineRule="atLeast"/>
        <w:ind w:left="1138" w:right="1138" w:firstLine="0"/>
      </w:pPr>
      <w:r w:rsidRPr="00AD28A7">
        <w:t xml:space="preserve">L’attaque </w:t>
      </w:r>
      <w:r>
        <w:t>la plus meurtrière commise par la milice</w:t>
      </w:r>
      <w:r w:rsidRPr="00AD28A7">
        <w:t xml:space="preserve"> Kamuina Nsapu au cours de cette période est celle </w:t>
      </w:r>
      <w:r>
        <w:t>de la cité</w:t>
      </w:r>
      <w:r w:rsidRPr="00AD28A7">
        <w:t xml:space="preserve"> de Tshimbulu</w:t>
      </w:r>
      <w:r>
        <w:t>,</w:t>
      </w:r>
      <w:r w:rsidRPr="00AD28A7">
        <w:t xml:space="preserve"> situé</w:t>
      </w:r>
      <w:r>
        <w:t>e</w:t>
      </w:r>
      <w:r w:rsidRPr="00AD28A7">
        <w:t xml:space="preserve"> à 120 km au sud-est de la ville de Kananga. Le 8 août 2016, une cinquantaine de miliciens Kamuina Nsapu, </w:t>
      </w:r>
      <w:r w:rsidR="00B31FEE">
        <w:t>en</w:t>
      </w:r>
      <w:r w:rsidR="00B31FEE" w:rsidRPr="00AD28A7">
        <w:t xml:space="preserve"> </w:t>
      </w:r>
      <w:r w:rsidRPr="00AD28A7">
        <w:t>majorité de</w:t>
      </w:r>
      <w:r w:rsidR="00B31FEE">
        <w:t>s</w:t>
      </w:r>
      <w:r w:rsidRPr="00AD28A7">
        <w:t xml:space="preserve"> jeunes adultes et </w:t>
      </w:r>
      <w:r w:rsidR="00B31FEE" w:rsidRPr="00AD28A7">
        <w:t>d</w:t>
      </w:r>
      <w:r w:rsidR="00B31FEE">
        <w:t xml:space="preserve">es </w:t>
      </w:r>
      <w:r w:rsidR="00B31FEE" w:rsidRPr="00AD28A7">
        <w:t>enfants</w:t>
      </w:r>
      <w:r>
        <w:t>,</w:t>
      </w:r>
      <w:r w:rsidRPr="00AD28A7">
        <w:t xml:space="preserve"> sont entrés dans </w:t>
      </w:r>
      <w:r w:rsidR="00783BEB">
        <w:t>la cité</w:t>
      </w:r>
      <w:r w:rsidRPr="00AD28A7">
        <w:t xml:space="preserve"> de Tshimbulu</w:t>
      </w:r>
      <w:r w:rsidRPr="007F1170">
        <w:rPr>
          <w:rStyle w:val="FootnoteReference"/>
        </w:rPr>
        <w:footnoteReference w:id="85"/>
      </w:r>
      <w:r w:rsidRPr="00AD28A7">
        <w:t>.</w:t>
      </w:r>
      <w:r w:rsidRPr="00287C44">
        <w:t xml:space="preserve"> </w:t>
      </w:r>
      <w:r w:rsidRPr="00AD28A7">
        <w:t xml:space="preserve">Les miliciens </w:t>
      </w:r>
      <w:r w:rsidR="00B31FEE">
        <w:t>ont détruit</w:t>
      </w:r>
      <w:r w:rsidRPr="00AD28A7">
        <w:t xml:space="preserve"> </w:t>
      </w:r>
      <w:r w:rsidR="00B31FEE">
        <w:t xml:space="preserve">le </w:t>
      </w:r>
      <w:r w:rsidRPr="00AD28A7">
        <w:t>bureau de la</w:t>
      </w:r>
      <w:r w:rsidR="00BB5C44">
        <w:t xml:space="preserve"> </w:t>
      </w:r>
      <w:r w:rsidR="00BB5C44" w:rsidRPr="008F2FEC">
        <w:t xml:space="preserve">Commission électorale nationale </w:t>
      </w:r>
      <w:r w:rsidR="00BB5C44" w:rsidRPr="00FC5820">
        <w:t>indépendante</w:t>
      </w:r>
      <w:r w:rsidRPr="00FC5820">
        <w:t xml:space="preserve"> </w:t>
      </w:r>
      <w:r w:rsidR="00BB5C44" w:rsidRPr="00FC5820">
        <w:t>(</w:t>
      </w:r>
      <w:r w:rsidRPr="00FC5820">
        <w:t>CENI</w:t>
      </w:r>
      <w:r w:rsidR="00BB5C44" w:rsidRPr="00FC5820">
        <w:t>)</w:t>
      </w:r>
      <w:r w:rsidRPr="007F1170">
        <w:rPr>
          <w:rStyle w:val="FootnoteReference"/>
        </w:rPr>
        <w:footnoteReference w:id="86"/>
      </w:r>
      <w:r w:rsidRPr="00FC5820">
        <w:t>. Il</w:t>
      </w:r>
      <w:r w:rsidRPr="00AD28A7">
        <w:t xml:space="preserve">s se sont ensuite dirigés vers l’état-major de la </w:t>
      </w:r>
      <w:r>
        <w:t>PNC</w:t>
      </w:r>
      <w:r w:rsidRPr="00AD28A7">
        <w:t xml:space="preserve"> </w:t>
      </w:r>
      <w:r>
        <w:t>où</w:t>
      </w:r>
      <w:r w:rsidRPr="00AD28A7">
        <w:t xml:space="preserve"> il y a eu un affrontement entre miliciens et </w:t>
      </w:r>
      <w:r>
        <w:t>PNC</w:t>
      </w:r>
      <w:r w:rsidRPr="007F1170">
        <w:rPr>
          <w:rStyle w:val="FootnoteReference"/>
        </w:rPr>
        <w:footnoteReference w:id="87"/>
      </w:r>
      <w:r w:rsidRPr="00AD28A7">
        <w:t xml:space="preserve">. Un témoin raconte qu’un </w:t>
      </w:r>
      <w:r w:rsidR="00B31FEE">
        <w:t xml:space="preserve">élément de la </w:t>
      </w:r>
      <w:r>
        <w:t>PNC</w:t>
      </w:r>
      <w:r w:rsidRPr="00AD28A7">
        <w:t xml:space="preserve"> a tenté de fuir </w:t>
      </w:r>
      <w:r>
        <w:t>mais</w:t>
      </w:r>
      <w:r w:rsidRPr="00AD28A7">
        <w:t xml:space="preserve"> a été rattrapé par les miliciens. </w:t>
      </w:r>
      <w:r w:rsidRPr="00287C44">
        <w:t xml:space="preserve">Un milicien l’a alors frappé avec une lance et le policier est tombé au sol. D’autres miliciens l’ont </w:t>
      </w:r>
      <w:r w:rsidR="00B31FEE">
        <w:t xml:space="preserve">alors </w:t>
      </w:r>
      <w:r w:rsidRPr="00287C44">
        <w:t xml:space="preserve">frappé avec des couteaux et des machettes. </w:t>
      </w:r>
      <w:r>
        <w:t>U</w:t>
      </w:r>
      <w:r w:rsidRPr="00287C44">
        <w:t>n milicien lui a coupé les deux mains pendant que d’autres le maintenaient</w:t>
      </w:r>
      <w:r w:rsidRPr="007F1170">
        <w:rPr>
          <w:rStyle w:val="FootnoteReference"/>
        </w:rPr>
        <w:footnoteReference w:id="88"/>
      </w:r>
      <w:r w:rsidRPr="00287C44">
        <w:t>. Le témoin a également vu trois miliciens Kamuina Nsapu adultes blessés par balle au niveau de</w:t>
      </w:r>
      <w:r w:rsidR="00B31FEE">
        <w:t>s</w:t>
      </w:r>
      <w:r w:rsidRPr="00287C44">
        <w:t xml:space="preserve"> jambes</w:t>
      </w:r>
      <w:r w:rsidRPr="007F1170">
        <w:rPr>
          <w:rStyle w:val="FootnoteReference"/>
        </w:rPr>
        <w:footnoteReference w:id="89"/>
      </w:r>
      <w:r w:rsidRPr="00287C44">
        <w:t xml:space="preserve">. Un membre de la milice </w:t>
      </w:r>
      <w:r w:rsidR="00B57A3A">
        <w:t xml:space="preserve">ayant </w:t>
      </w:r>
      <w:r w:rsidRPr="00287C44">
        <w:t>participé à l’attaque</w:t>
      </w:r>
      <w:r>
        <w:t>,</w:t>
      </w:r>
      <w:r w:rsidRPr="00287C44">
        <w:t xml:space="preserve"> indique que quatre miliciens ont été blessés</w:t>
      </w:r>
      <w:r w:rsidRPr="007F1170">
        <w:rPr>
          <w:rStyle w:val="FootnoteReference"/>
        </w:rPr>
        <w:footnoteReference w:id="90"/>
      </w:r>
      <w:r w:rsidRPr="00287C44">
        <w:t xml:space="preserve">. Les miliciens </w:t>
      </w:r>
      <w:r w:rsidR="00B57A3A">
        <w:t xml:space="preserve">ont ensuite pénétré dans </w:t>
      </w:r>
      <w:r w:rsidRPr="00287C44">
        <w:t xml:space="preserve">la maison du colonel de la </w:t>
      </w:r>
      <w:r>
        <w:t>PNC</w:t>
      </w:r>
      <w:r w:rsidRPr="00287C44">
        <w:t xml:space="preserve"> de Tshimbulu</w:t>
      </w:r>
      <w:r w:rsidRPr="007F1170">
        <w:rPr>
          <w:rStyle w:val="FootnoteReference"/>
        </w:rPr>
        <w:footnoteReference w:id="91"/>
      </w:r>
      <w:r w:rsidRPr="00287C44">
        <w:t>. Un témoin</w:t>
      </w:r>
      <w:r>
        <w:t xml:space="preserve"> qui</w:t>
      </w:r>
      <w:r w:rsidRPr="00287C44">
        <w:t xml:space="preserve"> </w:t>
      </w:r>
      <w:r>
        <w:t>a visité</w:t>
      </w:r>
      <w:r w:rsidRPr="00287C44">
        <w:t xml:space="preserve"> la maison après l</w:t>
      </w:r>
      <w:r w:rsidR="00B57A3A">
        <w:t>eur départ</w:t>
      </w:r>
      <w:r>
        <w:t xml:space="preserve">, y </w:t>
      </w:r>
      <w:r w:rsidRPr="0038460E">
        <w:t xml:space="preserve">a vu les </w:t>
      </w:r>
      <w:r>
        <w:t>cadavres</w:t>
      </w:r>
      <w:r w:rsidRPr="0038460E">
        <w:t xml:space="preserve"> de quatre</w:t>
      </w:r>
      <w:r w:rsidR="00B57A3A">
        <w:t xml:space="preserve"> éléments de la</w:t>
      </w:r>
      <w:r w:rsidRPr="0038460E">
        <w:t xml:space="preserve"> </w:t>
      </w:r>
      <w:r>
        <w:t xml:space="preserve">PNC </w:t>
      </w:r>
      <w:r w:rsidRPr="0038460E">
        <w:t xml:space="preserve">couverts de blessures et </w:t>
      </w:r>
      <w:r>
        <w:t>de br</w:t>
      </w:r>
      <w:r w:rsidR="00FA2F05">
        <w:t>û</w:t>
      </w:r>
      <w:r>
        <w:t xml:space="preserve">lures </w:t>
      </w:r>
      <w:r w:rsidRPr="00655811">
        <w:t xml:space="preserve">ainsi que </w:t>
      </w:r>
      <w:r>
        <w:t>les corps de</w:t>
      </w:r>
      <w:r w:rsidRPr="00B97C37">
        <w:t xml:space="preserve"> quatre miliciens Kamuina Nsapu</w:t>
      </w:r>
      <w:r w:rsidRPr="007F1170">
        <w:rPr>
          <w:rStyle w:val="FootnoteReference"/>
        </w:rPr>
        <w:footnoteReference w:id="92"/>
      </w:r>
      <w:r w:rsidRPr="00B97C37">
        <w:t xml:space="preserve">. </w:t>
      </w:r>
      <w:r w:rsidRPr="00AD28A7">
        <w:t xml:space="preserve">D’après plusieurs témoins </w:t>
      </w:r>
      <w:r>
        <w:t xml:space="preserve">et </w:t>
      </w:r>
      <w:r w:rsidRPr="00AD28A7">
        <w:t xml:space="preserve">le bilan dressé par l’ANR et </w:t>
      </w:r>
      <w:r w:rsidRPr="00A42536">
        <w:t>la MONUSCO</w:t>
      </w:r>
      <w:r w:rsidR="00B57A3A">
        <w:t xml:space="preserve">, il y aurait </w:t>
      </w:r>
      <w:r>
        <w:t>au moins</w:t>
      </w:r>
      <w:r w:rsidRPr="00AD28A7">
        <w:t xml:space="preserve"> 10 morts dont cinq </w:t>
      </w:r>
      <w:r w:rsidR="00B57A3A">
        <w:t xml:space="preserve">éléments de la </w:t>
      </w:r>
      <w:r w:rsidRPr="00AD28A7">
        <w:t>PNC et cinq miliciens</w:t>
      </w:r>
      <w:r w:rsidR="00B57A3A">
        <w:t xml:space="preserve"> ; la </w:t>
      </w:r>
      <w:r w:rsidRPr="00287C44">
        <w:t xml:space="preserve">mairie, </w:t>
      </w:r>
      <w:r w:rsidR="00B57A3A">
        <w:t xml:space="preserve">le </w:t>
      </w:r>
      <w:r w:rsidRPr="00287C44">
        <w:t xml:space="preserve">bureau de la CENI, </w:t>
      </w:r>
      <w:r w:rsidR="00B57A3A">
        <w:t xml:space="preserve">le </w:t>
      </w:r>
      <w:r w:rsidRPr="00287C44">
        <w:t xml:space="preserve">commissariat de police, </w:t>
      </w:r>
      <w:r w:rsidR="00B57A3A">
        <w:t xml:space="preserve">le </w:t>
      </w:r>
      <w:r w:rsidRPr="00287C44">
        <w:t xml:space="preserve">parquet, </w:t>
      </w:r>
      <w:r w:rsidR="00B57A3A">
        <w:t xml:space="preserve">les </w:t>
      </w:r>
      <w:r w:rsidRPr="00287C44">
        <w:t>résidence</w:t>
      </w:r>
      <w:r w:rsidR="00B57A3A">
        <w:t>s</w:t>
      </w:r>
      <w:r w:rsidRPr="00287C44">
        <w:t xml:space="preserve"> du colonel de la PNC et du maire</w:t>
      </w:r>
      <w:r w:rsidR="00B57A3A">
        <w:t xml:space="preserve">, la </w:t>
      </w:r>
      <w:r w:rsidRPr="00287C44">
        <w:t>maison du chef de groupement</w:t>
      </w:r>
      <w:r w:rsidR="00B57A3A">
        <w:t xml:space="preserve"> ont été détruits</w:t>
      </w:r>
      <w:r w:rsidRPr="007F1170">
        <w:rPr>
          <w:rStyle w:val="FootnoteReference"/>
        </w:rPr>
        <w:footnoteReference w:id="93"/>
      </w:r>
      <w:r w:rsidRPr="00287C44">
        <w:t>.</w:t>
      </w:r>
    </w:p>
    <w:p w14:paraId="34F7015D" w14:textId="40AE0BCB" w:rsidR="00771DAE" w:rsidRPr="00AD28A7" w:rsidRDefault="00771DAE" w:rsidP="005965F3">
      <w:pPr>
        <w:pStyle w:val="BodyText"/>
        <w:tabs>
          <w:tab w:val="left" w:pos="1559"/>
          <w:tab w:val="left" w:pos="1984"/>
          <w:tab w:val="left" w:leader="dot" w:pos="7654"/>
          <w:tab w:val="right" w:pos="8929"/>
        </w:tabs>
        <w:spacing w:line="240" w:lineRule="atLeast"/>
        <w:ind w:left="1138" w:right="1138" w:firstLine="0"/>
      </w:pPr>
      <w:r w:rsidRPr="00AD28A7">
        <w:t xml:space="preserve">L’attaque de la </w:t>
      </w:r>
      <w:r>
        <w:t>cité</w:t>
      </w:r>
      <w:r w:rsidRPr="00AD28A7">
        <w:t xml:space="preserve"> de Tshimbulu a été planifiée et ordonnée par </w:t>
      </w:r>
      <w:r w:rsidRPr="00AE3509">
        <w:t>Jean-Prince Mpandi</w:t>
      </w:r>
      <w:r w:rsidRPr="00AD28A7">
        <w:t xml:space="preserve"> et était dirigée par un chef de mission. Pendant l’attaque, </w:t>
      </w:r>
      <w:r w:rsidR="000E2858">
        <w:t>ce</w:t>
      </w:r>
      <w:r w:rsidR="000E2858" w:rsidRPr="00AD28A7">
        <w:t xml:space="preserve"> </w:t>
      </w:r>
      <w:r w:rsidRPr="00AD28A7">
        <w:t xml:space="preserve">chef de mission communiquait par téléphone avec </w:t>
      </w:r>
      <w:r w:rsidRPr="00AE3509">
        <w:t>Jean-Prince Mpandi</w:t>
      </w:r>
      <w:r w:rsidRPr="005965F3">
        <w:t xml:space="preserve"> </w:t>
      </w:r>
      <w:r w:rsidRPr="007F1170">
        <w:rPr>
          <w:rStyle w:val="FootnoteReference"/>
        </w:rPr>
        <w:footnoteReference w:id="94"/>
      </w:r>
      <w:r w:rsidRPr="00AD28A7">
        <w:t xml:space="preserve">. Un membre de la milice qui a participé </w:t>
      </w:r>
      <w:r w:rsidRPr="00287C44">
        <w:t>à</w:t>
      </w:r>
      <w:r>
        <w:t xml:space="preserve"> l’attaque </w:t>
      </w:r>
      <w:r w:rsidRPr="00AD28A7">
        <w:t xml:space="preserve">de Tshimbulu explique que le plan présenté par </w:t>
      </w:r>
      <w:r w:rsidRPr="00AE3509">
        <w:t>Jean-Prince Mpandi</w:t>
      </w:r>
      <w:r w:rsidRPr="00AD28A7">
        <w:t xml:space="preserve"> était d’attaquer les symboles de l’autorité </w:t>
      </w:r>
      <w:r>
        <w:t>étatique</w:t>
      </w:r>
      <w:r w:rsidRPr="00AD28A7">
        <w:t xml:space="preserve"> dans la </w:t>
      </w:r>
      <w:r>
        <w:t>cité</w:t>
      </w:r>
      <w:r w:rsidRPr="00AD28A7">
        <w:t xml:space="preserve"> de Ts</w:t>
      </w:r>
      <w:r>
        <w:t>h</w:t>
      </w:r>
      <w:r w:rsidRPr="00AD28A7">
        <w:t xml:space="preserve">imbulu, puis dans la ville de Kananga, avant d’attaquer d’autres endroits </w:t>
      </w:r>
      <w:r>
        <w:t>pour</w:t>
      </w:r>
      <w:r w:rsidRPr="00AD28A7">
        <w:t xml:space="preserve"> libérer le pays des étrangers</w:t>
      </w:r>
      <w:r w:rsidRPr="007F1170">
        <w:rPr>
          <w:rStyle w:val="FootnoteReference"/>
        </w:rPr>
        <w:footnoteReference w:id="95"/>
      </w:r>
      <w:r w:rsidRPr="00AD28A7">
        <w:t>. Plusieurs t</w:t>
      </w:r>
      <w:r w:rsidRPr="002E1BE7">
        <w:t>é</w:t>
      </w:r>
      <w:r w:rsidRPr="00AD28A7">
        <w:t>moins ont indiqué qu</w:t>
      </w:r>
      <w:r w:rsidR="000E2858">
        <w:t>’un</w:t>
      </w:r>
      <w:r w:rsidRPr="00AD28A7">
        <w:t xml:space="preserve"> des motifs de l’attaque de Tshimbulu </w:t>
      </w:r>
      <w:r>
        <w:t xml:space="preserve">était que </w:t>
      </w:r>
      <w:r w:rsidRPr="00AE3509">
        <w:t>Jean-Prince Mpandi</w:t>
      </w:r>
      <w:r w:rsidRPr="00AD28A7">
        <w:t xml:space="preserve"> tenait pour responsable la </w:t>
      </w:r>
      <w:r>
        <w:t>PNC</w:t>
      </w:r>
      <w:r w:rsidRPr="00AD28A7">
        <w:t xml:space="preserve"> de Tshimbulu de la perquisition</w:t>
      </w:r>
      <w:r>
        <w:t xml:space="preserve"> de son domicile</w:t>
      </w:r>
      <w:r w:rsidRPr="00AD28A7">
        <w:t xml:space="preserve"> </w:t>
      </w:r>
      <w:r>
        <w:t>le</w:t>
      </w:r>
      <w:r w:rsidRPr="00AD28A7">
        <w:t xml:space="preserve"> 3 avril 2016</w:t>
      </w:r>
      <w:r w:rsidRPr="007F1170">
        <w:rPr>
          <w:rStyle w:val="FootnoteReference"/>
        </w:rPr>
        <w:footnoteReference w:id="96"/>
      </w:r>
      <w:r w:rsidRPr="00AD28A7">
        <w:t xml:space="preserve">. </w:t>
      </w:r>
      <w:r w:rsidR="000E2858" w:rsidRPr="00287C44">
        <w:t>Un témoin du village</w:t>
      </w:r>
      <w:r w:rsidR="000E2858">
        <w:t xml:space="preserve"> de Mfuamba </w:t>
      </w:r>
      <w:r w:rsidR="000E2858" w:rsidRPr="00287C44">
        <w:t xml:space="preserve">a vu les miliciens Kamuina Nsapu revenir de Tshimbulu à pied et en camion et se diriger vers le village Kamuina Nsapu avec </w:t>
      </w:r>
      <w:r w:rsidR="000E2858">
        <w:t>la</w:t>
      </w:r>
      <w:r w:rsidR="000E2858" w:rsidRPr="00287C44">
        <w:t xml:space="preserve"> tête </w:t>
      </w:r>
      <w:r w:rsidR="000E2858">
        <w:t xml:space="preserve">coupée </w:t>
      </w:r>
      <w:r w:rsidR="000E2858" w:rsidRPr="0030038A">
        <w:t>d</w:t>
      </w:r>
      <w:r w:rsidR="000E2858">
        <w:t>’un</w:t>
      </w:r>
      <w:r w:rsidR="000E2858" w:rsidRPr="00287C44">
        <w:t xml:space="preserve"> policier</w:t>
      </w:r>
      <w:r w:rsidR="000E2858" w:rsidRPr="007F1170">
        <w:rPr>
          <w:rStyle w:val="FootnoteReference"/>
        </w:rPr>
        <w:footnoteReference w:id="97"/>
      </w:r>
      <w:r w:rsidR="000E2858">
        <w:t xml:space="preserve">. </w:t>
      </w:r>
      <w:r w:rsidRPr="00AD28A7">
        <w:t xml:space="preserve">Un membre de la milice Kamuina Nsapu qui a participé </w:t>
      </w:r>
      <w:r w:rsidRPr="00287C44">
        <w:t>à</w:t>
      </w:r>
      <w:r w:rsidRPr="00AD28A7">
        <w:t xml:space="preserve"> l’attaque de Tshimbulu indique</w:t>
      </w:r>
      <w:r>
        <w:t xml:space="preserve"> qu’</w:t>
      </w:r>
      <w:r w:rsidRPr="00AD28A7">
        <w:t>après l’attaque</w:t>
      </w:r>
      <w:r>
        <w:t>,</w:t>
      </w:r>
      <w:r w:rsidRPr="00AD28A7">
        <w:t xml:space="preserve"> </w:t>
      </w:r>
      <w:r>
        <w:t>de</w:t>
      </w:r>
      <w:r w:rsidRPr="00AD28A7">
        <w:t xml:space="preserve"> retour dans </w:t>
      </w:r>
      <w:r>
        <w:t xml:space="preserve">le </w:t>
      </w:r>
      <w:r w:rsidRPr="00AD28A7">
        <w:t xml:space="preserve">village de Kamuina Nsapu, </w:t>
      </w:r>
      <w:r w:rsidRPr="00AE3509">
        <w:t>Jean-Prince Mpandi</w:t>
      </w:r>
      <w:r w:rsidRPr="00AD28A7">
        <w:t xml:space="preserve"> a félicité</w:t>
      </w:r>
      <w:r>
        <w:t xml:space="preserve"> les miliciens </w:t>
      </w:r>
      <w:r w:rsidRPr="00AD28A7">
        <w:t>et</w:t>
      </w:r>
      <w:r>
        <w:t xml:space="preserve"> les</w:t>
      </w:r>
      <w:r w:rsidRPr="00AD28A7">
        <w:t xml:space="preserve"> a nettoyé</w:t>
      </w:r>
      <w:r w:rsidR="00EB1126">
        <w:t>s</w:t>
      </w:r>
      <w:r w:rsidRPr="00AD28A7">
        <w:t xml:space="preserve"> du sang qu’ils avaient sur eux</w:t>
      </w:r>
      <w:r w:rsidRPr="007F1170">
        <w:rPr>
          <w:rStyle w:val="FootnoteReference"/>
        </w:rPr>
        <w:footnoteReference w:id="98"/>
      </w:r>
      <w:r w:rsidRPr="00AD28A7">
        <w:t>.</w:t>
      </w:r>
    </w:p>
    <w:p w14:paraId="02FC1060" w14:textId="148394B3" w:rsidR="00771DAE" w:rsidRPr="00287C44" w:rsidRDefault="00771DAE" w:rsidP="005965F3">
      <w:pPr>
        <w:pStyle w:val="BodyText"/>
        <w:tabs>
          <w:tab w:val="left" w:pos="1559"/>
          <w:tab w:val="left" w:pos="1984"/>
          <w:tab w:val="left" w:leader="dot" w:pos="7654"/>
          <w:tab w:val="right" w:pos="8929"/>
        </w:tabs>
        <w:spacing w:line="240" w:lineRule="atLeast"/>
        <w:ind w:left="1138" w:right="1138" w:firstLine="0"/>
      </w:pPr>
      <w:r w:rsidRPr="00AD28A7">
        <w:t>Entre</w:t>
      </w:r>
      <w:r>
        <w:t xml:space="preserve"> la</w:t>
      </w:r>
      <w:r w:rsidRPr="00AD28A7">
        <w:t xml:space="preserve"> fin juillet 2016 et le 12 août 2016</w:t>
      </w:r>
      <w:r>
        <w:t>,</w:t>
      </w:r>
      <w:r w:rsidRPr="00AD28A7">
        <w:t xml:space="preserve"> plusieurs tentatives de médiation entre les autorités politiques et </w:t>
      </w:r>
      <w:r w:rsidRPr="00AE3509">
        <w:t>Jean-Prince Mpandi</w:t>
      </w:r>
      <w:r w:rsidRPr="00AD28A7">
        <w:t xml:space="preserve"> ont</w:t>
      </w:r>
      <w:r>
        <w:t xml:space="preserve"> eu</w:t>
      </w:r>
      <w:r w:rsidRPr="00AD28A7">
        <w:t xml:space="preserve"> lieu</w:t>
      </w:r>
      <w:r w:rsidRPr="007F1170">
        <w:rPr>
          <w:rStyle w:val="FootnoteReference"/>
        </w:rPr>
        <w:footnoteReference w:id="99"/>
      </w:r>
      <w:r w:rsidRPr="00AD28A7">
        <w:t xml:space="preserve">. En particulier, le </w:t>
      </w:r>
      <w:r w:rsidRPr="00D37CAD">
        <w:t>9 ou le 10 août 2016</w:t>
      </w:r>
      <w:r w:rsidRPr="00AD28A7">
        <w:t>, une délégation de députés nationaux</w:t>
      </w:r>
      <w:r>
        <w:t>, des</w:t>
      </w:r>
      <w:r w:rsidRPr="00AD28A7">
        <w:t xml:space="preserve"> élus de la province du Kasaï Central</w:t>
      </w:r>
      <w:r>
        <w:t>,</w:t>
      </w:r>
      <w:r w:rsidRPr="00AD28A7">
        <w:t xml:space="preserve"> </w:t>
      </w:r>
      <w:r>
        <w:t xml:space="preserve">a été </w:t>
      </w:r>
      <w:r w:rsidRPr="00AD28A7">
        <w:t>dépêchée à Kananga pour négocier avec le chef Kamuina Nsapu</w:t>
      </w:r>
      <w:r w:rsidRPr="007F1170">
        <w:rPr>
          <w:rStyle w:val="FootnoteReference"/>
        </w:rPr>
        <w:footnoteReference w:id="100"/>
      </w:r>
      <w:r w:rsidRPr="00AD28A7">
        <w:t xml:space="preserve">. Le 11 août 2016, la délégation </w:t>
      </w:r>
      <w:r>
        <w:t>a discuté</w:t>
      </w:r>
      <w:r w:rsidRPr="00AD28A7">
        <w:t xml:space="preserve"> par téléphone avec </w:t>
      </w:r>
      <w:r w:rsidRPr="00AE3509">
        <w:t>Jean-Prince Mpandi</w:t>
      </w:r>
      <w:r w:rsidRPr="00AD28A7">
        <w:t xml:space="preserve"> de sa venue. Ce dernier </w:t>
      </w:r>
      <w:r>
        <w:t>a indiqu</w:t>
      </w:r>
      <w:r w:rsidR="000E2858">
        <w:t>é</w:t>
      </w:r>
      <w:r w:rsidRPr="00AD28A7">
        <w:t xml:space="preserve"> qu’il n’acceptera</w:t>
      </w:r>
      <w:r>
        <w:t>it</w:t>
      </w:r>
      <w:r w:rsidRPr="00AD28A7">
        <w:t xml:space="preserve"> de se rendre à Kananga qu’avec une escorte de la </w:t>
      </w:r>
      <w:r w:rsidRPr="00D37CAD">
        <w:t>MONUSCO</w:t>
      </w:r>
      <w:r>
        <w:t xml:space="preserve"> pour assurer sa sécurité</w:t>
      </w:r>
      <w:r w:rsidRPr="007F1170">
        <w:rPr>
          <w:rStyle w:val="FootnoteReference"/>
        </w:rPr>
        <w:footnoteReference w:id="101"/>
      </w:r>
      <w:r w:rsidRPr="00AD28A7">
        <w:t xml:space="preserve">. </w:t>
      </w:r>
      <w:r w:rsidRPr="00D37CAD">
        <w:t>Le même jour</w:t>
      </w:r>
      <w:r w:rsidRPr="00AD28A7">
        <w:t>,</w:t>
      </w:r>
      <w:r>
        <w:t xml:space="preserve"> au cours d’une seconde</w:t>
      </w:r>
      <w:r w:rsidRPr="00AD28A7">
        <w:t xml:space="preserve"> conversation téléphonique entre </w:t>
      </w:r>
      <w:r>
        <w:t>la délégation</w:t>
      </w:r>
      <w:r w:rsidRPr="00AD28A7">
        <w:t xml:space="preserve"> et </w:t>
      </w:r>
      <w:r w:rsidRPr="00AE3509">
        <w:t>Jean-Prince Mpandi</w:t>
      </w:r>
      <w:r>
        <w:t xml:space="preserve">, la délégation a répondu à </w:t>
      </w:r>
      <w:r w:rsidRPr="00AE3509">
        <w:t>Jean-Prince Mpandi</w:t>
      </w:r>
      <w:r w:rsidRPr="00AD28A7">
        <w:t xml:space="preserve"> que la </w:t>
      </w:r>
      <w:r w:rsidRPr="00D37CAD">
        <w:t>MONUSCO</w:t>
      </w:r>
      <w:r>
        <w:t xml:space="preserve"> n’était</w:t>
      </w:r>
      <w:r w:rsidRPr="00AD28A7">
        <w:t xml:space="preserve"> plus présente au Kasaï mais que sa sécurité sera</w:t>
      </w:r>
      <w:r>
        <w:t>it</w:t>
      </w:r>
      <w:r w:rsidRPr="00AD28A7">
        <w:t xml:space="preserve"> garantie s’il accept</w:t>
      </w:r>
      <w:r>
        <w:t>ait</w:t>
      </w:r>
      <w:r w:rsidRPr="00AD28A7">
        <w:t xml:space="preserve"> de venir à Kananga. Le chef coutumier Kamuina Nsapu </w:t>
      </w:r>
      <w:r>
        <w:t xml:space="preserve">a </w:t>
      </w:r>
      <w:r w:rsidRPr="00AD28A7">
        <w:t>refus</w:t>
      </w:r>
      <w:r>
        <w:t xml:space="preserve">é cette proposition </w:t>
      </w:r>
      <w:r w:rsidRPr="00AD28A7">
        <w:t xml:space="preserve">et les négociations </w:t>
      </w:r>
      <w:r>
        <w:t xml:space="preserve">ont </w:t>
      </w:r>
      <w:r w:rsidRPr="00AD28A7">
        <w:t>échou</w:t>
      </w:r>
      <w:r>
        <w:t>é</w:t>
      </w:r>
      <w:r w:rsidRPr="007F1170">
        <w:rPr>
          <w:rStyle w:val="FootnoteReference"/>
        </w:rPr>
        <w:footnoteReference w:id="102"/>
      </w:r>
      <w:r w:rsidRPr="00AD28A7">
        <w:t xml:space="preserve">. </w:t>
      </w:r>
      <w:r w:rsidRPr="005965F3">
        <w:t xml:space="preserve">Le soir du 11 août 2016, le gouverneur du Kasaï Central de l’époque, Alex Kande, </w:t>
      </w:r>
      <w:r w:rsidR="006943EB" w:rsidRPr="005965F3">
        <w:t xml:space="preserve">a indiqué à </w:t>
      </w:r>
      <w:r w:rsidRPr="005965F3">
        <w:t xml:space="preserve">l’issue </w:t>
      </w:r>
      <w:r w:rsidR="006943EB" w:rsidRPr="005965F3">
        <w:t xml:space="preserve">d’un appel téléphonique </w:t>
      </w:r>
      <w:r w:rsidRPr="005965F3">
        <w:t>qu’il avait été décidé d’éliminer Jean-Prince Mpandi le lendemain</w:t>
      </w:r>
      <w:r w:rsidRPr="007F1170">
        <w:rPr>
          <w:rStyle w:val="FootnoteReference"/>
        </w:rPr>
        <w:footnoteReference w:id="103"/>
      </w:r>
      <w:r w:rsidRPr="00287C44">
        <w:t>.</w:t>
      </w:r>
    </w:p>
    <w:p w14:paraId="1B0CE036" w14:textId="1257500D" w:rsidR="00771DAE" w:rsidRPr="00DA3E2A" w:rsidRDefault="00771DAE" w:rsidP="005965F3">
      <w:pPr>
        <w:pStyle w:val="BodyText"/>
        <w:tabs>
          <w:tab w:val="left" w:pos="1559"/>
          <w:tab w:val="left" w:pos="1984"/>
          <w:tab w:val="left" w:leader="dot" w:pos="7654"/>
          <w:tab w:val="right" w:pos="8929"/>
        </w:tabs>
        <w:spacing w:line="240" w:lineRule="atLeast"/>
        <w:ind w:left="1138" w:right="1138" w:firstLine="0"/>
      </w:pPr>
      <w:r w:rsidRPr="00AD28A7">
        <w:t>En parallèle</w:t>
      </w:r>
      <w:r w:rsidR="000C0568">
        <w:t>,</w:t>
      </w:r>
      <w:r w:rsidRPr="00AD28A7">
        <w:t xml:space="preserve"> une opération militaire d’envergure est </w:t>
      </w:r>
      <w:r>
        <w:t>lancée</w:t>
      </w:r>
      <w:r w:rsidRPr="00AD28A7">
        <w:t xml:space="preserve"> pour stopper le chef Kamuina Nsapu et la progression des miliciens sur le territoire de Dibaya. Le 8 août 2016, une délégation</w:t>
      </w:r>
      <w:r>
        <w:t xml:space="preserve"> de haut niveau</w:t>
      </w:r>
      <w:r w:rsidRPr="00AD28A7">
        <w:t xml:space="preserve"> dirigée par</w:t>
      </w:r>
      <w:r>
        <w:t xml:space="preserve"> le</w:t>
      </w:r>
      <w:r w:rsidRPr="00AD28A7">
        <w:t xml:space="preserve"> </w:t>
      </w:r>
      <w:r>
        <w:t>Vice-</w:t>
      </w:r>
      <w:r w:rsidRPr="00D37CAD">
        <w:t>Premier Mini</w:t>
      </w:r>
      <w:r>
        <w:t xml:space="preserve">stre </w:t>
      </w:r>
      <w:r w:rsidRPr="00D37CAD">
        <w:t>de l’intérieur et de la sécurité, Evariste Boshab</w:t>
      </w:r>
      <w:r>
        <w:t>,</w:t>
      </w:r>
      <w:r w:rsidRPr="00AD28A7">
        <w:t xml:space="preserve"> et composée des principaux </w:t>
      </w:r>
      <w:r>
        <w:t xml:space="preserve">responsables </w:t>
      </w:r>
      <w:r w:rsidRPr="00AD28A7">
        <w:t>des forces de défense</w:t>
      </w:r>
      <w:r>
        <w:t xml:space="preserve"> et de sécurité,</w:t>
      </w:r>
      <w:r w:rsidRPr="00AD28A7">
        <w:t xml:space="preserve"> </w:t>
      </w:r>
      <w:r>
        <w:t>est arrivée</w:t>
      </w:r>
      <w:r w:rsidRPr="00AD28A7">
        <w:t xml:space="preserve"> à Kananga</w:t>
      </w:r>
      <w:r w:rsidRPr="007F1170">
        <w:rPr>
          <w:rStyle w:val="FootnoteReference"/>
        </w:rPr>
        <w:footnoteReference w:id="104"/>
      </w:r>
      <w:r w:rsidRPr="00AD28A7">
        <w:t xml:space="preserve">. </w:t>
      </w:r>
      <w:r>
        <w:t>Le lendemain</w:t>
      </w:r>
      <w:r w:rsidRPr="00AD28A7">
        <w:t xml:space="preserve">, des renforts militaires </w:t>
      </w:r>
      <w:r>
        <w:t>ont atterri à l’aéroport de Kananga</w:t>
      </w:r>
      <w:r w:rsidRPr="007F1170">
        <w:rPr>
          <w:rStyle w:val="FootnoteReference"/>
        </w:rPr>
        <w:footnoteReference w:id="105"/>
      </w:r>
      <w:r w:rsidRPr="00AD28A7">
        <w:t xml:space="preserve">. </w:t>
      </w:r>
      <w:r w:rsidRPr="00D37CAD">
        <w:t>D’après la MONUSCO</w:t>
      </w:r>
      <w:r w:rsidRPr="00AD28A7">
        <w:t>, c’est un contingent de FARDC de la 21</w:t>
      </w:r>
      <w:r w:rsidRPr="00E06F8D">
        <w:rPr>
          <w:vertAlign w:val="superscript"/>
        </w:rPr>
        <w:t>ème</w:t>
      </w:r>
      <w:r w:rsidRPr="00AD28A7">
        <w:t xml:space="preserve"> région militaire provenant de la zone de Mbuji-Mayi au Kasaï </w:t>
      </w:r>
      <w:r w:rsidR="00935C03">
        <w:t>O</w:t>
      </w:r>
      <w:r w:rsidRPr="00AD28A7">
        <w:t xml:space="preserve">riental qui a débarqué pour </w:t>
      </w:r>
      <w:r w:rsidRPr="00287C44">
        <w:t>appuyer ceux du 2011</w:t>
      </w:r>
      <w:r w:rsidRPr="00E06F8D">
        <w:rPr>
          <w:vertAlign w:val="superscript"/>
        </w:rPr>
        <w:t>ème</w:t>
      </w:r>
      <w:r w:rsidRPr="00287C44">
        <w:t xml:space="preserve"> régiment des FARDC déjà présent au Kasaï Central</w:t>
      </w:r>
      <w:r w:rsidRPr="007F1170">
        <w:rPr>
          <w:rStyle w:val="FootnoteReference"/>
        </w:rPr>
        <w:footnoteReference w:id="106"/>
      </w:r>
      <w:r w:rsidRPr="00287C44">
        <w:t xml:space="preserve">. Le plan mis en place par les </w:t>
      </w:r>
      <w:r>
        <w:t>forces de défense et de sécurité</w:t>
      </w:r>
      <w:r w:rsidRPr="00287C44">
        <w:t xml:space="preserve"> était de prendre le territoire de Dibaya en étau </w:t>
      </w:r>
      <w:r>
        <w:t xml:space="preserve">en créant </w:t>
      </w:r>
      <w:r w:rsidRPr="00287C44">
        <w:t>cinq front</w:t>
      </w:r>
      <w:r>
        <w:t>s</w:t>
      </w:r>
      <w:r w:rsidRPr="00C02EEC">
        <w:t xml:space="preserve"> sur les principaux axes avec pour destination finale le village Kamuina Nsapu</w:t>
      </w:r>
      <w:r w:rsidRPr="007F1170">
        <w:rPr>
          <w:rStyle w:val="FootnoteReference"/>
        </w:rPr>
        <w:footnoteReference w:id="107"/>
      </w:r>
      <w:r w:rsidRPr="00DA3E2A">
        <w:t>.</w:t>
      </w:r>
    </w:p>
    <w:p w14:paraId="580226F9" w14:textId="2832B981" w:rsidR="00771DAE" w:rsidRPr="00184016" w:rsidRDefault="00130EF7" w:rsidP="005965F3">
      <w:pPr>
        <w:pStyle w:val="BodyText"/>
        <w:tabs>
          <w:tab w:val="left" w:pos="1559"/>
          <w:tab w:val="left" w:pos="1984"/>
          <w:tab w:val="left" w:leader="dot" w:pos="7654"/>
          <w:tab w:val="right" w:pos="8929"/>
        </w:tabs>
        <w:spacing w:line="240" w:lineRule="atLeast"/>
        <w:ind w:left="1138" w:right="1138" w:firstLine="0"/>
      </w:pPr>
      <w:r>
        <w:t>L</w:t>
      </w:r>
      <w:r w:rsidR="00771DAE" w:rsidRPr="00287C44">
        <w:t>a présence massive de forces de défense et de sécurité sur le territoire de Dibaya</w:t>
      </w:r>
      <w:r w:rsidR="00771DAE">
        <w:t xml:space="preserve"> e</w:t>
      </w:r>
      <w:r w:rsidR="00771DAE" w:rsidRPr="00287C44">
        <w:t>ntre le 10 et 12 août 2016</w:t>
      </w:r>
      <w:r w:rsidR="00771DAE">
        <w:t>,</w:t>
      </w:r>
      <w:r w:rsidR="00771DAE" w:rsidRPr="00287C44">
        <w:t xml:space="preserve"> ainsi que des affrontements violents entre</w:t>
      </w:r>
      <w:r w:rsidR="00771DAE">
        <w:t xml:space="preserve"> les</w:t>
      </w:r>
      <w:r w:rsidR="00771DAE" w:rsidRPr="00287C44">
        <w:t xml:space="preserve"> miliciens Kamuina Nsapu</w:t>
      </w:r>
      <w:r w:rsidR="00771DAE">
        <w:t xml:space="preserve"> et les forces de défense et de sécurité</w:t>
      </w:r>
      <w:r w:rsidR="00771DAE" w:rsidRPr="00287C44">
        <w:t xml:space="preserve"> dans les localités de Tshimbulu, Dibaya, Ts</w:t>
      </w:r>
      <w:r w:rsidR="00771DAE">
        <w:t>h</w:t>
      </w:r>
      <w:r w:rsidR="00771DAE" w:rsidRPr="00287C44">
        <w:t>ikula, Sampi, Bitanda, Kazumba et Kabunji</w:t>
      </w:r>
      <w:r>
        <w:t xml:space="preserve"> ont été rapportés</w:t>
      </w:r>
      <w:r w:rsidR="00771DAE" w:rsidRPr="007F1170">
        <w:rPr>
          <w:rStyle w:val="FootnoteReference"/>
        </w:rPr>
        <w:footnoteReference w:id="108"/>
      </w:r>
      <w:r w:rsidR="00771DAE" w:rsidRPr="00287C44">
        <w:t>. Au cours de ces opérations</w:t>
      </w:r>
      <w:r w:rsidR="00771DAE">
        <w:t xml:space="preserve"> militaires,</w:t>
      </w:r>
      <w:r w:rsidR="00771DAE" w:rsidRPr="00287C44">
        <w:t xml:space="preserve"> les forces de défense et de sécurité ont tiré sur les miliciens Kamuina Nsapu</w:t>
      </w:r>
      <w:r w:rsidR="00771DAE">
        <w:t>,</w:t>
      </w:r>
      <w:r w:rsidR="00771DAE" w:rsidRPr="00C02EEC">
        <w:t xml:space="preserve"> dont </w:t>
      </w:r>
      <w:r w:rsidR="00771DAE" w:rsidRPr="00DA3E2A">
        <w:t>de nombreux enfants</w:t>
      </w:r>
      <w:r w:rsidR="00F370EA">
        <w:t xml:space="preserve"> ; certains enfants étaient </w:t>
      </w:r>
      <w:r w:rsidR="00771DAE" w:rsidRPr="00DA3E2A">
        <w:t>non armés</w:t>
      </w:r>
      <w:r w:rsidR="00F370EA">
        <w:t xml:space="preserve">, d’autres étaient en </w:t>
      </w:r>
      <w:r w:rsidR="00771DAE">
        <w:t>possession</w:t>
      </w:r>
      <w:r w:rsidR="00771DAE" w:rsidRPr="00DA3E2A">
        <w:t xml:space="preserve"> de bâtons, </w:t>
      </w:r>
      <w:r w:rsidR="00771DAE">
        <w:t xml:space="preserve">de </w:t>
      </w:r>
      <w:r w:rsidR="00771DAE" w:rsidRPr="00DA3E2A">
        <w:t xml:space="preserve">couteaux </w:t>
      </w:r>
      <w:r w:rsidR="00F370EA">
        <w:t>ou</w:t>
      </w:r>
      <w:r w:rsidR="00771DAE" w:rsidRPr="00DA3E2A">
        <w:t xml:space="preserve"> machettes. </w:t>
      </w:r>
      <w:r w:rsidR="00F370EA">
        <w:t>Un</w:t>
      </w:r>
      <w:r w:rsidR="00771DAE" w:rsidRPr="00DA3E2A">
        <w:t xml:space="preserve"> témoin</w:t>
      </w:r>
      <w:r w:rsidR="00F370EA">
        <w:t xml:space="preserve"> a ainsi dénombré </w:t>
      </w:r>
      <w:r w:rsidR="00771DAE" w:rsidRPr="00287C44">
        <w:t>au moins 22 morts parmi les miliciens Kamuina Nsapu dans des affrontements avec les FARDC dans le village de Kabunji et huit dans le village de Kazumba</w:t>
      </w:r>
      <w:r w:rsidR="00771DAE" w:rsidRPr="007F1170">
        <w:rPr>
          <w:rStyle w:val="FootnoteReference"/>
        </w:rPr>
        <w:footnoteReference w:id="109"/>
      </w:r>
      <w:r w:rsidR="00771DAE" w:rsidRPr="00287C44">
        <w:t>. Dans une vidéo filmée</w:t>
      </w:r>
      <w:r w:rsidR="0064568E">
        <w:t xml:space="preserve"> par des FARDC</w:t>
      </w:r>
      <w:r w:rsidR="00771DAE">
        <w:t xml:space="preserve"> </w:t>
      </w:r>
      <w:r w:rsidR="00771DAE" w:rsidRPr="00F059B7">
        <w:t xml:space="preserve">le </w:t>
      </w:r>
      <w:r w:rsidR="00771DAE" w:rsidRPr="00D37CAD">
        <w:t>11 ou 12 août 2016</w:t>
      </w:r>
      <w:r w:rsidR="00771DAE">
        <w:t xml:space="preserve">, </w:t>
      </w:r>
      <w:r w:rsidR="00771DAE" w:rsidRPr="00287C44">
        <w:t>au niveau d’une barrière érigée par les miliciens</w:t>
      </w:r>
      <w:r w:rsidR="0064568E">
        <w:t xml:space="preserve"> Kamuina Nsapu</w:t>
      </w:r>
      <w:r w:rsidR="00771DAE" w:rsidRPr="00287C44">
        <w:t xml:space="preserve"> à une bifurcation sur la route du village Kamuina Nsapu</w:t>
      </w:r>
      <w:r w:rsidR="00771DAE">
        <w:t>,</w:t>
      </w:r>
      <w:r w:rsidR="00771DAE" w:rsidRPr="00287C44">
        <w:t xml:space="preserve"> on peut voir plusieurs enfants</w:t>
      </w:r>
      <w:r w:rsidR="00771DAE">
        <w:t xml:space="preserve"> miliciens</w:t>
      </w:r>
      <w:r w:rsidR="00771DAE" w:rsidRPr="00287C44">
        <w:t xml:space="preserve"> tués par balles</w:t>
      </w:r>
      <w:r w:rsidR="00771DAE">
        <w:t>. La vidéo montre des FARDC</w:t>
      </w:r>
      <w:r w:rsidR="00F370EA">
        <w:t>, se présentant</w:t>
      </w:r>
      <w:r w:rsidR="00771DAE" w:rsidRPr="00287C44">
        <w:t xml:space="preserve"> </w:t>
      </w:r>
      <w:r w:rsidR="00F370EA">
        <w:t>comme appartenant à la 5</w:t>
      </w:r>
      <w:r w:rsidR="00F370EA" w:rsidRPr="000C0568">
        <w:rPr>
          <w:vertAlign w:val="superscript"/>
        </w:rPr>
        <w:t>ème</w:t>
      </w:r>
      <w:r w:rsidR="00F370EA">
        <w:t xml:space="preserve"> brigade opérationnelle,</w:t>
      </w:r>
      <w:r w:rsidR="006560CD">
        <w:t xml:space="preserve"> en train de</w:t>
      </w:r>
      <w:r w:rsidR="00F370EA" w:rsidRPr="00287C44">
        <w:t xml:space="preserve"> </w:t>
      </w:r>
      <w:r w:rsidR="00771DAE" w:rsidRPr="00287C44">
        <w:t xml:space="preserve">tirer </w:t>
      </w:r>
      <w:r w:rsidR="00771DAE">
        <w:t xml:space="preserve">à feu nourri </w:t>
      </w:r>
      <w:r w:rsidR="00771DAE" w:rsidRPr="00287C44">
        <w:t>en direction de miliciens Kamuina Nsapu</w:t>
      </w:r>
      <w:r w:rsidR="00771DAE">
        <w:t xml:space="preserve"> dépourvus d’armes à feu</w:t>
      </w:r>
      <w:r w:rsidR="00771DAE" w:rsidRPr="007F1170">
        <w:rPr>
          <w:rStyle w:val="FootnoteReference"/>
        </w:rPr>
        <w:footnoteReference w:id="110"/>
      </w:r>
      <w:r w:rsidR="00F370EA">
        <w:t>.</w:t>
      </w:r>
      <w:r w:rsidR="00771DAE" w:rsidRPr="00DA3E2A">
        <w:t xml:space="preserve"> Il y </w:t>
      </w:r>
      <w:r w:rsidR="00771DAE">
        <w:t xml:space="preserve">a </w:t>
      </w:r>
      <w:r w:rsidR="00771DAE" w:rsidRPr="00DA3E2A">
        <w:t xml:space="preserve">également eu des blessés et des morts parmi les </w:t>
      </w:r>
      <w:r w:rsidR="00771DAE">
        <w:t>FARDC</w:t>
      </w:r>
      <w:r w:rsidR="00771DAE" w:rsidRPr="00DA3E2A">
        <w:t xml:space="preserve"> au cours de ces opérations militaires mais</w:t>
      </w:r>
      <w:r w:rsidR="00771DAE">
        <w:t>,</w:t>
      </w:r>
      <w:r w:rsidR="00771DAE" w:rsidRPr="00184016">
        <w:t xml:space="preserve"> </w:t>
      </w:r>
      <w:r w:rsidR="00771DAE">
        <w:t xml:space="preserve">comme l’explique un témoin, </w:t>
      </w:r>
      <w:r w:rsidR="00771DAE" w:rsidRPr="00184016">
        <w:t xml:space="preserve">les </w:t>
      </w:r>
      <w:r w:rsidR="00771DAE">
        <w:t>FARDC</w:t>
      </w:r>
      <w:r w:rsidR="00771DAE" w:rsidRPr="00184016">
        <w:t xml:space="preserve"> ramassaient les corps</w:t>
      </w:r>
      <w:r w:rsidR="00771DAE">
        <w:t xml:space="preserve"> des militaires</w:t>
      </w:r>
      <w:r w:rsidR="00771DAE" w:rsidRPr="00184016">
        <w:t xml:space="preserve"> et il n’était donc pas possible de les comptabiliser</w:t>
      </w:r>
      <w:r w:rsidR="00771DAE" w:rsidRPr="007F1170">
        <w:rPr>
          <w:rStyle w:val="FootnoteReference"/>
        </w:rPr>
        <w:footnoteReference w:id="111"/>
      </w:r>
      <w:r w:rsidR="000C0568">
        <w:t>.</w:t>
      </w:r>
    </w:p>
    <w:p w14:paraId="659E0781" w14:textId="434C3F1B" w:rsidR="00771DAE" w:rsidRPr="00287C44" w:rsidRDefault="00771DAE" w:rsidP="005965F3">
      <w:pPr>
        <w:pStyle w:val="BodyText"/>
        <w:tabs>
          <w:tab w:val="left" w:pos="1559"/>
          <w:tab w:val="left" w:pos="1984"/>
          <w:tab w:val="left" w:leader="dot" w:pos="7654"/>
          <w:tab w:val="right" w:pos="8929"/>
        </w:tabs>
        <w:spacing w:line="240" w:lineRule="atLeast"/>
        <w:ind w:left="1138" w:right="1138" w:firstLine="0"/>
      </w:pPr>
      <w:r w:rsidRPr="00F059B7">
        <w:t xml:space="preserve">Le 12 août 2016, les forces de sécurité </w:t>
      </w:r>
      <w:r>
        <w:t>ont atteint</w:t>
      </w:r>
      <w:r w:rsidRPr="00F059B7">
        <w:t xml:space="preserve"> le village Kamuina Nsapu. </w:t>
      </w:r>
      <w:r w:rsidRPr="006373C8">
        <w:t>Un témoi</w:t>
      </w:r>
      <w:r w:rsidRPr="00287C44">
        <w:t>n, présent au village,</w:t>
      </w:r>
      <w:r>
        <w:t xml:space="preserve"> a indiqué</w:t>
      </w:r>
      <w:r w:rsidRPr="00287C44">
        <w:t xml:space="preserve"> que de nombreux militaires sont arrivés à pied, en véhicule et par </w:t>
      </w:r>
      <w:r>
        <w:t>h</w:t>
      </w:r>
      <w:r w:rsidRPr="002E1BE7">
        <w:t>é</w:t>
      </w:r>
      <w:r>
        <w:t>licopt</w:t>
      </w:r>
      <w:r w:rsidRPr="00184016">
        <w:t>è</w:t>
      </w:r>
      <w:r>
        <w:t>re</w:t>
      </w:r>
      <w:r w:rsidRPr="007F1170">
        <w:rPr>
          <w:rStyle w:val="FootnoteReference"/>
        </w:rPr>
        <w:footnoteReference w:id="112"/>
      </w:r>
      <w:r>
        <w:t xml:space="preserve">. Les miliciens Kamuina Nsapu </w:t>
      </w:r>
      <w:r w:rsidRPr="00184016">
        <w:t xml:space="preserve">se sont battus et il y a eu des morts parmi les miliciens et les </w:t>
      </w:r>
      <w:r>
        <w:t>villageois</w:t>
      </w:r>
      <w:r w:rsidRPr="00184016">
        <w:t>. Le témoin indique que les miliciens ont</w:t>
      </w:r>
      <w:r w:rsidRPr="00F059B7">
        <w:t xml:space="preserve"> </w:t>
      </w:r>
      <w:r>
        <w:t>blessé</w:t>
      </w:r>
      <w:r w:rsidRPr="006373C8">
        <w:t xml:space="preserve"> </w:t>
      </w:r>
      <w:r w:rsidRPr="00287C44">
        <w:t xml:space="preserve">des militaires avec leurs bâtons et machettes. Depuis sa maison, </w:t>
      </w:r>
      <w:r w:rsidRPr="00AE3509">
        <w:t>Jean-Prince Mpandi</w:t>
      </w:r>
      <w:r w:rsidRPr="00AD28A7">
        <w:t xml:space="preserve"> </w:t>
      </w:r>
      <w:r w:rsidRPr="00287C44">
        <w:t>donnait des instructions</w:t>
      </w:r>
      <w:r>
        <w:t xml:space="preserve"> de combat</w:t>
      </w:r>
      <w:r w:rsidRPr="00287C44">
        <w:t xml:space="preserve"> aux miliciens. Voyant la bataille perdue, </w:t>
      </w:r>
      <w:r w:rsidRPr="00AE3509">
        <w:t>Jean-Prince Mpandi</w:t>
      </w:r>
      <w:r w:rsidRPr="00AD28A7">
        <w:t xml:space="preserve"> </w:t>
      </w:r>
      <w:r>
        <w:t xml:space="preserve">a </w:t>
      </w:r>
      <w:r w:rsidRPr="00287C44">
        <w:t>ordonné aux miliciens</w:t>
      </w:r>
      <w:r>
        <w:t xml:space="preserve"> Kamuina Nsapu</w:t>
      </w:r>
      <w:r w:rsidRPr="00287C44">
        <w:t xml:space="preserve"> de fuir et </w:t>
      </w:r>
      <w:r>
        <w:t>est</w:t>
      </w:r>
      <w:r w:rsidRPr="00287C44">
        <w:t xml:space="preserve"> resté sur place</w:t>
      </w:r>
      <w:r w:rsidRPr="007F1170">
        <w:rPr>
          <w:rStyle w:val="FootnoteReference"/>
        </w:rPr>
        <w:footnoteReference w:id="113"/>
      </w:r>
      <w:r w:rsidRPr="00287C44">
        <w:t xml:space="preserve">. </w:t>
      </w:r>
      <w:r w:rsidRPr="00AE3509">
        <w:t>Jean-Prince Mpandi</w:t>
      </w:r>
      <w:r w:rsidRPr="00AD28A7">
        <w:t xml:space="preserve"> </w:t>
      </w:r>
      <w:r w:rsidRPr="002C5271">
        <w:t>est</w:t>
      </w:r>
      <w:r w:rsidRPr="00F059B7">
        <w:t xml:space="preserve"> alors tué</w:t>
      </w:r>
      <w:r w:rsidRPr="006373C8">
        <w:t xml:space="preserve"> </w:t>
      </w:r>
      <w:r w:rsidRPr="00287C44">
        <w:t xml:space="preserve">par des FARDC et son corps </w:t>
      </w:r>
      <w:r>
        <w:t xml:space="preserve">est </w:t>
      </w:r>
      <w:r w:rsidRPr="00287C44">
        <w:t xml:space="preserve">transporté </w:t>
      </w:r>
      <w:r>
        <w:t>à</w:t>
      </w:r>
      <w:r w:rsidRPr="00287C44">
        <w:t xml:space="preserve"> Kananga</w:t>
      </w:r>
      <w:r w:rsidRPr="007F1170">
        <w:rPr>
          <w:rStyle w:val="FootnoteReference"/>
        </w:rPr>
        <w:footnoteReference w:id="114"/>
      </w:r>
      <w:r w:rsidRPr="00287C44">
        <w:t xml:space="preserve">. </w:t>
      </w:r>
      <w:r>
        <w:t>Sur des</w:t>
      </w:r>
      <w:r w:rsidRPr="00287C44">
        <w:t xml:space="preserve"> vidéos tournées par </w:t>
      </w:r>
      <w:r>
        <w:t>l</w:t>
      </w:r>
      <w:r w:rsidRPr="00287C44">
        <w:t>es FARDC</w:t>
      </w:r>
      <w:r>
        <w:t xml:space="preserve"> on</w:t>
      </w:r>
      <w:r w:rsidRPr="00287C44">
        <w:t xml:space="preserve"> </w:t>
      </w:r>
      <w:r>
        <w:t>peut voir le</w:t>
      </w:r>
      <w:r w:rsidRPr="00287C44">
        <w:t xml:space="preserve"> corps du chef coutumier Kamuina Nsapu. Son pied </w:t>
      </w:r>
      <w:r>
        <w:t xml:space="preserve">est </w:t>
      </w:r>
      <w:r w:rsidRPr="00287C44">
        <w:t xml:space="preserve">presque détaché, son visage tuméfié et sa chemise </w:t>
      </w:r>
      <w:r w:rsidR="005B7EC3">
        <w:t>maculé</w:t>
      </w:r>
      <w:r w:rsidR="005B7EC3" w:rsidRPr="00287C44">
        <w:t xml:space="preserve">e </w:t>
      </w:r>
      <w:r w:rsidRPr="00287C44">
        <w:t>de sang</w:t>
      </w:r>
      <w:r w:rsidRPr="007F1170">
        <w:rPr>
          <w:rStyle w:val="FootnoteReference"/>
        </w:rPr>
        <w:footnoteReference w:id="115"/>
      </w:r>
      <w:r w:rsidRPr="00287C44">
        <w:t>.</w:t>
      </w:r>
      <w:r>
        <w:t xml:space="preserve"> </w:t>
      </w:r>
      <w:r w:rsidRPr="00287C44">
        <w:t xml:space="preserve">A son retour dans le village de Kamuina Nsapu deux jours </w:t>
      </w:r>
      <w:r>
        <w:t xml:space="preserve">après la mort </w:t>
      </w:r>
      <w:r w:rsidR="005B7EC3">
        <w:t>de Jean-Prince Mpandi</w:t>
      </w:r>
      <w:r w:rsidRPr="00287C44">
        <w:t xml:space="preserve">, </w:t>
      </w:r>
      <w:r>
        <w:t xml:space="preserve">un </w:t>
      </w:r>
      <w:r w:rsidRPr="00287C44">
        <w:t xml:space="preserve">témoin </w:t>
      </w:r>
      <w:r>
        <w:t>a indiqué</w:t>
      </w:r>
      <w:r w:rsidRPr="00287C44">
        <w:t xml:space="preserve"> avoir vu les </w:t>
      </w:r>
      <w:r>
        <w:t>cadavres</w:t>
      </w:r>
      <w:r w:rsidRPr="00287C44">
        <w:t xml:space="preserve"> </w:t>
      </w:r>
      <w:r>
        <w:t>de FARDC</w:t>
      </w:r>
      <w:r w:rsidRPr="002C5271">
        <w:t xml:space="preserve"> et d’habitants du village</w:t>
      </w:r>
      <w:r w:rsidRPr="007F1170">
        <w:rPr>
          <w:rStyle w:val="FootnoteReference"/>
        </w:rPr>
        <w:footnoteReference w:id="116"/>
      </w:r>
      <w:r w:rsidRPr="002C5271">
        <w:t>.</w:t>
      </w:r>
    </w:p>
    <w:p w14:paraId="6DB69459" w14:textId="3DB67E4E" w:rsidR="00771DAE" w:rsidRDefault="00771DAE" w:rsidP="005965F3">
      <w:pPr>
        <w:pStyle w:val="BodyText"/>
        <w:tabs>
          <w:tab w:val="left" w:pos="1559"/>
          <w:tab w:val="left" w:pos="1984"/>
          <w:tab w:val="left" w:leader="dot" w:pos="7654"/>
          <w:tab w:val="right" w:pos="8929"/>
        </w:tabs>
        <w:spacing w:line="240" w:lineRule="atLeast"/>
        <w:ind w:left="1138" w:right="1138" w:firstLine="0"/>
      </w:pPr>
      <w:r w:rsidRPr="00AD28A7">
        <w:t xml:space="preserve">Dans les jours </w:t>
      </w:r>
      <w:r>
        <w:t>suivants</w:t>
      </w:r>
      <w:r w:rsidRPr="00AD28A7">
        <w:t>, les affrontements entre des miliciens Kamuina Nsapu et les forces de défense</w:t>
      </w:r>
      <w:r>
        <w:t xml:space="preserve"> et de sécurité</w:t>
      </w:r>
      <w:r w:rsidRPr="00AD28A7">
        <w:t xml:space="preserve"> se sont poursuivis </w:t>
      </w:r>
      <w:r w:rsidR="005B7EC3">
        <w:t>dans</w:t>
      </w:r>
      <w:r w:rsidR="005B7EC3" w:rsidRPr="00AD28A7">
        <w:t xml:space="preserve"> </w:t>
      </w:r>
      <w:r w:rsidRPr="00AD28A7">
        <w:t>le territoire de Dibaya</w:t>
      </w:r>
      <w:r w:rsidRPr="007F1170">
        <w:rPr>
          <w:rStyle w:val="FootnoteReference"/>
        </w:rPr>
        <w:footnoteReference w:id="117"/>
      </w:r>
      <w:r w:rsidRPr="00AD28A7">
        <w:t>. Par exemple, à la mi-août 2016, le village de Tshikula</w:t>
      </w:r>
      <w:r>
        <w:t xml:space="preserve"> </w:t>
      </w:r>
      <w:r w:rsidRPr="00AD28A7">
        <w:t>a été le lieu de plusieurs affrontements</w:t>
      </w:r>
      <w:r w:rsidRPr="007F1170">
        <w:rPr>
          <w:rStyle w:val="FootnoteReference"/>
        </w:rPr>
        <w:footnoteReference w:id="118"/>
      </w:r>
      <w:r w:rsidRPr="00AD28A7">
        <w:t xml:space="preserve">. D’après les informations </w:t>
      </w:r>
      <w:r>
        <w:t>collectées</w:t>
      </w:r>
      <w:r w:rsidRPr="00AD28A7">
        <w:t xml:space="preserve">, </w:t>
      </w:r>
      <w:r w:rsidRPr="00287C44">
        <w:t xml:space="preserve">les FARDC avaient établi une base militaire à la mission catholique </w:t>
      </w:r>
      <w:r>
        <w:t xml:space="preserve">de Tshikula au cours </w:t>
      </w:r>
      <w:r w:rsidRPr="00287C44">
        <w:t xml:space="preserve">des opérations qui ont conduit à la mort </w:t>
      </w:r>
      <w:r>
        <w:t xml:space="preserve">de </w:t>
      </w:r>
      <w:r w:rsidRPr="00AE3509">
        <w:t>Jean-Prince Mpandi</w:t>
      </w:r>
      <w:r w:rsidRPr="00287C44">
        <w:t xml:space="preserve"> et y </w:t>
      </w:r>
      <w:r>
        <w:t xml:space="preserve">sont </w:t>
      </w:r>
      <w:r w:rsidRPr="00287C44">
        <w:t>restés</w:t>
      </w:r>
      <w:r>
        <w:t xml:space="preserve"> les</w:t>
      </w:r>
      <w:r w:rsidRPr="00287C44">
        <w:t xml:space="preserve"> semaines suivantes</w:t>
      </w:r>
      <w:r w:rsidRPr="007F1170">
        <w:rPr>
          <w:rStyle w:val="FootnoteReference"/>
        </w:rPr>
        <w:footnoteReference w:id="119"/>
      </w:r>
      <w:r w:rsidRPr="00287C44">
        <w:t xml:space="preserve">. </w:t>
      </w:r>
      <w:r>
        <w:t xml:space="preserve">L’EEI a documenté un incident qui s’est déroulé le 16 août 2016 devant la mission catholique de Tshikula. Ce jour-là, deux enfants miliciens Kamuina Nsapu en possession de bâtons </w:t>
      </w:r>
      <w:r w:rsidRPr="00AD28A7">
        <w:t xml:space="preserve">se sont dirigés vers la mission catholique de Tshikula. Les membres des FARDC ont tiré sur les deux </w:t>
      </w:r>
      <w:r>
        <w:t>miliciens</w:t>
      </w:r>
      <w:r w:rsidRPr="00AD28A7">
        <w:t xml:space="preserve"> avec une mitrailleuse tuant l’un des </w:t>
      </w:r>
      <w:r>
        <w:t>miliciens</w:t>
      </w:r>
      <w:r w:rsidRPr="00AD28A7">
        <w:t>. Une foule de miliciens</w:t>
      </w:r>
      <w:r>
        <w:t xml:space="preserve"> Kamuina Nsapu</w:t>
      </w:r>
      <w:r w:rsidRPr="00AD28A7">
        <w:t>, filles et garçons</w:t>
      </w:r>
      <w:r>
        <w:t>, la plupart sans aucune arme</w:t>
      </w:r>
      <w:r w:rsidR="000F6FB5">
        <w:t>, d’autres</w:t>
      </w:r>
      <w:r>
        <w:t xml:space="preserve"> en possession de </w:t>
      </w:r>
      <w:r w:rsidRPr="00AD28A7">
        <w:t>bâtons</w:t>
      </w:r>
      <w:r>
        <w:t>,</w:t>
      </w:r>
      <w:r w:rsidRPr="00AD28A7">
        <w:t xml:space="preserve"> </w:t>
      </w:r>
      <w:r>
        <w:t>est</w:t>
      </w:r>
      <w:r w:rsidRPr="00AD28A7">
        <w:t xml:space="preserve"> arrivé</w:t>
      </w:r>
      <w:r>
        <w:t>e</w:t>
      </w:r>
      <w:r w:rsidRPr="00AD28A7">
        <w:t xml:space="preserve"> pour récupérer le corps du milicien</w:t>
      </w:r>
      <w:r>
        <w:t xml:space="preserve"> tué</w:t>
      </w:r>
      <w:r w:rsidRPr="00AD28A7">
        <w:t xml:space="preserve">. Les </w:t>
      </w:r>
      <w:r>
        <w:t>FARDC</w:t>
      </w:r>
      <w:r w:rsidRPr="00AD28A7">
        <w:t xml:space="preserve"> </w:t>
      </w:r>
      <w:r>
        <w:t>ont alors</w:t>
      </w:r>
      <w:r w:rsidRPr="00AD28A7">
        <w:t xml:space="preserve"> tiré sur </w:t>
      </w:r>
      <w:r w:rsidR="000F6FB5">
        <w:t>eux</w:t>
      </w:r>
      <w:r w:rsidRPr="00AD28A7">
        <w:t xml:space="preserve"> et </w:t>
      </w:r>
      <w:r>
        <w:t>un</w:t>
      </w:r>
      <w:r w:rsidRPr="00AD28A7">
        <w:t xml:space="preserve"> témoin indique avoir vu au moins dix personnes se faire tuer par les militaires devant la mission catholique de Tshikula. Plus tard dans la journée, le même scénario s’est reproduit et les </w:t>
      </w:r>
      <w:r>
        <w:t xml:space="preserve">FARDC ont tiré pendant plusieurs heures sur </w:t>
      </w:r>
      <w:r w:rsidR="000F6FB5">
        <w:t>l</w:t>
      </w:r>
      <w:r w:rsidR="000F6FB5" w:rsidRPr="00AD28A7">
        <w:t xml:space="preserve">es </w:t>
      </w:r>
      <w:r>
        <w:t>miliciens. L</w:t>
      </w:r>
      <w:r w:rsidRPr="00AD28A7">
        <w:t xml:space="preserve">es militaires </w:t>
      </w:r>
      <w:r>
        <w:t xml:space="preserve">étaient les seuls à </w:t>
      </w:r>
      <w:r w:rsidR="005B7EC3">
        <w:t xml:space="preserve">utiliser des armes à feu ; </w:t>
      </w:r>
      <w:r>
        <w:t>il n’y avait pas d’échange de tirs</w:t>
      </w:r>
      <w:r w:rsidRPr="007F1170">
        <w:rPr>
          <w:rStyle w:val="FootnoteReference"/>
        </w:rPr>
        <w:footnoteReference w:id="120"/>
      </w:r>
      <w:r w:rsidRPr="00AD28A7">
        <w:t xml:space="preserve">. </w:t>
      </w:r>
      <w:r>
        <w:t xml:space="preserve">Un autre témoin a expliqué que les FARDC ont ouvert le feu sans égard pour la population qui se trouvait dans le village et ont tiré non seulement sur les miliciens mais aussi </w:t>
      </w:r>
      <w:r w:rsidRPr="00AD28A7">
        <w:t>des femmes, des personnes âgées et des enfants</w:t>
      </w:r>
      <w:r w:rsidRPr="007F1170">
        <w:rPr>
          <w:rStyle w:val="FootnoteReference"/>
        </w:rPr>
        <w:footnoteReference w:id="121"/>
      </w:r>
      <w:r w:rsidRPr="00AD28A7">
        <w:t>.</w:t>
      </w:r>
      <w:r>
        <w:t xml:space="preserve"> </w:t>
      </w:r>
      <w:r w:rsidRPr="00AD28A7">
        <w:t>Un témoin indique qu’</w:t>
      </w:r>
      <w:r w:rsidR="000F6FB5">
        <w:t>après ces affrontements, il</w:t>
      </w:r>
      <w:r w:rsidR="000F6FB5" w:rsidRPr="00AD28A7">
        <w:t xml:space="preserve"> </w:t>
      </w:r>
      <w:r w:rsidRPr="00AD28A7">
        <w:t xml:space="preserve">a vu au moins 100 corps </w:t>
      </w:r>
      <w:r w:rsidR="000F6FB5">
        <w:t xml:space="preserve">être </w:t>
      </w:r>
      <w:r w:rsidRPr="00AD28A7">
        <w:t xml:space="preserve">jetés dans </w:t>
      </w:r>
      <w:r>
        <w:t>d</w:t>
      </w:r>
      <w:r w:rsidRPr="00AD28A7">
        <w:t>es camions</w:t>
      </w:r>
      <w:r w:rsidRPr="007F1170">
        <w:rPr>
          <w:rStyle w:val="FootnoteReference"/>
        </w:rPr>
        <w:footnoteReference w:id="122"/>
      </w:r>
      <w:r w:rsidRPr="00AD28A7">
        <w:t xml:space="preserve">. Un autre indique avoir mis au moins 20 corps dans un camion et qu’un autre camion transportait le </w:t>
      </w:r>
      <w:r w:rsidRPr="00431AC3">
        <w:t>corps</w:t>
      </w:r>
      <w:r w:rsidRPr="00AD28A7">
        <w:t xml:space="preserve"> de trois militaires tués. Les corps ont été transporté</w:t>
      </w:r>
      <w:r>
        <w:t>s</w:t>
      </w:r>
      <w:r w:rsidRPr="00AD28A7">
        <w:t xml:space="preserve"> de Tshikula à </w:t>
      </w:r>
      <w:r w:rsidRPr="00CB2CDD">
        <w:t>l’Ecole de Formation des officiers (EFO)</w:t>
      </w:r>
      <w:r w:rsidRPr="00C90623">
        <w:t xml:space="preserve"> à Kananga</w:t>
      </w:r>
      <w:r w:rsidR="00E73176">
        <w:t xml:space="preserve"> pour y être enterrés</w:t>
      </w:r>
      <w:r w:rsidRPr="007F1170">
        <w:rPr>
          <w:rStyle w:val="FootnoteReference"/>
        </w:rPr>
        <w:footnoteReference w:id="123"/>
      </w:r>
      <w:r w:rsidRPr="00AD28A7">
        <w:t>. Un autre témoin indique qu’au moment de</w:t>
      </w:r>
      <w:r w:rsidR="000F6FB5">
        <w:t xml:space="preserve"> ces</w:t>
      </w:r>
      <w:r w:rsidRPr="00AD28A7">
        <w:t xml:space="preserve"> affrontements entre les miliciens Kamuina Nsapu et les </w:t>
      </w:r>
      <w:r>
        <w:t xml:space="preserve">FARDC, il a </w:t>
      </w:r>
      <w:r w:rsidRPr="00AD28A7">
        <w:t>vu deux corps de militaires tués et neuf corps de miliciens Kamuina Nsapu dans la brousse</w:t>
      </w:r>
      <w:r w:rsidR="000F6FB5">
        <w:t>,</w:t>
      </w:r>
      <w:r w:rsidRPr="00AD28A7">
        <w:t xml:space="preserve"> sans </w:t>
      </w:r>
      <w:r w:rsidR="000F6FB5">
        <w:t>savoir comment ils avaient été tués</w:t>
      </w:r>
      <w:r w:rsidRPr="007F1170">
        <w:rPr>
          <w:rStyle w:val="FootnoteReference"/>
        </w:rPr>
        <w:footnoteReference w:id="124"/>
      </w:r>
      <w:r>
        <w:t>.</w:t>
      </w:r>
      <w:r w:rsidRPr="00AD28A7">
        <w:t xml:space="preserve"> </w:t>
      </w:r>
      <w:r>
        <w:t xml:space="preserve">L’EEI </w:t>
      </w:r>
      <w:r w:rsidR="009D5DD8">
        <w:t xml:space="preserve">constate </w:t>
      </w:r>
      <w:r>
        <w:t xml:space="preserve">qu’il semble </w:t>
      </w:r>
      <w:r w:rsidR="009D5DD8">
        <w:t xml:space="preserve">que les FARDC </w:t>
      </w:r>
      <w:r w:rsidR="00EB1126">
        <w:t xml:space="preserve">ont </w:t>
      </w:r>
      <w:r w:rsidR="009D5DD8">
        <w:t xml:space="preserve">eu tendance à transporter par camion </w:t>
      </w:r>
      <w:r>
        <w:t xml:space="preserve">les corps de miliciens Kamuina Nsapu </w:t>
      </w:r>
      <w:r w:rsidR="009D5DD8">
        <w:t xml:space="preserve">tués lors d’affrontement </w:t>
      </w:r>
      <w:r>
        <w:t>à l’</w:t>
      </w:r>
      <w:r w:rsidRPr="00CB2CDD">
        <w:t>EFO</w:t>
      </w:r>
      <w:r w:rsidR="009D5DD8">
        <w:t>, à</w:t>
      </w:r>
      <w:r>
        <w:t xml:space="preserve"> Kananga</w:t>
      </w:r>
      <w:r w:rsidRPr="007F1170">
        <w:rPr>
          <w:rStyle w:val="FootnoteReference"/>
        </w:rPr>
        <w:footnoteReference w:id="125"/>
      </w:r>
      <w:r>
        <w:t xml:space="preserve">. </w:t>
      </w:r>
    </w:p>
    <w:p w14:paraId="10660E40" w14:textId="70507CE4" w:rsidR="00771DAE" w:rsidRDefault="00771DAE" w:rsidP="005965F3">
      <w:pPr>
        <w:pStyle w:val="BodyText"/>
        <w:tabs>
          <w:tab w:val="left" w:pos="1559"/>
          <w:tab w:val="left" w:pos="1984"/>
          <w:tab w:val="left" w:leader="dot" w:pos="7654"/>
          <w:tab w:val="right" w:pos="8929"/>
        </w:tabs>
        <w:spacing w:line="240" w:lineRule="atLeast"/>
        <w:ind w:left="1138" w:right="1138" w:firstLine="0"/>
      </w:pPr>
      <w:r>
        <w:t>L’EEI</w:t>
      </w:r>
      <w:r w:rsidRPr="00287C44">
        <w:t xml:space="preserve"> </w:t>
      </w:r>
      <w:r w:rsidR="009D5DD8">
        <w:t>relève</w:t>
      </w:r>
      <w:r w:rsidRPr="00287C44">
        <w:t xml:space="preserve"> qu’il </w:t>
      </w:r>
      <w:r w:rsidR="009D5DD8">
        <w:t>est</w:t>
      </w:r>
      <w:r w:rsidRPr="00287C44">
        <w:t xml:space="preserve"> difficile de documenter </w:t>
      </w:r>
      <w:r>
        <w:t>les</w:t>
      </w:r>
      <w:r w:rsidRPr="00287C44">
        <w:t xml:space="preserve"> </w:t>
      </w:r>
      <w:r w:rsidR="009D5DD8">
        <w:t>allégations d’</w:t>
      </w:r>
      <w:r w:rsidRPr="00287C44">
        <w:t xml:space="preserve">actes de violence commis par les </w:t>
      </w:r>
      <w:r>
        <w:t xml:space="preserve">forces de défense et de sécurité </w:t>
      </w:r>
      <w:r w:rsidRPr="00287C44">
        <w:t xml:space="preserve">contre la population civile lors des opérations </w:t>
      </w:r>
      <w:r>
        <w:t xml:space="preserve">militaires </w:t>
      </w:r>
      <w:r w:rsidRPr="00287C44">
        <w:t xml:space="preserve">lancées à partir du 10 août 2016 et qui ont </w:t>
      </w:r>
      <w:r w:rsidR="000C0568">
        <w:t>continu</w:t>
      </w:r>
      <w:r w:rsidRPr="00287C44">
        <w:t xml:space="preserve">é dans les semaines suivantes sur le territoire de Dibaya. Des témoins ont clairement exprimé des craintes pour leur sécurité s’ils s’exprimaient sur </w:t>
      </w:r>
      <w:r>
        <w:t>ces violences</w:t>
      </w:r>
      <w:r w:rsidRPr="00287C44">
        <w:t xml:space="preserve"> </w:t>
      </w:r>
      <w:r>
        <w:t>et</w:t>
      </w:r>
      <w:r w:rsidRPr="00287C44">
        <w:t xml:space="preserve"> ont </w:t>
      </w:r>
      <w:r>
        <w:t xml:space="preserve">parfois </w:t>
      </w:r>
      <w:r w:rsidRPr="00287C44">
        <w:t xml:space="preserve">décliné de s’entretenir avec </w:t>
      </w:r>
      <w:r>
        <w:t>l’EEI</w:t>
      </w:r>
      <w:r w:rsidRPr="00287C44">
        <w:t xml:space="preserve"> pour cette raison.</w:t>
      </w:r>
    </w:p>
    <w:p w14:paraId="363D60BA" w14:textId="37BF20DC" w:rsidR="00771DAE" w:rsidRPr="00FE5E8D" w:rsidRDefault="00771DAE" w:rsidP="00BC668B">
      <w:pPr>
        <w:pStyle w:val="Heading2"/>
        <w:spacing w:before="360" w:line="270" w:lineRule="exact"/>
        <w:ind w:left="1138" w:right="1138" w:hanging="571"/>
        <w:rPr>
          <w:sz w:val="24"/>
          <w:szCs w:val="24"/>
          <w:lang w:val="fr-FR"/>
        </w:rPr>
      </w:pPr>
      <w:bookmarkStart w:id="43" w:name="_Toc518027529"/>
      <w:r w:rsidRPr="00FE5E8D">
        <w:rPr>
          <w:sz w:val="24"/>
          <w:szCs w:val="24"/>
          <w:lang w:val="fr-FR"/>
        </w:rPr>
        <w:t>Septembre-décembre 2016 – le mouvement Kamuina Nsapu s’étend dans les provinces du Kasaï Central, Kasaï Oriental et Kasaï</w:t>
      </w:r>
      <w:bookmarkEnd w:id="43"/>
    </w:p>
    <w:p w14:paraId="6BB4913D" w14:textId="187894DD" w:rsidR="00771DAE" w:rsidRPr="00AD28A7" w:rsidRDefault="00771DAE" w:rsidP="005965F3">
      <w:pPr>
        <w:pStyle w:val="BodyText"/>
        <w:tabs>
          <w:tab w:val="left" w:pos="1559"/>
          <w:tab w:val="left" w:pos="1984"/>
          <w:tab w:val="left" w:leader="dot" w:pos="7654"/>
          <w:tab w:val="right" w:pos="8929"/>
        </w:tabs>
        <w:spacing w:line="240" w:lineRule="atLeast"/>
        <w:ind w:left="1138" w:right="1138" w:firstLine="0"/>
      </w:pPr>
      <w:r w:rsidRPr="00AD28A7">
        <w:t xml:space="preserve">La mort </w:t>
      </w:r>
      <w:r>
        <w:t>de</w:t>
      </w:r>
      <w:r w:rsidRPr="00AD28A7">
        <w:t xml:space="preserve"> Jean Prince Mpandi n’a pas mis </w:t>
      </w:r>
      <w:r>
        <w:t>un terme</w:t>
      </w:r>
      <w:r w:rsidRPr="00AD28A7">
        <w:t xml:space="preserve"> aux violence</w:t>
      </w:r>
      <w:r>
        <w:t>s</w:t>
      </w:r>
      <w:r w:rsidRPr="00AD28A7">
        <w:t xml:space="preserve">. Au contraire, le mouvement Kamuina Nsapu </w:t>
      </w:r>
      <w:r>
        <w:t>a continué ses activités</w:t>
      </w:r>
      <w:r w:rsidRPr="00AD28A7">
        <w:t xml:space="preserve"> </w:t>
      </w:r>
      <w:r>
        <w:t>dans</w:t>
      </w:r>
      <w:r w:rsidRPr="00AD28A7">
        <w:t xml:space="preserve"> le territoire de Dibaya </w:t>
      </w:r>
      <w:r>
        <w:t>entre</w:t>
      </w:r>
      <w:r w:rsidRPr="00AD28A7">
        <w:t xml:space="preserve"> septembre-décembr</w:t>
      </w:r>
      <w:r w:rsidR="000C0568">
        <w:t>e 2016 et les actes de violence</w:t>
      </w:r>
      <w:r w:rsidRPr="00AD28A7">
        <w:t xml:space="preserve"> </w:t>
      </w:r>
      <w:r w:rsidR="009B5569">
        <w:t>de</w:t>
      </w:r>
      <w:r w:rsidRPr="00AD28A7">
        <w:t xml:space="preserve"> la milice Kamuina Nsapu et </w:t>
      </w:r>
      <w:r>
        <w:t>des</w:t>
      </w:r>
      <w:r w:rsidRPr="00AD28A7">
        <w:t xml:space="preserve"> forces de défense</w:t>
      </w:r>
      <w:r>
        <w:t xml:space="preserve"> et de sécurité </w:t>
      </w:r>
      <w:r w:rsidRPr="00AD28A7">
        <w:t>se</w:t>
      </w:r>
      <w:r>
        <w:t xml:space="preserve"> sont </w:t>
      </w:r>
      <w:r w:rsidR="009B5569">
        <w:t>étendus</w:t>
      </w:r>
      <w:r w:rsidR="009B5569" w:rsidRPr="00AD28A7">
        <w:t xml:space="preserve"> </w:t>
      </w:r>
      <w:r w:rsidRPr="00AD28A7">
        <w:t xml:space="preserve">à partir de septembre 2016 </w:t>
      </w:r>
      <w:r w:rsidR="009B5569">
        <w:t>aux</w:t>
      </w:r>
      <w:r>
        <w:t xml:space="preserve"> autres territoires </w:t>
      </w:r>
      <w:r w:rsidRPr="00AD28A7">
        <w:t xml:space="preserve">du Kasaï Central. </w:t>
      </w:r>
      <w:r>
        <w:t>A</w:t>
      </w:r>
      <w:r w:rsidRPr="00AD28A7">
        <w:t xml:space="preserve">u Kasaï </w:t>
      </w:r>
      <w:r>
        <w:t>Oriental, l</w:t>
      </w:r>
      <w:r w:rsidRPr="00AD28A7">
        <w:t xml:space="preserve">es territoires de Kabeya-Kamwanga et de Miabi </w:t>
      </w:r>
      <w:r>
        <w:t xml:space="preserve">ont également été touchés en </w:t>
      </w:r>
      <w:r w:rsidRPr="00AD28A7">
        <w:t xml:space="preserve">octobre 2016. Fin novembre 2016, la milice Kamuina Nsapu </w:t>
      </w:r>
      <w:r w:rsidR="009B5569">
        <w:t xml:space="preserve">est devenue </w:t>
      </w:r>
      <w:r>
        <w:t>a</w:t>
      </w:r>
      <w:r w:rsidRPr="00AD28A7">
        <w:t xml:space="preserve">ctive sur le territoire de Kamonia, province du Kasaï, </w:t>
      </w:r>
      <w:r w:rsidRPr="00010B23">
        <w:t>sur l’axe Kananga-Tshikapa</w:t>
      </w:r>
      <w:r w:rsidRPr="00AD28A7">
        <w:t>.</w:t>
      </w:r>
    </w:p>
    <w:p w14:paraId="0934D0EB" w14:textId="30CE6164" w:rsidR="00771DAE" w:rsidRPr="00FE5E8D" w:rsidRDefault="00771DAE" w:rsidP="00BC668B">
      <w:pPr>
        <w:pStyle w:val="Heading3"/>
        <w:spacing w:before="240" w:line="240" w:lineRule="exact"/>
        <w:ind w:left="1138" w:right="1138" w:hanging="571"/>
        <w:rPr>
          <w:b/>
        </w:rPr>
      </w:pPr>
      <w:r w:rsidRPr="00FE5E8D">
        <w:rPr>
          <w:b/>
        </w:rPr>
        <w:t>Province du Kasaï Central</w:t>
      </w:r>
    </w:p>
    <w:p w14:paraId="4A3F6F4F" w14:textId="49758200" w:rsidR="00771DAE" w:rsidRDefault="00771DAE" w:rsidP="005965F3">
      <w:pPr>
        <w:pStyle w:val="BodyText"/>
        <w:tabs>
          <w:tab w:val="left" w:pos="1559"/>
          <w:tab w:val="left" w:pos="1984"/>
          <w:tab w:val="left" w:leader="dot" w:pos="7654"/>
          <w:tab w:val="right" w:pos="8929"/>
        </w:tabs>
        <w:spacing w:line="240" w:lineRule="atLeast"/>
        <w:ind w:left="1138" w:right="1138" w:firstLine="0"/>
      </w:pPr>
      <w:r w:rsidRPr="00AD28A7">
        <w:t xml:space="preserve">Le recrutement d’enfants </w:t>
      </w:r>
      <w:r>
        <w:t xml:space="preserve">par </w:t>
      </w:r>
      <w:r w:rsidRPr="00AD28A7">
        <w:t xml:space="preserve">la milice Kamuina Nsapu et leur utilisation lors </w:t>
      </w:r>
      <w:r>
        <w:t>d’</w:t>
      </w:r>
      <w:r w:rsidRPr="00AD28A7">
        <w:t>affrontements</w:t>
      </w:r>
      <w:r>
        <w:t xml:space="preserve"> avec les forces de défense et de sécurité</w:t>
      </w:r>
      <w:r w:rsidRPr="00AD28A7">
        <w:t xml:space="preserve"> a perduré</w:t>
      </w:r>
      <w:r>
        <w:t xml:space="preserve"> et s’est même accentué</w:t>
      </w:r>
      <w:r w:rsidRPr="00AD28A7">
        <w:t xml:space="preserve"> entre septembre et décembre 2016 </w:t>
      </w:r>
      <w:r>
        <w:t xml:space="preserve">au </w:t>
      </w:r>
      <w:r w:rsidRPr="00AD28A7">
        <w:t xml:space="preserve">Kasaï </w:t>
      </w:r>
      <w:r w:rsidR="00E442FD">
        <w:t>C</w:t>
      </w:r>
      <w:r w:rsidRPr="00AD28A7">
        <w:t>entral</w:t>
      </w:r>
      <w:r w:rsidR="009B5569">
        <w:t>,</w:t>
      </w:r>
      <w:r>
        <w:t xml:space="preserve"> </w:t>
      </w:r>
      <w:r w:rsidR="009B5569">
        <w:t xml:space="preserve">et </w:t>
      </w:r>
      <w:r>
        <w:t>en particulier dans le territoire de Dibaya et dans les communes et quartiers de Kananga</w:t>
      </w:r>
      <w:r w:rsidRPr="00AD28A7">
        <w:t xml:space="preserve">. Par exemple de nombreux enfants miliciens ont participé aux attaques de l’aéroport de Kananga fin septembre 2016 et du village de </w:t>
      </w:r>
      <w:r w:rsidRPr="00D37CAD">
        <w:t>Bukonde</w:t>
      </w:r>
      <w:r w:rsidRPr="00AD28A7">
        <w:t xml:space="preserve"> en décembre 2016</w:t>
      </w:r>
      <w:r w:rsidRPr="007F1170">
        <w:rPr>
          <w:rStyle w:val="FootnoteReference"/>
        </w:rPr>
        <w:footnoteReference w:id="126"/>
      </w:r>
      <w:r w:rsidRPr="00AD28A7">
        <w:t xml:space="preserve">. Un témoin recruté dans la milice Kamuina Nsapu sur le territoire de Dibaya en août 2016 raconte que la personne qui l’a recruté est arrivée dans la commune de Nganza, ville de </w:t>
      </w:r>
      <w:r w:rsidRPr="006B12C2">
        <w:t>Kananga en décembre 2016 afin</w:t>
      </w:r>
      <w:r w:rsidRPr="00AD28A7">
        <w:t xml:space="preserve"> de recruter des nouveaux </w:t>
      </w:r>
      <w:r>
        <w:t>miliciens</w:t>
      </w:r>
      <w:r w:rsidRPr="00AD28A7">
        <w:t xml:space="preserve">. </w:t>
      </w:r>
      <w:r>
        <w:t>Selon lui,</w:t>
      </w:r>
      <w:r w:rsidRPr="00AD28A7">
        <w:t xml:space="preserve"> le recruteur </w:t>
      </w:r>
      <w:r>
        <w:t>enrôlait</w:t>
      </w:r>
      <w:r w:rsidRPr="00AD28A7">
        <w:t xml:space="preserve"> de nouveaux groupes de jeunes dans chaque village du territoire où il </w:t>
      </w:r>
      <w:r>
        <w:t>était de passage</w:t>
      </w:r>
      <w:r w:rsidR="009B5569">
        <w:t xml:space="preserve"> et </w:t>
      </w:r>
      <w:r w:rsidRPr="00AD28A7">
        <w:t>à chaque fois, il nommait un « capita » en charge du groupe recruté</w:t>
      </w:r>
      <w:r w:rsidRPr="007F1170">
        <w:rPr>
          <w:rStyle w:val="FootnoteReference"/>
        </w:rPr>
        <w:footnoteReference w:id="127"/>
      </w:r>
      <w:r w:rsidRPr="00AD28A7">
        <w:t>.</w:t>
      </w:r>
      <w:r>
        <w:t xml:space="preserve"> </w:t>
      </w:r>
    </w:p>
    <w:p w14:paraId="7E9DFC6B" w14:textId="60CAC21F" w:rsidR="00771DAE" w:rsidRPr="003013A3" w:rsidRDefault="00771DAE" w:rsidP="005965F3">
      <w:pPr>
        <w:pStyle w:val="BodyText"/>
        <w:tabs>
          <w:tab w:val="left" w:pos="1559"/>
          <w:tab w:val="left" w:pos="1984"/>
          <w:tab w:val="left" w:leader="dot" w:pos="7654"/>
          <w:tab w:val="right" w:pos="8929"/>
        </w:tabs>
        <w:spacing w:line="240" w:lineRule="atLeast"/>
        <w:ind w:left="1138" w:right="1138" w:firstLine="0"/>
      </w:pPr>
      <w:r>
        <w:t xml:space="preserve">La MONUSCO a </w:t>
      </w:r>
      <w:r w:rsidRPr="003013A3">
        <w:t>documenté plus de 101 cas de recrutements et d’utilisation d’enfants par l</w:t>
      </w:r>
      <w:r>
        <w:t>a milice</w:t>
      </w:r>
      <w:r w:rsidRPr="003013A3">
        <w:t xml:space="preserve"> Kamuina Nsapu dont 11 concernaient des filles. </w:t>
      </w:r>
      <w:r>
        <w:t>L</w:t>
      </w:r>
      <w:r w:rsidRPr="003013A3">
        <w:t xml:space="preserve">es enfants victimes étaient âgés de 4 à 17 ans au moment des faits. Généralement </w:t>
      </w:r>
      <w:r w:rsidR="00CB42C8">
        <w:t>munis</w:t>
      </w:r>
      <w:r w:rsidR="00CB42C8" w:rsidRPr="003013A3">
        <w:t xml:space="preserve"> </w:t>
      </w:r>
      <w:r w:rsidRPr="003013A3">
        <w:t xml:space="preserve">de bâtons en bois, de petits couteaux, plus rarement de fusils calibre 12 et systématiquement postés </w:t>
      </w:r>
      <w:r>
        <w:t xml:space="preserve">en première ligne, les enfants ont déclaré </w:t>
      </w:r>
      <w:r w:rsidRPr="003013A3">
        <w:t>avoir été utilisés dans le ca</w:t>
      </w:r>
      <w:r>
        <w:t>dre d’affrontements contre les f</w:t>
      </w:r>
      <w:r w:rsidRPr="003013A3">
        <w:t xml:space="preserve">orces de défense et de sécurité dans Kananga et sur le territoire de Dibaya. Nombre d’entre eux ont également </w:t>
      </w:r>
      <w:r w:rsidR="00F2148A">
        <w:t xml:space="preserve">dû décapiter </w:t>
      </w:r>
      <w:r w:rsidRPr="003013A3">
        <w:t>d</w:t>
      </w:r>
      <w:r w:rsidR="00F2148A">
        <w:t xml:space="preserve">es </w:t>
      </w:r>
      <w:r w:rsidRPr="003013A3">
        <w:t>agents de l’</w:t>
      </w:r>
      <w:r w:rsidR="00F2148A">
        <w:t>E</w:t>
      </w:r>
      <w:r w:rsidRPr="003013A3">
        <w:t>tat et de</w:t>
      </w:r>
      <w:r w:rsidR="00F2148A">
        <w:t xml:space="preserve">s </w:t>
      </w:r>
      <w:r w:rsidRPr="003013A3">
        <w:t xml:space="preserve">membres de la communauté. A ces 101 cas individuels documentés, </w:t>
      </w:r>
      <w:r w:rsidR="00F2148A">
        <w:t>s’</w:t>
      </w:r>
      <w:r w:rsidRPr="003013A3">
        <w:t>ajout</w:t>
      </w:r>
      <w:r w:rsidR="00F2148A">
        <w:t>e</w:t>
      </w:r>
      <w:r w:rsidRPr="003013A3">
        <w:t xml:space="preserve"> un garçon recruté dans le village Kamuina Nsapu le 18 septembre 2016 </w:t>
      </w:r>
      <w:r w:rsidR="00F2148A">
        <w:t xml:space="preserve">qui </w:t>
      </w:r>
      <w:r w:rsidRPr="003013A3">
        <w:t xml:space="preserve">déclare qu’au moins 110 garçons et 9 filles étaient présents avec lui au moment de son initiation. Un autre garçon recruté dans la ville de Kananga le 10 septembre 2016 raconte qu’il était entouré d’une trentaine d’autres enfants. De la même manière, un garçon recruté dans une commune de Kananga affirme que plus de 50 enfants ont été recrutés avec lui le même jour. Dans le cadre des affrontements avec les </w:t>
      </w:r>
      <w:r w:rsidR="00C4711E">
        <w:t>f</w:t>
      </w:r>
      <w:r w:rsidRPr="003013A3">
        <w:t>orces de défense et de sécurité, de nombreux en</w:t>
      </w:r>
      <w:r w:rsidR="000C0568">
        <w:t>fants ont été blessés par balle</w:t>
      </w:r>
      <w:r w:rsidRPr="003013A3">
        <w:t>. En décembre 2016, au moins 7 enfants dont 3 filles ont été abattus par les FARDC dans le territoire de Dibaya</w:t>
      </w:r>
      <w:r w:rsidRPr="007F1170">
        <w:rPr>
          <w:rStyle w:val="FootnoteReference"/>
        </w:rPr>
        <w:footnoteReference w:id="128"/>
      </w:r>
      <w:r w:rsidRPr="003013A3">
        <w:t>.</w:t>
      </w:r>
    </w:p>
    <w:p w14:paraId="0DE98318" w14:textId="65449688" w:rsidR="00771DAE" w:rsidRPr="00AD28A7" w:rsidRDefault="00771DAE" w:rsidP="005965F3">
      <w:pPr>
        <w:pStyle w:val="BodyText"/>
        <w:tabs>
          <w:tab w:val="left" w:pos="1559"/>
          <w:tab w:val="left" w:pos="1984"/>
          <w:tab w:val="left" w:leader="dot" w:pos="7654"/>
          <w:tab w:val="right" w:pos="8929"/>
        </w:tabs>
        <w:spacing w:line="240" w:lineRule="atLeast"/>
        <w:ind w:left="1138" w:right="1138" w:firstLine="0"/>
      </w:pPr>
      <w:r w:rsidRPr="00AD28A7">
        <w:t xml:space="preserve">Le 22 septembre 2016, un groupe de miliciens Kamuina Nsapu </w:t>
      </w:r>
      <w:r>
        <w:t>dont de nombreux enfants recrutés à cet effet dans le territoire de Dibaya ont attaqué</w:t>
      </w:r>
      <w:r w:rsidRPr="00AD28A7">
        <w:t xml:space="preserve"> l’aéroport de</w:t>
      </w:r>
      <w:r>
        <w:t xml:space="preserve"> la ville de Kananga</w:t>
      </w:r>
      <w:r w:rsidRPr="00AD28A7">
        <w:t xml:space="preserve">. </w:t>
      </w:r>
      <w:r>
        <w:t>T</w:t>
      </w:r>
      <w:r w:rsidRPr="00AD28A7">
        <w:t xml:space="preserve">rois </w:t>
      </w:r>
      <w:r>
        <w:t>FARDC ont</w:t>
      </w:r>
      <w:r w:rsidRPr="00AD28A7">
        <w:t xml:space="preserve"> été tués</w:t>
      </w:r>
      <w:r>
        <w:t xml:space="preserve"> lors de cette attaque</w:t>
      </w:r>
      <w:r w:rsidRPr="007F1170">
        <w:rPr>
          <w:rStyle w:val="FootnoteReference"/>
        </w:rPr>
        <w:footnoteReference w:id="129"/>
      </w:r>
      <w:r w:rsidRPr="00AD28A7">
        <w:t xml:space="preserve">. </w:t>
      </w:r>
      <w:r>
        <w:t>Le lendemain</w:t>
      </w:r>
      <w:r w:rsidR="002F02C7">
        <w:t>,</w:t>
      </w:r>
      <w:r>
        <w:t xml:space="preserve"> dans la matinée, l’aéroport de Kananga a été </w:t>
      </w:r>
      <w:r w:rsidRPr="00AD28A7">
        <w:t xml:space="preserve">de nouveau attaqué et des affrontements </w:t>
      </w:r>
      <w:r w:rsidR="002F02C7" w:rsidRPr="00AD28A7">
        <w:t xml:space="preserve">entre les miliciens Kamuina Nsapu et les FARDC </w:t>
      </w:r>
      <w:r w:rsidRPr="00AD28A7">
        <w:t>ont</w:t>
      </w:r>
      <w:r w:rsidR="000C0568">
        <w:t xml:space="preserve"> eu</w:t>
      </w:r>
      <w:r w:rsidRPr="00AD28A7">
        <w:t xml:space="preserve"> lieu.</w:t>
      </w:r>
      <w:r>
        <w:t xml:space="preserve"> </w:t>
      </w:r>
      <w:r w:rsidR="002F02C7">
        <w:t>Alors qu’elle tentait de fuir l’aéroport, u</w:t>
      </w:r>
      <w:r w:rsidRPr="00AD28A7">
        <w:t xml:space="preserve">ne </w:t>
      </w:r>
      <w:r>
        <w:t>employée</w:t>
      </w:r>
      <w:r w:rsidRPr="00AD28A7">
        <w:t xml:space="preserve"> de Congo Airways a été rattrapé</w:t>
      </w:r>
      <w:r>
        <w:t>e</w:t>
      </w:r>
      <w:r w:rsidRPr="00AD28A7">
        <w:t xml:space="preserve"> par une vingtaine de miliciens Kamuina Nsapu</w:t>
      </w:r>
      <w:r>
        <w:t xml:space="preserve"> qui lui</w:t>
      </w:r>
      <w:r w:rsidRPr="00AD28A7">
        <w:t xml:space="preserve"> ont donné </w:t>
      </w:r>
      <w:r>
        <w:t>des coups de</w:t>
      </w:r>
      <w:r w:rsidRPr="00AD28A7">
        <w:t xml:space="preserve"> machette à la tête, </w:t>
      </w:r>
      <w:r>
        <w:t>au</w:t>
      </w:r>
      <w:r w:rsidRPr="00AD28A7">
        <w:t xml:space="preserve"> dos et aux pie</w:t>
      </w:r>
      <w:r>
        <w:t xml:space="preserve">ds. Informé de la présence d’un </w:t>
      </w:r>
      <w:r w:rsidRPr="00AD28A7">
        <w:t xml:space="preserve">blessé, un FARDC aurait donné l’ordre à ses subordonnés </w:t>
      </w:r>
      <w:r w:rsidRPr="005965F3">
        <w:t xml:space="preserve">d’achever la personne si elle n’était pas encore morte. </w:t>
      </w:r>
      <w:r w:rsidRPr="00AD28A7">
        <w:t xml:space="preserve">Les </w:t>
      </w:r>
      <w:r>
        <w:t>FARDC</w:t>
      </w:r>
      <w:r w:rsidRPr="00AD28A7">
        <w:t xml:space="preserve"> </w:t>
      </w:r>
      <w:r>
        <w:t>n’ont pas tir</w:t>
      </w:r>
      <w:r w:rsidRPr="002E1BE7">
        <w:t>é</w:t>
      </w:r>
      <w:r>
        <w:t xml:space="preserve"> sur elle </w:t>
      </w:r>
      <w:r w:rsidR="000C0568">
        <w:t>mais</w:t>
      </w:r>
      <w:r w:rsidRPr="00AD28A7">
        <w:t xml:space="preserve"> </w:t>
      </w:r>
      <w:r>
        <w:t>l’employée de Congo Airways</w:t>
      </w:r>
      <w:r w:rsidRPr="00AD28A7">
        <w:t xml:space="preserve"> est décédée lors de son transport </w:t>
      </w:r>
      <w:r>
        <w:t>à</w:t>
      </w:r>
      <w:r w:rsidRPr="00AD28A7">
        <w:t xml:space="preserve"> l’hôpital. Les miliciens Kamuina Nsapu ont </w:t>
      </w:r>
      <w:r>
        <w:t>incendié</w:t>
      </w:r>
      <w:r w:rsidRPr="00AD28A7">
        <w:t xml:space="preserve"> les biens et les b</w:t>
      </w:r>
      <w:r w:rsidRPr="0002749B">
        <w:t>â</w:t>
      </w:r>
      <w:r w:rsidRPr="00AD28A7">
        <w:t>timents à proximité du bâtiment de l’aéroport</w:t>
      </w:r>
      <w:r w:rsidRPr="007F1170">
        <w:rPr>
          <w:rStyle w:val="FootnoteReference"/>
        </w:rPr>
        <w:footnoteReference w:id="130"/>
      </w:r>
      <w:r w:rsidRPr="00AD28A7">
        <w:t>.</w:t>
      </w:r>
    </w:p>
    <w:p w14:paraId="5256EAB0" w14:textId="269D0B59" w:rsidR="00771DAE" w:rsidRPr="00AD28A7" w:rsidRDefault="00771DAE" w:rsidP="005965F3">
      <w:pPr>
        <w:pStyle w:val="BodyText"/>
        <w:tabs>
          <w:tab w:val="left" w:pos="1559"/>
          <w:tab w:val="left" w:pos="1984"/>
          <w:tab w:val="left" w:leader="dot" w:pos="7654"/>
          <w:tab w:val="right" w:pos="8929"/>
        </w:tabs>
        <w:spacing w:line="240" w:lineRule="atLeast"/>
        <w:ind w:left="1138" w:right="1138" w:firstLine="0"/>
      </w:pPr>
      <w:r w:rsidRPr="00AD28A7">
        <w:t xml:space="preserve">Il </w:t>
      </w:r>
      <w:r>
        <w:t>y a eu</w:t>
      </w:r>
      <w:r w:rsidRPr="00AD28A7">
        <w:t xml:space="preserve"> des affrontements entre les miliciens Kamuina Nsapu et des FARDC au cours desquels les militaires ont utilisé des lance</w:t>
      </w:r>
      <w:r w:rsidR="00F96381">
        <w:t>-</w:t>
      </w:r>
      <w:r w:rsidRPr="00AD28A7">
        <w:t>roquettes</w:t>
      </w:r>
      <w:r w:rsidRPr="007F1170">
        <w:rPr>
          <w:rStyle w:val="FootnoteReference"/>
        </w:rPr>
        <w:footnoteReference w:id="131"/>
      </w:r>
      <w:r w:rsidRPr="00AD28A7">
        <w:t xml:space="preserve">. Un </w:t>
      </w:r>
      <w:r>
        <w:t xml:space="preserve">élément </w:t>
      </w:r>
      <w:r w:rsidRPr="00AD28A7">
        <w:t xml:space="preserve">FARDC a donné l’ordre </w:t>
      </w:r>
      <w:r w:rsidRPr="005965F3">
        <w:t>de tirer sur tout ce qui bougeait dans l’aéroport</w:t>
      </w:r>
      <w:r w:rsidRPr="007F1170">
        <w:rPr>
          <w:rStyle w:val="FootnoteReference"/>
        </w:rPr>
        <w:footnoteReference w:id="132"/>
      </w:r>
      <w:r w:rsidRPr="005965F3">
        <w:t xml:space="preserve">. </w:t>
      </w:r>
      <w:r w:rsidRPr="00AD28A7">
        <w:t xml:space="preserve">Un témoin </w:t>
      </w:r>
      <w:r w:rsidR="00F96381">
        <w:t>affirm</w:t>
      </w:r>
      <w:r w:rsidR="00F96381" w:rsidRPr="00AD28A7">
        <w:t xml:space="preserve">e </w:t>
      </w:r>
      <w:r w:rsidRPr="00AD28A7">
        <w:t xml:space="preserve">avoir vu une vingtaine de corps de miliciens Kamuina Nsapu et de </w:t>
      </w:r>
      <w:r>
        <w:t>FARDC</w:t>
      </w:r>
      <w:r w:rsidRPr="00AD28A7">
        <w:t xml:space="preserve"> à proximité de l’aéroport ce jour-là. </w:t>
      </w:r>
      <w:r>
        <w:t>L</w:t>
      </w:r>
      <w:r w:rsidRPr="00AD28A7">
        <w:t>es miliciens étaient nombreux</w:t>
      </w:r>
      <w:r>
        <w:t>, composés notamment de garçons et de filles et étaient munis de</w:t>
      </w:r>
      <w:r w:rsidRPr="00AD28A7">
        <w:t xml:space="preserve"> bâtons, couteaux</w:t>
      </w:r>
      <w:r w:rsidR="00F96381">
        <w:t xml:space="preserve">, </w:t>
      </w:r>
      <w:r w:rsidRPr="00AD28A7">
        <w:t xml:space="preserve">machettes et de fusils </w:t>
      </w:r>
      <w:r>
        <w:t>de chasse</w:t>
      </w:r>
      <w:r w:rsidRPr="007F1170">
        <w:rPr>
          <w:rStyle w:val="FootnoteReference"/>
        </w:rPr>
        <w:footnoteReference w:id="133"/>
      </w:r>
      <w:r w:rsidRPr="00AD28A7">
        <w:t xml:space="preserve">. Les </w:t>
      </w:r>
      <w:r>
        <w:t xml:space="preserve">FARDC </w:t>
      </w:r>
      <w:r w:rsidRPr="00AD28A7">
        <w:t>pr</w:t>
      </w:r>
      <w:r>
        <w:t>ésents à l’aéroport étaient arrivés</w:t>
      </w:r>
      <w:r w:rsidRPr="00AD28A7">
        <w:t xml:space="preserve"> de </w:t>
      </w:r>
      <w:r>
        <w:t xml:space="preserve">l’EFO et </w:t>
      </w:r>
      <w:r w:rsidRPr="00AD28A7">
        <w:t xml:space="preserve">parlaient </w:t>
      </w:r>
      <w:r>
        <w:t>s</w:t>
      </w:r>
      <w:r w:rsidRPr="00AD28A7">
        <w:t>wahili</w:t>
      </w:r>
      <w:r w:rsidRPr="007F1170">
        <w:rPr>
          <w:rStyle w:val="FootnoteReference"/>
        </w:rPr>
        <w:footnoteReference w:id="134"/>
      </w:r>
      <w:r w:rsidRPr="00AD28A7">
        <w:t xml:space="preserve">. </w:t>
      </w:r>
      <w:r>
        <w:t xml:space="preserve">Dans les heures qui ont suivi </w:t>
      </w:r>
      <w:r w:rsidRPr="00AD28A7">
        <w:t xml:space="preserve">l’attaque de l’aéroport, les FARDC </w:t>
      </w:r>
      <w:r w:rsidRPr="005965F3">
        <w:t>ont tiré des roquettes sur des quartiers Aholé et Kamapongo situés à proximité de l’aéroport. Ils sont ensuite venus ramasser les cadavres de civils pour les ramener à l’EFO</w:t>
      </w:r>
      <w:r w:rsidRPr="007F1170">
        <w:rPr>
          <w:rStyle w:val="FootnoteReference"/>
        </w:rPr>
        <w:footnoteReference w:id="135"/>
      </w:r>
      <w:r w:rsidRPr="005965F3">
        <w:t>.</w:t>
      </w:r>
    </w:p>
    <w:p w14:paraId="6B7639E7" w14:textId="24F2F80E" w:rsidR="00771DAE" w:rsidRPr="00AD28A7" w:rsidRDefault="00771DAE" w:rsidP="005965F3">
      <w:pPr>
        <w:pStyle w:val="BodyText"/>
        <w:tabs>
          <w:tab w:val="left" w:pos="1559"/>
          <w:tab w:val="left" w:pos="1984"/>
          <w:tab w:val="left" w:leader="dot" w:pos="7654"/>
          <w:tab w:val="right" w:pos="8929"/>
        </w:tabs>
        <w:spacing w:line="240" w:lineRule="atLeast"/>
        <w:ind w:left="1138" w:right="1138" w:firstLine="0"/>
      </w:pPr>
      <w:r w:rsidRPr="00AD28A7">
        <w:t>Un premier bilan dressé par la MONUSCO faisait d’état d’au moins 50 miliciens</w:t>
      </w:r>
      <w:r>
        <w:t xml:space="preserve"> Kamuina Nsapu, 16 FARDC et PNC</w:t>
      </w:r>
      <w:r w:rsidRPr="00AD28A7">
        <w:t>, ainsi que</w:t>
      </w:r>
      <w:r>
        <w:t xml:space="preserve"> de</w:t>
      </w:r>
      <w:r w:rsidRPr="00AD28A7">
        <w:t xml:space="preserve"> six civils</w:t>
      </w:r>
      <w:r>
        <w:t xml:space="preserve"> tués</w:t>
      </w:r>
      <w:r w:rsidRPr="007F1170">
        <w:rPr>
          <w:rStyle w:val="FootnoteReference"/>
        </w:rPr>
        <w:footnoteReference w:id="136"/>
      </w:r>
      <w:r>
        <w:t>.</w:t>
      </w:r>
      <w:r w:rsidRPr="00AD28A7">
        <w:t xml:space="preserve"> D’après une mission d’enquête spéciale conduite par le </w:t>
      </w:r>
      <w:r w:rsidR="00D02559">
        <w:t xml:space="preserve">BCNUDH de la </w:t>
      </w:r>
      <w:r w:rsidRPr="00D37CAD">
        <w:t xml:space="preserve">MONUSCO et </w:t>
      </w:r>
      <w:r w:rsidRPr="00AD28A7">
        <w:t>déployée début novembre 2016</w:t>
      </w:r>
      <w:r w:rsidRPr="005965F3">
        <w:t xml:space="preserve">, </w:t>
      </w:r>
      <w:r w:rsidRPr="00287C44">
        <w:t xml:space="preserve">au cours de ces deux jours d’affrontements au moins six civils, huit éléments des forces de défense et de sécurité et environ 170 miliciens Kamuina Nsapu </w:t>
      </w:r>
      <w:r>
        <w:t>ont</w:t>
      </w:r>
      <w:r w:rsidRPr="00287C44">
        <w:t xml:space="preserve"> été tués. De plus, au moins 37 personnes </w:t>
      </w:r>
      <w:r>
        <w:t xml:space="preserve">ont </w:t>
      </w:r>
      <w:r w:rsidRPr="00287C44">
        <w:t xml:space="preserve">été blessées – principalement lors de mouvements de panique de la population– dont 29 enfants, ainsi que le </w:t>
      </w:r>
      <w:r w:rsidRPr="00D37CAD">
        <w:t>commandant d</w:t>
      </w:r>
      <w:r>
        <w:t>e la PNC de la ville de Kananga</w:t>
      </w:r>
      <w:r w:rsidRPr="007F1170">
        <w:rPr>
          <w:rStyle w:val="FootnoteReference"/>
        </w:rPr>
        <w:footnoteReference w:id="137"/>
      </w:r>
      <w:r w:rsidRPr="00287C44">
        <w:t>.</w:t>
      </w:r>
    </w:p>
    <w:p w14:paraId="31983633" w14:textId="0250EE5F" w:rsidR="00771DAE" w:rsidRPr="00AD28A7" w:rsidRDefault="00771DAE" w:rsidP="005965F3">
      <w:pPr>
        <w:pStyle w:val="BodyText"/>
        <w:tabs>
          <w:tab w:val="left" w:pos="1559"/>
          <w:tab w:val="left" w:pos="1984"/>
          <w:tab w:val="left" w:leader="dot" w:pos="7654"/>
          <w:tab w:val="right" w:pos="8929"/>
        </w:tabs>
        <w:spacing w:line="240" w:lineRule="atLeast"/>
        <w:ind w:left="1138" w:right="1138" w:firstLine="0"/>
      </w:pPr>
      <w:r>
        <w:t xml:space="preserve">Fin septembre 2016, en répression </w:t>
      </w:r>
      <w:r w:rsidRPr="00AD28A7">
        <w:t xml:space="preserve">à l’attaque de l’aéroport de Kananga par </w:t>
      </w:r>
      <w:r>
        <w:t>la milice</w:t>
      </w:r>
      <w:r w:rsidRPr="00AD28A7">
        <w:t xml:space="preserve"> Kamuina Nsapu, les FARDC ont commis des exacti</w:t>
      </w:r>
      <w:r w:rsidR="000C0568">
        <w:t>ons contre la population civile</w:t>
      </w:r>
      <w:r w:rsidRPr="00AD28A7">
        <w:t xml:space="preserve"> lors d’opérations dans les rues de Kananga et </w:t>
      </w:r>
      <w:r>
        <w:t xml:space="preserve">d’autres </w:t>
      </w:r>
      <w:r w:rsidRPr="00AD28A7">
        <w:t>dites « porte-</w:t>
      </w:r>
      <w:r>
        <w:t>à-p</w:t>
      </w:r>
      <w:r w:rsidRPr="00AD28A7">
        <w:t xml:space="preserve">orte » visant à la traque des miliciens. </w:t>
      </w:r>
      <w:r>
        <w:t>Au cours de ces opérations</w:t>
      </w:r>
      <w:r w:rsidRPr="00AD28A7">
        <w:t xml:space="preserve">, les FARDC ont blessé, tué et violé indistinctement des </w:t>
      </w:r>
      <w:r>
        <w:t>membres de la population civile</w:t>
      </w:r>
      <w:r w:rsidR="000C0568">
        <w:t>.</w:t>
      </w:r>
    </w:p>
    <w:p w14:paraId="37640FEE" w14:textId="75D56443" w:rsidR="00771DAE" w:rsidRPr="00AD28A7" w:rsidRDefault="00771DAE" w:rsidP="005965F3">
      <w:pPr>
        <w:pStyle w:val="BodyText"/>
        <w:tabs>
          <w:tab w:val="left" w:pos="1559"/>
          <w:tab w:val="left" w:pos="1984"/>
          <w:tab w:val="left" w:leader="dot" w:pos="7654"/>
          <w:tab w:val="right" w:pos="8929"/>
        </w:tabs>
        <w:spacing w:line="240" w:lineRule="atLeast"/>
        <w:ind w:left="1138" w:right="1138" w:firstLine="0"/>
      </w:pPr>
      <w:r w:rsidRPr="00AD28A7">
        <w:t xml:space="preserve">Par exemple, le 28 septembre 2016, un témoin a vu un </w:t>
      </w:r>
      <w:r>
        <w:t>élément</w:t>
      </w:r>
      <w:r w:rsidRPr="00AD28A7">
        <w:t xml:space="preserve"> FARDC </w:t>
      </w:r>
      <w:r w:rsidR="0070329F" w:rsidRPr="00287C44">
        <w:t>tir</w:t>
      </w:r>
      <w:r w:rsidR="0070329F">
        <w:t>er</w:t>
      </w:r>
      <w:r w:rsidR="0070329F" w:rsidRPr="00287C44">
        <w:t xml:space="preserve"> </w:t>
      </w:r>
      <w:r w:rsidRPr="00287C44">
        <w:t xml:space="preserve">à bout portant sur un </w:t>
      </w:r>
      <w:r w:rsidR="0070329F">
        <w:t>écolier</w:t>
      </w:r>
      <w:r w:rsidRPr="00287C44">
        <w:t xml:space="preserve"> d’environ 12 ans vers la maison du barreau dans le centre-ville de Kananga</w:t>
      </w:r>
      <w:r w:rsidRPr="007F1170">
        <w:rPr>
          <w:rStyle w:val="FootnoteReference"/>
        </w:rPr>
        <w:footnoteReference w:id="138"/>
      </w:r>
      <w:r w:rsidRPr="00287C44">
        <w:t xml:space="preserve">. </w:t>
      </w:r>
      <w:r w:rsidRPr="00AD28A7">
        <w:t>Toujours fin septembre 2016, une femme en fuite</w:t>
      </w:r>
      <w:r>
        <w:t xml:space="preserve"> près de la commune de Nganza</w:t>
      </w:r>
      <w:r w:rsidRPr="00AD28A7">
        <w:t>, a été rattrapé</w:t>
      </w:r>
      <w:r>
        <w:t>e</w:t>
      </w:r>
      <w:r w:rsidRPr="00AD28A7">
        <w:t xml:space="preserve"> par trois FARDC. Après l’avoir accusé</w:t>
      </w:r>
      <w:r>
        <w:t>e</w:t>
      </w:r>
      <w:r w:rsidRPr="00AD28A7">
        <w:t xml:space="preserve"> d’</w:t>
      </w:r>
      <w:r w:rsidR="0070329F">
        <w:t>appartenir à</w:t>
      </w:r>
      <w:r w:rsidRPr="00AD28A7">
        <w:t xml:space="preserve"> la milice Kamuina Nsa</w:t>
      </w:r>
      <w:r>
        <w:t>p</w:t>
      </w:r>
      <w:r w:rsidRPr="00AD28A7">
        <w:t>u, les soldats l’ont battu</w:t>
      </w:r>
      <w:r>
        <w:t>e</w:t>
      </w:r>
      <w:r w:rsidRPr="00AD28A7">
        <w:t xml:space="preserve"> puis déshabillé</w:t>
      </w:r>
      <w:r>
        <w:t>e</w:t>
      </w:r>
      <w:r w:rsidRPr="00AD28A7">
        <w:t xml:space="preserve">. Deux des trois </w:t>
      </w:r>
      <w:r>
        <w:t>éléments</w:t>
      </w:r>
      <w:r w:rsidRPr="00AD28A7">
        <w:t xml:space="preserve"> FARDC l’ont </w:t>
      </w:r>
      <w:r>
        <w:t>violée</w:t>
      </w:r>
      <w:r w:rsidRPr="00AD28A7">
        <w:t xml:space="preserve"> avant de la laisser partir</w:t>
      </w:r>
      <w:r w:rsidRPr="007F1170">
        <w:rPr>
          <w:rStyle w:val="FootnoteReference"/>
        </w:rPr>
        <w:footnoteReference w:id="139"/>
      </w:r>
      <w:r w:rsidRPr="00AD28A7">
        <w:t xml:space="preserve">. Un habitant de Kananga témoigne qu’au cours de la même période, une dizaine de personnes se trouvaient dans sa maison lorsque des FARDC sont entrés et </w:t>
      </w:r>
      <w:r w:rsidR="0070329F">
        <w:t xml:space="preserve">y </w:t>
      </w:r>
      <w:r w:rsidRPr="00AD28A7">
        <w:t xml:space="preserve">ont ligoté toutes les personnes présentes. Les membres des FARDC ont </w:t>
      </w:r>
      <w:r>
        <w:t>violés</w:t>
      </w:r>
      <w:r w:rsidRPr="00AD28A7">
        <w:t xml:space="preserve"> les femmes</w:t>
      </w:r>
      <w:r>
        <w:t xml:space="preserve"> </w:t>
      </w:r>
      <w:r w:rsidR="0070329F">
        <w:t>qui se trouvaient là</w:t>
      </w:r>
      <w:r w:rsidRPr="00AD28A7">
        <w:t xml:space="preserve">. </w:t>
      </w:r>
      <w:r>
        <w:t>Ensuite, reprochant à</w:t>
      </w:r>
      <w:r w:rsidRPr="00AD28A7">
        <w:t xml:space="preserve"> la femme du témoin de l’avoir détaché</w:t>
      </w:r>
      <w:r>
        <w:t>,</w:t>
      </w:r>
      <w:r w:rsidRPr="00AD28A7">
        <w:t xml:space="preserve"> les </w:t>
      </w:r>
      <w:r>
        <w:t xml:space="preserve">FARDC </w:t>
      </w:r>
      <w:r w:rsidRPr="00AD28A7">
        <w:t>l’ont violé</w:t>
      </w:r>
      <w:r>
        <w:t>e</w:t>
      </w:r>
      <w:r w:rsidRPr="00AD28A7">
        <w:t xml:space="preserve"> et tué</w:t>
      </w:r>
      <w:r>
        <w:t>e</w:t>
      </w:r>
      <w:r w:rsidRPr="007F1170">
        <w:rPr>
          <w:rStyle w:val="FootnoteReference"/>
        </w:rPr>
        <w:footnoteReference w:id="140"/>
      </w:r>
      <w:r w:rsidRPr="00AD28A7">
        <w:t xml:space="preserve">. Suivant le même mode opératoire et au cours de la même période, six </w:t>
      </w:r>
      <w:r>
        <w:t xml:space="preserve">FARDC </w:t>
      </w:r>
      <w:r w:rsidRPr="00AD28A7">
        <w:t>sont entrés dans la maison d’un témoin en fracturant la porte</w:t>
      </w:r>
      <w:r w:rsidR="0070329F">
        <w:t xml:space="preserve"> de son habitation</w:t>
      </w:r>
      <w:r w:rsidRPr="00AD28A7">
        <w:t xml:space="preserve">. Après avoir ligoté les neuf personnes présentes dans la maison, ils ont enfermé la femme du témoin dans une chambre. </w:t>
      </w:r>
      <w:r>
        <w:t>Les six FARDC</w:t>
      </w:r>
      <w:r w:rsidRPr="00AD28A7">
        <w:t xml:space="preserve"> l’ont violé</w:t>
      </w:r>
      <w:r w:rsidR="000C0568">
        <w:t>e</w:t>
      </w:r>
      <w:r w:rsidRPr="00AD28A7">
        <w:t xml:space="preserve"> avant de la tuer de deux balles dans la tête et la poitrine </w:t>
      </w:r>
      <w:r>
        <w:t>et</w:t>
      </w:r>
      <w:r w:rsidRPr="00AD28A7">
        <w:t xml:space="preserve"> de quitter la maison. Juste après</w:t>
      </w:r>
      <w:r w:rsidR="0070329F">
        <w:t>,</w:t>
      </w:r>
      <w:r w:rsidRPr="00AD28A7">
        <w:t xml:space="preserve"> sa fille de six ans a reçu une balle dans la poitrine</w:t>
      </w:r>
      <w:r>
        <w:t xml:space="preserve"> et est décédée</w:t>
      </w:r>
      <w:r w:rsidRPr="007F1170">
        <w:rPr>
          <w:rStyle w:val="FootnoteReference"/>
        </w:rPr>
        <w:footnoteReference w:id="141"/>
      </w:r>
      <w:r w:rsidRPr="00AD28A7">
        <w:t>.</w:t>
      </w:r>
    </w:p>
    <w:p w14:paraId="14C3E94B" w14:textId="640AD65E" w:rsidR="00771DAE" w:rsidRPr="00AD28A7" w:rsidRDefault="00771DAE" w:rsidP="005965F3">
      <w:pPr>
        <w:pStyle w:val="BodyText"/>
        <w:tabs>
          <w:tab w:val="left" w:pos="1559"/>
          <w:tab w:val="left" w:pos="1984"/>
          <w:tab w:val="left" w:leader="dot" w:pos="7654"/>
          <w:tab w:val="right" w:pos="8929"/>
        </w:tabs>
        <w:spacing w:line="240" w:lineRule="atLeast"/>
        <w:ind w:left="1138" w:right="1138" w:firstLine="0"/>
      </w:pPr>
      <w:r w:rsidRPr="00AD28A7">
        <w:t xml:space="preserve">D’après une mission d’enquête spéciale conduite par le </w:t>
      </w:r>
      <w:r>
        <w:t xml:space="preserve">BCNUDH de la </w:t>
      </w:r>
      <w:r w:rsidRPr="00D37CAD">
        <w:t>MONUSCO</w:t>
      </w:r>
      <w:r>
        <w:t>,</w:t>
      </w:r>
      <w:r w:rsidRPr="00D37CAD">
        <w:t xml:space="preserve"> </w:t>
      </w:r>
      <w:r w:rsidRPr="00287C44">
        <w:t>entre le 23 septembre et le 30 octobre 2016, les militaires du 2011</w:t>
      </w:r>
      <w:r w:rsidRPr="000C0568">
        <w:rPr>
          <w:vertAlign w:val="superscript"/>
        </w:rPr>
        <w:t>ème</w:t>
      </w:r>
      <w:r w:rsidRPr="005965F3">
        <w:t xml:space="preserve"> </w:t>
      </w:r>
      <w:r w:rsidRPr="00287C44">
        <w:t xml:space="preserve">régiment des </w:t>
      </w:r>
      <w:r w:rsidRPr="008F25D6">
        <w:t>FARDC basés à Kananga,</w:t>
      </w:r>
      <w:r w:rsidRPr="00287C44">
        <w:t xml:space="preserve"> appuyés par les éléments de la 21</w:t>
      </w:r>
      <w:r w:rsidRPr="006438BD">
        <w:rPr>
          <w:vertAlign w:val="superscript"/>
        </w:rPr>
        <w:t>ème</w:t>
      </w:r>
      <w:r w:rsidRPr="00287C44">
        <w:t xml:space="preserve"> Région militaire</w:t>
      </w:r>
      <w:r>
        <w:t xml:space="preserve"> </w:t>
      </w:r>
      <w:r w:rsidRPr="00287C44">
        <w:t>des FARDC</w:t>
      </w:r>
      <w:r>
        <w:t>,</w:t>
      </w:r>
      <w:r w:rsidRPr="00287C44">
        <w:t xml:space="preserve"> </w:t>
      </w:r>
      <w:r>
        <w:t>ont</w:t>
      </w:r>
      <w:r w:rsidRPr="00287C44">
        <w:t xml:space="preserve"> lancé une série d’attaques et de traque pour contrer les miliciens Kamuina Nsapu dans leur retraite, dans plusieurs villages, notamment à M</w:t>
      </w:r>
      <w:r w:rsidR="009C4DA1">
        <w:t>w</w:t>
      </w:r>
      <w:r w:rsidRPr="00287C44">
        <w:t xml:space="preserve">amba Mbuyi et Tshimpidinga, </w:t>
      </w:r>
      <w:r>
        <w:t>dans les environs de</w:t>
      </w:r>
      <w:r w:rsidRPr="00287C44">
        <w:t xml:space="preserve"> Kananga. Au moins 44 personnes</w:t>
      </w:r>
      <w:r>
        <w:t>,</w:t>
      </w:r>
      <w:r w:rsidRPr="00287C44">
        <w:t xml:space="preserve"> </w:t>
      </w:r>
      <w:r>
        <w:t>dont</w:t>
      </w:r>
      <w:r w:rsidRPr="00287C44">
        <w:t xml:space="preserve"> au moins neuf femmes</w:t>
      </w:r>
      <w:r w:rsidR="0070329F">
        <w:t xml:space="preserve">, </w:t>
      </w:r>
      <w:r w:rsidRPr="00287C44">
        <w:t>trois filles</w:t>
      </w:r>
      <w:r>
        <w:t xml:space="preserve"> et trois garçons,</w:t>
      </w:r>
      <w:r w:rsidRPr="00287C44">
        <w:t xml:space="preserve"> ont été victimes d’exécutions </w:t>
      </w:r>
      <w:r>
        <w:t>sommaires</w:t>
      </w:r>
      <w:r w:rsidRPr="00287C44">
        <w:t xml:space="preserve"> par </w:t>
      </w:r>
      <w:r>
        <w:t>des FARDC à Tshimpidinga</w:t>
      </w:r>
      <w:r w:rsidRPr="00287C44">
        <w:t xml:space="preserve">. La mission d’enquête a également pu vérifier </w:t>
      </w:r>
      <w:r>
        <w:t>dans c</w:t>
      </w:r>
      <w:r w:rsidRPr="00287C44">
        <w:t xml:space="preserve">e même village </w:t>
      </w:r>
      <w:r>
        <w:t>la disparition</w:t>
      </w:r>
      <w:r w:rsidRPr="00287C44">
        <w:t xml:space="preserve"> d’au moins six personnes, parmi lesquelles un </w:t>
      </w:r>
      <w:r w:rsidR="0070329F">
        <w:t>garçon</w:t>
      </w:r>
      <w:r w:rsidR="0070329F" w:rsidRPr="00287C44">
        <w:t xml:space="preserve"> </w:t>
      </w:r>
      <w:r w:rsidRPr="00287C44">
        <w:t>de 15 ans</w:t>
      </w:r>
      <w:r>
        <w:t>.</w:t>
      </w:r>
      <w:r w:rsidRPr="00287C44">
        <w:t xml:space="preserve"> </w:t>
      </w:r>
      <w:r>
        <w:t>A</w:t>
      </w:r>
      <w:r w:rsidRPr="00287C44">
        <w:t xml:space="preserve">u moins quatre personnes, parmi lesquelles un </w:t>
      </w:r>
      <w:r w:rsidR="0070329F">
        <w:t>garçon</w:t>
      </w:r>
      <w:r w:rsidR="0070329F" w:rsidRPr="00287C44">
        <w:t xml:space="preserve"> </w:t>
      </w:r>
      <w:r w:rsidRPr="00287C44">
        <w:t xml:space="preserve">de </w:t>
      </w:r>
      <w:r w:rsidR="0070329F" w:rsidRPr="00287C44">
        <w:t>15</w:t>
      </w:r>
      <w:r w:rsidR="0070329F">
        <w:t> </w:t>
      </w:r>
      <w:r w:rsidRPr="00287C44">
        <w:t xml:space="preserve">ans, </w:t>
      </w:r>
      <w:r>
        <w:t xml:space="preserve">ont </w:t>
      </w:r>
      <w:r w:rsidRPr="00287C44">
        <w:t>été blessé</w:t>
      </w:r>
      <w:r w:rsidR="0070329F">
        <w:t>es</w:t>
      </w:r>
      <w:r w:rsidRPr="00287C44">
        <w:t xml:space="preserve"> </w:t>
      </w:r>
      <w:r>
        <w:t xml:space="preserve">par des FARDC </w:t>
      </w:r>
      <w:r w:rsidRPr="00287C44">
        <w:t xml:space="preserve">pendant qu’elles </w:t>
      </w:r>
      <w:r w:rsidR="0070329F">
        <w:t xml:space="preserve">fuyaient à </w:t>
      </w:r>
      <w:r w:rsidRPr="00287C44">
        <w:t>l’arrivée des militaires dans le village</w:t>
      </w:r>
      <w:r w:rsidRPr="007F1170">
        <w:rPr>
          <w:rStyle w:val="FootnoteReference"/>
        </w:rPr>
        <w:footnoteReference w:id="142"/>
      </w:r>
      <w:r w:rsidRPr="00287C44">
        <w:t xml:space="preserve">. </w:t>
      </w:r>
    </w:p>
    <w:p w14:paraId="3AD98ED4" w14:textId="1EF6B61D" w:rsidR="00771DAE" w:rsidRPr="00AD28A7" w:rsidRDefault="00771DAE" w:rsidP="005965F3">
      <w:pPr>
        <w:pStyle w:val="BodyText"/>
        <w:tabs>
          <w:tab w:val="left" w:pos="1559"/>
          <w:tab w:val="left" w:pos="1984"/>
          <w:tab w:val="left" w:leader="dot" w:pos="7654"/>
          <w:tab w:val="right" w:pos="8929"/>
        </w:tabs>
        <w:spacing w:line="240" w:lineRule="atLeast"/>
        <w:ind w:left="1138" w:right="1138" w:firstLine="0"/>
      </w:pPr>
      <w:r w:rsidRPr="00AD28A7">
        <w:t xml:space="preserve">Entre septembre et décembre 2016, les affrontements entre les miliciens Kamuina Nsapu et les forces de défense </w:t>
      </w:r>
      <w:r>
        <w:t>et de sécurité se sont poursuivis</w:t>
      </w:r>
      <w:r w:rsidRPr="00AD28A7">
        <w:t xml:space="preserve"> sur le territoire de Dibaya</w:t>
      </w:r>
      <w:r w:rsidR="0070329F">
        <w:t> ; ces dernières</w:t>
      </w:r>
      <w:r w:rsidRPr="00AD28A7">
        <w:t xml:space="preserve"> ont fait usage de la force </w:t>
      </w:r>
      <w:r>
        <w:t>contre des miliciens Kamuina Nsapu</w:t>
      </w:r>
      <w:r w:rsidR="0070329F">
        <w:t xml:space="preserve">. Parmi les miliciens, certains étaient des enfants </w:t>
      </w:r>
      <w:r w:rsidR="00CB42C8">
        <w:t>muni</w:t>
      </w:r>
      <w:r w:rsidR="0070329F">
        <w:t>s de bâtons ou non-armés</w:t>
      </w:r>
      <w:r>
        <w:t>.</w:t>
      </w:r>
      <w:r w:rsidR="0070329F">
        <w:t xml:space="preserve"> </w:t>
      </w:r>
      <w:r w:rsidR="0070329F" w:rsidRPr="00AD28A7">
        <w:t>Les</w:t>
      </w:r>
      <w:r w:rsidR="0070329F">
        <w:t xml:space="preserve"> </w:t>
      </w:r>
      <w:r w:rsidR="0070329F" w:rsidRPr="00AD28A7">
        <w:t xml:space="preserve">forces de défense </w:t>
      </w:r>
      <w:r w:rsidR="0070329F">
        <w:t>et de sécurité</w:t>
      </w:r>
      <w:r>
        <w:t xml:space="preserve"> </w:t>
      </w:r>
      <w:r w:rsidR="0070329F">
        <w:t>se sont livrées à</w:t>
      </w:r>
      <w:r w:rsidRPr="00AD28A7">
        <w:t xml:space="preserve"> des exactions contre la population civile du territoire de Dibaya</w:t>
      </w:r>
      <w:r w:rsidRPr="007F1170">
        <w:rPr>
          <w:rStyle w:val="FootnoteReference"/>
        </w:rPr>
        <w:footnoteReference w:id="143"/>
      </w:r>
      <w:r w:rsidRPr="00AD28A7">
        <w:t xml:space="preserve">. </w:t>
      </w:r>
    </w:p>
    <w:p w14:paraId="474937C7" w14:textId="401F01BA" w:rsidR="00771DAE" w:rsidRPr="00AD28A7" w:rsidRDefault="00771DAE" w:rsidP="005965F3">
      <w:pPr>
        <w:pStyle w:val="BodyText"/>
        <w:tabs>
          <w:tab w:val="left" w:pos="1559"/>
          <w:tab w:val="left" w:pos="1984"/>
          <w:tab w:val="left" w:leader="dot" w:pos="7654"/>
          <w:tab w:val="right" w:pos="8929"/>
        </w:tabs>
        <w:spacing w:line="240" w:lineRule="atLeast"/>
        <w:ind w:left="1138" w:right="1138" w:firstLine="0"/>
      </w:pPr>
      <w:r w:rsidRPr="00AD28A7">
        <w:t xml:space="preserve">Par exemple, </w:t>
      </w:r>
      <w:r>
        <w:t>l’EEI</w:t>
      </w:r>
      <w:r w:rsidRPr="00AD28A7">
        <w:t xml:space="preserve"> a documenté les incidents qui se sont déroulés dans le village de </w:t>
      </w:r>
      <w:r w:rsidRPr="00D37CAD">
        <w:t>Bukonde</w:t>
      </w:r>
      <w:r>
        <w:t xml:space="preserve"> les 8 et </w:t>
      </w:r>
      <w:r w:rsidRPr="00AD28A7">
        <w:t xml:space="preserve">9 décembre 2016. Le 8 décembre 2016, </w:t>
      </w:r>
      <w:r>
        <w:t xml:space="preserve">la milice </w:t>
      </w:r>
      <w:r w:rsidRPr="00AD28A7">
        <w:t xml:space="preserve">Kamuina Nsapu </w:t>
      </w:r>
      <w:r>
        <w:t>est entrée</w:t>
      </w:r>
      <w:r w:rsidRPr="00AD28A7">
        <w:t xml:space="preserve"> dans le village. L’attaque visait les symboles de l’autorité de l’Etat. Les miliciens ont incendié l’Etat-major de la PNC et </w:t>
      </w:r>
      <w:r>
        <w:t>ont cherché</w:t>
      </w:r>
      <w:r w:rsidRPr="00AD28A7">
        <w:t xml:space="preserve"> </w:t>
      </w:r>
      <w:r>
        <w:t>les agents de la PNC</w:t>
      </w:r>
      <w:r w:rsidRPr="007F1170">
        <w:rPr>
          <w:rStyle w:val="FootnoteReference"/>
        </w:rPr>
        <w:footnoteReference w:id="144"/>
      </w:r>
      <w:r w:rsidRPr="00AD28A7">
        <w:t xml:space="preserve">. Un témoin explique qu’il est intervenu pour assister une personne menacée par quatre miliciens Kamuina Nsapu qui étaient à la recherche des bureaux de l’administrateur du territoire. Les quatre miliciens l’ont alors poursuivi. Devant son refus d’indiquer la résidence des policiers, il </w:t>
      </w:r>
      <w:r w:rsidR="00E06F8D">
        <w:t>a reçu quatre coups de machette</w:t>
      </w:r>
      <w:r w:rsidRPr="00AD28A7">
        <w:t xml:space="preserve"> avant de réussir à s’enfuir</w:t>
      </w:r>
      <w:r w:rsidRPr="007F1170">
        <w:rPr>
          <w:rStyle w:val="FootnoteReference"/>
        </w:rPr>
        <w:footnoteReference w:id="145"/>
      </w:r>
      <w:r w:rsidRPr="00AD28A7">
        <w:t xml:space="preserve">. Les miliciens Kamuina Nsapu </w:t>
      </w:r>
      <w:r>
        <w:t>ont</w:t>
      </w:r>
      <w:r w:rsidRPr="00AD28A7">
        <w:t xml:space="preserve"> </w:t>
      </w:r>
      <w:r>
        <w:t xml:space="preserve">ensuite </w:t>
      </w:r>
      <w:r w:rsidRPr="00AD28A7">
        <w:t>brûlé la maison où vivaient les policiers</w:t>
      </w:r>
      <w:r w:rsidRPr="007F1170">
        <w:rPr>
          <w:rStyle w:val="FootnoteReference"/>
        </w:rPr>
        <w:footnoteReference w:id="146"/>
      </w:r>
      <w:r w:rsidRPr="00AD28A7">
        <w:t>. Un agent de l’AN</w:t>
      </w:r>
      <w:r>
        <w:t>R</w:t>
      </w:r>
      <w:r w:rsidRPr="00AD28A7">
        <w:t xml:space="preserve"> a été tué </w:t>
      </w:r>
      <w:r>
        <w:t>c</w:t>
      </w:r>
      <w:r w:rsidRPr="00AD28A7">
        <w:t xml:space="preserve">e jour-là à coups de machette par les miliciens Kamuina Nsapu. </w:t>
      </w:r>
      <w:r w:rsidRPr="00287C44">
        <w:t>Sa main droite et son pied gauche ont été coupé</w:t>
      </w:r>
      <w:r>
        <w:t>s</w:t>
      </w:r>
      <w:r w:rsidRPr="00C12589">
        <w:t xml:space="preserve"> et il avait des blessures de machette sur le visage</w:t>
      </w:r>
      <w:r w:rsidRPr="007F1170">
        <w:rPr>
          <w:rStyle w:val="FootnoteReference"/>
        </w:rPr>
        <w:footnoteReference w:id="147"/>
      </w:r>
      <w:r w:rsidRPr="00AD28A7">
        <w:t>. Un témoin raconte qu’il a dû, sous la contrainte, ramener</w:t>
      </w:r>
      <w:r>
        <w:t xml:space="preserve"> en moto</w:t>
      </w:r>
      <w:r w:rsidRPr="00AD28A7">
        <w:t xml:space="preserve"> </w:t>
      </w:r>
      <w:r w:rsidRPr="00287C44">
        <w:t>deux miliciens âgés de 12-14 ans blessés par balles</w:t>
      </w:r>
      <w:r>
        <w:t xml:space="preserve"> à Bukonde,</w:t>
      </w:r>
      <w:r w:rsidRPr="00287C44">
        <w:t xml:space="preserve"> </w:t>
      </w:r>
      <w:r>
        <w:t>vers</w:t>
      </w:r>
      <w:r w:rsidRPr="00287C44">
        <w:t xml:space="preserve"> Ts</w:t>
      </w:r>
      <w:r>
        <w:t>hibemba</w:t>
      </w:r>
      <w:r w:rsidRPr="00287C44">
        <w:t xml:space="preserve">. </w:t>
      </w:r>
      <w:r w:rsidR="00E33D37">
        <w:t>Avec</w:t>
      </w:r>
      <w:r w:rsidR="0064568E">
        <w:t xml:space="preserve"> lui</w:t>
      </w:r>
      <w:r w:rsidR="00E33D37">
        <w:t>, d</w:t>
      </w:r>
      <w:r>
        <w:t>eux</w:t>
      </w:r>
      <w:r w:rsidRPr="00287C44">
        <w:t xml:space="preserve"> autres motos </w:t>
      </w:r>
      <w:r>
        <w:t>transportaient chacune</w:t>
      </w:r>
      <w:r w:rsidRPr="00287C44">
        <w:t xml:space="preserve"> deux </w:t>
      </w:r>
      <w:r>
        <w:t>à</w:t>
      </w:r>
      <w:r w:rsidRPr="005372AE">
        <w:t xml:space="preserve"> </w:t>
      </w:r>
      <w:r w:rsidRPr="00287C44">
        <w:t>trois miliciens (deux majeurs et trois mineurs), tous blessés par balle</w:t>
      </w:r>
      <w:r w:rsidRPr="006462FC">
        <w:t xml:space="preserve"> </w:t>
      </w:r>
      <w:r>
        <w:t>lors de l’attaque de Bukonde</w:t>
      </w:r>
      <w:r w:rsidRPr="005965F3">
        <w:t xml:space="preserve"> </w:t>
      </w:r>
      <w:r w:rsidRPr="007F1170">
        <w:rPr>
          <w:rStyle w:val="FootnoteReference"/>
        </w:rPr>
        <w:footnoteReference w:id="148"/>
      </w:r>
      <w:r>
        <w:t>.</w:t>
      </w:r>
    </w:p>
    <w:p w14:paraId="5EEDA22F" w14:textId="65120F61" w:rsidR="00771DAE" w:rsidRPr="00AD28A7" w:rsidRDefault="00771DAE" w:rsidP="005965F3">
      <w:pPr>
        <w:pStyle w:val="BodyText"/>
        <w:tabs>
          <w:tab w:val="left" w:pos="1559"/>
          <w:tab w:val="left" w:pos="1984"/>
          <w:tab w:val="left" w:leader="dot" w:pos="7654"/>
          <w:tab w:val="right" w:pos="8929"/>
        </w:tabs>
        <w:spacing w:line="240" w:lineRule="atLeast"/>
        <w:ind w:left="1138" w:right="1138" w:firstLine="0"/>
      </w:pPr>
      <w:r w:rsidRPr="003013A3">
        <w:t>Les FARDC sont arrivés à Bukonde le matin du 9 décembre 2016 en camion</w:t>
      </w:r>
      <w:r w:rsidRPr="007F1170">
        <w:rPr>
          <w:rStyle w:val="FootnoteReference"/>
        </w:rPr>
        <w:footnoteReference w:id="149"/>
      </w:r>
      <w:r w:rsidRPr="003013A3">
        <w:t>. Les miliciens Kamuina Nsapu ont fait une seconde incursion dans le village ce même jour. Les miliciens Kamuina Nsapu</w:t>
      </w:r>
      <w:r>
        <w:t>, y compris des</w:t>
      </w:r>
      <w:r w:rsidRPr="003013A3">
        <w:t xml:space="preserve"> femmes</w:t>
      </w:r>
      <w:r w:rsidR="001C0B43">
        <w:t>,</w:t>
      </w:r>
      <w:r w:rsidRPr="003013A3">
        <w:t xml:space="preserve"> </w:t>
      </w:r>
      <w:r>
        <w:t>des filles et des garçons</w:t>
      </w:r>
      <w:r w:rsidRPr="003013A3">
        <w:t xml:space="preserve"> sont revenus en plus grand nombre - une centaine environ - armés de de couteaux, machettes, bâtons et de quelques fusils de fabrication locale</w:t>
      </w:r>
      <w:r w:rsidRPr="007F1170">
        <w:rPr>
          <w:rStyle w:val="FootnoteReference"/>
        </w:rPr>
        <w:footnoteReference w:id="150"/>
      </w:r>
      <w:r w:rsidRPr="003013A3">
        <w:t>.</w:t>
      </w:r>
      <w:r>
        <w:t xml:space="preserve"> </w:t>
      </w:r>
      <w:r w:rsidRPr="003013A3">
        <w:t>De violents affrontements ont eu lieu entre les miliciens Kamuina Nsapu</w:t>
      </w:r>
      <w:r>
        <w:t xml:space="preserve"> et les </w:t>
      </w:r>
      <w:r w:rsidR="00C76DD9">
        <w:t>FARDC</w:t>
      </w:r>
      <w:r w:rsidRPr="007F1170">
        <w:rPr>
          <w:rStyle w:val="FootnoteReference"/>
        </w:rPr>
        <w:footnoteReference w:id="151"/>
      </w:r>
      <w:r w:rsidRPr="003013A3">
        <w:t xml:space="preserve">. Un témoin indique qu’il a vu les corps de trois </w:t>
      </w:r>
      <w:r>
        <w:t>enfants</w:t>
      </w:r>
      <w:r w:rsidRPr="003013A3">
        <w:t xml:space="preserve"> et deux adultes tués par balle à proximité des FARDC</w:t>
      </w:r>
      <w:r w:rsidRPr="007F1170">
        <w:rPr>
          <w:rStyle w:val="FootnoteReference"/>
        </w:rPr>
        <w:footnoteReference w:id="152"/>
      </w:r>
      <w:r w:rsidRPr="003013A3">
        <w:t xml:space="preserve"> </w:t>
      </w:r>
      <w:r>
        <w:t xml:space="preserve">De </w:t>
      </w:r>
      <w:r w:rsidRPr="00E27EEC">
        <w:t>nombreux corps de miliciens ont été enterrés par les FARDC dans une mangeoire à cochons et d’autres cadavres ont été enterrés par la Croix-Rouge</w:t>
      </w:r>
      <w:r w:rsidR="00FA2F05">
        <w:t xml:space="preserve"> congolaise</w:t>
      </w:r>
      <w:r w:rsidRPr="007F1170">
        <w:rPr>
          <w:rStyle w:val="FootnoteReference"/>
        </w:rPr>
        <w:footnoteReference w:id="153"/>
      </w:r>
      <w:r w:rsidRPr="00E27EEC">
        <w:t>.</w:t>
      </w:r>
      <w:r w:rsidR="00C76DD9">
        <w:t xml:space="preserve"> </w:t>
      </w:r>
      <w:r w:rsidRPr="00287C44">
        <w:t>Les FARDC sont restés dans le</w:t>
      </w:r>
      <w:r w:rsidRPr="00AD28A7">
        <w:t xml:space="preserve"> village de </w:t>
      </w:r>
      <w:r w:rsidRPr="009463CD">
        <w:t>Bukonde</w:t>
      </w:r>
      <w:r w:rsidRPr="00AD28A7">
        <w:t xml:space="preserve"> après </w:t>
      </w:r>
      <w:r>
        <w:t xml:space="preserve">cet incident </w:t>
      </w:r>
      <w:r w:rsidRPr="00AD28A7">
        <w:t>et ont pillé les maisons des villageois qui avaient fui les violences et tué à l’arme automatique au moins un civil qu’ils auraient pris pour un milicien</w:t>
      </w:r>
      <w:r w:rsidRPr="007F1170">
        <w:rPr>
          <w:rStyle w:val="FootnoteReference"/>
        </w:rPr>
        <w:footnoteReference w:id="154"/>
      </w:r>
      <w:r w:rsidRPr="00AD28A7">
        <w:t>.</w:t>
      </w:r>
    </w:p>
    <w:p w14:paraId="5D73DD8F" w14:textId="01F088E8" w:rsidR="00771DAE" w:rsidRDefault="00771DAE" w:rsidP="005965F3">
      <w:pPr>
        <w:pStyle w:val="BodyText"/>
        <w:tabs>
          <w:tab w:val="left" w:pos="1559"/>
          <w:tab w:val="left" w:pos="1984"/>
          <w:tab w:val="left" w:leader="dot" w:pos="7654"/>
          <w:tab w:val="right" w:pos="8929"/>
        </w:tabs>
        <w:spacing w:line="240" w:lineRule="atLeast"/>
        <w:ind w:left="1138" w:right="1138" w:firstLine="0"/>
      </w:pPr>
      <w:r w:rsidRPr="00AD28A7">
        <w:t>La milice Kamuina Nsapu était également présente dans d’autres territoires du Kasaï Central entre septembre</w:t>
      </w:r>
      <w:r w:rsidR="00C76DD9">
        <w:t xml:space="preserve"> et </w:t>
      </w:r>
      <w:r w:rsidRPr="00AD28A7">
        <w:t>décembre 2016</w:t>
      </w:r>
      <w:r w:rsidR="00C76DD9">
        <w:t>,</w:t>
      </w:r>
      <w:r w:rsidRPr="00AD28A7">
        <w:t xml:space="preserve"> notamment </w:t>
      </w:r>
      <w:r w:rsidR="00C76DD9">
        <w:t>dans</w:t>
      </w:r>
      <w:r w:rsidR="00C76DD9" w:rsidRPr="00AD28A7">
        <w:t xml:space="preserve"> </w:t>
      </w:r>
      <w:r w:rsidRPr="00AD28A7">
        <w:t>le territoire de</w:t>
      </w:r>
      <w:r>
        <w:t xml:space="preserve"> Kazumba</w:t>
      </w:r>
      <w:r w:rsidRPr="007F1170">
        <w:rPr>
          <w:rStyle w:val="FootnoteReference"/>
        </w:rPr>
        <w:footnoteReference w:id="155"/>
      </w:r>
      <w:r>
        <w:t>,</w:t>
      </w:r>
      <w:r w:rsidRPr="00AD28A7">
        <w:t xml:space="preserve"> Dimbelenge et de Demba. Suivant le même schéma que </w:t>
      </w:r>
      <w:r w:rsidR="00C76DD9">
        <w:t xml:space="preserve">dans </w:t>
      </w:r>
      <w:r>
        <w:t xml:space="preserve">le territoire de Dibaya, la traque </w:t>
      </w:r>
      <w:r w:rsidRPr="00AD28A7">
        <w:t>de la milice Kamuina Nsapu</w:t>
      </w:r>
      <w:r>
        <w:t xml:space="preserve"> </w:t>
      </w:r>
      <w:r w:rsidRPr="00AD28A7">
        <w:t xml:space="preserve">par les forces de défense et de sécurité a conduit à la commission d’exactions contre la population civile. En particulier, d’après une mission d’enquête spéciale conduite par le </w:t>
      </w:r>
      <w:r w:rsidR="00D02559">
        <w:t xml:space="preserve">BCNUDH de la </w:t>
      </w:r>
      <w:r w:rsidRPr="00D37CAD">
        <w:t xml:space="preserve">MONUSCO </w:t>
      </w:r>
      <w:r w:rsidRPr="00AD28A7">
        <w:t xml:space="preserve">en novembre 2016, dans le village de Nkoto, territoire de Demba, le 30 septembre 2016, </w:t>
      </w:r>
      <w:r w:rsidRPr="00287C44">
        <w:t xml:space="preserve">au moins 37 personnes parmi lesquelles au moins six femmes, </w:t>
      </w:r>
      <w:r w:rsidR="00C76DD9">
        <w:t>cinq garçons et</w:t>
      </w:r>
      <w:r w:rsidRPr="00287C44">
        <w:t xml:space="preserve"> quatre filles, ont été tuées par balle par les militaires du 2011</w:t>
      </w:r>
      <w:r w:rsidRPr="00E06F8D">
        <w:rPr>
          <w:vertAlign w:val="superscript"/>
        </w:rPr>
        <w:t>ème</w:t>
      </w:r>
      <w:r w:rsidRPr="00287C44">
        <w:t xml:space="preserve"> régiment des FARDC </w:t>
      </w:r>
      <w:r>
        <w:t>lors</w:t>
      </w:r>
      <w:r w:rsidRPr="00287C44">
        <w:t xml:space="preserve"> d’une opération de traque contre les miliciens Kamuina Nsapu. Les auteurs présumés </w:t>
      </w:r>
      <w:r>
        <w:t>ont</w:t>
      </w:r>
      <w:r w:rsidRPr="00287C44">
        <w:t xml:space="preserve"> indistinctement tiré sur les habitants qui vaquaient à leurs activités quotidiennes</w:t>
      </w:r>
      <w:r w:rsidR="00C76DD9">
        <w:t>,</w:t>
      </w:r>
      <w:r w:rsidRPr="00287C44">
        <w:t xml:space="preserve"> qui tentaient de s</w:t>
      </w:r>
      <w:r w:rsidR="00C76DD9">
        <w:t>e protéger</w:t>
      </w:r>
      <w:r w:rsidRPr="00287C44">
        <w:t xml:space="preserve"> dans leur </w:t>
      </w:r>
      <w:r>
        <w:t>case ou de prendre la fuite</w:t>
      </w:r>
      <w:r w:rsidRPr="007F1170">
        <w:rPr>
          <w:rStyle w:val="FootnoteReference"/>
        </w:rPr>
        <w:footnoteReference w:id="156"/>
      </w:r>
      <w:r w:rsidRPr="00287C44">
        <w:t>.</w:t>
      </w:r>
      <w:r>
        <w:t xml:space="preserve"> </w:t>
      </w:r>
      <w:r w:rsidR="00C76DD9">
        <w:t xml:space="preserve">Dans </w:t>
      </w:r>
      <w:r>
        <w:t xml:space="preserve">le territoire de Dimbelenge, une mission de la MONUSCO conduite en octobre 2016 a </w:t>
      </w:r>
      <w:r w:rsidRPr="00076C3E">
        <w:t xml:space="preserve">pu confirmer </w:t>
      </w:r>
      <w:r w:rsidR="00C76DD9">
        <w:t>qu’</w:t>
      </w:r>
      <w:r w:rsidRPr="00076C3E">
        <w:t>au moins 57 personnes ont été tuées par des FARDC dont : 15 dans le village de Tshinyembe (cinq femmes, cinq hommes, trois garçons et deu</w:t>
      </w:r>
      <w:r w:rsidR="00E06F8D">
        <w:t>x filles) le 30 septembre 2016,</w:t>
      </w:r>
      <w:r w:rsidRPr="00076C3E">
        <w:t xml:space="preserve"> 13 dans le village de Katanga, deux da</w:t>
      </w:r>
      <w:r w:rsidR="00E06F8D">
        <w:t>ns le village de Lusamba Bumba,</w:t>
      </w:r>
      <w:r w:rsidRPr="00076C3E">
        <w:t xml:space="preserve"> 10 dans le village de Tshimanga Mutombo, et enfin 17 dans le village de Mwamba Mbuyi</w:t>
      </w:r>
      <w:r w:rsidRPr="007F1170">
        <w:rPr>
          <w:rStyle w:val="FootnoteReference"/>
        </w:rPr>
        <w:footnoteReference w:id="157"/>
      </w:r>
      <w:r>
        <w:t>.</w:t>
      </w:r>
    </w:p>
    <w:p w14:paraId="410793C9" w14:textId="347D9272" w:rsidR="00771DAE" w:rsidRPr="00FE5E8D" w:rsidRDefault="00771DAE" w:rsidP="00BC668B">
      <w:pPr>
        <w:pStyle w:val="Heading3"/>
        <w:spacing w:before="240" w:line="240" w:lineRule="exact"/>
        <w:ind w:left="1138" w:right="1138" w:hanging="571"/>
        <w:rPr>
          <w:b/>
        </w:rPr>
      </w:pPr>
      <w:r w:rsidRPr="00FE5E8D">
        <w:rPr>
          <w:b/>
        </w:rPr>
        <w:t xml:space="preserve">Province du Kasaï Oriental </w:t>
      </w:r>
    </w:p>
    <w:p w14:paraId="5ABD61E1" w14:textId="1ED624E0" w:rsidR="00771DAE" w:rsidRPr="00BF0B79" w:rsidRDefault="00771DAE" w:rsidP="005965F3">
      <w:pPr>
        <w:pStyle w:val="BodyText"/>
        <w:tabs>
          <w:tab w:val="left" w:pos="1559"/>
          <w:tab w:val="left" w:pos="1984"/>
          <w:tab w:val="left" w:leader="dot" w:pos="7654"/>
          <w:tab w:val="right" w:pos="8929"/>
        </w:tabs>
        <w:spacing w:line="240" w:lineRule="atLeast"/>
        <w:ind w:left="1138" w:right="1138" w:firstLine="0"/>
      </w:pPr>
      <w:r w:rsidRPr="0038460E">
        <w:t>En</w:t>
      </w:r>
      <w:r w:rsidRPr="00287C44">
        <w:t xml:space="preserve"> octobre</w:t>
      </w:r>
      <w:r w:rsidRPr="0038460E">
        <w:t xml:space="preserve"> 2016, le mouvement Kamuina Nsapu </w:t>
      </w:r>
      <w:r>
        <w:t>s’est propagé</w:t>
      </w:r>
      <w:r w:rsidRPr="00EC3995">
        <w:t xml:space="preserve"> au Kasaï Oriental et en particulier </w:t>
      </w:r>
      <w:r w:rsidR="00C20FAD">
        <w:t>aux</w:t>
      </w:r>
      <w:r w:rsidR="00C20FAD" w:rsidRPr="00EC3995">
        <w:t xml:space="preserve"> </w:t>
      </w:r>
      <w:r w:rsidRPr="00EC3995">
        <w:t>territoires de Kabeya-Kamwanga et de Miabi qui bordent le territoire de Dibaya au Kasaï Central</w:t>
      </w:r>
      <w:r w:rsidRPr="00655811">
        <w:t xml:space="preserve">. Un témoin </w:t>
      </w:r>
      <w:r>
        <w:t xml:space="preserve">a expliqué </w:t>
      </w:r>
      <w:r w:rsidRPr="00655811">
        <w:t>que</w:t>
      </w:r>
      <w:r>
        <w:t xml:space="preserve"> selon lui, </w:t>
      </w:r>
      <w:r w:rsidRPr="00655811">
        <w:t xml:space="preserve">c’est </w:t>
      </w:r>
      <w:r>
        <w:t>la manipulation par</w:t>
      </w:r>
      <w:r w:rsidRPr="00655811">
        <w:t xml:space="preserve"> les autorités politiques </w:t>
      </w:r>
      <w:r w:rsidRPr="00B97C37">
        <w:t xml:space="preserve">du système </w:t>
      </w:r>
      <w:r>
        <w:t xml:space="preserve">de </w:t>
      </w:r>
      <w:r w:rsidRPr="00B97C37">
        <w:t xml:space="preserve">reconnaissance des </w:t>
      </w:r>
      <w:r>
        <w:t>chefs coutumiers, pour des</w:t>
      </w:r>
      <w:r w:rsidRPr="00B97C37">
        <w:t xml:space="preserve"> raisons politiques</w:t>
      </w:r>
      <w:r>
        <w:t xml:space="preserve"> ou </w:t>
      </w:r>
      <w:r w:rsidRPr="00B97C37">
        <w:t>économiques lié</w:t>
      </w:r>
      <w:r>
        <w:t>e</w:t>
      </w:r>
      <w:r w:rsidRPr="00B97C37">
        <w:t>s au</w:t>
      </w:r>
      <w:r w:rsidRPr="005E3CFA">
        <w:t xml:space="preserve"> marché du</w:t>
      </w:r>
      <w:r w:rsidRPr="001A61CE">
        <w:t xml:space="preserve"> diamant</w:t>
      </w:r>
      <w:r>
        <w:t>,</w:t>
      </w:r>
      <w:r w:rsidRPr="00DA3E2A">
        <w:t xml:space="preserve"> qui aurait favorisé l’arrivée du mouvement Kamuina Nsapu au Kasaï Orient</w:t>
      </w:r>
      <w:r w:rsidRPr="00BA7888">
        <w:t xml:space="preserve">al. Certains chefs </w:t>
      </w:r>
      <w:r>
        <w:t>locaux</w:t>
      </w:r>
      <w:r w:rsidRPr="00BA7888">
        <w:t xml:space="preserve"> destitués </w:t>
      </w:r>
      <w:r>
        <w:t>ont</w:t>
      </w:r>
      <w:r w:rsidRPr="00BA7888">
        <w:t xml:space="preserve"> utilisé la milice</w:t>
      </w:r>
      <w:r w:rsidRPr="00E7309D">
        <w:t xml:space="preserve"> Kamuina Nsapu afin de tenter de renverser les chefs coutumiers reconnus </w:t>
      </w:r>
      <w:r w:rsidRPr="0002749B">
        <w:t>par les autorités</w:t>
      </w:r>
      <w:r w:rsidRPr="007F1170">
        <w:rPr>
          <w:rStyle w:val="FootnoteReference"/>
        </w:rPr>
        <w:footnoteReference w:id="158"/>
      </w:r>
      <w:r w:rsidRPr="00287C44">
        <w:t xml:space="preserve">. </w:t>
      </w:r>
      <w:r>
        <w:t xml:space="preserve">Selon </w:t>
      </w:r>
      <w:r w:rsidR="00B74BC6">
        <w:t>lui</w:t>
      </w:r>
      <w:r>
        <w:t>,</w:t>
      </w:r>
      <w:r w:rsidRPr="0038460E">
        <w:t xml:space="preserve"> le mouvement Kamuina Nsapu du Kasaï Oriental n’avait pas de lien véritable</w:t>
      </w:r>
      <w:r w:rsidRPr="00EC3995">
        <w:t xml:space="preserve"> avec le mouvement Kamuina Nsapu du Kasaï </w:t>
      </w:r>
      <w:r>
        <w:t>C</w:t>
      </w:r>
      <w:r w:rsidRPr="00EC3995">
        <w:t>entral</w:t>
      </w:r>
      <w:r w:rsidRPr="007F1170">
        <w:rPr>
          <w:rStyle w:val="FootnoteReference"/>
        </w:rPr>
        <w:footnoteReference w:id="159"/>
      </w:r>
      <w:r w:rsidRPr="00655811">
        <w:t xml:space="preserve">. Cette affirmation est </w:t>
      </w:r>
      <w:r>
        <w:t xml:space="preserve">néanmoins </w:t>
      </w:r>
      <w:r w:rsidR="00C20FAD" w:rsidRPr="00655811">
        <w:t>contredite</w:t>
      </w:r>
      <w:r w:rsidRPr="00655811">
        <w:t xml:space="preserve"> par un témoin direct qui indique que d</w:t>
      </w:r>
      <w:r w:rsidRPr="00B97C37">
        <w:t>es miliciens Kamuina Nsapu recrutés sur le territoire de Dibaya sont venus combattre avec les miliciens Kamuina Nsapu recrutés sur l</w:t>
      </w:r>
      <w:r>
        <w:t>e territoire de Kabeya-Kamwanga</w:t>
      </w:r>
      <w:r w:rsidRPr="007F1170">
        <w:rPr>
          <w:rStyle w:val="FootnoteReference"/>
        </w:rPr>
        <w:footnoteReference w:id="160"/>
      </w:r>
      <w:r w:rsidRPr="00DA3E2A">
        <w:t xml:space="preserve">. </w:t>
      </w:r>
      <w:r>
        <w:t>Par ailleurs, l</w:t>
      </w:r>
      <w:r w:rsidRPr="00DA3E2A">
        <w:t xml:space="preserve">es miliciens Kamuina Nsapu du territoire de Kabeya-Kamwanga </w:t>
      </w:r>
      <w:r>
        <w:t>ont suivi</w:t>
      </w:r>
      <w:r w:rsidRPr="00BA7888">
        <w:t xml:space="preserve"> les mêmes pratiques que </w:t>
      </w:r>
      <w:r>
        <w:t>ceux</w:t>
      </w:r>
      <w:r w:rsidRPr="00BA7888">
        <w:t xml:space="preserve"> du territoire de Dibaya</w:t>
      </w:r>
      <w:r w:rsidR="00B74BC6">
        <w:t> :</w:t>
      </w:r>
      <w:r w:rsidRPr="00BA7888">
        <w:t xml:space="preserve"> </w:t>
      </w:r>
      <w:r>
        <w:t xml:space="preserve">notamment </w:t>
      </w:r>
      <w:r w:rsidRPr="00BA7888">
        <w:t>recrutement d’enfants et</w:t>
      </w:r>
      <w:r>
        <w:t xml:space="preserve"> </w:t>
      </w:r>
      <w:r w:rsidRPr="00BA7888">
        <w:t xml:space="preserve">leur utilisation massive lors </w:t>
      </w:r>
      <w:r>
        <w:t>d’</w:t>
      </w:r>
      <w:r w:rsidRPr="00BA7888">
        <w:t xml:space="preserve">affrontements </w:t>
      </w:r>
      <w:r w:rsidR="002171F8">
        <w:t>contre</w:t>
      </w:r>
      <w:r w:rsidR="002171F8" w:rsidRPr="00BA7888">
        <w:t xml:space="preserve"> </w:t>
      </w:r>
      <w:r w:rsidRPr="00BA7888">
        <w:t xml:space="preserve">les forces de </w:t>
      </w:r>
      <w:r>
        <w:t>sécurité et de</w:t>
      </w:r>
      <w:r w:rsidRPr="00BA7888">
        <w:t xml:space="preserve"> défense</w:t>
      </w:r>
      <w:r w:rsidRPr="00E7309D">
        <w:t xml:space="preserve">, </w:t>
      </w:r>
      <w:r w:rsidRPr="0002749B">
        <w:t>port de bandeaux rouges, utilisation de bâtons lors des combats et érection de barrières</w:t>
      </w:r>
      <w:r w:rsidRPr="002A4D8A">
        <w:t xml:space="preserve"> sur le territoire</w:t>
      </w:r>
      <w:r w:rsidRPr="007F1170">
        <w:rPr>
          <w:rStyle w:val="FootnoteReference"/>
        </w:rPr>
        <w:footnoteReference w:id="161"/>
      </w:r>
      <w:r w:rsidRPr="00F059B7">
        <w:t xml:space="preserve">. </w:t>
      </w:r>
    </w:p>
    <w:p w14:paraId="2E60E91A" w14:textId="03C0D66F" w:rsidR="00771DAE" w:rsidRPr="00287C44" w:rsidRDefault="00771DAE" w:rsidP="005965F3">
      <w:pPr>
        <w:pStyle w:val="BodyText"/>
        <w:tabs>
          <w:tab w:val="left" w:pos="1559"/>
          <w:tab w:val="left" w:pos="1984"/>
          <w:tab w:val="left" w:leader="dot" w:pos="7654"/>
          <w:tab w:val="right" w:pos="8929"/>
        </w:tabs>
        <w:spacing w:line="240" w:lineRule="atLeast"/>
        <w:ind w:left="1138" w:right="1138" w:firstLine="0"/>
      </w:pPr>
      <w:r>
        <w:t>L’EEI</w:t>
      </w:r>
      <w:r w:rsidRPr="0025037C">
        <w:t xml:space="preserve"> </w:t>
      </w:r>
      <w:r>
        <w:t xml:space="preserve">a </w:t>
      </w:r>
      <w:r w:rsidR="002171F8" w:rsidRPr="0025037C">
        <w:t xml:space="preserve">en particulier </w:t>
      </w:r>
      <w:r>
        <w:t>documenté</w:t>
      </w:r>
      <w:r w:rsidRPr="0025037C">
        <w:t xml:space="preserve"> </w:t>
      </w:r>
      <w:r w:rsidRPr="00432E6E">
        <w:t>les affrontements entre la milice Kamuina Nsap</w:t>
      </w:r>
      <w:r w:rsidRPr="00287C44">
        <w:t xml:space="preserve">u et </w:t>
      </w:r>
      <w:r>
        <w:t>l</w:t>
      </w:r>
      <w:r w:rsidRPr="00287C44">
        <w:t xml:space="preserve">es FARDC à </w:t>
      </w:r>
      <w:r w:rsidRPr="00D37CAD">
        <w:t>Kena Nkuna</w:t>
      </w:r>
      <w:r>
        <w:t xml:space="preserve">, </w:t>
      </w:r>
      <w:r w:rsidRPr="00AD28A7">
        <w:t>territoire de Kabeya-Kamwanga</w:t>
      </w:r>
      <w:r>
        <w:t>,</w:t>
      </w:r>
      <w:r w:rsidRPr="00AD28A7">
        <w:t xml:space="preserve"> les 13 et 14 octobre 2016</w:t>
      </w:r>
      <w:r w:rsidR="00E06F8D">
        <w:t>,</w:t>
      </w:r>
      <w:r w:rsidRPr="00AD28A7">
        <w:t xml:space="preserve"> </w:t>
      </w:r>
      <w:r>
        <w:t xml:space="preserve">ainsi que </w:t>
      </w:r>
      <w:r w:rsidRPr="00AD28A7">
        <w:t xml:space="preserve">les opérations menées par les membres des forces de sécurité et de défense contre la population civile dans les jours et les semaines suivants ces </w:t>
      </w:r>
      <w:r>
        <w:t>combats</w:t>
      </w:r>
      <w:r w:rsidRPr="00AD28A7">
        <w:t>.</w:t>
      </w:r>
    </w:p>
    <w:p w14:paraId="56DB67A8" w14:textId="47F60DCD" w:rsidR="00771DAE" w:rsidRPr="00AD28A7" w:rsidRDefault="00771DAE" w:rsidP="005965F3">
      <w:pPr>
        <w:pStyle w:val="BodyText"/>
        <w:tabs>
          <w:tab w:val="left" w:pos="1559"/>
          <w:tab w:val="left" w:pos="1984"/>
          <w:tab w:val="left" w:leader="dot" w:pos="7654"/>
          <w:tab w:val="right" w:pos="8929"/>
        </w:tabs>
        <w:spacing w:line="240" w:lineRule="atLeast"/>
        <w:ind w:left="1138" w:right="1138" w:firstLine="0"/>
      </w:pPr>
      <w:r w:rsidRPr="00AD28A7">
        <w:t>Le 13 octobre 2016, deux jeunes adultes arborant des bandeaux rouges et tenant des bâtons mais sans autre arme ont été abattu</w:t>
      </w:r>
      <w:r w:rsidR="00E06F8D">
        <w:t>s</w:t>
      </w:r>
      <w:r w:rsidRPr="00AD28A7">
        <w:t xml:space="preserve"> par un agent de la PNC et deux </w:t>
      </w:r>
      <w:r>
        <w:t>FARDC</w:t>
      </w:r>
      <w:r w:rsidRPr="00AD28A7">
        <w:t xml:space="preserve"> alors qu’ils se trouvaient au marché de la </w:t>
      </w:r>
      <w:r>
        <w:t xml:space="preserve">cité </w:t>
      </w:r>
      <w:r w:rsidRPr="00AD28A7">
        <w:t>de Kena Nkuna</w:t>
      </w:r>
      <w:r w:rsidRPr="007F1170">
        <w:rPr>
          <w:rStyle w:val="FootnoteReference"/>
        </w:rPr>
        <w:footnoteReference w:id="162"/>
      </w:r>
      <w:r w:rsidRPr="00AD28A7">
        <w:t xml:space="preserve">. </w:t>
      </w:r>
      <w:r>
        <w:t>Le lendemain</w:t>
      </w:r>
      <w:r w:rsidRPr="00AD28A7">
        <w:t>, une centaine de miliciens</w:t>
      </w:r>
      <w:r>
        <w:t>,</w:t>
      </w:r>
      <w:r w:rsidRPr="00AD28A7">
        <w:t xml:space="preserve"> hommes, </w:t>
      </w:r>
      <w:r w:rsidR="002171F8" w:rsidRPr="00AD28A7">
        <w:t>femmes</w:t>
      </w:r>
      <w:r w:rsidR="002171F8">
        <w:t xml:space="preserve">, et une majorité de </w:t>
      </w:r>
      <w:r w:rsidRPr="00AD28A7">
        <w:t xml:space="preserve">garçons et filles sont entrés à pied dans </w:t>
      </w:r>
      <w:r>
        <w:t>la cité de</w:t>
      </w:r>
      <w:r w:rsidRPr="00AD28A7">
        <w:t xml:space="preserve"> Kena Nkuna. Ils étaient habillés en civil </w:t>
      </w:r>
      <w:r>
        <w:t>avec</w:t>
      </w:r>
      <w:r w:rsidRPr="00287C44">
        <w:t xml:space="preserve"> un bandeau rouge autour de la tête où était </w:t>
      </w:r>
      <w:r w:rsidR="002171F8" w:rsidRPr="00287C44">
        <w:t>accrochée</w:t>
      </w:r>
      <w:r w:rsidRPr="00287C44">
        <w:t xml:space="preserve"> une herbe et </w:t>
      </w:r>
      <w:r w:rsidR="00E06F8D">
        <w:t xml:space="preserve">ils </w:t>
      </w:r>
      <w:r w:rsidRPr="00287C44">
        <w:t>étaient munis</w:t>
      </w:r>
      <w:r>
        <w:t xml:space="preserve"> dans leur grande majorité de simples</w:t>
      </w:r>
      <w:r w:rsidRPr="00287C44">
        <w:t xml:space="preserve"> bâtons</w:t>
      </w:r>
      <w:r w:rsidRPr="007F1170">
        <w:rPr>
          <w:rStyle w:val="FootnoteReference"/>
        </w:rPr>
        <w:footnoteReference w:id="163"/>
      </w:r>
      <w:r w:rsidRPr="00AD28A7">
        <w:t xml:space="preserve">. </w:t>
      </w:r>
      <w:r w:rsidRPr="00287C44">
        <w:t>Ils se sont dirigés vers l’état-major</w:t>
      </w:r>
      <w:r>
        <w:t xml:space="preserve"> des FARDC</w:t>
      </w:r>
      <w:r w:rsidRPr="00287C44">
        <w:t xml:space="preserve"> à la recherche </w:t>
      </w:r>
      <w:r>
        <w:t>des militaires. Ne les ayant pas trouvés, ils</w:t>
      </w:r>
      <w:r w:rsidR="00FA2F05">
        <w:t xml:space="preserve"> ont détruit et brû</w:t>
      </w:r>
      <w:r w:rsidRPr="00287C44">
        <w:t>lés les bureaux des FARDC</w:t>
      </w:r>
      <w:r w:rsidR="002171F8">
        <w:t xml:space="preserve">, puis ceux </w:t>
      </w:r>
      <w:r>
        <w:t xml:space="preserve">de la CENI, </w:t>
      </w:r>
      <w:r w:rsidRPr="00287C44">
        <w:t>de l’administration du territoire et un hôtel qui hébergeait des militaires</w:t>
      </w:r>
      <w:r w:rsidRPr="007F1170">
        <w:rPr>
          <w:rStyle w:val="FootnoteReference"/>
        </w:rPr>
        <w:footnoteReference w:id="164"/>
      </w:r>
      <w:r w:rsidRPr="00287C44">
        <w:t>.</w:t>
      </w:r>
    </w:p>
    <w:p w14:paraId="3A24705F" w14:textId="7C6C0EE2" w:rsidR="00771DAE" w:rsidRPr="00AD28A7" w:rsidRDefault="00771DAE" w:rsidP="005965F3">
      <w:pPr>
        <w:pStyle w:val="BodyText"/>
        <w:tabs>
          <w:tab w:val="left" w:pos="1559"/>
          <w:tab w:val="left" w:pos="1984"/>
          <w:tab w:val="left" w:leader="dot" w:pos="7654"/>
          <w:tab w:val="right" w:pos="8929"/>
        </w:tabs>
        <w:spacing w:line="240" w:lineRule="atLeast"/>
        <w:ind w:left="1138" w:right="1138" w:firstLine="0"/>
      </w:pPr>
      <w:r>
        <w:t xml:space="preserve">Le </w:t>
      </w:r>
      <w:r w:rsidRPr="00287C44">
        <w:t xml:space="preserve">même jour, des FARDC sont arrivés </w:t>
      </w:r>
      <w:r w:rsidRPr="00AD28A7">
        <w:t xml:space="preserve">dans la </w:t>
      </w:r>
      <w:r>
        <w:t xml:space="preserve">cité de </w:t>
      </w:r>
      <w:r w:rsidRPr="00AD28A7">
        <w:t>Kena Nkuna</w:t>
      </w:r>
      <w:r w:rsidRPr="007F1170">
        <w:rPr>
          <w:rStyle w:val="FootnoteReference"/>
        </w:rPr>
        <w:footnoteReference w:id="165"/>
      </w:r>
      <w:r w:rsidRPr="00AD28A7">
        <w:t xml:space="preserve">. Il y a eu des affrontements toute la journée entre les FARDC et les miliciens Kamuina Nsapu faisant de nombreux morts </w:t>
      </w:r>
      <w:r>
        <w:t>parmi</w:t>
      </w:r>
      <w:r w:rsidRPr="00AD28A7">
        <w:t xml:space="preserve"> les miliciens</w:t>
      </w:r>
      <w:r w:rsidRPr="007F1170">
        <w:rPr>
          <w:rStyle w:val="FootnoteReference"/>
        </w:rPr>
        <w:footnoteReference w:id="166"/>
      </w:r>
      <w:r w:rsidRPr="00AD28A7">
        <w:t xml:space="preserve">. </w:t>
      </w:r>
      <w:r>
        <w:t>Un</w:t>
      </w:r>
      <w:r w:rsidRPr="00AD28A7">
        <w:t xml:space="preserve"> premier affrontement </w:t>
      </w:r>
      <w:r>
        <w:t xml:space="preserve">a eu lieu </w:t>
      </w:r>
      <w:r w:rsidRPr="00AD28A7">
        <w:t xml:space="preserve">devant l’hôtel qui hébergeait les militaires au cours duquel une vingtaine de miliciens Kamuina Nsapu ont été tués. Leurs corps ont été </w:t>
      </w:r>
      <w:r w:rsidRPr="00287C44">
        <w:t>emportés</w:t>
      </w:r>
      <w:r w:rsidRPr="00AD28A7">
        <w:t xml:space="preserve"> par les FARDC. Quelques heures plus tard, un second affrontement </w:t>
      </w:r>
      <w:r>
        <w:t xml:space="preserve">a eu lieu </w:t>
      </w:r>
      <w:r w:rsidRPr="00AD28A7">
        <w:t>sur la route principale</w:t>
      </w:r>
      <w:r>
        <w:t>,</w:t>
      </w:r>
      <w:r w:rsidRPr="00AD28A7">
        <w:t xml:space="preserve"> puis un troisième dans l’après-midi. </w:t>
      </w:r>
      <w:r w:rsidR="002171F8">
        <w:t xml:space="preserve">De nombreux </w:t>
      </w:r>
      <w:r w:rsidRPr="00AD28A7">
        <w:t>miliciens ont été tués</w:t>
      </w:r>
      <w:r>
        <w:t xml:space="preserve"> et là encore les </w:t>
      </w:r>
      <w:r w:rsidRPr="00AD28A7">
        <w:t>FARDC ont emporté les corps dans leurs véhicules</w:t>
      </w:r>
      <w:r w:rsidRPr="007F1170">
        <w:rPr>
          <w:rStyle w:val="FootnoteReference"/>
        </w:rPr>
        <w:footnoteReference w:id="167"/>
      </w:r>
      <w:r w:rsidRPr="00AD28A7">
        <w:t xml:space="preserve">. Un témoin </w:t>
      </w:r>
      <w:r w:rsidR="002171F8">
        <w:t xml:space="preserve">indique que </w:t>
      </w:r>
      <w:r w:rsidRPr="00AD28A7">
        <w:t xml:space="preserve">11 miliciens Kamuina Nsapu </w:t>
      </w:r>
      <w:r w:rsidR="002171F8">
        <w:t xml:space="preserve">ont été </w:t>
      </w:r>
      <w:r w:rsidRPr="00AD28A7">
        <w:t xml:space="preserve">tués lors d’affrontements </w:t>
      </w:r>
      <w:r w:rsidR="002171F8">
        <w:t xml:space="preserve">contre </w:t>
      </w:r>
      <w:r w:rsidRPr="00AD28A7">
        <w:t>les FARDC ce jour-là dans le</w:t>
      </w:r>
      <w:r>
        <w:t xml:space="preserve"> seul</w:t>
      </w:r>
      <w:r w:rsidRPr="00AD28A7">
        <w:t xml:space="preserve"> quartier Lubi et que les FARDC </w:t>
      </w:r>
      <w:r w:rsidR="002171F8">
        <w:t>ont</w:t>
      </w:r>
      <w:r w:rsidR="002171F8" w:rsidRPr="00AD28A7">
        <w:t xml:space="preserve"> </w:t>
      </w:r>
      <w:r w:rsidRPr="00AD28A7">
        <w:t>emporté les corps</w:t>
      </w:r>
      <w:r w:rsidRPr="007F1170">
        <w:rPr>
          <w:rStyle w:val="FootnoteReference"/>
        </w:rPr>
        <w:footnoteReference w:id="168"/>
      </w:r>
      <w:r w:rsidRPr="00AD28A7">
        <w:t xml:space="preserve">. Deux autres témoins indiquent </w:t>
      </w:r>
      <w:r>
        <w:t xml:space="preserve">avoir </w:t>
      </w:r>
      <w:r w:rsidRPr="00AD28A7">
        <w:t>vu deux miliciens tués par les membres des FARDC</w:t>
      </w:r>
      <w:r w:rsidRPr="007F1170">
        <w:rPr>
          <w:rStyle w:val="FootnoteReference"/>
        </w:rPr>
        <w:footnoteReference w:id="169"/>
      </w:r>
      <w:r w:rsidRPr="00AD28A7">
        <w:t xml:space="preserve">. Au cours d’un de ces affrontements, un PNC </w:t>
      </w:r>
      <w:r w:rsidR="002171F8">
        <w:t>est</w:t>
      </w:r>
      <w:r w:rsidR="002171F8" w:rsidRPr="00AD28A7">
        <w:t xml:space="preserve"> </w:t>
      </w:r>
      <w:r w:rsidRPr="00AD28A7">
        <w:t>entré dans la maison d’un habitant tuant deux personnes et un enfant et blessant une personne qui se trouvait dans la maison</w:t>
      </w:r>
      <w:r w:rsidRPr="007F1170">
        <w:rPr>
          <w:rStyle w:val="FootnoteReference"/>
        </w:rPr>
        <w:footnoteReference w:id="170"/>
      </w:r>
      <w:r w:rsidRPr="00AD28A7">
        <w:t xml:space="preserve">. </w:t>
      </w:r>
    </w:p>
    <w:p w14:paraId="22F7CC46" w14:textId="695C35D0" w:rsidR="00771DAE" w:rsidRPr="00AD28A7" w:rsidRDefault="00771DAE" w:rsidP="005965F3">
      <w:pPr>
        <w:pStyle w:val="BodyText"/>
        <w:tabs>
          <w:tab w:val="left" w:pos="1559"/>
          <w:tab w:val="left" w:pos="1984"/>
          <w:tab w:val="left" w:leader="dot" w:pos="7654"/>
          <w:tab w:val="right" w:pos="8929"/>
        </w:tabs>
        <w:spacing w:line="240" w:lineRule="atLeast"/>
        <w:ind w:left="1138" w:right="1138" w:firstLine="0"/>
      </w:pPr>
      <w:r w:rsidRPr="00AD28A7">
        <w:t>Le 15 octobre 2016, les FARDC à la recherche de miliciens ont l</w:t>
      </w:r>
      <w:r>
        <w:t>ancé une opération « porte</w:t>
      </w:r>
      <w:r w:rsidR="009C4DA1">
        <w:t xml:space="preserve"> à </w:t>
      </w:r>
      <w:r w:rsidRPr="00AD28A7">
        <w:t>porte »</w:t>
      </w:r>
      <w:r w:rsidR="002171F8">
        <w:t xml:space="preserve"> au cours de laquelle</w:t>
      </w:r>
      <w:r w:rsidRPr="00AD28A7">
        <w:t xml:space="preserve"> plusieurs civils ont été</w:t>
      </w:r>
      <w:r>
        <w:t xml:space="preserve"> sommairement</w:t>
      </w:r>
      <w:r w:rsidRPr="00AD28A7">
        <w:t xml:space="preserve"> exécutés par des FARDC. Par exemple, un témoin indique que son frère et sa nièce de deux ans ont été tué</w:t>
      </w:r>
      <w:r w:rsidR="001E5BF7">
        <w:t>s</w:t>
      </w:r>
      <w:r w:rsidRPr="00AD28A7">
        <w:t xml:space="preserve"> par balle ce jour-là</w:t>
      </w:r>
      <w:r w:rsidRPr="007F1170">
        <w:rPr>
          <w:rStyle w:val="FootnoteReference"/>
        </w:rPr>
        <w:footnoteReference w:id="171"/>
      </w:r>
      <w:r w:rsidRPr="00AD28A7">
        <w:t>. Un autre que sa voisine a été tuée et enterrée par les FARDC</w:t>
      </w:r>
      <w:r w:rsidRPr="007F1170">
        <w:rPr>
          <w:rStyle w:val="FootnoteReference"/>
        </w:rPr>
        <w:footnoteReference w:id="172"/>
      </w:r>
      <w:r>
        <w:t>. Un témoin raconte</w:t>
      </w:r>
      <w:r w:rsidRPr="00AD28A7">
        <w:t xml:space="preserve"> qu’une voisine, sa fille et un </w:t>
      </w:r>
      <w:r>
        <w:t>autre homme ont</w:t>
      </w:r>
      <w:r w:rsidRPr="00AD28A7">
        <w:t xml:space="preserve"> également été tués dans leur maison par les FARDC </w:t>
      </w:r>
      <w:r>
        <w:t>au cours</w:t>
      </w:r>
      <w:r w:rsidRPr="00AD28A7">
        <w:t xml:space="preserve"> de cette opération</w:t>
      </w:r>
      <w:r w:rsidRPr="007F1170">
        <w:rPr>
          <w:rStyle w:val="FootnoteReference"/>
        </w:rPr>
        <w:footnoteReference w:id="173"/>
      </w:r>
      <w:r w:rsidR="001E2715">
        <w:t>.</w:t>
      </w:r>
      <w:r w:rsidRPr="00AD28A7">
        <w:t xml:space="preserve"> Un </w:t>
      </w:r>
      <w:r>
        <w:t>homme a par ailleurs rapporté</w:t>
      </w:r>
      <w:r w:rsidRPr="00AD28A7">
        <w:t xml:space="preserve"> que son fils </w:t>
      </w:r>
      <w:r>
        <w:t>a</w:t>
      </w:r>
      <w:r w:rsidRPr="00AD28A7">
        <w:t xml:space="preserve"> été tué par balle dans sa maison qui se trouvait dans le quartier du marché</w:t>
      </w:r>
      <w:r w:rsidRPr="007F1170">
        <w:rPr>
          <w:rStyle w:val="FootnoteReference"/>
        </w:rPr>
        <w:footnoteReference w:id="174"/>
      </w:r>
      <w:r w:rsidRPr="00AD28A7">
        <w:t xml:space="preserve">. Suite aux violences dans la </w:t>
      </w:r>
      <w:r>
        <w:t>cité</w:t>
      </w:r>
      <w:r w:rsidRPr="00AD28A7">
        <w:t>, plusieurs fosses communes ont été</w:t>
      </w:r>
      <w:r>
        <w:t xml:space="preserve"> identifiées par la population</w:t>
      </w:r>
      <w:r w:rsidRPr="00AD28A7">
        <w:t xml:space="preserve"> </w:t>
      </w:r>
      <w:r>
        <w:t>et</w:t>
      </w:r>
      <w:r w:rsidRPr="00287C44">
        <w:t xml:space="preserve"> </w:t>
      </w:r>
      <w:r>
        <w:t xml:space="preserve">des corps ont </w:t>
      </w:r>
      <w:r w:rsidRPr="00287C44">
        <w:t>été retrouvés dans des champs et derrière un bar dans le quartier de Sthidibula</w:t>
      </w:r>
      <w:r w:rsidRPr="007F1170">
        <w:rPr>
          <w:rStyle w:val="FootnoteReference"/>
        </w:rPr>
        <w:footnoteReference w:id="175"/>
      </w:r>
      <w:r w:rsidRPr="00287C44">
        <w:t>.</w:t>
      </w:r>
      <w:r>
        <w:t xml:space="preserve"> Le </w:t>
      </w:r>
      <w:r w:rsidRPr="00AD391A">
        <w:t>BC</w:t>
      </w:r>
      <w:r w:rsidR="00AD391A" w:rsidRPr="00AD391A">
        <w:t>N</w:t>
      </w:r>
      <w:r w:rsidRPr="00AD391A">
        <w:t>UDH</w:t>
      </w:r>
      <w:r w:rsidR="00AD391A">
        <w:t xml:space="preserve"> de la MONUSCO</w:t>
      </w:r>
      <w:r>
        <w:t xml:space="preserve"> a localisé au moins deux fosses communes dans la cité de </w:t>
      </w:r>
      <w:r w:rsidRPr="00AD28A7">
        <w:t>Kena Nkuna</w:t>
      </w:r>
      <w:r w:rsidRPr="007F1170">
        <w:rPr>
          <w:rStyle w:val="FootnoteReference"/>
        </w:rPr>
        <w:footnoteReference w:id="176"/>
      </w:r>
      <w:r>
        <w:t>.</w:t>
      </w:r>
    </w:p>
    <w:p w14:paraId="17645227" w14:textId="710A451A" w:rsidR="00771DAE" w:rsidRPr="00AD28A7" w:rsidRDefault="00771DAE" w:rsidP="005965F3">
      <w:pPr>
        <w:pStyle w:val="BodyText"/>
        <w:tabs>
          <w:tab w:val="left" w:pos="1559"/>
          <w:tab w:val="left" w:pos="1984"/>
          <w:tab w:val="left" w:leader="dot" w:pos="7654"/>
          <w:tab w:val="right" w:pos="8929"/>
        </w:tabs>
        <w:spacing w:line="240" w:lineRule="atLeast"/>
        <w:ind w:left="1138" w:right="1138" w:firstLine="0"/>
      </w:pPr>
      <w:r>
        <w:t>De</w:t>
      </w:r>
      <w:r w:rsidRPr="00AD28A7">
        <w:t xml:space="preserve"> nombreux habitants </w:t>
      </w:r>
      <w:r>
        <w:t xml:space="preserve">de la cité </w:t>
      </w:r>
      <w:r w:rsidRPr="00AD28A7">
        <w:t>ont fui pendant plusieurs jours, semaines ou mois. Cer</w:t>
      </w:r>
      <w:r>
        <w:t>t</w:t>
      </w:r>
      <w:r w:rsidRPr="00AD28A7">
        <w:t xml:space="preserve">ains ont fui dans </w:t>
      </w:r>
      <w:r>
        <w:t>la brousse</w:t>
      </w:r>
      <w:r w:rsidRPr="00AD28A7">
        <w:t xml:space="preserve"> </w:t>
      </w:r>
      <w:r>
        <w:t xml:space="preserve">où </w:t>
      </w:r>
      <w:r w:rsidRPr="00AD28A7">
        <w:t xml:space="preserve">des enfants </w:t>
      </w:r>
      <w:r>
        <w:t>sont</w:t>
      </w:r>
      <w:r w:rsidRPr="00AD28A7">
        <w:t xml:space="preserve"> morts</w:t>
      </w:r>
      <w:r>
        <w:t xml:space="preserve"> en raison des conditions de vie</w:t>
      </w:r>
      <w:r w:rsidRPr="007F1170">
        <w:rPr>
          <w:rStyle w:val="FootnoteReference"/>
        </w:rPr>
        <w:footnoteReference w:id="177"/>
      </w:r>
      <w:r w:rsidRPr="00AD28A7">
        <w:t xml:space="preserve">. </w:t>
      </w:r>
      <w:r w:rsidRPr="00287C44">
        <w:t xml:space="preserve">Les FARDC présents dans la </w:t>
      </w:r>
      <w:r>
        <w:t xml:space="preserve">cité dans les semaines suivant les combats, ont </w:t>
      </w:r>
      <w:r w:rsidR="001E5BF7">
        <w:t>très largement pillé ou détruit</w:t>
      </w:r>
      <w:r>
        <w:t xml:space="preserve"> les </w:t>
      </w:r>
      <w:r w:rsidRPr="00287C44">
        <w:t xml:space="preserve">biens et </w:t>
      </w:r>
      <w:r>
        <w:t>les</w:t>
      </w:r>
      <w:r w:rsidRPr="00287C44">
        <w:t xml:space="preserve"> maisons de la population</w:t>
      </w:r>
      <w:r>
        <w:t xml:space="preserve"> en fuite</w:t>
      </w:r>
      <w:r w:rsidRPr="007F1170">
        <w:rPr>
          <w:rStyle w:val="FootnoteReference"/>
        </w:rPr>
        <w:footnoteReference w:id="178"/>
      </w:r>
      <w:r w:rsidRPr="00287C44">
        <w:t>.</w:t>
      </w:r>
      <w:r>
        <w:t xml:space="preserve"> Ils ont également commis d’autres exactions contre la population civile. Par exemple, </w:t>
      </w:r>
      <w:r w:rsidRPr="00287C44">
        <w:t xml:space="preserve">une quinzaine de </w:t>
      </w:r>
      <w:r>
        <w:t>FARDC</w:t>
      </w:r>
      <w:r w:rsidRPr="00287C44">
        <w:t xml:space="preserve"> </w:t>
      </w:r>
      <w:r w:rsidR="001F5D01">
        <w:t xml:space="preserve">se sont présenté au domicile </w:t>
      </w:r>
      <w:r>
        <w:t>d’une femme</w:t>
      </w:r>
      <w:r w:rsidRPr="00AD28A7">
        <w:t xml:space="preserve"> à la recherche d</w:t>
      </w:r>
      <w:r>
        <w:t>e son</w:t>
      </w:r>
      <w:r w:rsidRPr="00AD28A7">
        <w:t xml:space="preserve"> mari. Ce dernier étant absent, un </w:t>
      </w:r>
      <w:r>
        <w:t>FARDC</w:t>
      </w:r>
      <w:r w:rsidRPr="00AD28A7">
        <w:t xml:space="preserve"> qui lui semblait être le chef lui a demandé si elle préférait être violée ou tuée. </w:t>
      </w:r>
      <w:r w:rsidR="001F5D01">
        <w:t xml:space="preserve">Sept FARDC l’ont </w:t>
      </w:r>
      <w:r w:rsidRPr="00AD28A7">
        <w:t>déshabillée et violée</w:t>
      </w:r>
      <w:r w:rsidRPr="007F1170">
        <w:rPr>
          <w:rStyle w:val="FootnoteReference"/>
        </w:rPr>
        <w:footnoteReference w:id="179"/>
      </w:r>
      <w:r w:rsidRPr="00AD28A7">
        <w:t xml:space="preserve">. </w:t>
      </w:r>
      <w:r w:rsidRPr="00287C44">
        <w:t xml:space="preserve">Un témoin décrit comment en rentrant </w:t>
      </w:r>
      <w:r w:rsidRPr="00AD28A7">
        <w:t xml:space="preserve">dans la </w:t>
      </w:r>
      <w:r>
        <w:t xml:space="preserve">cité de </w:t>
      </w:r>
      <w:r w:rsidRPr="00AD28A7">
        <w:t xml:space="preserve">Kena Nkuna en décembre 2016, </w:t>
      </w:r>
      <w:r w:rsidR="001F5D01">
        <w:t xml:space="preserve">des FARDC ont demandé à </w:t>
      </w:r>
      <w:r w:rsidRPr="00AD28A7">
        <w:t>une famille de se dévêtir pour vérifier qu’ils ne portaient pas de vêtements rouges distinctif</w:t>
      </w:r>
      <w:r w:rsidR="001E5BF7">
        <w:t>s</w:t>
      </w:r>
      <w:r w:rsidRPr="00AD28A7">
        <w:t xml:space="preserve"> des Kamuina Nsapu. Un membre de la famille portait une culotte rouge et </w:t>
      </w:r>
      <w:r>
        <w:t>un</w:t>
      </w:r>
      <w:r w:rsidRPr="00AD28A7">
        <w:t xml:space="preserve"> FARDC a </w:t>
      </w:r>
      <w:r>
        <w:t>alors tiré et tué</w:t>
      </w:r>
      <w:r w:rsidRPr="00AD28A7">
        <w:t xml:space="preserve"> l’homme sur place sans </w:t>
      </w:r>
      <w:r>
        <w:t>lui laisser la possibilité</w:t>
      </w:r>
      <w:r w:rsidRPr="00AD28A7">
        <w:t xml:space="preserve"> de s’expliquer. Il </w:t>
      </w:r>
      <w:r>
        <w:t>a</w:t>
      </w:r>
      <w:r w:rsidRPr="00AD28A7">
        <w:t xml:space="preserve"> été enterré par </w:t>
      </w:r>
      <w:r>
        <w:t>les FARDC</w:t>
      </w:r>
      <w:r w:rsidRPr="00AD28A7">
        <w:t xml:space="preserve"> dans un puit à l’intérieur d’un restaurant</w:t>
      </w:r>
      <w:r w:rsidRPr="007F1170">
        <w:rPr>
          <w:rStyle w:val="FootnoteReference"/>
        </w:rPr>
        <w:footnoteReference w:id="180"/>
      </w:r>
      <w:r w:rsidRPr="00AD28A7">
        <w:t xml:space="preserve">. </w:t>
      </w:r>
      <w:r>
        <w:t>Le</w:t>
      </w:r>
      <w:r w:rsidRPr="00AD28A7">
        <w:t xml:space="preserve"> 26 décembre 2016, plusieurs personnes ont été </w:t>
      </w:r>
      <w:r>
        <w:t>sommairement exécutées</w:t>
      </w:r>
      <w:r w:rsidRPr="00AD28A7">
        <w:t xml:space="preserve"> par des FARDC au niveau</w:t>
      </w:r>
      <w:r w:rsidR="009C4DA1">
        <w:t xml:space="preserve"> de l’E</w:t>
      </w:r>
      <w:r>
        <w:t xml:space="preserve">glise catholique et </w:t>
      </w:r>
      <w:r w:rsidRPr="00AD28A7">
        <w:t xml:space="preserve">enterrés vers le parking de </w:t>
      </w:r>
      <w:r w:rsidRPr="00287C44">
        <w:t>Kena</w:t>
      </w:r>
      <w:r w:rsidR="001F5D01">
        <w:t xml:space="preserve"> N</w:t>
      </w:r>
      <w:r w:rsidRPr="00287C44">
        <w:t>kuna</w:t>
      </w:r>
      <w:r w:rsidRPr="007F1170">
        <w:rPr>
          <w:rStyle w:val="FootnoteReference"/>
        </w:rPr>
        <w:footnoteReference w:id="181"/>
      </w:r>
      <w:r w:rsidRPr="00287C44">
        <w:t>.</w:t>
      </w:r>
    </w:p>
    <w:p w14:paraId="7EB068E6" w14:textId="36EB1F88" w:rsidR="00771DAE" w:rsidRDefault="00771DAE" w:rsidP="005965F3">
      <w:pPr>
        <w:pStyle w:val="BodyText"/>
        <w:tabs>
          <w:tab w:val="left" w:pos="1559"/>
          <w:tab w:val="left" w:pos="1984"/>
          <w:tab w:val="left" w:leader="dot" w:pos="7654"/>
          <w:tab w:val="right" w:pos="8929"/>
        </w:tabs>
        <w:spacing w:line="240" w:lineRule="atLeast"/>
        <w:ind w:left="1138" w:right="1138" w:firstLine="0"/>
      </w:pPr>
      <w:r>
        <w:t>L’EEI</w:t>
      </w:r>
      <w:r w:rsidRPr="00AD28A7">
        <w:t xml:space="preserve"> est d’avis que les exactions commises par les </w:t>
      </w:r>
      <w:r>
        <w:t>FARDC</w:t>
      </w:r>
      <w:r w:rsidRPr="00AD28A7">
        <w:t xml:space="preserve"> contre la population civile </w:t>
      </w:r>
      <w:r>
        <w:t xml:space="preserve">de la cité de </w:t>
      </w:r>
      <w:r w:rsidRPr="00D37CAD">
        <w:t>Kena Nkuna</w:t>
      </w:r>
      <w:r w:rsidRPr="00AD28A7">
        <w:t xml:space="preserve"> dans les jours et </w:t>
      </w:r>
      <w:r>
        <w:t xml:space="preserve">les </w:t>
      </w:r>
      <w:r w:rsidRPr="00AD28A7">
        <w:t xml:space="preserve">semaines qui ont suivi les </w:t>
      </w:r>
      <w:r>
        <w:t xml:space="preserve">affrontements </w:t>
      </w:r>
      <w:r w:rsidRPr="00AD28A7">
        <w:t>d’octobre 2016</w:t>
      </w:r>
      <w:r>
        <w:t xml:space="preserve"> sont</w:t>
      </w:r>
      <w:r w:rsidRPr="00AD28A7">
        <w:t xml:space="preserve"> représentative</w:t>
      </w:r>
      <w:r>
        <w:t>s</w:t>
      </w:r>
      <w:r w:rsidRPr="00AD28A7">
        <w:t xml:space="preserve"> </w:t>
      </w:r>
      <w:r>
        <w:t xml:space="preserve">de la situation dans d’autres villages de ce territoire au cours de la même période. Elle a en particulier reçu des allégations crédibles de civils </w:t>
      </w:r>
      <w:r w:rsidR="00824616">
        <w:t xml:space="preserve">qui auraient été </w:t>
      </w:r>
      <w:r>
        <w:t xml:space="preserve">tués par les forces de défense et de sécurité dans le groupement de Bena Kabukala et dans les villages de Bena Nzemba, </w:t>
      </w:r>
      <w:r w:rsidRPr="00D37CAD">
        <w:t xml:space="preserve">Matadi, </w:t>
      </w:r>
      <w:r w:rsidRPr="00AD28A7">
        <w:t>Lemba Lemba</w:t>
      </w:r>
      <w:r>
        <w:t xml:space="preserve"> et </w:t>
      </w:r>
      <w:r w:rsidRPr="00287C44">
        <w:t>Mubompa</w:t>
      </w:r>
      <w:r>
        <w:t xml:space="preserve"> qui demandent à être vérifiées</w:t>
      </w:r>
      <w:r w:rsidRPr="007F1170">
        <w:rPr>
          <w:rStyle w:val="FootnoteReference"/>
        </w:rPr>
        <w:footnoteReference w:id="182"/>
      </w:r>
      <w:r>
        <w:t>.</w:t>
      </w:r>
    </w:p>
    <w:p w14:paraId="1098EC17" w14:textId="7F64844D" w:rsidR="00824616" w:rsidRDefault="00771DAE" w:rsidP="005965F3">
      <w:pPr>
        <w:pStyle w:val="BodyText"/>
        <w:tabs>
          <w:tab w:val="left" w:pos="1559"/>
          <w:tab w:val="left" w:pos="1984"/>
          <w:tab w:val="left" w:leader="dot" w:pos="7654"/>
          <w:tab w:val="right" w:pos="8929"/>
        </w:tabs>
        <w:spacing w:line="240" w:lineRule="atLeast"/>
        <w:ind w:left="1138" w:right="1138" w:firstLine="0"/>
      </w:pPr>
      <w:r w:rsidRPr="00287C44">
        <w:t xml:space="preserve">En ce qui </w:t>
      </w:r>
      <w:r>
        <w:t>concerne le territoire de Miabi</w:t>
      </w:r>
      <w:r w:rsidRPr="00287C44">
        <w:t>, les exactions commises par des membres des FARDC dans l</w:t>
      </w:r>
      <w:r w:rsidR="001E5BF7">
        <w:t xml:space="preserve">e village de Mwanza Lomba </w:t>
      </w:r>
      <w:r w:rsidRPr="00287C44">
        <w:t>contre de</w:t>
      </w:r>
      <w:r w:rsidR="001E5BF7">
        <w:t>s</w:t>
      </w:r>
      <w:r w:rsidRPr="00287C44">
        <w:t xml:space="preserve"> miliciens Kamuina Nsapu ont été </w:t>
      </w:r>
      <w:r>
        <w:t>largement</w:t>
      </w:r>
      <w:r w:rsidRPr="00287C44">
        <w:t xml:space="preserve"> médiatisé</w:t>
      </w:r>
      <w:r>
        <w:t>es</w:t>
      </w:r>
      <w:r w:rsidRPr="00287C44">
        <w:t>. Le 18 décembre 2016, dans la localité de Bena Tshikasu, village Mwanza Lomba, des FARDC de la 21</w:t>
      </w:r>
      <w:r w:rsidRPr="00E06F8D">
        <w:rPr>
          <w:vertAlign w:val="superscript"/>
        </w:rPr>
        <w:t>ème</w:t>
      </w:r>
      <w:r w:rsidRPr="00287C44">
        <w:t xml:space="preserve"> Région militaire envoyés dans cette localité </w:t>
      </w:r>
      <w:r w:rsidR="00824616">
        <w:t>ont</w:t>
      </w:r>
      <w:r w:rsidRPr="00287C44">
        <w:t xml:space="preserve"> affronté </w:t>
      </w:r>
      <w:r>
        <w:t>des miliciens</w:t>
      </w:r>
      <w:r w:rsidRPr="00287C44">
        <w:t xml:space="preserve"> Kamuina Nsapu. Plusieurs miliciens ont été abattus par les FARDC</w:t>
      </w:r>
      <w:r>
        <w:t>.</w:t>
      </w:r>
      <w:r w:rsidRPr="00287C44">
        <w:t xml:space="preserve"> </w:t>
      </w:r>
      <w:r>
        <w:t>U</w:t>
      </w:r>
      <w:r w:rsidRPr="00287C44">
        <w:t>n des militaires a</w:t>
      </w:r>
      <w:r>
        <w:t xml:space="preserve"> par ailleurs</w:t>
      </w:r>
      <w:r w:rsidRPr="00287C44">
        <w:t xml:space="preserve"> filmé ces exécutions. </w:t>
      </w:r>
      <w:r>
        <w:t>L</w:t>
      </w:r>
      <w:r w:rsidRPr="00287C44">
        <w:t xml:space="preserve">a vidéo </w:t>
      </w:r>
      <w:r>
        <w:t>montre</w:t>
      </w:r>
      <w:r w:rsidRPr="00287C44">
        <w:t xml:space="preserve"> des soldats </w:t>
      </w:r>
      <w:r w:rsidR="00824616">
        <w:t>ouvrant le feu</w:t>
      </w:r>
      <w:r w:rsidRPr="00287C44">
        <w:t xml:space="preserve"> </w:t>
      </w:r>
      <w:r w:rsidR="001E5BF7">
        <w:t>sur</w:t>
      </w:r>
      <w:r w:rsidRPr="00287C44">
        <w:t xml:space="preserve"> des miliciens munis de bâtons et</w:t>
      </w:r>
      <w:r>
        <w:t xml:space="preserve"> de</w:t>
      </w:r>
      <w:r w:rsidRPr="00287C44">
        <w:t xml:space="preserve"> couteaux mais sans entendre de coups de feu en retour. </w:t>
      </w:r>
      <w:r>
        <w:t>Lorsque les tirs ont cessé,</w:t>
      </w:r>
      <w:r w:rsidRPr="00287C44">
        <w:t xml:space="preserve"> </w:t>
      </w:r>
      <w:r>
        <w:t xml:space="preserve">on peut voir </w:t>
      </w:r>
      <w:r w:rsidRPr="00287C44">
        <w:t xml:space="preserve">les militaires </w:t>
      </w:r>
      <w:r>
        <w:t xml:space="preserve">s’avancer et achever plusieurs personnes au sol, y compris </w:t>
      </w:r>
      <w:r w:rsidRPr="00287C44">
        <w:t>une femme</w:t>
      </w:r>
      <w:r>
        <w:t>.</w:t>
      </w:r>
      <w:r w:rsidRPr="00287C44">
        <w:t xml:space="preserve"> </w:t>
      </w:r>
      <w:r>
        <w:t>Les</w:t>
      </w:r>
      <w:r w:rsidRPr="00287C44">
        <w:t xml:space="preserve"> corps de femmes, garçons et hommes tués </w:t>
      </w:r>
      <w:r>
        <w:t>sont visibles sur la vidéo</w:t>
      </w:r>
      <w:r w:rsidRPr="007F1170">
        <w:rPr>
          <w:rStyle w:val="FootnoteReference"/>
        </w:rPr>
        <w:footnoteReference w:id="183"/>
      </w:r>
      <w:r w:rsidRPr="00287C44">
        <w:t>.</w:t>
      </w:r>
    </w:p>
    <w:p w14:paraId="352633CE" w14:textId="0EE46581" w:rsidR="00771DAE" w:rsidRPr="00287C44" w:rsidRDefault="00824616" w:rsidP="005965F3">
      <w:pPr>
        <w:pStyle w:val="BodyText"/>
        <w:tabs>
          <w:tab w:val="left" w:pos="1559"/>
          <w:tab w:val="left" w:pos="1984"/>
          <w:tab w:val="left" w:leader="dot" w:pos="7654"/>
          <w:tab w:val="right" w:pos="8929"/>
        </w:tabs>
        <w:spacing w:line="240" w:lineRule="atLeast"/>
        <w:ind w:left="1138" w:right="1138" w:firstLine="0"/>
      </w:pPr>
      <w:r w:rsidRPr="00287C44">
        <w:t xml:space="preserve">En février 2017, la vidéo </w:t>
      </w:r>
      <w:r>
        <w:t>de cet incident a été</w:t>
      </w:r>
      <w:r w:rsidRPr="00287C44">
        <w:t xml:space="preserve"> largement diffusée sur les réseaux sociaux. </w:t>
      </w:r>
      <w:r>
        <w:t>U</w:t>
      </w:r>
      <w:r w:rsidRPr="008D7973">
        <w:t xml:space="preserve">ne instruction </w:t>
      </w:r>
      <w:r>
        <w:t>a alors été</w:t>
      </w:r>
      <w:r w:rsidRPr="008D7973">
        <w:t xml:space="preserve"> ouverte par l’auditorat général. </w:t>
      </w:r>
      <w:r w:rsidR="001E5BF7">
        <w:t>Un</w:t>
      </w:r>
      <w:r w:rsidRPr="008D7973">
        <w:t xml:space="preserve"> procès s’est tenu dans la ville de Mbuj</w:t>
      </w:r>
      <w:r>
        <w:t xml:space="preserve">i-Mayi </w:t>
      </w:r>
      <w:r w:rsidRPr="00287C44">
        <w:t xml:space="preserve">du 5 juin au 6 juillet 2017 </w:t>
      </w:r>
      <w:r>
        <w:t xml:space="preserve">mettant en cause </w:t>
      </w:r>
      <w:r w:rsidRPr="00287C44">
        <w:t>neuf prévenus (dont deux en fuite)</w:t>
      </w:r>
      <w:r>
        <w:t>,</w:t>
      </w:r>
      <w:r w:rsidRPr="00287C44">
        <w:t xml:space="preserve"> tous membres de la 21</w:t>
      </w:r>
      <w:r w:rsidRPr="00E06F8D">
        <w:rPr>
          <w:vertAlign w:val="superscript"/>
        </w:rPr>
        <w:t>ème</w:t>
      </w:r>
      <w:r w:rsidRPr="00287C44">
        <w:t xml:space="preserve"> région militaire des FARDC. Le 6 juillet 2017, huit prévenus </w:t>
      </w:r>
      <w:r>
        <w:t>ont été</w:t>
      </w:r>
      <w:r w:rsidRPr="00287C44">
        <w:t xml:space="preserve"> condamnés pour meurtre, dissipation de munitions de guerre et outrage aux bonnes mœurs à des peines allant de 15 ans d</w:t>
      </w:r>
      <w:r w:rsidR="00DD00F3">
        <w:t>e servitude pénale</w:t>
      </w:r>
      <w:r w:rsidRPr="00287C44">
        <w:t xml:space="preserve"> à la prison à perpétuité. Un</w:t>
      </w:r>
      <w:r w:rsidR="00DD00F3">
        <w:t xml:space="preserve"> prévenu</w:t>
      </w:r>
      <w:r w:rsidRPr="00287C44">
        <w:t xml:space="preserve"> a été acquitté</w:t>
      </w:r>
      <w:r w:rsidRPr="007F1170">
        <w:rPr>
          <w:rStyle w:val="FootnoteReference"/>
        </w:rPr>
        <w:footnoteReference w:id="184"/>
      </w:r>
      <w:r w:rsidRPr="00287C44">
        <w:t xml:space="preserve">. </w:t>
      </w:r>
      <w:r w:rsidR="00771DAE" w:rsidRPr="00287C44">
        <w:t>Lors du procès</w:t>
      </w:r>
      <w:r w:rsidR="00771DAE">
        <w:t>,</w:t>
      </w:r>
      <w:r w:rsidR="00771DAE" w:rsidRPr="00287C44">
        <w:t xml:space="preserve"> le FARDC qui a filmé </w:t>
      </w:r>
      <w:r w:rsidR="00771DAE">
        <w:t>a indiqué </w:t>
      </w:r>
      <w:r w:rsidR="00771DAE" w:rsidRPr="00287C44">
        <w:t>l’avoir</w:t>
      </w:r>
      <w:r w:rsidR="00771DAE">
        <w:t xml:space="preserve"> fait</w:t>
      </w:r>
      <w:r w:rsidR="00771DAE" w:rsidRPr="00287C44">
        <w:t xml:space="preserve"> </w:t>
      </w:r>
      <w:r w:rsidR="00771DAE">
        <w:t>pour encourager</w:t>
      </w:r>
      <w:r w:rsidR="00771DAE" w:rsidRPr="00287C44">
        <w:t xml:space="preserve"> ses collègues qui pensaient que les miliciens étaient invulnérables</w:t>
      </w:r>
      <w:r w:rsidR="00771DAE" w:rsidRPr="007F1170">
        <w:rPr>
          <w:rStyle w:val="FootnoteReference"/>
        </w:rPr>
        <w:footnoteReference w:id="185"/>
      </w:r>
      <w:r w:rsidR="00771DAE" w:rsidRPr="00287C44">
        <w:t xml:space="preserve">. Deux </w:t>
      </w:r>
      <w:r w:rsidR="00771DAE">
        <w:t xml:space="preserve">FARDC ont reconnu lors du procès avoir enterré </w:t>
      </w:r>
      <w:r w:rsidRPr="00287C44">
        <w:t>dans une fosse commune située dans un champ de maïs derrière une maison sur la route de Mbuji-Mayi</w:t>
      </w:r>
      <w:r>
        <w:t xml:space="preserve"> </w:t>
      </w:r>
      <w:r w:rsidR="00771DAE">
        <w:t>l</w:t>
      </w:r>
      <w:r w:rsidR="00771DAE" w:rsidRPr="00287C44">
        <w:t>es</w:t>
      </w:r>
      <w:r>
        <w:t xml:space="preserve"> corps de </w:t>
      </w:r>
      <w:r w:rsidR="00771DAE" w:rsidRPr="00287C44">
        <w:t xml:space="preserve">miliciens Kamuina Nsapu. Le défenseur judiciaire militaire au procès a indiqué qu’il est demandé aux troupes de procéder à l’enterrement des cadavres des personnes tuées sur le champ de bataille pour raison de salubrité publique et </w:t>
      </w:r>
      <w:r w:rsidR="00771DAE">
        <w:t>afin d’</w:t>
      </w:r>
      <w:r w:rsidR="00771DAE" w:rsidRPr="00287C44">
        <w:t>éviter de démoraliser les troupes qui viennent en renfort</w:t>
      </w:r>
      <w:r w:rsidR="00771DAE" w:rsidRPr="007F1170">
        <w:rPr>
          <w:rStyle w:val="FootnoteReference"/>
        </w:rPr>
        <w:footnoteReference w:id="186"/>
      </w:r>
      <w:r w:rsidR="00771DAE" w:rsidRPr="00287C44">
        <w:t>.</w:t>
      </w:r>
      <w:r>
        <w:t xml:space="preserve"> </w:t>
      </w:r>
      <w:r w:rsidR="00771DAE" w:rsidRPr="00287C44">
        <w:t xml:space="preserve">Le commandant de l’opération, répondant </w:t>
      </w:r>
      <w:r w:rsidR="00771DAE">
        <w:t xml:space="preserve">lors du procès </w:t>
      </w:r>
      <w:r w:rsidR="00771DAE" w:rsidRPr="00287C44">
        <w:t xml:space="preserve">à la question de savoir qui avait </w:t>
      </w:r>
      <w:r w:rsidR="001E5BF7">
        <w:t>or</w:t>
      </w:r>
      <w:r w:rsidR="00771DAE" w:rsidRPr="00287C44">
        <w:t>donné cette opération a indiqué qu</w:t>
      </w:r>
      <w:r w:rsidR="001E5BF7">
        <w:t>’il s’agissait des</w:t>
      </w:r>
      <w:r w:rsidR="00771DAE" w:rsidRPr="00287C44">
        <w:t xml:space="preserve"> autorités sans plus de précision. La défense des prévenus a </w:t>
      </w:r>
      <w:r w:rsidR="00771DAE">
        <w:t xml:space="preserve">néanmoins </w:t>
      </w:r>
      <w:r w:rsidR="00771DAE" w:rsidRPr="00287C44">
        <w:t>insisté sur le fait que cette opération avait été planifiée et ordonnée par le commandement de 21</w:t>
      </w:r>
      <w:r w:rsidR="00771DAE" w:rsidRPr="00E06F8D">
        <w:rPr>
          <w:vertAlign w:val="superscript"/>
        </w:rPr>
        <w:t>ème</w:t>
      </w:r>
      <w:r w:rsidR="00771DAE" w:rsidRPr="00287C44">
        <w:t xml:space="preserve"> région militaire</w:t>
      </w:r>
      <w:r w:rsidR="00771DAE" w:rsidRPr="007F1170">
        <w:rPr>
          <w:rStyle w:val="FootnoteReference"/>
        </w:rPr>
        <w:footnoteReference w:id="187"/>
      </w:r>
      <w:r w:rsidR="00771DAE" w:rsidRPr="00287C44">
        <w:t>.</w:t>
      </w:r>
    </w:p>
    <w:p w14:paraId="729BE5EA" w14:textId="2EAE88A5" w:rsidR="00771DAE" w:rsidRPr="003C02D5" w:rsidRDefault="00771DAE" w:rsidP="005965F3">
      <w:pPr>
        <w:pStyle w:val="BodyText"/>
        <w:tabs>
          <w:tab w:val="left" w:pos="1559"/>
          <w:tab w:val="left" w:pos="1984"/>
          <w:tab w:val="left" w:leader="dot" w:pos="7654"/>
          <w:tab w:val="right" w:pos="8929"/>
        </w:tabs>
        <w:spacing w:line="240" w:lineRule="atLeast"/>
        <w:ind w:left="1138" w:right="1138" w:firstLine="0"/>
      </w:pPr>
      <w:r>
        <w:t>L’EEI a par ailleurs reçu des allégations crédibles</w:t>
      </w:r>
      <w:r w:rsidR="001E5BF7">
        <w:t xml:space="preserve"> selon lesquelles</w:t>
      </w:r>
      <w:r>
        <w:t xml:space="preserve"> de</w:t>
      </w:r>
      <w:r w:rsidR="001E5BF7">
        <w:t>s</w:t>
      </w:r>
      <w:r>
        <w:t xml:space="preserve"> membres de la population civile </w:t>
      </w:r>
      <w:r w:rsidR="008E3B39">
        <w:t xml:space="preserve">auraient été </w:t>
      </w:r>
      <w:r>
        <w:t>tués par les forces de défense et de sécurité sur le territoire de Miabi, en particulier dans les villages de Katinde et de Miteka, qui demandent à être vérifiées</w:t>
      </w:r>
      <w:r w:rsidRPr="007F1170">
        <w:rPr>
          <w:rStyle w:val="FootnoteReference"/>
        </w:rPr>
        <w:footnoteReference w:id="188"/>
      </w:r>
      <w:r>
        <w:t>.</w:t>
      </w:r>
    </w:p>
    <w:p w14:paraId="61D0346C" w14:textId="3E983063" w:rsidR="00771DAE" w:rsidRPr="00FE5E8D" w:rsidRDefault="00771DAE" w:rsidP="00BC668B">
      <w:pPr>
        <w:pStyle w:val="Heading3"/>
        <w:spacing w:before="240" w:line="240" w:lineRule="exact"/>
        <w:ind w:left="1138" w:right="1138" w:hanging="571"/>
        <w:rPr>
          <w:b/>
        </w:rPr>
      </w:pPr>
      <w:r w:rsidRPr="00FE5E8D">
        <w:rPr>
          <w:b/>
        </w:rPr>
        <w:t>Province du Kasaï</w:t>
      </w:r>
    </w:p>
    <w:p w14:paraId="0B77FB2A" w14:textId="7824AC3F" w:rsidR="00771DAE" w:rsidRPr="00AD28A7" w:rsidRDefault="00771DAE" w:rsidP="005965F3">
      <w:pPr>
        <w:pStyle w:val="BodyText"/>
        <w:tabs>
          <w:tab w:val="left" w:pos="1559"/>
          <w:tab w:val="left" w:pos="1984"/>
          <w:tab w:val="left" w:leader="dot" w:pos="7654"/>
          <w:tab w:val="right" w:pos="8929"/>
        </w:tabs>
        <w:spacing w:line="240" w:lineRule="atLeast"/>
        <w:ind w:left="1138" w:right="1138" w:firstLine="0"/>
      </w:pPr>
      <w:r>
        <w:t>Fin novembre/début décembre</w:t>
      </w:r>
      <w:r w:rsidRPr="00AD28A7">
        <w:t xml:space="preserve"> 2016, la vague de violence liée </w:t>
      </w:r>
      <w:r w:rsidRPr="009A1F07">
        <w:t>à la milice Kamuina</w:t>
      </w:r>
      <w:r w:rsidRPr="00AD28A7">
        <w:t xml:space="preserve"> Nsapu atteint l’axe routier Kananga</w:t>
      </w:r>
      <w:r>
        <w:t>-Tshikapa</w:t>
      </w:r>
      <w:r w:rsidRPr="00AD28A7">
        <w:t xml:space="preserve">, </w:t>
      </w:r>
      <w:r w:rsidR="00F904E6">
        <w:t xml:space="preserve">dans le </w:t>
      </w:r>
      <w:r w:rsidRPr="00AD28A7">
        <w:t xml:space="preserve">territoire de Kamonia, province du Kasaï. C’est un conflit de pouvoir coutumier entre le chef coutumier du Groupement </w:t>
      </w:r>
      <w:r w:rsidR="00F904E6">
        <w:t xml:space="preserve">de </w:t>
      </w:r>
      <w:r w:rsidRPr="00AD28A7">
        <w:t>Mbawu</w:t>
      </w:r>
      <w:r>
        <w:t>,</w:t>
      </w:r>
      <w:r w:rsidRPr="00AD28A7">
        <w:t xml:space="preserve"> dont le statut a été reconnu par les autorités</w:t>
      </w:r>
      <w:r>
        <w:t>,</w:t>
      </w:r>
      <w:r w:rsidRPr="00AD28A7">
        <w:t xml:space="preserve"> </w:t>
      </w:r>
      <w:r>
        <w:t>et son oncle qui se considérait</w:t>
      </w:r>
      <w:r w:rsidRPr="00AD28A7">
        <w:t xml:space="preserve"> comme le chef coutumier légitime du groupement qui </w:t>
      </w:r>
      <w:r>
        <w:t>a</w:t>
      </w:r>
      <w:r w:rsidRPr="00AD28A7">
        <w:t xml:space="preserve"> favorisé le déploiement de la milice Kamuina Nsapu dans</w:t>
      </w:r>
      <w:r>
        <w:t xml:space="preserve"> cette zone de</w:t>
      </w:r>
      <w:r w:rsidRPr="00AD28A7">
        <w:t xml:space="preserve"> la province du Kasaï</w:t>
      </w:r>
      <w:r w:rsidRPr="007F1170">
        <w:rPr>
          <w:rStyle w:val="FootnoteReference"/>
        </w:rPr>
        <w:footnoteReference w:id="189"/>
      </w:r>
      <w:r w:rsidRPr="00AD28A7">
        <w:t>. Un témoin expli</w:t>
      </w:r>
      <w:r>
        <w:t>que que l’homme qui se considérait</w:t>
      </w:r>
      <w:r w:rsidRPr="00AD28A7">
        <w:t xml:space="preserve"> comme le chef coutumier légitime du groupement </w:t>
      </w:r>
      <w:r w:rsidR="00F904E6" w:rsidRPr="004637BD">
        <w:t xml:space="preserve">de </w:t>
      </w:r>
      <w:r w:rsidRPr="004637BD">
        <w:t>Mbawu mais n’av</w:t>
      </w:r>
      <w:r w:rsidRPr="00591FD8">
        <w:t>ait pas obtenu de reconnaissance, s’est rendu</w:t>
      </w:r>
      <w:r w:rsidRPr="0094347A">
        <w:t xml:space="preserve"> dans la province du Kasaï Central afin de rapporter des fétiches Ka</w:t>
      </w:r>
      <w:r w:rsidRPr="000E0DA5">
        <w:t>muina Nsapu et bénéficier ainsi de ses pouvoirs mystiques</w:t>
      </w:r>
      <w:r w:rsidRPr="007F1170">
        <w:rPr>
          <w:rStyle w:val="FootnoteReference"/>
        </w:rPr>
        <w:footnoteReference w:id="190"/>
      </w:r>
      <w:r w:rsidRPr="00EB1126">
        <w:t xml:space="preserve">. La famille Mbawu appartient au clan des </w:t>
      </w:r>
      <w:r w:rsidR="00006825" w:rsidRPr="003347B9">
        <w:t>Bashila</w:t>
      </w:r>
      <w:r w:rsidRPr="00FE5E8D">
        <w:rPr>
          <w:rFonts w:eastAsia="Calibri"/>
        </w:rPr>
        <w:t xml:space="preserve"> Kasanga</w:t>
      </w:r>
      <w:r w:rsidRPr="004637BD">
        <w:rPr>
          <w:rFonts w:eastAsia="Calibri"/>
        </w:rPr>
        <w:t xml:space="preserve"> dont la</w:t>
      </w:r>
      <w:r w:rsidRPr="00AD28A7">
        <w:rPr>
          <w:rFonts w:eastAsia="Calibri"/>
        </w:rPr>
        <w:t xml:space="preserve"> famille du chef coutumier Kamuina Nsapu fait également partie</w:t>
      </w:r>
      <w:r w:rsidRPr="007F1170">
        <w:rPr>
          <w:rStyle w:val="FootnoteReference"/>
          <w:rFonts w:eastAsia="Calibri"/>
        </w:rPr>
        <w:footnoteReference w:id="191"/>
      </w:r>
      <w:r w:rsidRPr="00AD28A7">
        <w:rPr>
          <w:rFonts w:eastAsia="Calibri"/>
        </w:rPr>
        <w:t>.</w:t>
      </w:r>
    </w:p>
    <w:p w14:paraId="14EB2B44" w14:textId="4F3D8A82" w:rsidR="00771DAE" w:rsidRPr="00AD28A7" w:rsidRDefault="00771DAE" w:rsidP="005965F3">
      <w:pPr>
        <w:pStyle w:val="BodyText"/>
        <w:tabs>
          <w:tab w:val="left" w:pos="1559"/>
          <w:tab w:val="left" w:pos="1984"/>
          <w:tab w:val="left" w:leader="dot" w:pos="7654"/>
          <w:tab w:val="right" w:pos="8929"/>
        </w:tabs>
        <w:spacing w:line="240" w:lineRule="atLeast"/>
        <w:ind w:left="1138" w:right="1138" w:firstLine="0"/>
      </w:pPr>
      <w:r>
        <w:t xml:space="preserve">Un tshiota a été </w:t>
      </w:r>
      <w:r w:rsidRPr="00AD28A7">
        <w:t>installé autour du 22 novembre 2016 dans le groupement de Mbawu</w:t>
      </w:r>
      <w:r>
        <w:t xml:space="preserve"> et de nombreux </w:t>
      </w:r>
      <w:r w:rsidRPr="00AD28A7">
        <w:t xml:space="preserve">chefs </w:t>
      </w:r>
      <w:r>
        <w:t xml:space="preserve">de villages appartenant </w:t>
      </w:r>
      <w:r w:rsidR="00F904E6">
        <w:t xml:space="preserve">à ce groupement </w:t>
      </w:r>
      <w:r w:rsidRPr="00AD28A7">
        <w:t>ont adhéré au mouvement Kamuina Nsapu</w:t>
      </w:r>
      <w:r w:rsidRPr="007F1170">
        <w:rPr>
          <w:rStyle w:val="FootnoteReference"/>
        </w:rPr>
        <w:footnoteReference w:id="192"/>
      </w:r>
      <w:r>
        <w:t>.</w:t>
      </w:r>
      <w:r w:rsidRPr="00AD28A7">
        <w:t xml:space="preserve"> Les chefs de village du groupement </w:t>
      </w:r>
      <w:r w:rsidR="00F904E6">
        <w:t xml:space="preserve">de </w:t>
      </w:r>
      <w:r w:rsidRPr="00AD28A7">
        <w:t xml:space="preserve">Mbawu ou de groupements environnants </w:t>
      </w:r>
      <w:r>
        <w:t>qui ont refusé</w:t>
      </w:r>
      <w:r w:rsidRPr="00AD28A7">
        <w:t xml:space="preserve"> de prêter allégeance au chef Mbawu et de recruter au sein de leur population pour les rangs de la milice Kamuina Nsapu </w:t>
      </w:r>
      <w:r w:rsidR="00F904E6">
        <w:t>ont été</w:t>
      </w:r>
      <w:r w:rsidRPr="00AD28A7">
        <w:t xml:space="preserve"> menacés et certains ont vu leur maison brûlée ou ont été décapités</w:t>
      </w:r>
      <w:r>
        <w:t>. Ainsi au moins quatre</w:t>
      </w:r>
      <w:r w:rsidRPr="00AD28A7">
        <w:t xml:space="preserve"> chefs coutumiers </w:t>
      </w:r>
      <w:r>
        <w:t>ont</w:t>
      </w:r>
      <w:r w:rsidRPr="00AD28A7">
        <w:t xml:space="preserve"> été tués par des miliciens Kamuina Nsapu</w:t>
      </w:r>
      <w:r>
        <w:t xml:space="preserve">. </w:t>
      </w:r>
      <w:r w:rsidRPr="00AD28A7">
        <w:t>Plusieurs chefs coutumiers craignant pour leur vie ont fui</w:t>
      </w:r>
      <w:r w:rsidRPr="007F1170">
        <w:rPr>
          <w:rStyle w:val="FootnoteReference"/>
        </w:rPr>
        <w:footnoteReference w:id="193"/>
      </w:r>
      <w:r w:rsidRPr="00AD28A7">
        <w:t>.</w:t>
      </w:r>
    </w:p>
    <w:p w14:paraId="1CE77B3D" w14:textId="77710636" w:rsidR="00771DAE" w:rsidRDefault="00771DAE" w:rsidP="005965F3">
      <w:pPr>
        <w:pStyle w:val="BodyText"/>
        <w:tabs>
          <w:tab w:val="left" w:pos="1559"/>
          <w:tab w:val="left" w:pos="1984"/>
          <w:tab w:val="left" w:leader="dot" w:pos="7654"/>
          <w:tab w:val="right" w:pos="8929"/>
        </w:tabs>
        <w:spacing w:line="240" w:lineRule="atLeast"/>
        <w:ind w:left="1138" w:right="1138" w:firstLine="0"/>
      </w:pPr>
      <w:r w:rsidRPr="00AD28A7">
        <w:t xml:space="preserve">Suivant le même schéma de recrutement au sein de la milice </w:t>
      </w:r>
      <w:r>
        <w:t>qu’au Kasaï Central, des enfants ont</w:t>
      </w:r>
      <w:r w:rsidRPr="00AD28A7">
        <w:t xml:space="preserve"> été recruté</w:t>
      </w:r>
      <w:r w:rsidR="002D1007">
        <w:t>s</w:t>
      </w:r>
      <w:r w:rsidRPr="00AD28A7">
        <w:t xml:space="preserve"> par force </w:t>
      </w:r>
      <w:r>
        <w:t xml:space="preserve">ou par ruse </w:t>
      </w:r>
      <w:r w:rsidRPr="00AD28A7">
        <w:t>au sein de la milice après avoir suivi le rituel du baptême</w:t>
      </w:r>
      <w:r w:rsidRPr="007F1170">
        <w:rPr>
          <w:rStyle w:val="FootnoteReference"/>
        </w:rPr>
        <w:footnoteReference w:id="194"/>
      </w:r>
      <w:r w:rsidRPr="00AD28A7">
        <w:t xml:space="preserve">. Un témoin raconte que le 27 novembre 2016, il a vu </w:t>
      </w:r>
      <w:r w:rsidRPr="00287C44">
        <w:t>une foule immense d’hommes, de femmes et d</w:t>
      </w:r>
      <w:r>
        <w:t>’</w:t>
      </w:r>
      <w:r w:rsidRPr="00287C44">
        <w:t xml:space="preserve">enfants </w:t>
      </w:r>
      <w:r>
        <w:t xml:space="preserve">au tshiota installé dans le groupement </w:t>
      </w:r>
      <w:r w:rsidR="008866CA">
        <w:t xml:space="preserve">de </w:t>
      </w:r>
      <w:r>
        <w:t>Mbawu</w:t>
      </w:r>
      <w:r w:rsidRPr="007F1170">
        <w:rPr>
          <w:rStyle w:val="FootnoteReference"/>
        </w:rPr>
        <w:footnoteReference w:id="195"/>
      </w:r>
      <w:r w:rsidRPr="00287C44">
        <w:t xml:space="preserve">. </w:t>
      </w:r>
      <w:r>
        <w:t>La MONUSCO a documenté 14 cas de recrutement et d’utilisation d’enfants par les Kamuina Nsapu dans le territoire de Kamonia principalement dans les localités de Mbawu et de Kabeya-Lumbu aux alentours du 15 décembre 2016. Les enfants étaient âgés de 8 à 17 ans</w:t>
      </w:r>
      <w:r w:rsidRPr="007F1170">
        <w:rPr>
          <w:rStyle w:val="FootnoteReference"/>
        </w:rPr>
        <w:footnoteReference w:id="196"/>
      </w:r>
      <w:r>
        <w:t>. Par ailleurs, u</w:t>
      </w:r>
      <w:r w:rsidRPr="00287C44">
        <w:t>n témo</w:t>
      </w:r>
      <w:r w:rsidRPr="0038460E">
        <w:t xml:space="preserve">in mineur </w:t>
      </w:r>
      <w:r>
        <w:t>a raconté</w:t>
      </w:r>
      <w:r w:rsidRPr="0038460E">
        <w:t xml:space="preserve"> </w:t>
      </w:r>
      <w:r>
        <w:t xml:space="preserve">à l’EEI </w:t>
      </w:r>
      <w:r w:rsidRPr="0038460E">
        <w:t>son recrutement par la force</w:t>
      </w:r>
      <w:r>
        <w:t xml:space="preserve"> dans la milice</w:t>
      </w:r>
      <w:r w:rsidRPr="0038460E">
        <w:t xml:space="preserve"> dans le village </w:t>
      </w:r>
      <w:r w:rsidRPr="004E7B8B">
        <w:t xml:space="preserve">de </w:t>
      </w:r>
      <w:r>
        <w:t>Kabamba</w:t>
      </w:r>
      <w:r w:rsidRPr="004E7B8B">
        <w:t>i</w:t>
      </w:r>
      <w:r>
        <w:t>e</w:t>
      </w:r>
      <w:r w:rsidRPr="00287C44">
        <w:t xml:space="preserve">, </w:t>
      </w:r>
      <w:r>
        <w:t xml:space="preserve">secteur de Kasaï-Kabambaie </w:t>
      </w:r>
      <w:r w:rsidRPr="00287C44">
        <w:t>à la fr</w:t>
      </w:r>
      <w:r>
        <w:t xml:space="preserve">ontière du territoire de Luebo, </w:t>
      </w:r>
      <w:r w:rsidRPr="00287C44">
        <w:t xml:space="preserve">en décembre 2016. </w:t>
      </w:r>
      <w:r>
        <w:t>N</w:t>
      </w:r>
      <w:r w:rsidRPr="00287C44">
        <w:t xml:space="preserve">euf enfants miliciens Kamuina Nsapu </w:t>
      </w:r>
      <w:r w:rsidRPr="0038460E">
        <w:t xml:space="preserve">l’ont capturé avec 11 filles et 8 garçons dont l’âge variait entre 16 et 18 ans. </w:t>
      </w:r>
      <w:r>
        <w:t xml:space="preserve">Les miliciens </w:t>
      </w:r>
      <w:r w:rsidR="008866CA">
        <w:t>l’</w:t>
      </w:r>
      <w:r>
        <w:t>ont amené au tshiota et lui</w:t>
      </w:r>
      <w:r w:rsidRPr="0038460E">
        <w:t xml:space="preserve"> ont demandé de </w:t>
      </w:r>
      <w:r w:rsidR="008866CA">
        <w:t xml:space="preserve">se soumettre </w:t>
      </w:r>
      <w:r w:rsidRPr="0038460E">
        <w:t>au rituel du baptême. Ayant refusé, il fût assigné aux corvées</w:t>
      </w:r>
      <w:r>
        <w:t xml:space="preserve">. Pendant </w:t>
      </w:r>
      <w:r w:rsidR="008866CA">
        <w:t xml:space="preserve">qu’il se trouvait </w:t>
      </w:r>
      <w:r>
        <w:t>avec les miliciens, ces derniers</w:t>
      </w:r>
      <w:r w:rsidRPr="0038460E">
        <w:t xml:space="preserve"> ont </w:t>
      </w:r>
      <w:r w:rsidR="008866CA">
        <w:t>r</w:t>
      </w:r>
      <w:r w:rsidRPr="0038460E">
        <w:t>apporté des cuisses humaines et de</w:t>
      </w:r>
      <w:r w:rsidRPr="00EC3995">
        <w:t xml:space="preserve">s bidons de sang humain que le témoin </w:t>
      </w:r>
      <w:r w:rsidR="008866CA">
        <w:t>a dû</w:t>
      </w:r>
      <w:r w:rsidRPr="00EC3995">
        <w:t xml:space="preserve"> cuisiner. </w:t>
      </w:r>
      <w:r w:rsidR="008866CA">
        <w:t xml:space="preserve">Il </w:t>
      </w:r>
      <w:r w:rsidRPr="00EC3995">
        <w:t>a</w:t>
      </w:r>
      <w:r>
        <w:t xml:space="preserve"> par ailleurs</w:t>
      </w:r>
      <w:r w:rsidRPr="00EC3995">
        <w:t xml:space="preserve"> assisté au meurtre par décapitation </w:t>
      </w:r>
      <w:r>
        <w:t>au tshiota</w:t>
      </w:r>
      <w:r w:rsidRPr="00EC3995">
        <w:t xml:space="preserve"> de sept personnes, six hommes et une femme</w:t>
      </w:r>
      <w:r w:rsidR="008866CA">
        <w:t>,</w:t>
      </w:r>
      <w:r w:rsidRPr="00EC3995">
        <w:t xml:space="preserve"> fonctionnaires de </w:t>
      </w:r>
      <w:r>
        <w:t>l’Etat</w:t>
      </w:r>
      <w:r w:rsidRPr="007F1170">
        <w:rPr>
          <w:rStyle w:val="FootnoteReference"/>
        </w:rPr>
        <w:footnoteReference w:id="197"/>
      </w:r>
      <w:r>
        <w:t>.</w:t>
      </w:r>
      <w:r w:rsidRPr="00287C44">
        <w:t xml:space="preserve"> </w:t>
      </w:r>
      <w:r>
        <w:t xml:space="preserve">Au regard des informations collectées et en particulier du nombre d’enfants qui ont participé à l’attaque de la ville Tshikapa, l’EEI estime </w:t>
      </w:r>
      <w:r w:rsidR="008866CA">
        <w:t xml:space="preserve">que </w:t>
      </w:r>
      <w:r>
        <w:t xml:space="preserve">des centaines d’enfants ont été recrutés au cours du mois de décembre 2016 </w:t>
      </w:r>
      <w:r w:rsidR="002D1007">
        <w:t>dans</w:t>
      </w:r>
      <w:r>
        <w:t xml:space="preserve"> cette partie du territoire de Kamonia.</w:t>
      </w:r>
    </w:p>
    <w:p w14:paraId="776F9B17" w14:textId="71A35A32" w:rsidR="00771DAE" w:rsidRPr="00AD28A7" w:rsidRDefault="00771DAE" w:rsidP="005965F3">
      <w:pPr>
        <w:pStyle w:val="BodyText"/>
        <w:tabs>
          <w:tab w:val="left" w:pos="1559"/>
          <w:tab w:val="left" w:pos="1984"/>
          <w:tab w:val="left" w:leader="dot" w:pos="7654"/>
          <w:tab w:val="right" w:pos="8929"/>
        </w:tabs>
        <w:spacing w:line="240" w:lineRule="atLeast"/>
        <w:ind w:left="1138" w:right="1138" w:firstLine="0"/>
      </w:pPr>
      <w:r w:rsidRPr="00287C44">
        <w:t>Le premier incident entre les miliciens Kamuina Nsapu et les forces de sécurité</w:t>
      </w:r>
      <w:r>
        <w:t xml:space="preserve"> et de défense</w:t>
      </w:r>
      <w:r w:rsidRPr="00287C44">
        <w:t xml:space="preserve"> sur le </w:t>
      </w:r>
      <w:r w:rsidRPr="0038460E">
        <w:t xml:space="preserve">territoire de Kamonia </w:t>
      </w:r>
      <w:r>
        <w:t>s’est déroulé</w:t>
      </w:r>
      <w:r w:rsidRPr="0038460E">
        <w:t xml:space="preserve"> le 28 novembre 2016</w:t>
      </w:r>
      <w:r w:rsidRPr="00EC3995">
        <w:t>. Ce jour-là</w:t>
      </w:r>
      <w:r w:rsidR="002D1007">
        <w:t>,</w:t>
      </w:r>
      <w:r w:rsidRPr="00EC3995">
        <w:t xml:space="preserve"> deux policiers </w:t>
      </w:r>
      <w:r>
        <w:t>ont été</w:t>
      </w:r>
      <w:r w:rsidRPr="00655811">
        <w:t xml:space="preserve"> tués par les miliciens Kamuina Nsapu dans le groupement </w:t>
      </w:r>
      <w:r w:rsidR="002E470D">
        <w:t xml:space="preserve">de </w:t>
      </w:r>
      <w:r w:rsidRPr="00AD28A7">
        <w:t>Mbawu</w:t>
      </w:r>
      <w:r w:rsidRPr="007F1170">
        <w:rPr>
          <w:rStyle w:val="FootnoteReference"/>
        </w:rPr>
        <w:footnoteReference w:id="198"/>
      </w:r>
      <w:r w:rsidRPr="00AD28A7">
        <w:t>. Dans les jours qui suiv</w:t>
      </w:r>
      <w:r w:rsidR="002E470D">
        <w:t>ir</w:t>
      </w:r>
      <w:r w:rsidRPr="00AD28A7">
        <w:t>ent, plusieurs incidents entre les représentants de l’autorité publique ou les forces de sécurité et de défense et les miliciens Kamuina Nsapu sont rapportés</w:t>
      </w:r>
      <w:r>
        <w:t xml:space="preserve"> au cours desquels plusieurs</w:t>
      </w:r>
      <w:r w:rsidR="00E74075">
        <w:t xml:space="preserve"> éléments de la</w:t>
      </w:r>
      <w:r>
        <w:t xml:space="preserve"> PNC ont perdu la vie</w:t>
      </w:r>
      <w:r w:rsidRPr="007F1170">
        <w:rPr>
          <w:rStyle w:val="FootnoteReference"/>
        </w:rPr>
        <w:footnoteReference w:id="199"/>
      </w:r>
      <w:r w:rsidRPr="00AD28A7">
        <w:t>. Les 4 et 5 décembre 2016, de nombreux miliciens Kamuina Nsapu, dont des enfants entre 10 et 15 ans et des petites filles nommées</w:t>
      </w:r>
      <w:r w:rsidRPr="00D37CAD">
        <w:t> </w:t>
      </w:r>
      <w:r w:rsidR="00DB37FF">
        <w:t>« </w:t>
      </w:r>
      <w:r w:rsidRPr="005965F3">
        <w:t>ya mama</w:t>
      </w:r>
      <w:r w:rsidR="00DB37FF">
        <w:t> »</w:t>
      </w:r>
      <w:r w:rsidR="00E74075">
        <w:t>,</w:t>
      </w:r>
      <w:r w:rsidRPr="00AD28A7">
        <w:t xml:space="preserve"> sont entrées </w:t>
      </w:r>
      <w:r>
        <w:t>dans la ville de Tshikapa</w:t>
      </w:r>
      <w:r w:rsidRPr="00287C44">
        <w:t xml:space="preserve">. Les </w:t>
      </w:r>
      <w:r>
        <w:t>miliciens</w:t>
      </w:r>
      <w:r w:rsidRPr="00287C44">
        <w:t xml:space="preserve"> </w:t>
      </w:r>
      <w:r>
        <w:t>venaient</w:t>
      </w:r>
      <w:r w:rsidRPr="00287C44">
        <w:t xml:space="preserve"> du groupement de M</w:t>
      </w:r>
      <w:r>
        <w:t>bawu et du village Kabeya Lumbu</w:t>
      </w:r>
      <w:r w:rsidRPr="007F1170">
        <w:rPr>
          <w:rStyle w:val="FootnoteReference"/>
        </w:rPr>
        <w:footnoteReference w:id="200"/>
      </w:r>
      <w:r>
        <w:t>.</w:t>
      </w:r>
      <w:r w:rsidRPr="00287C44">
        <w:t xml:space="preserve"> Des affrontements au niveau du p</w:t>
      </w:r>
      <w:r w:rsidRPr="0038460E">
        <w:t>ont Kasaï</w:t>
      </w:r>
      <w:r>
        <w:t>,</w:t>
      </w:r>
      <w:r w:rsidRPr="0038460E">
        <w:t xml:space="preserve"> dans le quartier de Kele et au niveau de l’aéroport de Tshikapa ont eu lieu entre les miliciens et forces de défense</w:t>
      </w:r>
      <w:r>
        <w:t xml:space="preserve"> et de sécurité</w:t>
      </w:r>
      <w:r w:rsidRPr="007F1170">
        <w:rPr>
          <w:rStyle w:val="FootnoteReference"/>
        </w:rPr>
        <w:footnoteReference w:id="201"/>
      </w:r>
      <w:r w:rsidRPr="00287C44">
        <w:t>.</w:t>
      </w:r>
      <w:r w:rsidRPr="001D6DFC">
        <w:t xml:space="preserve"> </w:t>
      </w:r>
      <w:r w:rsidRPr="00FE5E8D">
        <w:t>D’après les conclusions d’une mission de la MONUSCO</w:t>
      </w:r>
      <w:r w:rsidR="00BC072B">
        <w:t>,</w:t>
      </w:r>
      <w:r w:rsidRPr="00FE5E8D">
        <w:t xml:space="preserve"> </w:t>
      </w:r>
      <w:r w:rsidR="00B468E2" w:rsidRPr="00FE5E8D">
        <w:t xml:space="preserve">des renforts </w:t>
      </w:r>
      <w:r w:rsidR="00BC072B">
        <w:t>étaient arrivé</w:t>
      </w:r>
      <w:r w:rsidRPr="00FE5E8D">
        <w:t>s de Kinshasa, dans les jours précédents permettant de reprendre rapidement le contrôle de la situation dans la ville et de repousser les miliciens Kamuina Nsapu</w:t>
      </w:r>
      <w:r w:rsidRPr="007F1170">
        <w:rPr>
          <w:rStyle w:val="FootnoteReference"/>
        </w:rPr>
        <w:footnoteReference w:id="202"/>
      </w:r>
      <w:r w:rsidRPr="006560CD">
        <w:t>. L’EEI n’a pas été en mesure</w:t>
      </w:r>
      <w:r w:rsidRPr="00D37CAD">
        <w:t xml:space="preserve"> de confirmer </w:t>
      </w:r>
      <w:r>
        <w:t xml:space="preserve">le </w:t>
      </w:r>
      <w:r w:rsidRPr="00D37CAD">
        <w:t>bilan de ces affrontements</w:t>
      </w:r>
      <w:r w:rsidRPr="00287C44">
        <w:t xml:space="preserve">. </w:t>
      </w:r>
      <w:r>
        <w:t>Le bilan dressé par l</w:t>
      </w:r>
      <w:r w:rsidRPr="00EC3995">
        <w:t xml:space="preserve">e gouverneur-adjoint de la province du Kasaï </w:t>
      </w:r>
      <w:r>
        <w:t>fait état de</w:t>
      </w:r>
      <w:r w:rsidRPr="00EC3995">
        <w:t xml:space="preserve"> 31 personnes tuées dont 13 membres des forces de sécurité et de défense et 18 miliciens Kamuina Nsapu, ainsi qu’au moins 16 miliciens Kamuina Nsapu arrêtés et 14 soldats bless</w:t>
      </w:r>
      <w:r>
        <w:t>é</w:t>
      </w:r>
      <w:r w:rsidRPr="00EC3995">
        <w:t>s</w:t>
      </w:r>
      <w:r w:rsidRPr="00287C44">
        <w:t>.</w:t>
      </w:r>
      <w:r w:rsidRPr="0038460E">
        <w:t xml:space="preserve"> </w:t>
      </w:r>
      <w:r>
        <w:t xml:space="preserve">Les chiffres </w:t>
      </w:r>
      <w:r w:rsidR="00E74075">
        <w:t xml:space="preserve">assemblés </w:t>
      </w:r>
      <w:r>
        <w:t xml:space="preserve">par </w:t>
      </w:r>
      <w:r w:rsidR="006644C3">
        <w:t xml:space="preserve">l’Eglise </w:t>
      </w:r>
      <w:r>
        <w:t>catholique sont d’une centaine de morts</w:t>
      </w:r>
      <w:r w:rsidRPr="007F1170">
        <w:rPr>
          <w:rStyle w:val="FootnoteReference"/>
        </w:rPr>
        <w:footnoteReference w:id="203"/>
      </w:r>
      <w:r>
        <w:t>.</w:t>
      </w:r>
    </w:p>
    <w:p w14:paraId="0F9DA996" w14:textId="3383DEFC" w:rsidR="00771DAE" w:rsidRPr="004607B5" w:rsidRDefault="00771DAE" w:rsidP="005965F3">
      <w:pPr>
        <w:pStyle w:val="BodyText"/>
        <w:tabs>
          <w:tab w:val="left" w:pos="1559"/>
          <w:tab w:val="left" w:pos="1984"/>
          <w:tab w:val="left" w:leader="dot" w:pos="7654"/>
          <w:tab w:val="right" w:pos="8929"/>
        </w:tabs>
        <w:spacing w:line="240" w:lineRule="atLeast"/>
        <w:ind w:left="1138" w:right="1138" w:firstLine="0"/>
      </w:pPr>
      <w:r w:rsidRPr="00AD28A7">
        <w:t xml:space="preserve">Suite à l’attaque de Tshikapa, </w:t>
      </w:r>
      <w:r w:rsidR="00B77644">
        <w:t>l</w:t>
      </w:r>
      <w:r w:rsidR="00B77644" w:rsidRPr="00AD28A7">
        <w:t xml:space="preserve">es </w:t>
      </w:r>
      <w:r w:rsidRPr="00AD28A7">
        <w:t xml:space="preserve">FARDC ont conduit des opérations </w:t>
      </w:r>
      <w:r>
        <w:t xml:space="preserve">de traque des miliciens </w:t>
      </w:r>
      <w:r w:rsidR="00E8461F">
        <w:t xml:space="preserve">dans </w:t>
      </w:r>
      <w:r>
        <w:t>l</w:t>
      </w:r>
      <w:r w:rsidRPr="00AD28A7">
        <w:t xml:space="preserve">es villages du groupement de Mbawu et dans des villages </w:t>
      </w:r>
      <w:r w:rsidR="00E8461F">
        <w:t>proches de</w:t>
      </w:r>
      <w:r w:rsidRPr="00AD28A7">
        <w:t xml:space="preserve"> l’axe Kananga</w:t>
      </w:r>
      <w:r>
        <w:t xml:space="preserve">-Tshikapa. Lors de ces opérations, </w:t>
      </w:r>
      <w:r w:rsidRPr="00AD28A7">
        <w:t xml:space="preserve">de nombreuses exactions ont été commises </w:t>
      </w:r>
      <w:r>
        <w:t xml:space="preserve">contre la population </w:t>
      </w:r>
      <w:r w:rsidRPr="001D6DFC">
        <w:t>civile</w:t>
      </w:r>
      <w:r w:rsidRPr="007F1170">
        <w:rPr>
          <w:rStyle w:val="FootnoteReference"/>
        </w:rPr>
        <w:footnoteReference w:id="204"/>
      </w:r>
      <w:r w:rsidRPr="001D6DFC">
        <w:t xml:space="preserve">. </w:t>
      </w:r>
      <w:r>
        <w:t>L’EEI a</w:t>
      </w:r>
      <w:r w:rsidRPr="001D6DFC">
        <w:t xml:space="preserve"> documenté l’attaque par des membres des FARDC du village de Tshi</w:t>
      </w:r>
      <w:r w:rsidR="006560CD">
        <w:t>t</w:t>
      </w:r>
      <w:r w:rsidRPr="001D6DFC">
        <w:t>a</w:t>
      </w:r>
      <w:r w:rsidR="006560CD">
        <w:t>d</w:t>
      </w:r>
      <w:r w:rsidRPr="001D6DFC">
        <w:t xml:space="preserve">i, groupement </w:t>
      </w:r>
      <w:r w:rsidR="00E8461F">
        <w:t xml:space="preserve">de </w:t>
      </w:r>
      <w:r w:rsidRPr="001D6DFC">
        <w:t>Mbawu, le 6 décembre</w:t>
      </w:r>
      <w:r>
        <w:t xml:space="preserve"> 2016, qu’elle considère </w:t>
      </w:r>
      <w:r w:rsidRPr="00AD28A7">
        <w:t xml:space="preserve">représentative </w:t>
      </w:r>
      <w:r>
        <w:t>du mode opératoire des</w:t>
      </w:r>
      <w:r w:rsidRPr="00AD28A7">
        <w:t xml:space="preserve"> FARDC lors de ces opérations. Ce jour-là, des FARDC </w:t>
      </w:r>
      <w:r w:rsidRPr="00287C44">
        <w:t xml:space="preserve">sont arrivés </w:t>
      </w:r>
      <w:r w:rsidRPr="00AD28A7">
        <w:t xml:space="preserve">en grand nombre de </w:t>
      </w:r>
      <w:r w:rsidRPr="00287C44">
        <w:t xml:space="preserve">Tshikapa </w:t>
      </w:r>
      <w:r>
        <w:t>dans le village de Tshitadi</w:t>
      </w:r>
      <w:r w:rsidRPr="00287C44">
        <w:t>. Les FARDC</w:t>
      </w:r>
      <w:r w:rsidRPr="0038460E">
        <w:t xml:space="preserve"> avaient des </w:t>
      </w:r>
      <w:r w:rsidR="00BC072B">
        <w:t>arme</w:t>
      </w:r>
      <w:r w:rsidRPr="0038460E">
        <w:t>s</w:t>
      </w:r>
      <w:r w:rsidR="00BC072B">
        <w:t xml:space="preserve"> automatiques</w:t>
      </w:r>
      <w:r w:rsidRPr="0038460E">
        <w:t xml:space="preserve"> et des lance-roquettes. Selon les témoins</w:t>
      </w:r>
      <w:r w:rsidR="00BC072B">
        <w:t>,</w:t>
      </w:r>
      <w:r w:rsidRPr="0038460E">
        <w:t xml:space="preserve"> il n’y avait pas de miliciens Kamuina Nsapu dans le village au moment de l’attaque conduite par les FARDC. De nombreuses maisons ainsi que l’école ont été brûlé</w:t>
      </w:r>
      <w:r w:rsidR="00E8461F">
        <w:t>e</w:t>
      </w:r>
      <w:r w:rsidRPr="0038460E">
        <w:t>s</w:t>
      </w:r>
      <w:r w:rsidRPr="007F1170">
        <w:rPr>
          <w:rStyle w:val="FootnoteReference"/>
        </w:rPr>
        <w:footnoteReference w:id="205"/>
      </w:r>
      <w:r w:rsidRPr="00287C44">
        <w:t xml:space="preserve">. </w:t>
      </w:r>
      <w:r w:rsidR="00B77644" w:rsidRPr="00287C44">
        <w:t>D</w:t>
      </w:r>
      <w:r w:rsidR="00B77644">
        <w:t>es</w:t>
      </w:r>
      <w:r w:rsidR="00B77644" w:rsidRPr="00287C44">
        <w:t xml:space="preserve"> témoins racontent la mort par </w:t>
      </w:r>
      <w:r w:rsidR="00B77644">
        <w:t>arme à feu</w:t>
      </w:r>
      <w:r w:rsidR="00B77644" w:rsidRPr="00287C44">
        <w:t xml:space="preserve"> de membres de leur famille</w:t>
      </w:r>
      <w:r w:rsidR="00B77644">
        <w:t xml:space="preserve"> le jour de l’attaque</w:t>
      </w:r>
      <w:r w:rsidR="00B77644" w:rsidRPr="007F1170">
        <w:rPr>
          <w:rStyle w:val="FootnoteReference"/>
        </w:rPr>
        <w:footnoteReference w:id="206"/>
      </w:r>
      <w:r w:rsidR="00B77644" w:rsidRPr="00287C44">
        <w:t>.</w:t>
      </w:r>
      <w:r w:rsidR="00B77644">
        <w:t xml:space="preserve"> </w:t>
      </w:r>
      <w:r w:rsidRPr="00287C44">
        <w:t>Un témoin raconte qu’à son retour après trois</w:t>
      </w:r>
      <w:r w:rsidRPr="0038460E">
        <w:t xml:space="preserve"> jours de fuite, il a vu au moins trente cadavres</w:t>
      </w:r>
      <w:r w:rsidR="00B77644">
        <w:t xml:space="preserve"> dont </w:t>
      </w:r>
      <w:r w:rsidRPr="0038460E">
        <w:t>des cadavres d’enfants dont trois qui étaient très jeunes ainsi que de femmes</w:t>
      </w:r>
      <w:r>
        <w:t xml:space="preserve">, dont l’une enceinte </w:t>
      </w:r>
      <w:r w:rsidR="00E8461F">
        <w:t xml:space="preserve">qui </w:t>
      </w:r>
      <w:r>
        <w:t xml:space="preserve">avait été éventrée </w:t>
      </w:r>
      <w:r w:rsidR="00E8461F">
        <w:t>avec</w:t>
      </w:r>
      <w:r>
        <w:t xml:space="preserve"> son </w:t>
      </w:r>
      <w:r w:rsidRPr="0038460E">
        <w:t xml:space="preserve">fœtus </w:t>
      </w:r>
      <w:r>
        <w:t>à ses côtés</w:t>
      </w:r>
      <w:r w:rsidRPr="0038460E">
        <w:t>. D’autres se trouvaient dans d</w:t>
      </w:r>
      <w:r w:rsidRPr="00EC3995">
        <w:t>eux puits</w:t>
      </w:r>
      <w:r w:rsidRPr="007F1170">
        <w:rPr>
          <w:rStyle w:val="FootnoteReference"/>
        </w:rPr>
        <w:footnoteReference w:id="207"/>
      </w:r>
      <w:r w:rsidRPr="00287C44">
        <w:t xml:space="preserve">. </w:t>
      </w:r>
      <w:r>
        <w:t xml:space="preserve">L’EEI a par ailleurs reçu des allégations crédibles d’opérations similaires dans les villages de Fuamba, Mbawu et </w:t>
      </w:r>
      <w:r w:rsidRPr="0038460E">
        <w:t>Kabeya Lumbu</w:t>
      </w:r>
      <w:r>
        <w:t xml:space="preserve"> au cours desquelles de nombreux civils auraient perdu la vie</w:t>
      </w:r>
      <w:r w:rsidRPr="007F1170">
        <w:rPr>
          <w:rStyle w:val="FootnoteReference"/>
        </w:rPr>
        <w:footnoteReference w:id="208"/>
      </w:r>
      <w:r w:rsidRPr="00287C44">
        <w:t>.</w:t>
      </w:r>
    </w:p>
    <w:p w14:paraId="2E7F8615" w14:textId="31BC4232" w:rsidR="00771DAE" w:rsidRPr="00FE5E8D" w:rsidRDefault="00771DAE" w:rsidP="00BC668B">
      <w:pPr>
        <w:pStyle w:val="Heading2"/>
        <w:spacing w:before="360" w:line="270" w:lineRule="exact"/>
        <w:ind w:left="1138" w:right="1138" w:hanging="571"/>
        <w:rPr>
          <w:sz w:val="24"/>
          <w:szCs w:val="24"/>
          <w:lang w:val="fr-FR"/>
        </w:rPr>
      </w:pPr>
      <w:bookmarkStart w:id="44" w:name="_Toc518027530"/>
      <w:r w:rsidRPr="00FE5E8D">
        <w:rPr>
          <w:sz w:val="24"/>
          <w:szCs w:val="24"/>
          <w:lang w:val="fr-FR"/>
        </w:rPr>
        <w:t>Janvier-juillet 2017 – explosion des violences dans tout le Kasaï et dimension ethnique du conflit</w:t>
      </w:r>
      <w:bookmarkEnd w:id="44"/>
      <w:r w:rsidRPr="00FE5E8D">
        <w:rPr>
          <w:sz w:val="24"/>
          <w:szCs w:val="24"/>
          <w:lang w:val="fr-FR"/>
        </w:rPr>
        <w:t xml:space="preserve"> </w:t>
      </w:r>
    </w:p>
    <w:p w14:paraId="6D479C02" w14:textId="6E1C8B91" w:rsidR="00771DAE" w:rsidRDefault="00771DAE" w:rsidP="005965F3">
      <w:pPr>
        <w:pStyle w:val="BodyText"/>
        <w:tabs>
          <w:tab w:val="left" w:pos="1559"/>
          <w:tab w:val="left" w:pos="1984"/>
          <w:tab w:val="left" w:leader="dot" w:pos="7654"/>
          <w:tab w:val="right" w:pos="8929"/>
        </w:tabs>
        <w:spacing w:line="240" w:lineRule="atLeast"/>
        <w:ind w:left="1138" w:right="1138" w:firstLine="0"/>
      </w:pPr>
      <w:r w:rsidRPr="00FD5A0A">
        <w:t xml:space="preserve">De janvier à juillet 2017, </w:t>
      </w:r>
      <w:r w:rsidR="00991C36">
        <w:t>la milice</w:t>
      </w:r>
      <w:r w:rsidRPr="00FD5A0A">
        <w:t xml:space="preserve"> </w:t>
      </w:r>
      <w:r>
        <w:t xml:space="preserve">Kamuina Nsapu </w:t>
      </w:r>
      <w:r w:rsidR="00991C36">
        <w:t>a</w:t>
      </w:r>
      <w:r>
        <w:t xml:space="preserve"> continué d</w:t>
      </w:r>
      <w:r w:rsidR="00824298">
        <w:t xml:space="preserve">e progresser </w:t>
      </w:r>
      <w:r w:rsidR="00172B41">
        <w:t xml:space="preserve">pour </w:t>
      </w:r>
      <w:r w:rsidR="00824298">
        <w:t>atteindre</w:t>
      </w:r>
      <w:r>
        <w:t xml:space="preserve"> toutes les provinces du Kasaï</w:t>
      </w:r>
      <w:r w:rsidR="003D33D0" w:rsidRPr="007F1170">
        <w:rPr>
          <w:rStyle w:val="FootnoteReference"/>
        </w:rPr>
        <w:footnoteReference w:id="209"/>
      </w:r>
      <w:r>
        <w:t>. Poursuivant sa stratégie expansionniste, la milice Kamuina Nsapu s’est installée ou a attaqué</w:t>
      </w:r>
      <w:r w:rsidRPr="00FD5A0A">
        <w:t xml:space="preserve"> </w:t>
      </w:r>
      <w:r>
        <w:t xml:space="preserve">des centaines </w:t>
      </w:r>
      <w:r w:rsidRPr="00FD5A0A">
        <w:t xml:space="preserve">de villages, cités et villes </w:t>
      </w:r>
      <w:r w:rsidR="00172B41">
        <w:t>du</w:t>
      </w:r>
      <w:r w:rsidR="00172B41" w:rsidRPr="00FD5A0A">
        <w:t xml:space="preserve"> </w:t>
      </w:r>
      <w:r w:rsidRPr="00FD5A0A">
        <w:t>Kasaï.</w:t>
      </w:r>
      <w:r>
        <w:t xml:space="preserve"> Les exactions commises par la milice Kamuina Nsapu ont visé de plus en plus fréquemment les populations civiles s’éloignant de sa stratégie d’attaques </w:t>
      </w:r>
      <w:r w:rsidR="00172B41">
        <w:t xml:space="preserve">contre les symboles de </w:t>
      </w:r>
      <w:r>
        <w:t xml:space="preserve">l’autorité </w:t>
      </w:r>
      <w:r w:rsidR="00172B41">
        <w:t>étatique</w:t>
      </w:r>
      <w:r>
        <w:t xml:space="preserve">. Le niveau de violence </w:t>
      </w:r>
      <w:r w:rsidR="00172B41">
        <w:t xml:space="preserve">de </w:t>
      </w:r>
      <w:r>
        <w:t>la milice Kamuina Nsapu entre janvier et juillet 2017 est exponentiel</w:t>
      </w:r>
      <w:r w:rsidR="00172B41">
        <w:t xml:space="preserve">, </w:t>
      </w:r>
      <w:r>
        <w:t xml:space="preserve">en particulier dès qu’elle se déploie dans des zones où la population non-lubaphone est importante et/ou devient majoritaire. Par ailleurs, </w:t>
      </w:r>
      <w:r w:rsidR="00172B41">
        <w:t>à partir de mars 2017,</w:t>
      </w:r>
      <w:r w:rsidR="00172B41" w:rsidRPr="00246BBC">
        <w:t xml:space="preserve"> avec l’arrivée </w:t>
      </w:r>
      <w:r w:rsidR="00172B41">
        <w:t>de la milice</w:t>
      </w:r>
      <w:r w:rsidR="00172B41" w:rsidRPr="00246BBC">
        <w:t xml:space="preserve"> Kamuina Nsapu dans les zones</w:t>
      </w:r>
      <w:r w:rsidR="00172B41">
        <w:t xml:space="preserve"> majoritairement</w:t>
      </w:r>
      <w:r w:rsidR="00172B41" w:rsidRPr="00246BBC">
        <w:t xml:space="preserve"> non-lubaphones et</w:t>
      </w:r>
      <w:r w:rsidR="00172B41">
        <w:t xml:space="preserve"> avec</w:t>
      </w:r>
      <w:r w:rsidR="00172B41" w:rsidRPr="00246BBC">
        <w:t xml:space="preserve"> l’apparition des milices Bana Mura</w:t>
      </w:r>
      <w:r w:rsidR="00172B41">
        <w:t xml:space="preserve">, </w:t>
      </w:r>
      <w:r w:rsidR="00BC072B">
        <w:t>les actes de violence</w:t>
      </w:r>
      <w:r>
        <w:t xml:space="preserve"> ont pris</w:t>
      </w:r>
      <w:r w:rsidRPr="00246BBC">
        <w:t xml:space="preserve"> une nature ethnique prononcée</w:t>
      </w:r>
      <w:r>
        <w:t xml:space="preserve"> </w:t>
      </w:r>
      <w:r w:rsidR="00172B41">
        <w:t>dans</w:t>
      </w:r>
      <w:r w:rsidR="00172B41" w:rsidRPr="00246BBC">
        <w:t xml:space="preserve"> </w:t>
      </w:r>
      <w:r w:rsidRPr="00246BBC">
        <w:t>le territoire de Kamonia</w:t>
      </w:r>
      <w:r>
        <w:t>,</w:t>
      </w:r>
      <w:r w:rsidRPr="00246BBC">
        <w:t xml:space="preserve"> province du Kasaï</w:t>
      </w:r>
      <w:r w:rsidR="00172B41">
        <w:t>.</w:t>
      </w:r>
    </w:p>
    <w:p w14:paraId="6F38E465" w14:textId="6E721FEB" w:rsidR="00771DAE" w:rsidRPr="00124910" w:rsidRDefault="00771DAE" w:rsidP="005965F3">
      <w:pPr>
        <w:pStyle w:val="BodyText"/>
        <w:tabs>
          <w:tab w:val="left" w:pos="1559"/>
          <w:tab w:val="left" w:pos="1984"/>
          <w:tab w:val="left" w:leader="dot" w:pos="7654"/>
          <w:tab w:val="right" w:pos="8929"/>
        </w:tabs>
        <w:spacing w:line="240" w:lineRule="atLeast"/>
        <w:ind w:left="1138" w:right="1138" w:firstLine="0"/>
      </w:pPr>
      <w:r>
        <w:t xml:space="preserve">Fin décembre 2016, </w:t>
      </w:r>
      <w:r w:rsidR="00172B41">
        <w:t xml:space="preserve">avec l’envoi de renforts pour endiguer l’expansion de la milice Kamuina Nsapu, </w:t>
      </w:r>
      <w:r>
        <w:t>le nombre de militaires déployé</w:t>
      </w:r>
      <w:r w:rsidR="00172B41">
        <w:t>s</w:t>
      </w:r>
      <w:r>
        <w:t xml:space="preserve"> au Kasaï atteignait 7</w:t>
      </w:r>
      <w:r w:rsidR="00172B41">
        <w:t xml:space="preserve"> </w:t>
      </w:r>
      <w:r>
        <w:t xml:space="preserve">000. Le </w:t>
      </w:r>
      <w:r w:rsidR="001F5B4E">
        <w:t>9 mars 2017, le G</w:t>
      </w:r>
      <w:r w:rsidRPr="00124910">
        <w:t>ouvernement cré</w:t>
      </w:r>
      <w:r w:rsidR="00172B41">
        <w:t>e</w:t>
      </w:r>
      <w:r w:rsidRPr="00124910">
        <w:t xml:space="preserve"> le Secteur opérationnel du Grand Kasaï avec un commandement basé à Kananga</w:t>
      </w:r>
      <w:r>
        <w:t>. La réaction des forces de défense et de sécurité, en particulier des FARDC, face à la milice Kamuina Nsapu a continué à être brutal</w:t>
      </w:r>
      <w:r w:rsidR="00172B41">
        <w:t>e</w:t>
      </w:r>
      <w:r>
        <w:t>. Au cours d’affrontements, les forces de défense et de sécurité ont fait usage d’armes à feu et parfois de lance-roquettes contre des miliciens Kamuina Nsapu, souvent des enfants non-armés ou en possession de simples bâtons. Par ailleurs, les forces de défense et de sécurité ont rarement fait preuve de distinction entre les miliciens et la population. De nombreux membres de la population civile ont été blessé</w:t>
      </w:r>
      <w:r w:rsidR="00655D14">
        <w:t>s</w:t>
      </w:r>
      <w:r>
        <w:t xml:space="preserve"> ou tué</w:t>
      </w:r>
      <w:r w:rsidR="00655D14">
        <w:t>s</w:t>
      </w:r>
      <w:r>
        <w:t xml:space="preserve"> à proximité des</w:t>
      </w:r>
      <w:r w:rsidRPr="00FD5A0A">
        <w:t xml:space="preserve"> lieux d’affrontement </w:t>
      </w:r>
      <w:r>
        <w:t>ou</w:t>
      </w:r>
      <w:r w:rsidRPr="00FD5A0A">
        <w:t xml:space="preserve"> lors d’opérations de traque des miliciens </w:t>
      </w:r>
      <w:r>
        <w:t>menées par les FARDC</w:t>
      </w:r>
      <w:r w:rsidRPr="00FD5A0A">
        <w:t>.</w:t>
      </w:r>
      <w:r>
        <w:t xml:space="preserve"> Une fois les opérations militaires terminées, les FARDC ont très fréquemment commis des viols et autres violences sexuelles, </w:t>
      </w:r>
      <w:r w:rsidR="00655D14">
        <w:t xml:space="preserve">détruits </w:t>
      </w:r>
      <w:r>
        <w:t>de</w:t>
      </w:r>
      <w:r w:rsidR="00655D14">
        <w:t>s</w:t>
      </w:r>
      <w:r>
        <w:t xml:space="preserve"> maisons ou de</w:t>
      </w:r>
      <w:r w:rsidR="00655D14">
        <w:t>s</w:t>
      </w:r>
      <w:r>
        <w:t xml:space="preserve"> villages, des pillages dans les villages dans lesquels ils étaient intervenus.  </w:t>
      </w:r>
    </w:p>
    <w:p w14:paraId="118F3FA6" w14:textId="3989738F" w:rsidR="00771DAE" w:rsidRPr="00FE5E8D" w:rsidRDefault="00771DAE" w:rsidP="00BC668B">
      <w:pPr>
        <w:pStyle w:val="Heading3"/>
        <w:spacing w:before="240" w:line="240" w:lineRule="exact"/>
        <w:ind w:left="1138" w:right="1138" w:hanging="571"/>
        <w:rPr>
          <w:b/>
        </w:rPr>
      </w:pPr>
      <w:r w:rsidRPr="00FE5E8D">
        <w:rPr>
          <w:b/>
        </w:rPr>
        <w:t xml:space="preserve">Province du Kasaï Central </w:t>
      </w:r>
    </w:p>
    <w:p w14:paraId="3F897A87" w14:textId="1DAC069E" w:rsidR="00771DAE" w:rsidRDefault="00771DAE" w:rsidP="005965F3">
      <w:pPr>
        <w:pStyle w:val="BodyText"/>
        <w:tabs>
          <w:tab w:val="left" w:pos="1559"/>
          <w:tab w:val="left" w:pos="1984"/>
          <w:tab w:val="left" w:leader="dot" w:pos="7654"/>
          <w:tab w:val="right" w:pos="8929"/>
        </w:tabs>
        <w:spacing w:line="240" w:lineRule="atLeast"/>
        <w:ind w:left="1138" w:right="1138" w:firstLine="0"/>
      </w:pPr>
      <w:r>
        <w:t xml:space="preserve">Point de départ des violences en 2016, le Kasaï Central n’a pas été épargné en 2017. Les cinq provinces du Kasaï ainsi que la ville de Kananga ont connu de multiples épisodes de violences entre janvier et juillet 2017. L’EEI a concentré ses enquêtes sur le territoire de Dibaya, la ville de Kananga, le territoire de Luiza et a documenté quelques incidents isolés </w:t>
      </w:r>
      <w:r w:rsidR="003D33D0">
        <w:t xml:space="preserve">dans </w:t>
      </w:r>
      <w:r>
        <w:t xml:space="preserve">le territoire de Kazumba. </w:t>
      </w:r>
    </w:p>
    <w:p w14:paraId="182E61DD" w14:textId="187CB625" w:rsidR="00771DAE" w:rsidRPr="00FE5E8D" w:rsidRDefault="00924EDC" w:rsidP="00924EDC">
      <w:pPr>
        <w:pStyle w:val="BodyText"/>
        <w:numPr>
          <w:ilvl w:val="0"/>
          <w:numId w:val="0"/>
        </w:numPr>
        <w:tabs>
          <w:tab w:val="left" w:pos="1559"/>
          <w:tab w:val="left" w:pos="1984"/>
          <w:tab w:val="left" w:leader="dot" w:pos="7654"/>
          <w:tab w:val="right" w:pos="8929"/>
        </w:tabs>
        <w:spacing w:line="240" w:lineRule="atLeast"/>
        <w:ind w:left="1138" w:right="1138"/>
        <w:rPr>
          <w:i/>
        </w:rPr>
      </w:pPr>
      <w:r>
        <w:rPr>
          <w:i/>
        </w:rPr>
        <w:t>a.</w:t>
      </w:r>
      <w:r>
        <w:rPr>
          <w:i/>
        </w:rPr>
        <w:tab/>
      </w:r>
      <w:r w:rsidR="00771DAE" w:rsidRPr="00FE5E8D">
        <w:rPr>
          <w:i/>
        </w:rPr>
        <w:t>Territoire de Dibaya</w:t>
      </w:r>
    </w:p>
    <w:p w14:paraId="466D2670" w14:textId="58E39055" w:rsidR="00771DAE" w:rsidRDefault="003D33D0" w:rsidP="005965F3">
      <w:pPr>
        <w:pStyle w:val="BodyText"/>
        <w:tabs>
          <w:tab w:val="left" w:pos="1559"/>
          <w:tab w:val="left" w:pos="1984"/>
          <w:tab w:val="left" w:leader="dot" w:pos="7654"/>
          <w:tab w:val="right" w:pos="8929"/>
        </w:tabs>
        <w:spacing w:line="240" w:lineRule="atLeast"/>
        <w:ind w:left="1138" w:right="1138" w:firstLine="0"/>
      </w:pPr>
      <w:r>
        <w:t xml:space="preserve">Dans </w:t>
      </w:r>
      <w:r w:rsidR="00771DAE">
        <w:t xml:space="preserve">le territoire de Dibaya, </w:t>
      </w:r>
      <w:r w:rsidRPr="00AB3872">
        <w:t>par rapport à 2016</w:t>
      </w:r>
      <w:r>
        <w:t xml:space="preserve">, </w:t>
      </w:r>
      <w:r w:rsidR="00BC072B">
        <w:t>les actes de violence</w:t>
      </w:r>
      <w:r w:rsidR="00771DAE" w:rsidRPr="00AB3872">
        <w:t xml:space="preserve"> se sont amplifiés</w:t>
      </w:r>
      <w:r w:rsidR="00771DAE" w:rsidRPr="003C5EC5">
        <w:t xml:space="preserve"> </w:t>
      </w:r>
      <w:r w:rsidR="00771DAE" w:rsidRPr="00AB3872">
        <w:t xml:space="preserve">entre janvier et mai 2017. La milice Kamuina Nsapu </w:t>
      </w:r>
      <w:r w:rsidR="00771DAE">
        <w:t xml:space="preserve">y </w:t>
      </w:r>
      <w:r w:rsidR="00771DAE" w:rsidRPr="00AB3872">
        <w:t>a été extrêmement active, notamment grâce au soutien de nombreux chefs coutumiers acquis à la cause du mouvement Kamuina Nsapu</w:t>
      </w:r>
      <w:r w:rsidR="00771DAE">
        <w:t>,</w:t>
      </w:r>
      <w:r w:rsidR="00771DAE" w:rsidRPr="00AB3872">
        <w:t xml:space="preserve"> </w:t>
      </w:r>
      <w:r w:rsidR="00771DAE">
        <w:t>souvent</w:t>
      </w:r>
      <w:r w:rsidR="00771DAE" w:rsidRPr="00AB3872">
        <w:t xml:space="preserve"> depuis </w:t>
      </w:r>
      <w:r w:rsidR="00771DAE">
        <w:t>sa</w:t>
      </w:r>
      <w:r w:rsidR="00771DAE" w:rsidRPr="00AB3872">
        <w:t xml:space="preserve"> création</w:t>
      </w:r>
      <w:r w:rsidR="00771DAE" w:rsidRPr="007F1170">
        <w:rPr>
          <w:rStyle w:val="FootnoteReference"/>
        </w:rPr>
        <w:footnoteReference w:id="210"/>
      </w:r>
      <w:r w:rsidR="00771DAE">
        <w:t>. De multiples tshiota</w:t>
      </w:r>
      <w:r w:rsidR="00771DAE" w:rsidRPr="00AB3872">
        <w:t xml:space="preserve"> </w:t>
      </w:r>
      <w:r w:rsidR="002A079B">
        <w:t>ont été</w:t>
      </w:r>
      <w:r w:rsidR="00771DAE">
        <w:t xml:space="preserve"> installés, notamment </w:t>
      </w:r>
      <w:r w:rsidR="00771DAE" w:rsidRPr="00AB3872">
        <w:t>dans les villages de Kabudi, Kabeya-Madi, Moyo Musuila, Ka</w:t>
      </w:r>
      <w:r w:rsidR="009C4DA1">
        <w:t>zadi, Lubondaye</w:t>
      </w:r>
      <w:r w:rsidR="00771DAE">
        <w:t>, Kawulu et Bena-</w:t>
      </w:r>
      <w:r w:rsidR="00771DAE" w:rsidRPr="00AB3872">
        <w:t>Kena</w:t>
      </w:r>
      <w:r w:rsidR="00771DAE" w:rsidRPr="007F1170">
        <w:rPr>
          <w:rStyle w:val="FootnoteReference"/>
        </w:rPr>
        <w:footnoteReference w:id="211"/>
      </w:r>
      <w:r w:rsidR="00771DAE" w:rsidRPr="00AB3872">
        <w:t xml:space="preserve">. </w:t>
      </w:r>
    </w:p>
    <w:p w14:paraId="646877A5" w14:textId="75579AB8" w:rsidR="00771DAE" w:rsidRDefault="00771DAE" w:rsidP="00BE7CAA">
      <w:pPr>
        <w:pStyle w:val="BodyText"/>
        <w:tabs>
          <w:tab w:val="left" w:pos="1559"/>
          <w:tab w:val="left" w:pos="1984"/>
          <w:tab w:val="left" w:leader="dot" w:pos="7654"/>
          <w:tab w:val="right" w:pos="8929"/>
        </w:tabs>
        <w:spacing w:line="240" w:lineRule="atLeast"/>
        <w:ind w:left="1138" w:right="1138" w:firstLine="0"/>
      </w:pPr>
      <w:r>
        <w:t xml:space="preserve">Les miliciens Kamuina Nsapu ont continué à s’attaquer aux agents de l’Etat et aux personnes considérées comme des traitres, tuant, par exemple, au moins un </w:t>
      </w:r>
      <w:r w:rsidR="002A079B">
        <w:t xml:space="preserve">élément de la </w:t>
      </w:r>
      <w:r>
        <w:t>PNC</w:t>
      </w:r>
      <w:r w:rsidR="002A079B">
        <w:t>,</w:t>
      </w:r>
      <w:r>
        <w:t xml:space="preserve"> un homme de Dibaya et un pasteur accusé de collaborer avec les FARDC à Lumudi</w:t>
      </w:r>
      <w:r w:rsidRPr="007F1170">
        <w:rPr>
          <w:rStyle w:val="FootnoteReference"/>
        </w:rPr>
        <w:footnoteReference w:id="212"/>
      </w:r>
      <w:r>
        <w:t>. D</w:t>
      </w:r>
      <w:r w:rsidRPr="00FD5A0A">
        <w:t>ans les tous premiers jours de janvier 2017, les miliciens Kamuina Nsapu ont fait une incursion dans le village de Bukonde décapitant au moins deux</w:t>
      </w:r>
      <w:r>
        <w:t xml:space="preserve"> habitants du village avant de</w:t>
      </w:r>
      <w:r w:rsidRPr="00FD5A0A">
        <w:t xml:space="preserve"> mutiler</w:t>
      </w:r>
      <w:r>
        <w:t xml:space="preserve"> leur cadavre</w:t>
      </w:r>
      <w:r w:rsidRPr="007F1170">
        <w:rPr>
          <w:rStyle w:val="FootnoteReference"/>
        </w:rPr>
        <w:footnoteReference w:id="213"/>
      </w:r>
      <w:r w:rsidRPr="00FD5A0A">
        <w:t>. Au moins une personne soupçonnée de coopérer avec les militaires a</w:t>
      </w:r>
      <w:r>
        <w:t xml:space="preserve"> aussi</w:t>
      </w:r>
      <w:r w:rsidRPr="00FD5A0A">
        <w:t xml:space="preserve"> été</w:t>
      </w:r>
      <w:r>
        <w:t xml:space="preserve"> </w:t>
      </w:r>
      <w:r w:rsidRPr="00FD5A0A">
        <w:t>violemment battu</w:t>
      </w:r>
      <w:r w:rsidR="002A079B">
        <w:t>e</w:t>
      </w:r>
      <w:r w:rsidRPr="00FD5A0A">
        <w:t xml:space="preserve"> par des miliciens Kamuina Nsapu</w:t>
      </w:r>
      <w:r>
        <w:t xml:space="preserve"> a Bukonde</w:t>
      </w:r>
      <w:r w:rsidRPr="00FD5A0A">
        <w:t xml:space="preserve"> en mars 2017</w:t>
      </w:r>
      <w:r w:rsidRPr="007F1170">
        <w:rPr>
          <w:rStyle w:val="FootnoteReference"/>
        </w:rPr>
        <w:footnoteReference w:id="214"/>
      </w:r>
      <w:r>
        <w:t xml:space="preserve"> Entre janvier et mars 2017, plusieurs chefs coutumiers ou membres de leurs familles ont été tués et/ou décapités pour avoir refusé d’adhérer au mouvement Kamuina Nsapu</w:t>
      </w:r>
      <w:r w:rsidRPr="007F1170">
        <w:rPr>
          <w:rStyle w:val="FootnoteReference"/>
        </w:rPr>
        <w:footnoteReference w:id="215"/>
      </w:r>
      <w:r>
        <w:t xml:space="preserve">. </w:t>
      </w:r>
      <w:r w:rsidRPr="00FD5A0A">
        <w:t xml:space="preserve">Au mois de mai 2017, une </w:t>
      </w:r>
      <w:r w:rsidR="002A079B">
        <w:t>fille</w:t>
      </w:r>
      <w:r w:rsidR="002A079B" w:rsidRPr="00FD5A0A">
        <w:t xml:space="preserve"> </w:t>
      </w:r>
      <w:r w:rsidRPr="00FD5A0A">
        <w:t>de 17 ans a été violée par un milicien Kamuina Nsapu dans le village de Bena Kobi</w:t>
      </w:r>
      <w:r w:rsidRPr="007F1170">
        <w:rPr>
          <w:rStyle w:val="FootnoteReference"/>
        </w:rPr>
        <w:footnoteReference w:id="216"/>
      </w:r>
      <w:r w:rsidRPr="00FD5A0A">
        <w:t>.</w:t>
      </w:r>
    </w:p>
    <w:p w14:paraId="16C2D06F" w14:textId="0F06F763" w:rsidR="00771DAE" w:rsidRDefault="00771DAE" w:rsidP="00BE7CAA">
      <w:pPr>
        <w:pStyle w:val="BodyText"/>
        <w:tabs>
          <w:tab w:val="left" w:pos="1559"/>
          <w:tab w:val="left" w:pos="1984"/>
          <w:tab w:val="left" w:leader="dot" w:pos="7654"/>
          <w:tab w:val="right" w:pos="8929"/>
        </w:tabs>
        <w:spacing w:line="240" w:lineRule="atLeast"/>
        <w:ind w:left="1138" w:right="1138" w:firstLine="0"/>
      </w:pPr>
      <w:r w:rsidRPr="00AB3872">
        <w:t xml:space="preserve">La milice Kamuina Nsapu a continué </w:t>
      </w:r>
      <w:r w:rsidR="002A079B">
        <w:t>à</w:t>
      </w:r>
      <w:r w:rsidR="002A079B" w:rsidRPr="00AB3872">
        <w:t xml:space="preserve"> </w:t>
      </w:r>
      <w:r w:rsidRPr="00AB3872">
        <w:t xml:space="preserve">recruter massivement </w:t>
      </w:r>
      <w:r>
        <w:t xml:space="preserve">les </w:t>
      </w:r>
      <w:r w:rsidRPr="00AB3872">
        <w:t>enfants</w:t>
      </w:r>
      <w:r>
        <w:t xml:space="preserve"> vivant sur le territoire de Dibaya</w:t>
      </w:r>
      <w:r w:rsidRPr="00AB3872">
        <w:t xml:space="preserve">. Par exemple, après </w:t>
      </w:r>
      <w:r>
        <w:t>l’installation d’un</w:t>
      </w:r>
      <w:r w:rsidRPr="00AB3872">
        <w:t xml:space="preserve"> tshiota </w:t>
      </w:r>
      <w:r>
        <w:t xml:space="preserve">au </w:t>
      </w:r>
      <w:r w:rsidRPr="00AB3872">
        <w:t>village de Bena</w:t>
      </w:r>
      <w:r>
        <w:t>-</w:t>
      </w:r>
      <w:r w:rsidRPr="00AB3872">
        <w:t xml:space="preserve">Kena, les miliciens Kamuina Nsapu ont recruté une centaine de filles et garçons du village dans les rangs de la milice. Trois hommes et un garçon de 17 ans qui avaient refusé </w:t>
      </w:r>
      <w:r>
        <w:t>le baptême</w:t>
      </w:r>
      <w:r w:rsidRPr="00AB3872">
        <w:t xml:space="preserve"> ont été tués</w:t>
      </w:r>
      <w:r w:rsidRPr="007F1170">
        <w:rPr>
          <w:rStyle w:val="FootnoteReference"/>
        </w:rPr>
        <w:footnoteReference w:id="217"/>
      </w:r>
      <w:r w:rsidRPr="00AB3872">
        <w:t>. Dans le village Lubonday</w:t>
      </w:r>
      <w:r w:rsidR="009C4DA1">
        <w:t>e</w:t>
      </w:r>
      <w:r w:rsidRPr="00AB3872">
        <w:t xml:space="preserve">, au moins 100 personnes, majoritairement des garçons et des filles </w:t>
      </w:r>
      <w:r>
        <w:t>entre</w:t>
      </w:r>
      <w:r w:rsidRPr="00AB3872">
        <w:t xml:space="preserve"> 8 </w:t>
      </w:r>
      <w:r>
        <w:t>et</w:t>
      </w:r>
      <w:r w:rsidRPr="00AB3872">
        <w:t xml:space="preserve"> 17 ans</w:t>
      </w:r>
      <w:r>
        <w:t>,</w:t>
      </w:r>
      <w:r w:rsidRPr="00AB3872">
        <w:t xml:space="preserve"> ont été recruté</w:t>
      </w:r>
      <w:r w:rsidR="002A079B">
        <w:t>e</w:t>
      </w:r>
      <w:r w:rsidRPr="00AB3872">
        <w:t xml:space="preserve">s. </w:t>
      </w:r>
      <w:r w:rsidRPr="000635EB">
        <w:t>De nombreux enfants ont</w:t>
      </w:r>
      <w:r>
        <w:t xml:space="preserve"> également</w:t>
      </w:r>
      <w:r w:rsidRPr="000635EB">
        <w:t xml:space="preserve"> été recrutés dans la milice dans le</w:t>
      </w:r>
      <w:r>
        <w:t>s</w:t>
      </w:r>
      <w:r w:rsidRPr="000635EB">
        <w:t xml:space="preserve"> village</w:t>
      </w:r>
      <w:r>
        <w:t>s</w:t>
      </w:r>
      <w:r w:rsidRPr="000635EB">
        <w:t xml:space="preserve"> de Kabeya-Madi et de Dibaya</w:t>
      </w:r>
      <w:r>
        <w:t xml:space="preserve"> et a</w:t>
      </w:r>
      <w:r w:rsidRPr="00AB3872">
        <w:t>u moins un homme de 19 ans et un garçon de 17 ans ont été tués accusés de traitrise</w:t>
      </w:r>
      <w:r w:rsidRPr="007F1170">
        <w:rPr>
          <w:rStyle w:val="FootnoteReference"/>
        </w:rPr>
        <w:footnoteReference w:id="218"/>
      </w:r>
      <w:r w:rsidRPr="00AB3872">
        <w:t xml:space="preserve">. </w:t>
      </w:r>
      <w:r w:rsidR="00E90C08">
        <w:t>L</w:t>
      </w:r>
      <w:r w:rsidR="002A079B" w:rsidRPr="00AB3872">
        <w:t xml:space="preserve">a MONUSCO a documenté les cas de 40 filles et 247 garçons recrutés par </w:t>
      </w:r>
      <w:r w:rsidR="002A079B">
        <w:t>la milice</w:t>
      </w:r>
      <w:r w:rsidR="002A079B" w:rsidRPr="00AB3872">
        <w:t xml:space="preserve"> Kamuina Nsapu </w:t>
      </w:r>
      <w:r w:rsidR="002A079B">
        <w:t xml:space="preserve">au premier semestre </w:t>
      </w:r>
      <w:r w:rsidRPr="00AB3872">
        <w:t xml:space="preserve">2017. Certains ont été enlevés avant d’être formellement recrutés </w:t>
      </w:r>
      <w:r w:rsidR="002A079B">
        <w:t>suite au baptême</w:t>
      </w:r>
      <w:r w:rsidRPr="00AB3872">
        <w:t xml:space="preserve">. Les </w:t>
      </w:r>
      <w:r>
        <w:t xml:space="preserve">deux </w:t>
      </w:r>
      <w:r w:rsidRPr="00AB3872">
        <w:t xml:space="preserve">principales vagues de recrutements ont eu lieu entre janvier et mars 2017 dans le territoire de Dibaya dans le but d’attaquer la ville de Tshimbulu puis, </w:t>
      </w:r>
      <w:r w:rsidR="002A079B">
        <w:t xml:space="preserve">et </w:t>
      </w:r>
      <w:r w:rsidRPr="00AB3872">
        <w:t xml:space="preserve">dans la ville de Kananga et sa commune de Nganza. </w:t>
      </w:r>
      <w:r w:rsidR="002A079B">
        <w:t xml:space="preserve">Des enfants ont raconté </w:t>
      </w:r>
      <w:r w:rsidRPr="00AB3872">
        <w:t xml:space="preserve">qu’au moment de leur recrutement, 34 filles et 36 garçons </w:t>
      </w:r>
      <w:r w:rsidR="00991C36">
        <w:t>avaient également été enrôlés</w:t>
      </w:r>
      <w:r w:rsidRPr="00AB3872">
        <w:t xml:space="preserve">. Un autre déclare qu’il a été recruté avec 4 filles et 56 garçons. </w:t>
      </w:r>
      <w:r>
        <w:t>Les</w:t>
      </w:r>
      <w:r w:rsidRPr="00AB3872">
        <w:t xml:space="preserve"> enfants étaient âgés </w:t>
      </w:r>
      <w:r>
        <w:t>entre</w:t>
      </w:r>
      <w:r w:rsidRPr="00AB3872">
        <w:t xml:space="preserve"> 8 </w:t>
      </w:r>
      <w:r>
        <w:t>et</w:t>
      </w:r>
      <w:r w:rsidRPr="00AB3872">
        <w:t xml:space="preserve"> 17 ans et presque tous </w:t>
      </w:r>
      <w:r>
        <w:t>ont déclaré</w:t>
      </w:r>
      <w:r w:rsidRPr="00AB3872">
        <w:t xml:space="preserve"> qu’ils </w:t>
      </w:r>
      <w:r>
        <w:t>avaient été</w:t>
      </w:r>
      <w:r w:rsidRPr="00AB3872">
        <w:t xml:space="preserve"> recrutés </w:t>
      </w:r>
      <w:r>
        <w:t>dans le but d’affronter</w:t>
      </w:r>
      <w:r w:rsidRPr="00AB3872">
        <w:t xml:space="preserve"> les FARDC</w:t>
      </w:r>
      <w:r w:rsidRPr="007F1170">
        <w:rPr>
          <w:rStyle w:val="FootnoteReference"/>
        </w:rPr>
        <w:footnoteReference w:id="219"/>
      </w:r>
      <w:r w:rsidRPr="00AB3872">
        <w:t>.</w:t>
      </w:r>
    </w:p>
    <w:p w14:paraId="4AC2DD7C" w14:textId="7BAB52E6" w:rsidR="00771DAE" w:rsidRDefault="00771DAE" w:rsidP="00BE7CAA">
      <w:pPr>
        <w:pStyle w:val="BodyText"/>
        <w:tabs>
          <w:tab w:val="left" w:pos="1559"/>
          <w:tab w:val="left" w:pos="1984"/>
          <w:tab w:val="left" w:leader="dot" w:pos="7654"/>
          <w:tab w:val="right" w:pos="8929"/>
        </w:tabs>
        <w:spacing w:line="240" w:lineRule="atLeast"/>
        <w:ind w:left="1138" w:right="1138" w:firstLine="0"/>
      </w:pPr>
      <w:r>
        <w:t xml:space="preserve">L’EEI a en particulier documenté </w:t>
      </w:r>
      <w:r w:rsidR="002A079B" w:rsidRPr="00BD4F26">
        <w:t>plusieurs affrontements très violents</w:t>
      </w:r>
      <w:r w:rsidR="002A079B">
        <w:t xml:space="preserve"> qui se sont déroulés dans </w:t>
      </w:r>
      <w:r>
        <w:t>l</w:t>
      </w:r>
      <w:r w:rsidRPr="00BD4F26">
        <w:t xml:space="preserve">a cité de Tshimbulu. </w:t>
      </w:r>
      <w:r w:rsidRPr="00C77AEC">
        <w:t xml:space="preserve">Le 4 janvier 2017, les miliciens Kamuina Nsapu ont fait une incursion dans la cité au cours de laquelle ils ont pillé la résidence </w:t>
      </w:r>
      <w:r w:rsidRPr="00F34183">
        <w:t xml:space="preserve">du </w:t>
      </w:r>
      <w:r>
        <w:t>C</w:t>
      </w:r>
      <w:r w:rsidRPr="00F34183">
        <w:t>olonel de la</w:t>
      </w:r>
      <w:r w:rsidRPr="00C77AEC">
        <w:t xml:space="preserve"> PNC et détruit le poste de police</w:t>
      </w:r>
      <w:r w:rsidRPr="007F1170">
        <w:rPr>
          <w:rStyle w:val="FootnoteReference"/>
        </w:rPr>
        <w:footnoteReference w:id="220"/>
      </w:r>
      <w:r w:rsidRPr="00C77AEC">
        <w:t xml:space="preserve">. Un PNC qui avait tué un milicien a été battu et a eu sa main coupée par les miliciens Kamuina Nsapu. Ces derniers l’ont ensuite transporté agonisant jusqu’à la route </w:t>
      </w:r>
      <w:r w:rsidR="00FC0286">
        <w:t xml:space="preserve">principale </w:t>
      </w:r>
      <w:r w:rsidRPr="00C77AEC">
        <w:t xml:space="preserve">où il est </w:t>
      </w:r>
      <w:r w:rsidR="00FC0286">
        <w:t>décédé</w:t>
      </w:r>
      <w:r w:rsidRPr="007F1170">
        <w:rPr>
          <w:rStyle w:val="FootnoteReference"/>
        </w:rPr>
        <w:footnoteReference w:id="221"/>
      </w:r>
      <w:r w:rsidRPr="00C77AEC">
        <w:t xml:space="preserve">. Le soir même, plusieurs camions </w:t>
      </w:r>
      <w:r w:rsidR="00FC0286">
        <w:t>avec d</w:t>
      </w:r>
      <w:r w:rsidRPr="00C77AEC">
        <w:t>e</w:t>
      </w:r>
      <w:r w:rsidR="00FC0286">
        <w:t>s</w:t>
      </w:r>
      <w:r w:rsidRPr="00C77AEC">
        <w:t xml:space="preserve"> FARDC </w:t>
      </w:r>
      <w:r w:rsidR="00A01FE7">
        <w:t xml:space="preserve">à leur bord </w:t>
      </w:r>
      <w:r w:rsidRPr="00C77AEC">
        <w:t>sont arrivés à Tshimbulu</w:t>
      </w:r>
      <w:r w:rsidRPr="007F1170">
        <w:rPr>
          <w:rStyle w:val="FootnoteReference"/>
        </w:rPr>
        <w:footnoteReference w:id="222"/>
      </w:r>
      <w:r w:rsidRPr="00C77AEC">
        <w:t xml:space="preserve">. Le lendemain, les miliciens Kamuina Nsapu, dont de nombreux enfants, ont fait une seconde incursion dans la cité. </w:t>
      </w:r>
      <w:r w:rsidR="00FC0286">
        <w:t>De</w:t>
      </w:r>
      <w:r w:rsidRPr="00C77AEC">
        <w:t xml:space="preserve">s affrontements </w:t>
      </w:r>
      <w:r w:rsidR="00FC0286">
        <w:t xml:space="preserve">se sont déroulés </w:t>
      </w:r>
      <w:r w:rsidRPr="00C77AEC">
        <w:t xml:space="preserve">devant la cathédrale le long de la route </w:t>
      </w:r>
      <w:r>
        <w:t>vers</w:t>
      </w:r>
      <w:r w:rsidRPr="00C77AEC">
        <w:t xml:space="preserve"> Bukonde. </w:t>
      </w:r>
      <w:r w:rsidR="00FC0286">
        <w:t>En première ligne</w:t>
      </w:r>
      <w:r w:rsidRPr="00C77AEC">
        <w:t xml:space="preserve"> se trouvait une milicienne d’une vingtaine d’années qui portait une jupe et un bandeau rouge autour de la tête. Les miliciens avaient des bâtons en forme de fusils, des fusils de chasse et des machettes</w:t>
      </w:r>
      <w:r w:rsidRPr="007F1170">
        <w:rPr>
          <w:rStyle w:val="FootnoteReference"/>
        </w:rPr>
        <w:footnoteReference w:id="223"/>
      </w:r>
      <w:r w:rsidRPr="00C77AEC">
        <w:t>. Des miliciens, dont des filles et des garçons, ont été tués par balles et</w:t>
      </w:r>
      <w:r w:rsidR="00BC072B">
        <w:t xml:space="preserve"> par des</w:t>
      </w:r>
      <w:r>
        <w:t xml:space="preserve"> </w:t>
      </w:r>
      <w:r w:rsidR="00FC0286">
        <w:t xml:space="preserve">tirs de </w:t>
      </w:r>
      <w:r w:rsidRPr="00C77AEC">
        <w:t>lance-roquettes. L</w:t>
      </w:r>
      <w:r w:rsidR="00A01FE7">
        <w:t xml:space="preserve">e corps de la </w:t>
      </w:r>
      <w:r w:rsidRPr="00C77AEC">
        <w:t xml:space="preserve">milicienne </w:t>
      </w:r>
      <w:r w:rsidR="00A01FE7">
        <w:t>qui se trouvait e</w:t>
      </w:r>
      <w:r w:rsidRPr="00C77AEC">
        <w:t xml:space="preserve">n première ligne </w:t>
      </w:r>
      <w:r>
        <w:t xml:space="preserve">a été </w:t>
      </w:r>
      <w:r w:rsidR="00A01FE7">
        <w:t xml:space="preserve">déchiqueté </w:t>
      </w:r>
      <w:r w:rsidRPr="00C77AEC">
        <w:t xml:space="preserve">par </w:t>
      </w:r>
      <w:r w:rsidR="00A01FE7">
        <w:t xml:space="preserve">des éclats suite au tir </w:t>
      </w:r>
      <w:r w:rsidRPr="00C77AEC">
        <w:t>d’un lance-roquette</w:t>
      </w:r>
      <w:r w:rsidRPr="007F1170">
        <w:rPr>
          <w:rStyle w:val="FootnoteReference"/>
        </w:rPr>
        <w:footnoteReference w:id="224"/>
      </w:r>
      <w:r w:rsidRPr="00C77AEC">
        <w:t xml:space="preserve">. </w:t>
      </w:r>
      <w:r>
        <w:t>L</w:t>
      </w:r>
      <w:r w:rsidRPr="00C77AEC">
        <w:t>es militaires tiraient sur les enfants munis de</w:t>
      </w:r>
      <w:r>
        <w:t xml:space="preserve"> </w:t>
      </w:r>
      <w:r w:rsidRPr="00C77AEC">
        <w:t>bâtons alors</w:t>
      </w:r>
      <w:r>
        <w:t xml:space="preserve"> même</w:t>
      </w:r>
      <w:r w:rsidRPr="00C77AEC">
        <w:t xml:space="preserve"> qu’ils fuyaient et les enfants blessés au sol </w:t>
      </w:r>
      <w:r>
        <w:t>étaient</w:t>
      </w:r>
      <w:r w:rsidRPr="00C77AEC">
        <w:t xml:space="preserve"> achevé</w:t>
      </w:r>
      <w:r w:rsidR="00A01FE7">
        <w:t>s</w:t>
      </w:r>
      <w:r w:rsidRPr="00C77AEC">
        <w:t xml:space="preserve"> par les militaires</w:t>
      </w:r>
      <w:r w:rsidRPr="007F1170">
        <w:rPr>
          <w:rStyle w:val="FootnoteReference"/>
        </w:rPr>
        <w:footnoteReference w:id="225"/>
      </w:r>
      <w:r w:rsidRPr="00C77AEC">
        <w:t xml:space="preserve">. Le bilan fait état d’environ 20 miliciens et </w:t>
      </w:r>
      <w:r w:rsidR="00A01FE7">
        <w:t>d’</w:t>
      </w:r>
      <w:r w:rsidRPr="00C77AEC">
        <w:t>un FARDC tué</w:t>
      </w:r>
      <w:r w:rsidR="00A01FE7">
        <w:t>s</w:t>
      </w:r>
      <w:r w:rsidRPr="00C77AEC">
        <w:t xml:space="preserve"> ce jour-là</w:t>
      </w:r>
      <w:r w:rsidRPr="007F1170">
        <w:rPr>
          <w:rStyle w:val="FootnoteReference"/>
        </w:rPr>
        <w:footnoteReference w:id="226"/>
      </w:r>
      <w:r w:rsidRPr="00C77AEC">
        <w:t xml:space="preserve">. </w:t>
      </w:r>
      <w:r>
        <w:t>De plus, a</w:t>
      </w:r>
      <w:r w:rsidRPr="00C77AEC">
        <w:t xml:space="preserve">lors que les miliciens s’enfuyaient, les FARDC les </w:t>
      </w:r>
      <w:r>
        <w:t>ont poursuivis</w:t>
      </w:r>
      <w:r w:rsidRPr="00C77AEC">
        <w:t xml:space="preserve"> da</w:t>
      </w:r>
      <w:r>
        <w:t xml:space="preserve">ns la cité tout en continuant de tirer. Les militaires ont </w:t>
      </w:r>
      <w:r w:rsidRPr="00C77AEC">
        <w:t xml:space="preserve">tiré </w:t>
      </w:r>
      <w:r>
        <w:t xml:space="preserve">en rafale </w:t>
      </w:r>
      <w:r w:rsidRPr="00C77AEC">
        <w:t>sur les habitations blessant par balle au moins une femme et tuant un garçon de moins de deux ans</w:t>
      </w:r>
      <w:r w:rsidRPr="007F1170">
        <w:rPr>
          <w:rStyle w:val="FootnoteReference"/>
        </w:rPr>
        <w:footnoteReference w:id="227"/>
      </w:r>
      <w:r w:rsidRPr="00C77AEC">
        <w:t xml:space="preserve">. Suite aux affrontements, les FARDC </w:t>
      </w:r>
      <w:r>
        <w:t>ont fouillé</w:t>
      </w:r>
      <w:r w:rsidRPr="00C77AEC">
        <w:t xml:space="preserve"> les maisons engendrant un mouvement de fuite </w:t>
      </w:r>
      <w:r>
        <w:t>de la</w:t>
      </w:r>
      <w:r w:rsidRPr="00C77AEC">
        <w:t xml:space="preserve"> population. Dans sa fuite une jeune femme a été blessée par balle par un militaire</w:t>
      </w:r>
      <w:r>
        <w:t xml:space="preserve"> et est ensuite </w:t>
      </w:r>
      <w:r w:rsidRPr="00C77AEC">
        <w:t>décédée à l’hôpital</w:t>
      </w:r>
      <w:r w:rsidRPr="007F1170">
        <w:rPr>
          <w:rStyle w:val="FootnoteReference"/>
        </w:rPr>
        <w:footnoteReference w:id="228"/>
      </w:r>
      <w:r w:rsidRPr="00C77AEC">
        <w:t xml:space="preserve">. Au moins un homme, une femme et un enfant </w:t>
      </w:r>
      <w:r>
        <w:t xml:space="preserve">ont </w:t>
      </w:r>
      <w:r w:rsidRPr="00C77AEC">
        <w:t xml:space="preserve">également </w:t>
      </w:r>
      <w:r>
        <w:t>été tué</w:t>
      </w:r>
      <w:r w:rsidR="00A01FE7">
        <w:t>s</w:t>
      </w:r>
      <w:r>
        <w:t xml:space="preserve"> par l</w:t>
      </w:r>
      <w:r w:rsidRPr="00C77AEC">
        <w:t>es balles des FARDC</w:t>
      </w:r>
      <w:r>
        <w:t xml:space="preserve"> et on dénombre </w:t>
      </w:r>
      <w:r w:rsidRPr="00C77AEC">
        <w:t>d’autres blessés</w:t>
      </w:r>
      <w:r w:rsidRPr="007F1170">
        <w:rPr>
          <w:rStyle w:val="FootnoteReference"/>
        </w:rPr>
        <w:footnoteReference w:id="229"/>
      </w:r>
      <w:r w:rsidRPr="00C77AEC">
        <w:t xml:space="preserve">. </w:t>
      </w:r>
    </w:p>
    <w:p w14:paraId="30B7A980" w14:textId="26715061" w:rsidR="00771DAE" w:rsidRDefault="00771DAE" w:rsidP="00BE7CAA">
      <w:pPr>
        <w:pStyle w:val="BodyText"/>
        <w:tabs>
          <w:tab w:val="left" w:pos="1559"/>
          <w:tab w:val="left" w:pos="1984"/>
          <w:tab w:val="left" w:leader="dot" w:pos="7654"/>
          <w:tab w:val="right" w:pos="8929"/>
        </w:tabs>
        <w:spacing w:line="240" w:lineRule="atLeast"/>
        <w:ind w:left="1138" w:right="1138" w:firstLine="0"/>
      </w:pPr>
      <w:r w:rsidRPr="00C77AEC">
        <w:t xml:space="preserve">Le 9 février 2017, un groupe de 13 à 15 miliciens Kamuina Nsapu, </w:t>
      </w:r>
      <w:r>
        <w:t>munis de</w:t>
      </w:r>
      <w:r w:rsidRPr="00C77AEC">
        <w:t xml:space="preserve"> bâtons et de fusils de chasse ont fait une nouvelle incursion dans la cité de Tshimbulu et </w:t>
      </w:r>
      <w:r>
        <w:t>au moins six miliciens</w:t>
      </w:r>
      <w:r w:rsidRPr="00C77AEC">
        <w:t xml:space="preserve"> ont été tués dans des affrontements avec les FARDC</w:t>
      </w:r>
      <w:r w:rsidRPr="007F1170">
        <w:rPr>
          <w:rStyle w:val="FootnoteReference"/>
        </w:rPr>
        <w:footnoteReference w:id="230"/>
      </w:r>
      <w:r w:rsidRPr="00C77AEC">
        <w:t xml:space="preserve">. Le lendemain, les miliciens Kamuina Nsapu sont revenus en grand nombre, plusieurs centaines. Lors des affrontements entre les miliciens Kamuina Nsapu et les FARDC au cours desquels les FARDC ont fait usage de lance-roquettes, </w:t>
      </w:r>
      <w:r>
        <w:t>environ</w:t>
      </w:r>
      <w:r w:rsidRPr="00C77AEC">
        <w:t xml:space="preserve">100 miliciens </w:t>
      </w:r>
      <w:r>
        <w:t>ont</w:t>
      </w:r>
      <w:r w:rsidRPr="00C77AEC">
        <w:t xml:space="preserve"> trouvé la mort. </w:t>
      </w:r>
      <w:r w:rsidR="00A01FE7">
        <w:t>C</w:t>
      </w:r>
      <w:r w:rsidRPr="00C77AEC">
        <w:t>ertains d’entre eux ont été tués alors qu’ils fuyaient et des blessés ont été achevé</w:t>
      </w:r>
      <w:r w:rsidR="00A01FE7">
        <w:t>s</w:t>
      </w:r>
      <w:r w:rsidRPr="00C77AEC">
        <w:t xml:space="preserve"> par les FARDC</w:t>
      </w:r>
      <w:r w:rsidRPr="007F1170">
        <w:rPr>
          <w:rStyle w:val="FootnoteReference"/>
        </w:rPr>
        <w:footnoteReference w:id="231"/>
      </w:r>
      <w:r w:rsidRPr="00C77AEC">
        <w:t>. Un témoin explique avoir entendu le bruit de six tirs de roquettes ce jour-là</w:t>
      </w:r>
      <w:r w:rsidRPr="007F1170">
        <w:rPr>
          <w:rStyle w:val="FootnoteReference"/>
        </w:rPr>
        <w:footnoteReference w:id="232"/>
      </w:r>
      <w:r w:rsidRPr="00C77AEC">
        <w:t xml:space="preserve">. Les corps ont été enterrés dans des fosses communes par des </w:t>
      </w:r>
      <w:r w:rsidR="0082442C">
        <w:t xml:space="preserve">éléments de la </w:t>
      </w:r>
      <w:r w:rsidRPr="00C77AEC">
        <w:t>PNC et des FARDC</w:t>
      </w:r>
      <w:r w:rsidRPr="007F1170">
        <w:rPr>
          <w:rStyle w:val="FootnoteReference"/>
        </w:rPr>
        <w:footnoteReference w:id="233"/>
      </w:r>
      <w:r w:rsidRPr="00C77AEC">
        <w:t>. Par ailleurs, les corps de certains miliciens Kamuina Nsapu</w:t>
      </w:r>
      <w:r w:rsidR="0082442C">
        <w:t>,</w:t>
      </w:r>
      <w:r w:rsidRPr="00C77AEC">
        <w:t xml:space="preserve"> dont </w:t>
      </w:r>
      <w:r w:rsidR="0082442C">
        <w:t>ceux d’</w:t>
      </w:r>
      <w:r w:rsidRPr="00C77AEC">
        <w:t>enfants ont été exposés publiquement afin que les habitants puissent observer que les miliciens n’étaient pas invulnérables</w:t>
      </w:r>
      <w:r w:rsidRPr="007F1170">
        <w:rPr>
          <w:rStyle w:val="FootnoteReference"/>
        </w:rPr>
        <w:footnoteReference w:id="234"/>
      </w:r>
      <w:r w:rsidRPr="00C77AEC">
        <w:t>.</w:t>
      </w:r>
      <w:r>
        <w:t xml:space="preserve"> </w:t>
      </w:r>
      <w:r w:rsidRPr="00C77AEC">
        <w:t>D’autres affrontements ont encore eu lieu au cours du mois de mars 2017 à Tshimbulu. Un affrontement mi-mars aurait fait 28 morts parmi les miliciens dont des enfants</w:t>
      </w:r>
      <w:r w:rsidRPr="007F1170">
        <w:rPr>
          <w:rStyle w:val="FootnoteReference"/>
        </w:rPr>
        <w:footnoteReference w:id="235"/>
      </w:r>
      <w:r w:rsidRPr="00C77AEC">
        <w:t>. Un témoin indique avoir fui le village lors de cet affrontement et avoir perdu toute trace depuis lors de deux de ses enfants de huit et dix ans qui auraient</w:t>
      </w:r>
      <w:r>
        <w:t xml:space="preserve"> selon lui</w:t>
      </w:r>
      <w:r w:rsidRPr="00C77AEC">
        <w:t xml:space="preserve"> été tués par des balles perdues des FARDC</w:t>
      </w:r>
      <w:r w:rsidRPr="007F1170">
        <w:rPr>
          <w:rStyle w:val="FootnoteReference"/>
        </w:rPr>
        <w:footnoteReference w:id="236"/>
      </w:r>
      <w:r w:rsidRPr="00C77AEC">
        <w:t xml:space="preserve">. Lors d’un ultime affrontement fin mars 2017, </w:t>
      </w:r>
      <w:r>
        <w:t xml:space="preserve">six à </w:t>
      </w:r>
      <w:r w:rsidRPr="00C77AEC">
        <w:t>huit miliciens Kamuina Nsapu auraient été tués. Les témoins indiquent que la présence de la MONUSCO qui venait de se déployer aurait dissuadé les FARDC d’utiliser des lance-roquettes lors de cet affrontement</w:t>
      </w:r>
      <w:r w:rsidRPr="007F1170">
        <w:rPr>
          <w:rStyle w:val="FootnoteReference"/>
        </w:rPr>
        <w:footnoteReference w:id="237"/>
      </w:r>
      <w:r w:rsidRPr="00C77AEC">
        <w:t xml:space="preserve">. Par ailleurs, </w:t>
      </w:r>
      <w:r>
        <w:t>u</w:t>
      </w:r>
      <w:r w:rsidRPr="00C77AEC">
        <w:t>ne fille de 16 ans a été</w:t>
      </w:r>
      <w:r w:rsidR="0082442C">
        <w:t xml:space="preserve"> retenue contre son gré pendant trois jours par un élément des FARDC qui l’a</w:t>
      </w:r>
      <w:r w:rsidRPr="00C77AEC">
        <w:t xml:space="preserve"> agressé</w:t>
      </w:r>
      <w:r>
        <w:t>e</w:t>
      </w:r>
      <w:r w:rsidRPr="00C77AEC">
        <w:t xml:space="preserve"> sexuellement et violée</w:t>
      </w:r>
      <w:r w:rsidR="0082442C">
        <w:t xml:space="preserve"> </w:t>
      </w:r>
      <w:r w:rsidRPr="00C77AEC">
        <w:t>plusieurs fois par jour en mars 2017</w:t>
      </w:r>
      <w:r w:rsidR="0082442C">
        <w:t>,</w:t>
      </w:r>
      <w:r w:rsidRPr="00C77AEC">
        <w:t xml:space="preserve"> période où les FARDC se trouvaient à Tshimbulu</w:t>
      </w:r>
      <w:r w:rsidRPr="007F1170">
        <w:rPr>
          <w:rStyle w:val="FootnoteReference"/>
        </w:rPr>
        <w:footnoteReference w:id="238"/>
      </w:r>
      <w:r w:rsidRPr="00C77AEC">
        <w:t>.</w:t>
      </w:r>
    </w:p>
    <w:p w14:paraId="10EE69F8" w14:textId="491ADA2E" w:rsidR="00771DAE" w:rsidRDefault="00771DAE" w:rsidP="00BE7CAA">
      <w:pPr>
        <w:pStyle w:val="BodyText"/>
        <w:tabs>
          <w:tab w:val="left" w:pos="1559"/>
          <w:tab w:val="left" w:pos="1984"/>
          <w:tab w:val="left" w:leader="dot" w:pos="7654"/>
          <w:tab w:val="right" w:pos="8929"/>
        </w:tabs>
        <w:spacing w:line="240" w:lineRule="atLeast"/>
        <w:ind w:left="1138" w:right="1138" w:firstLine="0"/>
      </w:pPr>
      <w:r w:rsidRPr="00084F61">
        <w:t xml:space="preserve">Ayant réussi à empêcher </w:t>
      </w:r>
      <w:r>
        <w:t xml:space="preserve">les miliciens d’entrer dans </w:t>
      </w:r>
      <w:r w:rsidRPr="00084F61">
        <w:t xml:space="preserve">la cité de Tshimbulu, les FARDC ont entrepris des opérations </w:t>
      </w:r>
      <w:r>
        <w:t xml:space="preserve">militaires dans plusieurs </w:t>
      </w:r>
      <w:r w:rsidRPr="00084F61">
        <w:t xml:space="preserve">villages </w:t>
      </w:r>
      <w:r>
        <w:t>du territoire de Dibaya, en particulier dans les villages où des tshiota étaient installés</w:t>
      </w:r>
      <w:r w:rsidRPr="00084F61">
        <w:t xml:space="preserve">. </w:t>
      </w:r>
      <w:r w:rsidR="00690672">
        <w:t xml:space="preserve">Ces opérations ont été particulièrement violentes. </w:t>
      </w:r>
      <w:r w:rsidRPr="00084F61">
        <w:t>L’EEI a documenté l’arrivée des FARDC dans les villag</w:t>
      </w:r>
      <w:r>
        <w:t>es de Dibaya, Kabeya-Madi, Bena-</w:t>
      </w:r>
      <w:r w:rsidRPr="00084F61">
        <w:t>Kalegna,</w:t>
      </w:r>
      <w:r>
        <w:t xml:space="preserve"> </w:t>
      </w:r>
      <w:r w:rsidRPr="00084F61">
        <w:t>Kazadi</w:t>
      </w:r>
      <w:r>
        <w:t>,</w:t>
      </w:r>
      <w:r w:rsidRPr="00084F61">
        <w:t xml:space="preserve"> Kawulu et Bukonde</w:t>
      </w:r>
      <w:r w:rsidRPr="007F1170">
        <w:rPr>
          <w:rStyle w:val="FootnoteReference"/>
        </w:rPr>
        <w:footnoteReference w:id="239"/>
      </w:r>
      <w:r w:rsidRPr="00084F61">
        <w:t xml:space="preserve">. Les FARDC, notamment ceux non-originaires du Kasaï, faisaient rarement la distinction entre les miliciens et les habitants des villages </w:t>
      </w:r>
      <w:r>
        <w:t>considérés</w:t>
      </w:r>
      <w:r w:rsidRPr="00084F61">
        <w:t xml:space="preserve"> comme favorables au mouvement</w:t>
      </w:r>
      <w:r w:rsidRPr="007F1170">
        <w:rPr>
          <w:rStyle w:val="FootnoteReference"/>
        </w:rPr>
        <w:footnoteReference w:id="240"/>
      </w:r>
      <w:r w:rsidRPr="00084F61">
        <w:t>.</w:t>
      </w:r>
    </w:p>
    <w:p w14:paraId="25641A19" w14:textId="4E619848" w:rsidR="00771DAE" w:rsidRDefault="00771DAE" w:rsidP="00BE7CAA">
      <w:pPr>
        <w:pStyle w:val="BodyText"/>
        <w:tabs>
          <w:tab w:val="left" w:pos="1559"/>
          <w:tab w:val="left" w:pos="1984"/>
          <w:tab w:val="left" w:leader="dot" w:pos="7654"/>
          <w:tab w:val="right" w:pos="8929"/>
        </w:tabs>
        <w:spacing w:line="240" w:lineRule="atLeast"/>
        <w:ind w:left="1138" w:right="1138" w:firstLine="0"/>
      </w:pPr>
      <w:r>
        <w:t xml:space="preserve">Par exemple, début </w:t>
      </w:r>
      <w:r w:rsidRPr="000635EB">
        <w:t xml:space="preserve">avril 2017, </w:t>
      </w:r>
      <w:r>
        <w:t>des</w:t>
      </w:r>
      <w:r w:rsidRPr="000635EB">
        <w:t xml:space="preserve"> affrontements entre les FARDC et les miliciens </w:t>
      </w:r>
      <w:r>
        <w:t xml:space="preserve">ont eu lieu </w:t>
      </w:r>
      <w:r w:rsidRPr="000635EB">
        <w:t>dans le</w:t>
      </w:r>
      <w:r>
        <w:t>s</w:t>
      </w:r>
      <w:r w:rsidRPr="000635EB">
        <w:t xml:space="preserve"> village</w:t>
      </w:r>
      <w:r>
        <w:t>s</w:t>
      </w:r>
      <w:r w:rsidRPr="000635EB">
        <w:t xml:space="preserve"> de Dibaya et de Kabeya-Madi</w:t>
      </w:r>
      <w:r w:rsidRPr="007F1170">
        <w:rPr>
          <w:rStyle w:val="FootnoteReference"/>
        </w:rPr>
        <w:footnoteReference w:id="241"/>
      </w:r>
      <w:r w:rsidRPr="000635EB">
        <w:t xml:space="preserve">. </w:t>
      </w:r>
      <w:r>
        <w:t>Le bilan de ces combats n’est pas établi précisément mais il y a eu des morts parmi les miliciens, dont des enfants</w:t>
      </w:r>
      <w:r w:rsidRPr="007F1170">
        <w:rPr>
          <w:rStyle w:val="FootnoteReference"/>
        </w:rPr>
        <w:footnoteReference w:id="242"/>
      </w:r>
      <w:r>
        <w:t xml:space="preserve">. </w:t>
      </w:r>
      <w:r w:rsidRPr="000635EB">
        <w:t>Le 1</w:t>
      </w:r>
      <w:r w:rsidRPr="00E249C2">
        <w:rPr>
          <w:vertAlign w:val="superscript"/>
        </w:rPr>
        <w:t>er</w:t>
      </w:r>
      <w:r w:rsidRPr="000635EB">
        <w:t xml:space="preserve"> avril 2017, l’hôpital de Dibaya a trait</w:t>
      </w:r>
      <w:r w:rsidR="00BC072B">
        <w:t>é 36 cas de blessures par balle</w:t>
      </w:r>
      <w:r w:rsidRPr="000635EB">
        <w:t>, dont 10 filles</w:t>
      </w:r>
      <w:r>
        <w:t xml:space="preserve"> et huit garçons</w:t>
      </w:r>
      <w:r w:rsidRPr="000635EB">
        <w:t xml:space="preserve"> et 18 adultes âgés de </w:t>
      </w:r>
      <w:r>
        <w:t xml:space="preserve">18 à 26 ans dont </w:t>
      </w:r>
      <w:r w:rsidR="00BC072B">
        <w:t>une</w:t>
      </w:r>
      <w:r>
        <w:t xml:space="preserve"> femme</w:t>
      </w:r>
      <w:r w:rsidR="00CF3FCB">
        <w:t xml:space="preserve"> ; les victimes étaient originaires de </w:t>
      </w:r>
      <w:r w:rsidRPr="000635EB">
        <w:t>Kabeya-Madi ou des villages environnants de Dibaya</w:t>
      </w:r>
      <w:r w:rsidRPr="007F1170">
        <w:rPr>
          <w:rStyle w:val="FootnoteReference"/>
        </w:rPr>
        <w:footnoteReference w:id="243"/>
      </w:r>
      <w:r w:rsidRPr="000635EB">
        <w:t>.</w:t>
      </w:r>
      <w:r>
        <w:t xml:space="preserve"> De nombreux habitants du village de </w:t>
      </w:r>
      <w:r w:rsidRPr="00FD5A0A">
        <w:t>Bena Kalegna</w:t>
      </w:r>
      <w:r>
        <w:t xml:space="preserve">, dont le chef du village, avaient fui le village à l’arrivée de la milice Kamuina Nsapu en mars 2017. </w:t>
      </w:r>
      <w:r w:rsidRPr="00FD5A0A">
        <w:t xml:space="preserve">A l’arrivée des FARDC, le chef de village est retourné au village et a été tué par les FARDC </w:t>
      </w:r>
      <w:r>
        <w:t xml:space="preserve">avec </w:t>
      </w:r>
      <w:r w:rsidRPr="00FD5A0A">
        <w:t>d’autres hommes et enfants qui</w:t>
      </w:r>
      <w:r>
        <w:t xml:space="preserve"> l’</w:t>
      </w:r>
      <w:r w:rsidRPr="00FD5A0A">
        <w:t>accompagnaient</w:t>
      </w:r>
      <w:r>
        <w:t xml:space="preserve">. </w:t>
      </w:r>
      <w:r w:rsidRPr="00FD5A0A">
        <w:t xml:space="preserve">Un témoin indique avoir </w:t>
      </w:r>
      <w:r>
        <w:t xml:space="preserve">ainsi </w:t>
      </w:r>
      <w:r w:rsidRPr="00FD5A0A">
        <w:t>perdu trois membres de sa famil</w:t>
      </w:r>
      <w:r>
        <w:t>l</w:t>
      </w:r>
      <w:r w:rsidRPr="00FD5A0A">
        <w:t xml:space="preserve">e. </w:t>
      </w:r>
      <w:r>
        <w:t xml:space="preserve">Des affrontements </w:t>
      </w:r>
      <w:r w:rsidR="00CF3FCB">
        <w:t xml:space="preserve">durant lesquels des miliciens et un FARDC </w:t>
      </w:r>
      <w:r>
        <w:t xml:space="preserve">ont </w:t>
      </w:r>
      <w:r w:rsidR="00CF3FCB">
        <w:t xml:space="preserve">perdu la vie ont </w:t>
      </w:r>
      <w:r>
        <w:t>également eu lieu</w:t>
      </w:r>
      <w:r w:rsidRPr="007F1170">
        <w:rPr>
          <w:rStyle w:val="FootnoteReference"/>
        </w:rPr>
        <w:footnoteReference w:id="244"/>
      </w:r>
      <w:r>
        <w:t xml:space="preserve">. </w:t>
      </w:r>
    </w:p>
    <w:p w14:paraId="0C4A041B" w14:textId="111BDA0D" w:rsidR="00771DAE" w:rsidRDefault="00771DAE" w:rsidP="00BE7CAA">
      <w:pPr>
        <w:pStyle w:val="BodyText"/>
        <w:tabs>
          <w:tab w:val="left" w:pos="1559"/>
          <w:tab w:val="left" w:pos="1984"/>
          <w:tab w:val="left" w:leader="dot" w:pos="7654"/>
          <w:tab w:val="right" w:pos="8929"/>
        </w:tabs>
        <w:spacing w:line="240" w:lineRule="atLeast"/>
        <w:ind w:left="1138" w:right="1138" w:firstLine="0"/>
      </w:pPr>
      <w:r w:rsidRPr="00FD5A0A">
        <w:t xml:space="preserve">Dans le </w:t>
      </w:r>
      <w:r>
        <w:t>village de Kazadi où les miliciens s’étaient installés, des</w:t>
      </w:r>
      <w:r w:rsidRPr="00FD5A0A">
        <w:t xml:space="preserve"> FARDC sont arrivés </w:t>
      </w:r>
      <w:r w:rsidR="0001561B">
        <w:t>à bord de</w:t>
      </w:r>
      <w:r w:rsidR="0001561B" w:rsidRPr="00FD5A0A">
        <w:t xml:space="preserve"> deux camions </w:t>
      </w:r>
      <w:r w:rsidRPr="00FD5A0A">
        <w:t xml:space="preserve">en </w:t>
      </w:r>
      <w:r>
        <w:t>mars-</w:t>
      </w:r>
      <w:r w:rsidRPr="00FD5A0A">
        <w:t>avril 2017</w:t>
      </w:r>
      <w:r>
        <w:t xml:space="preserve">. </w:t>
      </w:r>
      <w:r w:rsidRPr="00FD5A0A">
        <w:t xml:space="preserve">Il y a eu un </w:t>
      </w:r>
      <w:r w:rsidR="0001561B">
        <w:t xml:space="preserve">affrontement </w:t>
      </w:r>
      <w:r>
        <w:t>entre les FARDC et d</w:t>
      </w:r>
      <w:r w:rsidRPr="00FD5A0A">
        <w:t>es miliciens, dont des femmes, des filles et des garçons</w:t>
      </w:r>
      <w:r w:rsidR="00BC072B">
        <w:t>,</w:t>
      </w:r>
      <w:r w:rsidRPr="00FD5A0A">
        <w:t xml:space="preserve"> </w:t>
      </w:r>
      <w:r>
        <w:t>munis des petits bâtons et de</w:t>
      </w:r>
      <w:r w:rsidRPr="00FD5A0A">
        <w:t xml:space="preserve"> machettes</w:t>
      </w:r>
      <w:r w:rsidR="0001561B">
        <w:t xml:space="preserve"> ; cet affrontement </w:t>
      </w:r>
      <w:r>
        <w:t>a</w:t>
      </w:r>
      <w:r w:rsidRPr="00FD5A0A">
        <w:t xml:space="preserve"> duré toute la matinée</w:t>
      </w:r>
      <w:r w:rsidR="0001561B">
        <w:t xml:space="preserve">. Puis, </w:t>
      </w:r>
      <w:r w:rsidRPr="00FD5A0A">
        <w:t xml:space="preserve">les FARDC </w:t>
      </w:r>
      <w:r w:rsidR="0001561B">
        <w:t>sont partis</w:t>
      </w:r>
      <w:r w:rsidRPr="00FD5A0A">
        <w:t xml:space="preserve"> vers le village voisin. Un témoin explique avoir vu six corps d’enfants du village</w:t>
      </w:r>
      <w:r w:rsidR="00E90C08">
        <w:t>,</w:t>
      </w:r>
      <w:r w:rsidR="00991C36">
        <w:t xml:space="preserve"> qui n’étaient pas des miliciens</w:t>
      </w:r>
      <w:r w:rsidR="00E90C08">
        <w:t>,</w:t>
      </w:r>
      <w:r w:rsidRPr="00FD5A0A">
        <w:t xml:space="preserve"> tués par balle</w:t>
      </w:r>
      <w:r>
        <w:t>. Un autre témoin précise avoir vu une dizaine de corps autour de sa maison. Certains corps ont été emportés par les FARDC. Un civil a également été tué sur la route par les FARDC qui quittaient le village</w:t>
      </w:r>
      <w:r w:rsidRPr="007F1170">
        <w:rPr>
          <w:rStyle w:val="FootnoteReference"/>
        </w:rPr>
        <w:footnoteReference w:id="245"/>
      </w:r>
      <w:r>
        <w:t xml:space="preserve">. En mars 2017, toujours à bord de deux camions, les FARDC sont arrivés en provenance de Tshimbulu dans le village de Kawulu, où les miliciens Kamuina Nsapu avaient installé un tshiota. Des miliciens mais aussi des habitants, dont des garçons, ont été tués alors qu’ils fuyaient et que les militaires tiraient dans toutes les directions. Le nombre de personnes tuées n’a pas pu être </w:t>
      </w:r>
      <w:r w:rsidR="0001561B">
        <w:t>détermin</w:t>
      </w:r>
      <w:r>
        <w:t>é</w:t>
      </w:r>
      <w:r w:rsidR="0001561B">
        <w:t xml:space="preserve"> car</w:t>
      </w:r>
      <w:r>
        <w:t xml:space="preserve"> les FARDC ont emporté les cadavres qu’ils ont ensuite enterrés sommairement dans une fosse </w:t>
      </w:r>
      <w:r w:rsidR="0001561B">
        <w:t xml:space="preserve">commune </w:t>
      </w:r>
      <w:r>
        <w:t>à la sortie du village</w:t>
      </w:r>
      <w:r w:rsidRPr="007F1170">
        <w:rPr>
          <w:rStyle w:val="FootnoteReference"/>
        </w:rPr>
        <w:footnoteReference w:id="246"/>
      </w:r>
      <w:r>
        <w:t xml:space="preserve">. Des opérations militaires suivant un mode opératoire similaire ont eu lieu dans les villages de Ludi, Bena-Kena, </w:t>
      </w:r>
      <w:r w:rsidRPr="00FD5A0A">
        <w:t>Lubonday</w:t>
      </w:r>
      <w:r w:rsidR="009C4DA1">
        <w:t>e</w:t>
      </w:r>
      <w:r>
        <w:t xml:space="preserve">, </w:t>
      </w:r>
      <w:r w:rsidRPr="00FD5A0A">
        <w:t>Muan</w:t>
      </w:r>
      <w:r>
        <w:t>-</w:t>
      </w:r>
      <w:r w:rsidRPr="00FD5A0A">
        <w:t>Mukaya</w:t>
      </w:r>
      <w:r>
        <w:t xml:space="preserve"> et de Lumbudi</w:t>
      </w:r>
      <w:r w:rsidRPr="007F1170">
        <w:rPr>
          <w:rStyle w:val="FootnoteReference"/>
        </w:rPr>
        <w:footnoteReference w:id="247"/>
      </w:r>
      <w:r>
        <w:t>.</w:t>
      </w:r>
    </w:p>
    <w:p w14:paraId="0E8C3D2E" w14:textId="08A38329" w:rsidR="00771DAE" w:rsidRPr="00FD5A0A" w:rsidRDefault="00771DAE" w:rsidP="00BE7CAA">
      <w:pPr>
        <w:pStyle w:val="BodyText"/>
        <w:tabs>
          <w:tab w:val="left" w:pos="1559"/>
          <w:tab w:val="left" w:pos="1984"/>
          <w:tab w:val="left" w:leader="dot" w:pos="7654"/>
          <w:tab w:val="right" w:pos="8929"/>
        </w:tabs>
        <w:spacing w:line="240" w:lineRule="atLeast"/>
        <w:ind w:left="1138" w:right="1138" w:firstLine="0"/>
      </w:pPr>
      <w:r w:rsidRPr="00FD5A0A">
        <w:t xml:space="preserve">Il y a </w:t>
      </w:r>
      <w:r>
        <w:t xml:space="preserve">également </w:t>
      </w:r>
      <w:r w:rsidRPr="00FD5A0A">
        <w:t xml:space="preserve">eu plusieurs affrontements entre les miliciens Kamuina Nsapu et les FARDC dans le village de Bukonde. Un témoin </w:t>
      </w:r>
      <w:r>
        <w:t xml:space="preserve">indique </w:t>
      </w:r>
      <w:r w:rsidRPr="00FD5A0A">
        <w:t>qu’il y a eu au total 13 affrontements</w:t>
      </w:r>
      <w:r>
        <w:t xml:space="preserve"> à Bukonde</w:t>
      </w:r>
      <w:r w:rsidRPr="007F1170">
        <w:rPr>
          <w:rStyle w:val="FootnoteReference"/>
        </w:rPr>
        <w:footnoteReference w:id="248"/>
      </w:r>
      <w:r w:rsidRPr="00FD5A0A">
        <w:t xml:space="preserve">. Un </w:t>
      </w:r>
      <w:r w:rsidR="003F56FC">
        <w:t>autre</w:t>
      </w:r>
      <w:r w:rsidR="003F56FC" w:rsidRPr="00FD5A0A">
        <w:t xml:space="preserve"> </w:t>
      </w:r>
      <w:r>
        <w:t xml:space="preserve">raconte </w:t>
      </w:r>
      <w:r w:rsidR="003F56FC">
        <w:t xml:space="preserve">que </w:t>
      </w:r>
      <w:r w:rsidR="003F56FC" w:rsidRPr="00FD5A0A">
        <w:t>début janvier 2017 après des affrontements</w:t>
      </w:r>
      <w:r w:rsidR="003F56FC">
        <w:t>, il a vu</w:t>
      </w:r>
      <w:r w:rsidRPr="00FD5A0A">
        <w:t xml:space="preserve"> les cadavres de huit miliciens </w:t>
      </w:r>
      <w:r>
        <w:t>dont des enfants,</w:t>
      </w:r>
      <w:r w:rsidRPr="00FD5A0A">
        <w:t xml:space="preserve"> tués par les FARDC et deux blessés</w:t>
      </w:r>
      <w:r w:rsidRPr="007F1170">
        <w:rPr>
          <w:rStyle w:val="FootnoteReference"/>
        </w:rPr>
        <w:footnoteReference w:id="249"/>
      </w:r>
      <w:r>
        <w:t xml:space="preserve">. </w:t>
      </w:r>
      <w:r w:rsidRPr="00FD5A0A">
        <w:t xml:space="preserve">Un </w:t>
      </w:r>
      <w:r>
        <w:t xml:space="preserve">autre témoin </w:t>
      </w:r>
      <w:r w:rsidRPr="00FD5A0A">
        <w:t xml:space="preserve">estime qu’environ </w:t>
      </w:r>
      <w:r>
        <w:t>80 personnes ont été tuées à Bu</w:t>
      </w:r>
      <w:r w:rsidRPr="00FD5A0A">
        <w:t>konde entre décembre 2016 et mars 2017 d</w:t>
      </w:r>
      <w:r>
        <w:t xml:space="preserve">ont la moitié était des </w:t>
      </w:r>
      <w:r w:rsidR="003F56FC">
        <w:t>enfants</w:t>
      </w:r>
      <w:r w:rsidRPr="007F1170">
        <w:rPr>
          <w:rStyle w:val="FootnoteReference"/>
        </w:rPr>
        <w:footnoteReference w:id="250"/>
      </w:r>
      <w:r w:rsidRPr="00FD5A0A">
        <w:t>. Le plus gros incident documenté a eu lieu vers le 8 mars 2017. Des miliciens Kamuina Nsapu</w:t>
      </w:r>
      <w:r w:rsidR="003F56FC">
        <w:t>,</w:t>
      </w:r>
      <w:r w:rsidRPr="00FD5A0A">
        <w:t xml:space="preserve"> environ une centaine, dont des femmes et des filles et des garçons, sont arrivés à Bukonde et ont affrontés les FARDC au niveau de l’hôpital</w:t>
      </w:r>
      <w:r w:rsidRPr="007F1170">
        <w:rPr>
          <w:rStyle w:val="FootnoteReference"/>
        </w:rPr>
        <w:footnoteReference w:id="251"/>
      </w:r>
      <w:r w:rsidRPr="00FD5A0A">
        <w:t xml:space="preserve">. </w:t>
      </w:r>
      <w:r w:rsidR="003F56FC">
        <w:t>L</w:t>
      </w:r>
      <w:r w:rsidRPr="00FD5A0A">
        <w:t>es corps de miliciens</w:t>
      </w:r>
      <w:r>
        <w:t xml:space="preserve"> </w:t>
      </w:r>
      <w:r w:rsidR="003F56FC">
        <w:t xml:space="preserve">ont ensuite été </w:t>
      </w:r>
      <w:r>
        <w:t>enterrés derrière l’église de Bu</w:t>
      </w:r>
      <w:r w:rsidRPr="00FD5A0A">
        <w:t>konde</w:t>
      </w:r>
      <w:r w:rsidRPr="007F1170">
        <w:rPr>
          <w:rStyle w:val="FootnoteReference"/>
        </w:rPr>
        <w:footnoteReference w:id="252"/>
      </w:r>
      <w:r w:rsidRPr="00FD5A0A">
        <w:t xml:space="preserve">. Un témoin qui a assisté </w:t>
      </w:r>
      <w:r>
        <w:t xml:space="preserve">à cet </w:t>
      </w:r>
      <w:r w:rsidRPr="00FD5A0A">
        <w:t xml:space="preserve">affrontement estime </w:t>
      </w:r>
      <w:r>
        <w:t>qu’</w:t>
      </w:r>
      <w:r w:rsidRPr="00FD5A0A">
        <w:t xml:space="preserve">au </w:t>
      </w:r>
      <w:r>
        <w:t xml:space="preserve">moins </w:t>
      </w:r>
      <w:r w:rsidRPr="00FD5A0A">
        <w:t xml:space="preserve">50 miliciens </w:t>
      </w:r>
      <w:r>
        <w:t xml:space="preserve">et un militaire </w:t>
      </w:r>
      <w:r w:rsidRPr="00FD5A0A">
        <w:t>ont perdu la vie</w:t>
      </w:r>
      <w:r w:rsidRPr="007F1170">
        <w:rPr>
          <w:rStyle w:val="FootnoteReference"/>
        </w:rPr>
        <w:footnoteReference w:id="253"/>
      </w:r>
      <w:r>
        <w:t xml:space="preserve">. </w:t>
      </w:r>
      <w:r w:rsidR="003F56FC">
        <w:t xml:space="preserve">Un homme </w:t>
      </w:r>
      <w:r>
        <w:t xml:space="preserve">qui sortait de sa </w:t>
      </w:r>
      <w:r w:rsidR="00BC072B">
        <w:t>maison a été tué par d</w:t>
      </w:r>
      <w:r w:rsidRPr="00FD5A0A">
        <w:t>es militaires par arme à feu et machettes</w:t>
      </w:r>
      <w:r>
        <w:t xml:space="preserve"> et un autre a été blessé par balle </w:t>
      </w:r>
      <w:r w:rsidRPr="00FD5A0A">
        <w:t>alors qu’il se trouvait dans une maison</w:t>
      </w:r>
      <w:r w:rsidR="00BC072B">
        <w:t xml:space="preserve"> en construction dans laquelle d</w:t>
      </w:r>
      <w:r w:rsidRPr="00FD5A0A">
        <w:t>es FARDC étaient entrés</w:t>
      </w:r>
      <w:r w:rsidRPr="00BE7CAA">
        <w:t xml:space="preserve"> </w:t>
      </w:r>
      <w:r w:rsidRPr="007F1170">
        <w:rPr>
          <w:rStyle w:val="FootnoteReference"/>
        </w:rPr>
        <w:footnoteReference w:id="254"/>
      </w:r>
      <w:r>
        <w:t>.</w:t>
      </w:r>
    </w:p>
    <w:p w14:paraId="3513B81F" w14:textId="17A631B2" w:rsidR="00771DAE" w:rsidRPr="00FD5A0A" w:rsidRDefault="00771DAE" w:rsidP="00BE7CAA">
      <w:pPr>
        <w:pStyle w:val="BodyText"/>
        <w:tabs>
          <w:tab w:val="left" w:pos="1559"/>
          <w:tab w:val="left" w:pos="1984"/>
          <w:tab w:val="left" w:leader="dot" w:pos="7654"/>
          <w:tab w:val="right" w:pos="8929"/>
        </w:tabs>
        <w:spacing w:line="240" w:lineRule="atLeast"/>
        <w:ind w:left="1138" w:right="1138" w:firstLine="0"/>
      </w:pPr>
      <w:r>
        <w:t xml:space="preserve">Dans ces villages du territoire de Dibaya, </w:t>
      </w:r>
      <w:r w:rsidR="00BC072B">
        <w:t>d</w:t>
      </w:r>
      <w:r>
        <w:t xml:space="preserve">es militaires ont pillé </w:t>
      </w:r>
      <w:r w:rsidR="00E15737">
        <w:t>les</w:t>
      </w:r>
      <w:r w:rsidR="00E15737" w:rsidRPr="00FD5A0A">
        <w:t xml:space="preserve"> </w:t>
      </w:r>
      <w:r w:rsidRPr="00FD5A0A">
        <w:t xml:space="preserve">biens </w:t>
      </w:r>
      <w:r>
        <w:t xml:space="preserve">des habitants en fuite </w:t>
      </w:r>
      <w:r w:rsidR="00FA2F05">
        <w:t>et brû</w:t>
      </w:r>
      <w:r w:rsidRPr="00FD5A0A">
        <w:t xml:space="preserve">lé </w:t>
      </w:r>
      <w:r>
        <w:t>plusieurs</w:t>
      </w:r>
      <w:r w:rsidRPr="00FD5A0A">
        <w:t xml:space="preserve"> maisons</w:t>
      </w:r>
      <w:r w:rsidRPr="007F1170">
        <w:rPr>
          <w:rStyle w:val="FootnoteReference"/>
        </w:rPr>
        <w:footnoteReference w:id="255"/>
      </w:r>
      <w:r w:rsidRPr="00FD5A0A">
        <w:t>.</w:t>
      </w:r>
      <w:r>
        <w:t xml:space="preserve"> Par ailleurs, des cas de viols commis par les FARDC ont été documentés</w:t>
      </w:r>
      <w:r w:rsidR="00E15737">
        <w:t xml:space="preserve"> et d</w:t>
      </w:r>
      <w:r w:rsidRPr="00FD5A0A">
        <w:t>es allégations de viols par les FARDC dans le village de Lubi ont été rapportées</w:t>
      </w:r>
      <w:r w:rsidRPr="007F1170">
        <w:rPr>
          <w:rStyle w:val="FootnoteReference"/>
        </w:rPr>
        <w:footnoteReference w:id="256"/>
      </w:r>
      <w:r w:rsidRPr="00FD5A0A">
        <w:t>.</w:t>
      </w:r>
      <w:r>
        <w:t xml:space="preserve"> Dans ce même village, une fille</w:t>
      </w:r>
      <w:r w:rsidRPr="00FD5A0A">
        <w:t xml:space="preserve"> de 17 ans a été </w:t>
      </w:r>
      <w:r>
        <w:t>e</w:t>
      </w:r>
      <w:r w:rsidR="00E15737">
        <w:t>nlevée</w:t>
      </w:r>
      <w:r w:rsidRPr="00FD5A0A">
        <w:t xml:space="preserve"> par les FARDC à la fin de leur mission</w:t>
      </w:r>
      <w:r w:rsidRPr="007F1170">
        <w:rPr>
          <w:rStyle w:val="FootnoteReference"/>
        </w:rPr>
        <w:footnoteReference w:id="257"/>
      </w:r>
      <w:r>
        <w:t>. Au moins une femme a été violée par des FARDC dans le village de Lubandayi et emmenée par les FARDC à leur départ du village</w:t>
      </w:r>
      <w:r w:rsidRPr="007F1170">
        <w:rPr>
          <w:rStyle w:val="FootnoteReference"/>
        </w:rPr>
        <w:footnoteReference w:id="258"/>
      </w:r>
      <w:r>
        <w:t>. Dans le village de Bakwa Ndaya</w:t>
      </w:r>
      <w:r w:rsidR="00E15737">
        <w:t>, a</w:t>
      </w:r>
      <w:r>
        <w:t xml:space="preserve">près être entré dans la maison, </w:t>
      </w:r>
      <w:r w:rsidR="00E15737">
        <w:t xml:space="preserve">deux militaires </w:t>
      </w:r>
      <w:r>
        <w:t xml:space="preserve">ont brutalisé </w:t>
      </w:r>
      <w:r w:rsidR="00E15737">
        <w:t>une</w:t>
      </w:r>
      <w:r>
        <w:t xml:space="preserve"> femme et menacé son mari avec une arme à feu. L’un des militaires a menacé la femme avec son arme et l’a maintenu</w:t>
      </w:r>
      <w:r w:rsidR="00BC072B">
        <w:t>e</w:t>
      </w:r>
      <w:r>
        <w:t xml:space="preserve"> au sol par le cou avant de la violer</w:t>
      </w:r>
      <w:r w:rsidRPr="007F1170">
        <w:rPr>
          <w:rStyle w:val="FootnoteReference"/>
        </w:rPr>
        <w:footnoteReference w:id="259"/>
      </w:r>
      <w:r>
        <w:t xml:space="preserve">. </w:t>
      </w:r>
      <w:r w:rsidRPr="00FD5A0A">
        <w:t xml:space="preserve">Un </w:t>
      </w:r>
      <w:r w:rsidR="00E15737">
        <w:t xml:space="preserve">autre </w:t>
      </w:r>
      <w:r w:rsidRPr="00FD5A0A">
        <w:t xml:space="preserve">témoin </w:t>
      </w:r>
      <w:r>
        <w:t>raconte</w:t>
      </w:r>
      <w:r w:rsidRPr="00FD5A0A">
        <w:t xml:space="preserve"> qu’alors qu’elle </w:t>
      </w:r>
      <w:r>
        <w:t xml:space="preserve">s’était enfuie dans la brousse autour du village de </w:t>
      </w:r>
      <w:r w:rsidRPr="00FD5A0A">
        <w:t xml:space="preserve">Bena Kalegna avec sept autres </w:t>
      </w:r>
      <w:r>
        <w:t>femmes</w:t>
      </w:r>
      <w:r w:rsidRPr="00FD5A0A">
        <w:t>, une dizaine de FARDC ont découvert leur cachette et les ont violé</w:t>
      </w:r>
      <w:r w:rsidR="00E15737">
        <w:t>e</w:t>
      </w:r>
      <w:r w:rsidRPr="00FD5A0A">
        <w:t xml:space="preserve">s. L’une d’entre elle a été violée par deux éléments FARDC </w:t>
      </w:r>
      <w:r>
        <w:t>qui lui ont</w:t>
      </w:r>
      <w:r w:rsidRPr="00FD5A0A">
        <w:t xml:space="preserve"> arraché ses vêtements et </w:t>
      </w:r>
      <w:r>
        <w:t>l’ont</w:t>
      </w:r>
      <w:r w:rsidRPr="00FD5A0A">
        <w:t xml:space="preserve"> forcé à s’allonger sous la menace d’une arme</w:t>
      </w:r>
      <w:r w:rsidRPr="007F1170">
        <w:rPr>
          <w:rStyle w:val="FootnoteReference"/>
        </w:rPr>
        <w:footnoteReference w:id="260"/>
      </w:r>
      <w:r>
        <w:t>. Lors de ce même incident, une</w:t>
      </w:r>
      <w:r w:rsidRPr="00FD5A0A">
        <w:t xml:space="preserve"> autre</w:t>
      </w:r>
      <w:r>
        <w:t xml:space="preserve"> femme</w:t>
      </w:r>
      <w:r w:rsidRPr="00FD5A0A">
        <w:t xml:space="preserve"> a été violée par trois éléments FARDC suivant le même mode opératoire</w:t>
      </w:r>
      <w:r w:rsidR="00E15737">
        <w:t> ;</w:t>
      </w:r>
      <w:r w:rsidRPr="00FD5A0A">
        <w:t xml:space="preserve"> elle a fait une fausse couche suite à ce viol</w:t>
      </w:r>
      <w:r w:rsidRPr="007F1170">
        <w:rPr>
          <w:rStyle w:val="FootnoteReference"/>
        </w:rPr>
        <w:footnoteReference w:id="261"/>
      </w:r>
      <w:r>
        <w:t>.</w:t>
      </w:r>
    </w:p>
    <w:p w14:paraId="508B4FC2" w14:textId="5E7090F9" w:rsidR="00771DAE" w:rsidRPr="00B0218F" w:rsidRDefault="00771DAE" w:rsidP="00BE7CAA">
      <w:pPr>
        <w:pStyle w:val="BodyText"/>
        <w:tabs>
          <w:tab w:val="left" w:pos="1559"/>
          <w:tab w:val="left" w:pos="1984"/>
          <w:tab w:val="left" w:leader="dot" w:pos="7654"/>
          <w:tab w:val="right" w:pos="8929"/>
        </w:tabs>
        <w:spacing w:line="240" w:lineRule="atLeast"/>
        <w:ind w:left="1138" w:right="1138" w:firstLine="0"/>
        <w:rPr>
          <w:i/>
        </w:rPr>
      </w:pPr>
      <w:r w:rsidRPr="00DC1162">
        <w:t>Deux membres du Groupe d’experts sur la République démocratique du Congo créé en application de la résolution 1533 (2004) du Conseil de sécurité, la suédo-chilienne Zaida Catalán et l’américain Michael Sharp, ont été tués le 12 mars 2017</w:t>
      </w:r>
      <w:r>
        <w:t xml:space="preserve"> sur le territoire de Dibaya</w:t>
      </w:r>
      <w:r w:rsidRPr="00DC1162">
        <w:t>. A ce jour, leurs quatre accompagnateurs sont toujours portés disparus</w:t>
      </w:r>
      <w:r w:rsidRPr="007F1170">
        <w:rPr>
          <w:rStyle w:val="FootnoteReference"/>
        </w:rPr>
        <w:footnoteReference w:id="262"/>
      </w:r>
      <w:r w:rsidRPr="00DC1162">
        <w:t>. Les experts</w:t>
      </w:r>
      <w:r w:rsidR="00B0218F">
        <w:t xml:space="preserve"> et </w:t>
      </w:r>
      <w:r w:rsidRPr="00DC1162">
        <w:t xml:space="preserve">leurs accompagnateurs sont partis de Kananga le matin du 12 mars 2017 sur trois motos en direction de la zone de Bukonde, territoire de Dibaya, où il y avait eu des affrontements récents entre la milice Kamuina Nsapu et les FARDC. Les cadavres des deux experts ont été retrouvés deux semaines plus tard dans une </w:t>
      </w:r>
      <w:r w:rsidR="00B0218F">
        <w:t xml:space="preserve">tombe </w:t>
      </w:r>
      <w:r w:rsidRPr="00DC1162">
        <w:t>peu profonde non loin du village du Bukonde</w:t>
      </w:r>
      <w:r w:rsidRPr="007F1170">
        <w:rPr>
          <w:rStyle w:val="FootnoteReference"/>
        </w:rPr>
        <w:footnoteReference w:id="263"/>
      </w:r>
      <w:r w:rsidRPr="00DC1162">
        <w:t>. Le corps de Zaida Catalán a été décapité. Des informations collectées et analysées, notamment par les journalistes de Radio France Internationale et de Reuters</w:t>
      </w:r>
      <w:r w:rsidRPr="007F1170">
        <w:rPr>
          <w:rStyle w:val="FootnoteReference"/>
        </w:rPr>
        <w:footnoteReference w:id="264"/>
      </w:r>
      <w:r w:rsidRPr="00DC1162">
        <w:t xml:space="preserve">, indiquent que le déplacement des experts vers Bukonde a été planifié avec l’aide de certaines personnes qui auraient eu des liens avec </w:t>
      </w:r>
      <w:r w:rsidR="00B0218F">
        <w:t>l’ANR</w:t>
      </w:r>
      <w:r w:rsidRPr="00DC1162">
        <w:t xml:space="preserve">. Une vidéo du meurtre des deux experts montre des jeunes, </w:t>
      </w:r>
      <w:r w:rsidR="00B0218F">
        <w:t>arborant</w:t>
      </w:r>
      <w:r w:rsidRPr="00DC1162">
        <w:t xml:space="preserve"> des bandereaux rouges, typiques de la milice Kamuina Nsapu, qui tuent les experts avec ce qui semblerait être un fusil de chasse. Néanmoins, une analyse de la vidéo sème le doute sur le point de savoir si les auteurs du crime sont réellement des miliciens Kamuina Nsapu</w:t>
      </w:r>
      <w:r w:rsidR="00B0218F">
        <w:t xml:space="preserve"> car ils semblent difficilement maitriser </w:t>
      </w:r>
      <w:r w:rsidRPr="00DC1162">
        <w:t>la langue Tshiluba, langue commune des Luba</w:t>
      </w:r>
      <w:r w:rsidR="0061479D">
        <w:t>s</w:t>
      </w:r>
      <w:r w:rsidRPr="00DC1162">
        <w:t xml:space="preserve"> qui constituaient exclusivement la milice Kamuina Nsapu sur ce territoire</w:t>
      </w:r>
      <w:r w:rsidRPr="007F1170">
        <w:rPr>
          <w:rStyle w:val="FootnoteReference"/>
        </w:rPr>
        <w:footnoteReference w:id="265"/>
      </w:r>
      <w:r w:rsidRPr="00DC1162">
        <w:t>. Une procédure judiciaire est en cours, assistée par une équipe technique des Nations Unies chargée d’aider la justice militaire afin que les personnes responsables</w:t>
      </w:r>
      <w:r>
        <w:t xml:space="preserve"> soient traduites en justice</w:t>
      </w:r>
      <w:r w:rsidRPr="007F1170">
        <w:rPr>
          <w:rStyle w:val="FootnoteReference"/>
        </w:rPr>
        <w:footnoteReference w:id="266"/>
      </w:r>
      <w:r>
        <w:t>.</w:t>
      </w:r>
    </w:p>
    <w:p w14:paraId="0B7F9ECB" w14:textId="53F38C42" w:rsidR="00771DAE" w:rsidRPr="0084066A" w:rsidRDefault="0084066A" w:rsidP="00BE7CAA">
      <w:pPr>
        <w:pStyle w:val="BodyText"/>
        <w:numPr>
          <w:ilvl w:val="0"/>
          <w:numId w:val="0"/>
        </w:numPr>
        <w:tabs>
          <w:tab w:val="left" w:pos="1559"/>
          <w:tab w:val="left" w:pos="1984"/>
          <w:tab w:val="left" w:leader="dot" w:pos="7654"/>
          <w:tab w:val="right" w:pos="8929"/>
        </w:tabs>
        <w:spacing w:line="240" w:lineRule="atLeast"/>
        <w:ind w:left="1138" w:right="1138"/>
        <w:rPr>
          <w:i/>
        </w:rPr>
      </w:pPr>
      <w:r w:rsidRPr="0084066A">
        <w:rPr>
          <w:i/>
        </w:rPr>
        <w:t>b.</w:t>
      </w:r>
      <w:r>
        <w:rPr>
          <w:i/>
        </w:rPr>
        <w:tab/>
      </w:r>
      <w:r w:rsidR="00771DAE" w:rsidRPr="0084066A">
        <w:rPr>
          <w:i/>
        </w:rPr>
        <w:t xml:space="preserve">Ville de Kananga </w:t>
      </w:r>
    </w:p>
    <w:p w14:paraId="39FB9901" w14:textId="77777777" w:rsidR="00771DAE" w:rsidRDefault="00771DAE" w:rsidP="00BE7CAA">
      <w:pPr>
        <w:pStyle w:val="BodyText"/>
        <w:tabs>
          <w:tab w:val="left" w:pos="1559"/>
          <w:tab w:val="left" w:pos="1984"/>
          <w:tab w:val="left" w:leader="dot" w:pos="7654"/>
          <w:tab w:val="right" w:pos="8929"/>
        </w:tabs>
        <w:spacing w:line="240" w:lineRule="atLeast"/>
        <w:ind w:left="1138" w:right="1138" w:firstLine="0"/>
      </w:pPr>
      <w:r w:rsidRPr="00FD5A0A">
        <w:t xml:space="preserve">Entre janvier et avril 2017, la milice Kamuina Nsapu a été active dans la cité de Kananga et les incidents sécuritaires entre les miliciens Kamuina Nsapu et les forces de défense et de sécurité </w:t>
      </w:r>
      <w:r>
        <w:t xml:space="preserve">ont été </w:t>
      </w:r>
      <w:r w:rsidRPr="00FD5A0A">
        <w:t xml:space="preserve">nombreux. </w:t>
      </w:r>
      <w:r>
        <w:t>Au moins</w:t>
      </w:r>
      <w:r w:rsidRPr="00FD5A0A">
        <w:t xml:space="preserve"> quatre tshiota</w:t>
      </w:r>
      <w:r>
        <w:t xml:space="preserve"> avaient été</w:t>
      </w:r>
      <w:r w:rsidRPr="00FD5A0A">
        <w:t xml:space="preserve"> installé</w:t>
      </w:r>
      <w:r>
        <w:t>s</w:t>
      </w:r>
      <w:r w:rsidRPr="00FD5A0A">
        <w:t xml:space="preserve"> </w:t>
      </w:r>
      <w:r>
        <w:t>à</w:t>
      </w:r>
      <w:r w:rsidRPr="00FD5A0A">
        <w:t xml:space="preserve"> Kananga</w:t>
      </w:r>
      <w:r>
        <w:t> :</w:t>
      </w:r>
      <w:r w:rsidRPr="00FD5A0A">
        <w:t xml:space="preserve"> </w:t>
      </w:r>
      <w:r>
        <w:t>u</w:t>
      </w:r>
      <w:r w:rsidRPr="00FD5A0A">
        <w:t xml:space="preserve">n </w:t>
      </w:r>
      <w:r>
        <w:t>près</w:t>
      </w:r>
      <w:r w:rsidRPr="00FD5A0A">
        <w:t xml:space="preserve"> du grand séminaire de Malole et trois dans la commune Nganza</w:t>
      </w:r>
      <w:r>
        <w:t xml:space="preserve"> qui était</w:t>
      </w:r>
      <w:r w:rsidRPr="00FD5A0A">
        <w:t xml:space="preserve"> considéré comme le fief des miliciens dans la ville</w:t>
      </w:r>
      <w:r w:rsidRPr="007F1170">
        <w:rPr>
          <w:rStyle w:val="FootnoteReference"/>
        </w:rPr>
        <w:footnoteReference w:id="267"/>
      </w:r>
      <w:r>
        <w:t>. De</w:t>
      </w:r>
      <w:r w:rsidRPr="00FD5A0A">
        <w:t xml:space="preserve"> nombreux enfants ont été recrutés</w:t>
      </w:r>
      <w:r>
        <w:t xml:space="preserve"> dans les rangs de la milice</w:t>
      </w:r>
      <w:r w:rsidRPr="00FD5A0A">
        <w:t xml:space="preserve"> dans la </w:t>
      </w:r>
      <w:r>
        <w:t>commune de Nganza ainsi qu’au t</w:t>
      </w:r>
      <w:r w:rsidRPr="00FD5A0A">
        <w:t>s</w:t>
      </w:r>
      <w:r>
        <w:t>h</w:t>
      </w:r>
      <w:r w:rsidRPr="00FD5A0A">
        <w:t>iota près du grand séminaire de Malole</w:t>
      </w:r>
      <w:r w:rsidRPr="007F1170">
        <w:rPr>
          <w:rStyle w:val="FootnoteReference"/>
        </w:rPr>
        <w:footnoteReference w:id="268"/>
      </w:r>
      <w:r>
        <w:t>.</w:t>
      </w:r>
      <w:r w:rsidRPr="00FD5A0A">
        <w:t xml:space="preserve"> </w:t>
      </w:r>
    </w:p>
    <w:p w14:paraId="04298B3E" w14:textId="68B2BEF8" w:rsidR="00771DAE" w:rsidRDefault="00BC072B" w:rsidP="00BE7CAA">
      <w:pPr>
        <w:pStyle w:val="BodyText"/>
        <w:tabs>
          <w:tab w:val="left" w:pos="1559"/>
          <w:tab w:val="left" w:pos="1984"/>
          <w:tab w:val="left" w:leader="dot" w:pos="7654"/>
          <w:tab w:val="right" w:pos="8929"/>
        </w:tabs>
        <w:spacing w:line="240" w:lineRule="atLeast"/>
        <w:ind w:left="1138" w:right="1138" w:firstLine="0"/>
      </w:pPr>
      <w:r>
        <w:t>De nombreux actes de violence</w:t>
      </w:r>
      <w:r w:rsidR="00771DAE">
        <w:t xml:space="preserve"> commis dans la ville </w:t>
      </w:r>
      <w:r w:rsidR="00771DAE" w:rsidRPr="00FD5A0A">
        <w:t>Kananga</w:t>
      </w:r>
      <w:r w:rsidR="00771DAE">
        <w:t xml:space="preserve"> entre janvier et a</w:t>
      </w:r>
      <w:r>
        <w:t>vril 2017, et qui n’ont pu tous être confirmé</w:t>
      </w:r>
      <w:r w:rsidR="00771DAE">
        <w:t>s,</w:t>
      </w:r>
      <w:r w:rsidR="00771DAE" w:rsidRPr="00FD5A0A">
        <w:t xml:space="preserve"> </w:t>
      </w:r>
      <w:r w:rsidR="00771DAE">
        <w:t xml:space="preserve">ont été </w:t>
      </w:r>
      <w:r w:rsidR="00E232A6">
        <w:t>rapportés</w:t>
      </w:r>
      <w:r w:rsidR="00771DAE">
        <w:t xml:space="preserve"> à l’EEI</w:t>
      </w:r>
      <w:r w:rsidR="00771DAE" w:rsidRPr="007F1170">
        <w:rPr>
          <w:rStyle w:val="FootnoteReference"/>
        </w:rPr>
        <w:footnoteReference w:id="269"/>
      </w:r>
      <w:r w:rsidR="00771DAE">
        <w:t xml:space="preserve">. Certaines de ces allégations concernent des exactions commises par la milice Kamuina Nsapu, tels que des décapitations, des viols et des pillages. D’autres actes de violence concernent les forces de défense et de sécurité qui, au cours d’affrontements avec les miliciens dans la ville ou lors d’opérations de traque des miliciens, ont exécuté sommairement </w:t>
      </w:r>
      <w:r w:rsidR="00E232A6">
        <w:t xml:space="preserve">des personnes </w:t>
      </w:r>
      <w:r w:rsidR="00771DAE">
        <w:t>ou fait subir de mauvais traitements à des habitants de la ville de Kananga.</w:t>
      </w:r>
    </w:p>
    <w:p w14:paraId="48CF6EC3" w14:textId="49D971A8" w:rsidR="00771DAE" w:rsidRDefault="00771DAE" w:rsidP="00BE7CAA">
      <w:pPr>
        <w:pStyle w:val="BodyText"/>
        <w:tabs>
          <w:tab w:val="left" w:pos="1559"/>
          <w:tab w:val="left" w:pos="1984"/>
          <w:tab w:val="left" w:leader="dot" w:pos="7654"/>
          <w:tab w:val="right" w:pos="8929"/>
        </w:tabs>
        <w:spacing w:line="240" w:lineRule="atLeast"/>
        <w:ind w:left="1138" w:right="1138" w:firstLine="0"/>
      </w:pPr>
      <w:r w:rsidRPr="00FD5A0A">
        <w:t>L’EEI a documenté deux incidents particulièrement sérieux</w:t>
      </w:r>
      <w:r w:rsidR="00E232A6">
        <w:t>, qui se sont</w:t>
      </w:r>
      <w:r w:rsidR="00E232A6" w:rsidRPr="00FD5A0A">
        <w:t xml:space="preserve"> déroulés les 14</w:t>
      </w:r>
      <w:r w:rsidR="00E232A6">
        <w:t>-15</w:t>
      </w:r>
      <w:r w:rsidR="00E232A6" w:rsidRPr="00FD5A0A">
        <w:t xml:space="preserve"> mars 2017 et les 28-30 mars 2017 dans la commune de Nganza</w:t>
      </w:r>
      <w:r w:rsidR="00E232A6">
        <w:t>,</w:t>
      </w:r>
      <w:r w:rsidR="00E232A6" w:rsidRPr="00FD5A0A">
        <w:t xml:space="preserve"> </w:t>
      </w:r>
      <w:r w:rsidRPr="00FD5A0A">
        <w:t>dont la responsabilité incombe aux forces de défense et de sécurité</w:t>
      </w:r>
      <w:r>
        <w:t xml:space="preserve">, en particulier aux </w:t>
      </w:r>
      <w:r w:rsidRPr="00FD5A0A">
        <w:t>FARDC.</w:t>
      </w:r>
      <w:r>
        <w:t xml:space="preserve"> </w:t>
      </w:r>
      <w:r w:rsidR="00E232A6">
        <w:t>Dans l</w:t>
      </w:r>
      <w:r w:rsidR="00E232A6" w:rsidRPr="00FD5A0A">
        <w:t xml:space="preserve">a </w:t>
      </w:r>
      <w:r w:rsidRPr="00FD5A0A">
        <w:t>nuit du 14 au 15 mars 2017, les FARDC ont lancé une attaque planifiée sur les trois t</w:t>
      </w:r>
      <w:r>
        <w:t>s</w:t>
      </w:r>
      <w:r w:rsidRPr="00FD5A0A">
        <w:t>hiota de la commune de Nganza où dormaient des centaines (environ 200 par tshiota) de miliciens Kamuina Nsapu, en majorité des enfants</w:t>
      </w:r>
      <w:r w:rsidRPr="007F1170">
        <w:rPr>
          <w:rStyle w:val="FootnoteReference"/>
        </w:rPr>
        <w:footnoteReference w:id="270"/>
      </w:r>
      <w:r w:rsidRPr="00FD5A0A">
        <w:t xml:space="preserve">. Les FARDC ont ouvert le feu et </w:t>
      </w:r>
      <w:r>
        <w:t>fait usage de</w:t>
      </w:r>
      <w:r w:rsidRPr="00FD5A0A">
        <w:t xml:space="preserve"> lance-roquettes contre les miliciens Kamuina Nsapu pendant leur </w:t>
      </w:r>
      <w:r>
        <w:t>sommeil</w:t>
      </w:r>
      <w:r w:rsidRPr="007F1170">
        <w:rPr>
          <w:rStyle w:val="FootnoteReference"/>
        </w:rPr>
        <w:footnoteReference w:id="271"/>
      </w:r>
      <w:r w:rsidRPr="00FD5A0A">
        <w:t xml:space="preserve">. Les militaires </w:t>
      </w:r>
      <w:r>
        <w:t xml:space="preserve">ont ensuite </w:t>
      </w:r>
      <w:r w:rsidRPr="00FD5A0A">
        <w:t>ac</w:t>
      </w:r>
      <w:r>
        <w:t>hevé des</w:t>
      </w:r>
      <w:r w:rsidRPr="00FD5A0A">
        <w:t xml:space="preserve"> enfants blessés</w:t>
      </w:r>
      <w:r>
        <w:t>,</w:t>
      </w:r>
      <w:r w:rsidRPr="00FD5A0A">
        <w:t xml:space="preserve"> parfois à l’arme blanche</w:t>
      </w:r>
      <w:r w:rsidRPr="007F1170">
        <w:rPr>
          <w:rStyle w:val="FootnoteReference"/>
        </w:rPr>
        <w:footnoteReference w:id="272"/>
      </w:r>
      <w:r w:rsidRPr="00FD5A0A">
        <w:t xml:space="preserve">. </w:t>
      </w:r>
      <w:r>
        <w:t>L</w:t>
      </w:r>
      <w:r w:rsidRPr="00FD5A0A">
        <w:t xml:space="preserve">es FARDC ont entassé </w:t>
      </w:r>
      <w:r>
        <w:t>la plupart des</w:t>
      </w:r>
      <w:r w:rsidRPr="00FD5A0A">
        <w:t xml:space="preserve"> cadavres dans des camions </w:t>
      </w:r>
      <w:r>
        <w:t>avant des emporter rendant le nombre de victimes difficile à déterminer</w:t>
      </w:r>
      <w:r w:rsidRPr="007F1170">
        <w:rPr>
          <w:rStyle w:val="FootnoteReference"/>
        </w:rPr>
        <w:footnoteReference w:id="273"/>
      </w:r>
      <w:r>
        <w:t xml:space="preserve">. </w:t>
      </w:r>
      <w:r w:rsidR="00E232A6">
        <w:t xml:space="preserve">Des </w:t>
      </w:r>
      <w:r>
        <w:t>témoins estiment</w:t>
      </w:r>
      <w:r w:rsidR="00E232A6">
        <w:t xml:space="preserve"> qu’</w:t>
      </w:r>
      <w:r>
        <w:t xml:space="preserve">entre 40 et 100 miliciens auraient perdu la vie à </w:t>
      </w:r>
      <w:r w:rsidR="00E232A6">
        <w:t>l’</w:t>
      </w:r>
      <w:r>
        <w:t>un des trois tshiota</w:t>
      </w:r>
      <w:r w:rsidRPr="007F1170">
        <w:rPr>
          <w:rStyle w:val="FootnoteReference"/>
        </w:rPr>
        <w:footnoteReference w:id="274"/>
      </w:r>
      <w:r>
        <w:t>.</w:t>
      </w:r>
    </w:p>
    <w:p w14:paraId="58D9133E" w14:textId="79E2313F" w:rsidR="00771DAE" w:rsidRDefault="00771DAE" w:rsidP="00BE7CAA">
      <w:pPr>
        <w:pStyle w:val="BodyText"/>
        <w:tabs>
          <w:tab w:val="left" w:pos="1559"/>
          <w:tab w:val="left" w:pos="1984"/>
          <w:tab w:val="left" w:leader="dot" w:pos="7654"/>
          <w:tab w:val="right" w:pos="8929"/>
        </w:tabs>
        <w:spacing w:line="240" w:lineRule="atLeast"/>
        <w:ind w:left="1138" w:right="1138" w:firstLine="0"/>
      </w:pPr>
      <w:r>
        <w:t>Dans les jours précédents</w:t>
      </w:r>
      <w:r w:rsidR="006267DA">
        <w:t>,</w:t>
      </w:r>
      <w:r>
        <w:t xml:space="preserve"> le 28-30 mars 2017, des tentatives de désarmement des miliciens Kamuina Nsapu </w:t>
      </w:r>
      <w:r w:rsidR="006267DA">
        <w:t xml:space="preserve">avaient </w:t>
      </w:r>
      <w:r>
        <w:t xml:space="preserve">été mises en œuvre par les autorités provinciales mais celles-ci </w:t>
      </w:r>
      <w:r w:rsidR="006267DA">
        <w:t xml:space="preserve">avaient </w:t>
      </w:r>
      <w:r>
        <w:t xml:space="preserve">échoué. Suite à cet échec et </w:t>
      </w:r>
      <w:r w:rsidRPr="00FD5A0A">
        <w:t>à de</w:t>
      </w:r>
      <w:r>
        <w:t>s</w:t>
      </w:r>
      <w:r w:rsidRPr="00FD5A0A">
        <w:t xml:space="preserve"> affrontements dans la ville entre les miliciens Kamuina Nsapu et les forces de défense et de sécurité</w:t>
      </w:r>
      <w:r>
        <w:t xml:space="preserve">, ces dernières </w:t>
      </w:r>
      <w:r w:rsidRPr="00FD5A0A">
        <w:t>ont lancé</w:t>
      </w:r>
      <w:r>
        <w:t>, le 28 mars 2017,</w:t>
      </w:r>
      <w:r w:rsidRPr="00FD5A0A">
        <w:t xml:space="preserve"> une opération « porte</w:t>
      </w:r>
      <w:r w:rsidR="009C4DA1">
        <w:t xml:space="preserve"> à </w:t>
      </w:r>
      <w:r w:rsidRPr="00FD5A0A">
        <w:t xml:space="preserve">porte » </w:t>
      </w:r>
      <w:r w:rsidR="006267DA">
        <w:t>à</w:t>
      </w:r>
      <w:r w:rsidRPr="00FD5A0A">
        <w:t xml:space="preserve"> Nganza</w:t>
      </w:r>
      <w:r w:rsidRPr="007F1170">
        <w:rPr>
          <w:rStyle w:val="FootnoteReference"/>
        </w:rPr>
        <w:footnoteReference w:id="275"/>
      </w:r>
      <w:r>
        <w:t>. L’opération a duré plusieurs jours</w:t>
      </w:r>
      <w:r w:rsidRPr="007F1170">
        <w:rPr>
          <w:rStyle w:val="FootnoteReference"/>
        </w:rPr>
        <w:footnoteReference w:id="276"/>
      </w:r>
      <w:r>
        <w:t>. Les forces de défense et de sécurité sont entré</w:t>
      </w:r>
      <w:r w:rsidR="006267DA">
        <w:t>e</w:t>
      </w:r>
      <w:r>
        <w:t xml:space="preserve">s dans les maisons </w:t>
      </w:r>
      <w:r w:rsidR="006267DA">
        <w:t xml:space="preserve">des habitants </w:t>
      </w:r>
      <w:r>
        <w:t xml:space="preserve">de la commune de Nganza, et ont tiré indistinctement sur des </w:t>
      </w:r>
      <w:r w:rsidRPr="00FD5A0A">
        <w:t xml:space="preserve">hommes, </w:t>
      </w:r>
      <w:r>
        <w:t xml:space="preserve">des </w:t>
      </w:r>
      <w:r w:rsidRPr="00FD5A0A">
        <w:t>femmes et</w:t>
      </w:r>
      <w:r>
        <w:t xml:space="preserve"> des</w:t>
      </w:r>
      <w:r w:rsidRPr="00FD5A0A">
        <w:t xml:space="preserve"> enfants de </w:t>
      </w:r>
      <w:r w:rsidR="006267DA" w:rsidRPr="00FD5A0A">
        <w:t>tou</w:t>
      </w:r>
      <w:r w:rsidR="006267DA">
        <w:t>t</w:t>
      </w:r>
      <w:r w:rsidR="006267DA" w:rsidRPr="00FD5A0A">
        <w:t xml:space="preserve"> </w:t>
      </w:r>
      <w:r w:rsidRPr="00FD5A0A">
        <w:t>âge en raison de leur sympathie supposée avec le mouvement Kamuina Nsapu</w:t>
      </w:r>
      <w:r w:rsidRPr="007F1170">
        <w:rPr>
          <w:rStyle w:val="FootnoteReference"/>
        </w:rPr>
        <w:footnoteReference w:id="277"/>
      </w:r>
      <w:r>
        <w:t xml:space="preserve">. </w:t>
      </w:r>
      <w:r w:rsidRPr="00FD5A0A">
        <w:t>Des en</w:t>
      </w:r>
      <w:r>
        <w:t>fants ont été abattu</w:t>
      </w:r>
      <w:r w:rsidRPr="00FD5A0A">
        <w:t>s dans leur sommeil</w:t>
      </w:r>
      <w:r>
        <w:t xml:space="preserve">. </w:t>
      </w:r>
      <w:r w:rsidRPr="00544C33">
        <w:t xml:space="preserve">Cette nuit-là pendant cette opération </w:t>
      </w:r>
      <w:r w:rsidR="006267DA">
        <w:t>des FARDC</w:t>
      </w:r>
      <w:r w:rsidRPr="00544C33">
        <w:t xml:space="preserve"> dans la </w:t>
      </w:r>
      <w:r w:rsidR="006267DA">
        <w:t xml:space="preserve">commune de </w:t>
      </w:r>
      <w:r w:rsidRPr="00544C33">
        <w:t>Nganza, la MONUSCO a pu confirmer le meurtre d’au moins 27 garçons et 19 filles dont des bébés âgés de quelques mois abattus dans leur sommeil</w:t>
      </w:r>
      <w:r w:rsidRPr="007F1170">
        <w:rPr>
          <w:rStyle w:val="FootnoteReference"/>
        </w:rPr>
        <w:footnoteReference w:id="278"/>
      </w:r>
      <w:r w:rsidRPr="00544C33">
        <w:t>.</w:t>
      </w:r>
      <w:r w:rsidRPr="005B7A28">
        <w:t xml:space="preserve"> </w:t>
      </w:r>
    </w:p>
    <w:p w14:paraId="1AC41AA7" w14:textId="59111D77" w:rsidR="00771DAE" w:rsidRDefault="00771DAE" w:rsidP="00BE7CAA">
      <w:pPr>
        <w:pStyle w:val="BodyText"/>
        <w:tabs>
          <w:tab w:val="left" w:pos="1559"/>
          <w:tab w:val="left" w:pos="1984"/>
          <w:tab w:val="left" w:leader="dot" w:pos="7654"/>
          <w:tab w:val="right" w:pos="8929"/>
        </w:tabs>
        <w:spacing w:line="240" w:lineRule="atLeast"/>
        <w:ind w:left="1138" w:right="1138" w:firstLine="0"/>
      </w:pPr>
      <w:r>
        <w:t>Par exemple, un témoin raconte que son frère a été sommairement exécuté par des FARDC lorsqu’ils ont entrés dans sa chambre et qu</w:t>
      </w:r>
      <w:r w:rsidR="00676204">
        <w:t>e lui</w:t>
      </w:r>
      <w:r>
        <w:t xml:space="preserve"> n’a eu la vie sauve que parce qu’il </w:t>
      </w:r>
      <w:r w:rsidR="00676204">
        <w:t xml:space="preserve">portait </w:t>
      </w:r>
      <w:r>
        <w:t>un teeshirt de la campagne électorale du parti au pouvoir</w:t>
      </w:r>
      <w:r w:rsidRPr="007F1170">
        <w:rPr>
          <w:rStyle w:val="FootnoteReference"/>
        </w:rPr>
        <w:footnoteReference w:id="279"/>
      </w:r>
      <w:r>
        <w:t>. Un autre raconte qu’une famille entière de sept personnes a été tuée</w:t>
      </w:r>
      <w:r w:rsidRPr="007F1170">
        <w:rPr>
          <w:rStyle w:val="FootnoteReference"/>
        </w:rPr>
        <w:footnoteReference w:id="280"/>
      </w:r>
      <w:r>
        <w:t>. Un autre témoin a perdu sa petite fille de 3 ans, son f</w:t>
      </w:r>
      <w:r w:rsidR="00BC072B">
        <w:t>ils de 28 ans</w:t>
      </w:r>
      <w:r>
        <w:t xml:space="preserve"> et sa belle-fille de 20 ans au cours de cette opération</w:t>
      </w:r>
      <w:r w:rsidRPr="007F1170">
        <w:rPr>
          <w:rStyle w:val="FootnoteReference"/>
        </w:rPr>
        <w:footnoteReference w:id="281"/>
      </w:r>
      <w:r>
        <w:t>. Un autre explique, « a</w:t>
      </w:r>
      <w:r w:rsidRPr="008E0F5E">
        <w:t xml:space="preserve">vant le 28 mars 2017, les miliciens sortaient de la brousse aux alentours de Nganza, affrontaient </w:t>
      </w:r>
      <w:r>
        <w:t>[…]</w:t>
      </w:r>
      <w:r w:rsidRPr="008E0F5E">
        <w:t xml:space="preserve"> </w:t>
      </w:r>
      <w:r>
        <w:t>les</w:t>
      </w:r>
      <w:r w:rsidRPr="008E0F5E">
        <w:t xml:space="preserve"> FARDC et retournaient dans la bro</w:t>
      </w:r>
      <w:r>
        <w:t>usse autour de leurs t</w:t>
      </w:r>
      <w:r w:rsidRPr="008E0F5E">
        <w:t>shiota. Il y avait toujours des morts de part et d’autre, mais la population était épargnée. Le 28 mars 2017, ce n’était pas la bataille habituelle. C’était différent des autres jours. Les autres jours, la population se cachait dans les maisons, pendant les affrontements entre miliciens et militaires des FARDC et après les gens sort</w:t>
      </w:r>
      <w:r>
        <w:t>ai</w:t>
      </w:r>
      <w:r w:rsidRPr="008E0F5E">
        <w:t>ent</w:t>
      </w:r>
      <w:r w:rsidR="00676204">
        <w:t xml:space="preserve"> […] </w:t>
      </w:r>
      <w:r w:rsidRPr="008E0F5E">
        <w:t xml:space="preserve">les affrontements </w:t>
      </w:r>
      <w:r w:rsidR="00676204">
        <w:t>[…]</w:t>
      </w:r>
      <w:r w:rsidRPr="008E0F5E">
        <w:t xml:space="preserve"> finis. </w:t>
      </w:r>
      <w:r>
        <w:t>[…]</w:t>
      </w:r>
      <w:r w:rsidRPr="008E0F5E">
        <w:t xml:space="preserve"> Les affrontements entre miliciens et militaires ont commencé le mardi 28 mars 2017, vers 8 heures, dans les quartiers de la commune de Nganza. Je m’étais caché dans ma maison, dans le quartier de Nganza nord, afin d’éviter les balles, parce que ça tirait de partout.</w:t>
      </w:r>
      <w:r>
        <w:t xml:space="preserve"> </w:t>
      </w:r>
      <w:r w:rsidRPr="008E0F5E">
        <w:t>Les militaires se sont livrés à une tuerie dans la commune de Nganza, en s’en prenant directement à la population. Ils détruisaient les portes, entraient dans les maisons et tuaient les occupants de ces habitations. Ils ont fait des carnages. Les survivants fuyaient dans la brousse, pour ceux qui pouvaient</w:t>
      </w:r>
      <w:r w:rsidR="00676204">
        <w:t xml:space="preserve"> </w:t>
      </w:r>
      <w:r w:rsidRPr="008E0F5E">
        <w:t>»</w:t>
      </w:r>
      <w:r w:rsidR="00676204" w:rsidRPr="00676204">
        <w:rPr>
          <w:rStyle w:val="FootnoteReference"/>
        </w:rPr>
        <w:t xml:space="preserve"> </w:t>
      </w:r>
      <w:r w:rsidR="00676204" w:rsidRPr="007F1170">
        <w:rPr>
          <w:rStyle w:val="FootnoteReference"/>
        </w:rPr>
        <w:footnoteReference w:id="282"/>
      </w:r>
      <w:r w:rsidR="00676204">
        <w:t>.</w:t>
      </w:r>
      <w:r>
        <w:t xml:space="preserve"> Par ailleurs, le personnel d’un hôpital de la commune de Nganza a soigné ce jour-là, au </w:t>
      </w:r>
      <w:r w:rsidRPr="00416E39">
        <w:t>moins une trentaine de personnes, toutes blessées par balles, dont un enfant de trois ans. Sur les</w:t>
      </w:r>
      <w:r>
        <w:t xml:space="preserve"> trente personnes reçues, deux </w:t>
      </w:r>
      <w:r w:rsidRPr="00416E39">
        <w:t>garçons sont décédés</w:t>
      </w:r>
      <w:r w:rsidRPr="007F1170">
        <w:rPr>
          <w:rStyle w:val="FootnoteReference"/>
        </w:rPr>
        <w:footnoteReference w:id="283"/>
      </w:r>
      <w:r w:rsidRPr="00416E39">
        <w:t xml:space="preserve">. </w:t>
      </w:r>
    </w:p>
    <w:p w14:paraId="703F2612" w14:textId="344C670C" w:rsidR="00771DAE" w:rsidRDefault="00771DAE" w:rsidP="00BE7CAA">
      <w:pPr>
        <w:pStyle w:val="BodyText"/>
        <w:tabs>
          <w:tab w:val="left" w:pos="1559"/>
          <w:tab w:val="left" w:pos="1984"/>
          <w:tab w:val="left" w:leader="dot" w:pos="7654"/>
          <w:tab w:val="right" w:pos="8929"/>
        </w:tabs>
        <w:spacing w:line="240" w:lineRule="atLeast"/>
        <w:ind w:left="1138" w:right="1138" w:firstLine="0"/>
      </w:pPr>
      <w:r>
        <w:t>Les militaires ont ensuite ramassé certains corps, parfois jusque dans les maisons</w:t>
      </w:r>
      <w:r w:rsidRPr="007F1170">
        <w:rPr>
          <w:rStyle w:val="FootnoteReference"/>
        </w:rPr>
        <w:footnoteReference w:id="284"/>
      </w:r>
      <w:r>
        <w:t xml:space="preserve">. </w:t>
      </w:r>
      <w:r w:rsidR="00E84FDB">
        <w:t>Des</w:t>
      </w:r>
      <w:r>
        <w:t xml:space="preserve"> corps ont été enterrés par des habitants dans des fosses communes et d’autres ont été transportés par camion par les FARDC pour être enterrés dans des fosses </w:t>
      </w:r>
      <w:r w:rsidR="00E84FDB">
        <w:t xml:space="preserve">communes </w:t>
      </w:r>
      <w:r>
        <w:t>et vers l’EFO</w:t>
      </w:r>
      <w:r w:rsidRPr="007F1170">
        <w:rPr>
          <w:rStyle w:val="FootnoteReference"/>
        </w:rPr>
        <w:footnoteReference w:id="285"/>
      </w:r>
      <w:r>
        <w:t xml:space="preserve">. Un témoin a identifié 51 personnes </w:t>
      </w:r>
      <w:r w:rsidR="00E84FDB">
        <w:t>qui auraient été tué</w:t>
      </w:r>
      <w:r w:rsidR="0096305A">
        <w:t>e</w:t>
      </w:r>
      <w:r w:rsidR="00E84FDB">
        <w:t xml:space="preserve">s, </w:t>
      </w:r>
      <w:r>
        <w:t>mais ce nombre ne comptabilise pas les personnes venues d’ailleurs</w:t>
      </w:r>
      <w:r w:rsidRPr="007F1170">
        <w:rPr>
          <w:rStyle w:val="FootnoteReference"/>
        </w:rPr>
        <w:footnoteReference w:id="286"/>
      </w:r>
      <w:r>
        <w:t>. Un autre qui a participé au ramassage des corps dans le quartier de Nganza Nord a comptabilisé au moins 50 personnes tuées de tous âges, y compris des bébés et des femmes enceintes</w:t>
      </w:r>
      <w:r w:rsidRPr="007F1170">
        <w:rPr>
          <w:rStyle w:val="FootnoteReference"/>
        </w:rPr>
        <w:footnoteReference w:id="287"/>
      </w:r>
      <w:r>
        <w:t>. L</w:t>
      </w:r>
      <w:r w:rsidRPr="00544C33">
        <w:t xml:space="preserve">a MONUSCO a également documenté le cas du viol d’une fille de 12 </w:t>
      </w:r>
      <w:r>
        <w:t xml:space="preserve">ans </w:t>
      </w:r>
      <w:r w:rsidRPr="00544C33">
        <w:t>par les FARDC la nuit du 28 mars 2017</w:t>
      </w:r>
      <w:r w:rsidRPr="007F1170">
        <w:rPr>
          <w:rStyle w:val="FootnoteReference"/>
        </w:rPr>
        <w:footnoteReference w:id="288"/>
      </w:r>
      <w:r w:rsidRPr="00544C33">
        <w:t>.</w:t>
      </w:r>
    </w:p>
    <w:p w14:paraId="41A48397" w14:textId="7219FF70" w:rsidR="00771DAE" w:rsidRDefault="00771DAE" w:rsidP="00BE7CAA">
      <w:pPr>
        <w:pStyle w:val="BodyText"/>
        <w:tabs>
          <w:tab w:val="left" w:pos="1559"/>
          <w:tab w:val="left" w:pos="1984"/>
          <w:tab w:val="left" w:leader="dot" w:pos="7654"/>
          <w:tab w:val="right" w:pos="8929"/>
        </w:tabs>
        <w:spacing w:line="240" w:lineRule="atLeast"/>
        <w:ind w:left="1138" w:right="1138" w:firstLine="0"/>
      </w:pPr>
      <w:r w:rsidRPr="00544C33">
        <w:t xml:space="preserve">L’ampleur de </w:t>
      </w:r>
      <w:r>
        <w:t>l’</w:t>
      </w:r>
      <w:r w:rsidRPr="00544C33">
        <w:t>opération</w:t>
      </w:r>
      <w:r w:rsidR="009C4DA1">
        <w:t xml:space="preserve"> « porte à </w:t>
      </w:r>
      <w:r>
        <w:t>porte »</w:t>
      </w:r>
      <w:r w:rsidRPr="00544C33">
        <w:t xml:space="preserve"> et la manière dont elle a été conduite suggèrent qu’il s’agissait d’une opération punitive contre la population de la commune de Nganza, foyer des miliciens Kamuina Nsapu dans la ville de Kananga, et </w:t>
      </w:r>
      <w:r>
        <w:t>d’</w:t>
      </w:r>
      <w:r w:rsidRPr="00544C33">
        <w:t xml:space="preserve">un moyen brutal pour les forces de défense </w:t>
      </w:r>
      <w:r w:rsidR="0096305A">
        <w:t xml:space="preserve">et </w:t>
      </w:r>
      <w:r w:rsidRPr="00544C33">
        <w:t>de sécurité de mettre un terme aux activés de la milice dans la ville. L’ampleur de cette opération qui a duré plusieurs jours</w:t>
      </w:r>
      <w:r>
        <w:t>,</w:t>
      </w:r>
      <w:r w:rsidRPr="00544C33">
        <w:t xml:space="preserve"> laisse également </w:t>
      </w:r>
      <w:r>
        <w:t xml:space="preserve">penser </w:t>
      </w:r>
      <w:r w:rsidRPr="00544C33">
        <w:t xml:space="preserve">que les autorités militaires de la Zone Opérationnelle du Grand Kasaï basées à Kananga, mais aussi </w:t>
      </w:r>
      <w:r>
        <w:t>certaines</w:t>
      </w:r>
      <w:r w:rsidRPr="00544C33">
        <w:t xml:space="preserve"> autorités politiques provinciales voir</w:t>
      </w:r>
      <w:r w:rsidR="0063546A">
        <w:t>e</w:t>
      </w:r>
      <w:r w:rsidRPr="00544C33">
        <w:t xml:space="preserve"> nationales</w:t>
      </w:r>
      <w:r>
        <w:t>,</w:t>
      </w:r>
      <w:r w:rsidRPr="00544C33">
        <w:t xml:space="preserve"> ne pouvaient ignorer ni l’ampleur, ni le but de </w:t>
      </w:r>
      <w:r>
        <w:t>l’</w:t>
      </w:r>
      <w:r w:rsidRPr="00544C33">
        <w:t>opération. Il est également difficile de concevoir qu’une telle opération ait pu être conduite sans autorisation préalable.</w:t>
      </w:r>
    </w:p>
    <w:p w14:paraId="5F5905DB" w14:textId="67DBACE7" w:rsidR="00771DAE" w:rsidRPr="004637BD" w:rsidRDefault="00771DAE" w:rsidP="00BE7CAA">
      <w:pPr>
        <w:pStyle w:val="BodyText"/>
        <w:tabs>
          <w:tab w:val="left" w:pos="1559"/>
          <w:tab w:val="left" w:pos="1984"/>
          <w:tab w:val="left" w:leader="dot" w:pos="7654"/>
          <w:tab w:val="right" w:pos="8929"/>
        </w:tabs>
        <w:spacing w:line="240" w:lineRule="atLeast"/>
        <w:ind w:left="1138" w:right="1138" w:firstLine="0"/>
      </w:pPr>
      <w:r w:rsidRPr="00FD5A0A">
        <w:t>L’E</w:t>
      </w:r>
      <w:r>
        <w:t xml:space="preserve">EI </w:t>
      </w:r>
      <w:r w:rsidRPr="00FD5A0A">
        <w:t xml:space="preserve">estime que plusieurs centaines de </w:t>
      </w:r>
      <w:r>
        <w:t>personnes</w:t>
      </w:r>
      <w:r w:rsidRPr="00FD5A0A">
        <w:t xml:space="preserve"> ont perdu la vie au cours des deux opérations conduites par les forces de défense et de sécurité dans la commune de Nganza.</w:t>
      </w:r>
      <w:r>
        <w:t xml:space="preserve"> L’Eglise catholique estime qu’une centaine de personnes ont </w:t>
      </w:r>
      <w:r w:rsidRPr="00131F2D">
        <w:t xml:space="preserve">été tuées lors </w:t>
      </w:r>
      <w:r w:rsidR="006644C3">
        <w:t>de l’</w:t>
      </w:r>
      <w:r w:rsidRPr="00131F2D">
        <w:t xml:space="preserve">opération du 14-15 mars 2017 et environ 300 </w:t>
      </w:r>
      <w:r>
        <w:t xml:space="preserve">personnes </w:t>
      </w:r>
      <w:r w:rsidR="006644C3">
        <w:t>lors de celle</w:t>
      </w:r>
      <w:r w:rsidRPr="00131F2D">
        <w:t xml:space="preserve"> du 28-30 mars</w:t>
      </w:r>
      <w:r w:rsidRPr="007F1170">
        <w:rPr>
          <w:rStyle w:val="FootnoteReference"/>
        </w:rPr>
        <w:footnoteReference w:id="289"/>
      </w:r>
      <w:r w:rsidRPr="004637BD">
        <w:t xml:space="preserve">. </w:t>
      </w:r>
      <w:r w:rsidRPr="00FE5E8D">
        <w:t xml:space="preserve">Le </w:t>
      </w:r>
      <w:r w:rsidR="00AD391A" w:rsidRPr="004637BD">
        <w:t>BCNUDH</w:t>
      </w:r>
      <w:r w:rsidRPr="00FE5E8D">
        <w:t xml:space="preserve"> </w:t>
      </w:r>
      <w:r w:rsidR="00FE402E" w:rsidRPr="00FE5E8D">
        <w:t xml:space="preserve">de la MONUSCO </w:t>
      </w:r>
      <w:r w:rsidRPr="00FE5E8D">
        <w:t xml:space="preserve">a pu confirmer la mort d’au moins 39 personnes, dont au moins 11 </w:t>
      </w:r>
      <w:r w:rsidR="0096305A">
        <w:t>enfant</w:t>
      </w:r>
      <w:r w:rsidRPr="00FE5E8D">
        <w:t>s, dans la nuit du 14 au 15 mars 2016 et d’au moins 50 personnes les 28-30 mars 2018</w:t>
      </w:r>
      <w:r w:rsidRPr="007F1170">
        <w:rPr>
          <w:rStyle w:val="FootnoteReference"/>
        </w:rPr>
        <w:footnoteReference w:id="290"/>
      </w:r>
      <w:r w:rsidRPr="004637BD">
        <w:t>.</w:t>
      </w:r>
    </w:p>
    <w:p w14:paraId="75427FC4" w14:textId="3C54EC0A" w:rsidR="00771DAE" w:rsidRPr="00FE5E8D" w:rsidRDefault="0084066A" w:rsidP="00BE7CAA">
      <w:pPr>
        <w:pStyle w:val="BodyText"/>
        <w:numPr>
          <w:ilvl w:val="0"/>
          <w:numId w:val="0"/>
        </w:numPr>
        <w:tabs>
          <w:tab w:val="left" w:pos="1559"/>
          <w:tab w:val="left" w:pos="1984"/>
          <w:tab w:val="left" w:leader="dot" w:pos="7654"/>
          <w:tab w:val="right" w:pos="8929"/>
        </w:tabs>
        <w:spacing w:line="240" w:lineRule="atLeast"/>
        <w:ind w:left="1138" w:right="1138"/>
        <w:rPr>
          <w:i/>
        </w:rPr>
      </w:pPr>
      <w:r>
        <w:rPr>
          <w:i/>
        </w:rPr>
        <w:t xml:space="preserve">c. </w:t>
      </w:r>
      <w:r>
        <w:rPr>
          <w:i/>
        </w:rPr>
        <w:tab/>
      </w:r>
      <w:r w:rsidR="00771DAE" w:rsidRPr="0084066A">
        <w:rPr>
          <w:i/>
        </w:rPr>
        <w:t>Territoire de Kazumba</w:t>
      </w:r>
    </w:p>
    <w:p w14:paraId="132C80E9" w14:textId="7CB43A32" w:rsidR="00771DAE" w:rsidRPr="00FD5A0A" w:rsidRDefault="00771DAE" w:rsidP="00BE7CAA">
      <w:pPr>
        <w:pStyle w:val="BodyText"/>
        <w:tabs>
          <w:tab w:val="left" w:pos="1559"/>
          <w:tab w:val="left" w:pos="1984"/>
          <w:tab w:val="left" w:leader="dot" w:pos="7654"/>
          <w:tab w:val="right" w:pos="8929"/>
        </w:tabs>
        <w:spacing w:line="240" w:lineRule="atLeast"/>
        <w:ind w:left="1138" w:right="1138" w:firstLine="0"/>
        <w:rPr>
          <w:lang w:eastAsia="fr-FR"/>
        </w:rPr>
      </w:pPr>
      <w:r w:rsidRPr="00FD5A0A">
        <w:rPr>
          <w:lang w:eastAsia="fr-FR"/>
        </w:rPr>
        <w:t xml:space="preserve">D’après </w:t>
      </w:r>
      <w:r>
        <w:rPr>
          <w:lang w:eastAsia="fr-FR"/>
        </w:rPr>
        <w:t>les informations collectées auprès de sources secondaires</w:t>
      </w:r>
      <w:r w:rsidRPr="00FD5A0A">
        <w:rPr>
          <w:lang w:eastAsia="fr-FR"/>
        </w:rPr>
        <w:t xml:space="preserve">, la milice Kamuina Nsapu a été </w:t>
      </w:r>
      <w:r>
        <w:rPr>
          <w:lang w:eastAsia="fr-FR"/>
        </w:rPr>
        <w:t xml:space="preserve">particulièrement </w:t>
      </w:r>
      <w:r w:rsidRPr="00FD5A0A">
        <w:rPr>
          <w:lang w:eastAsia="fr-FR"/>
        </w:rPr>
        <w:t>active sur le territoire de Kazumba</w:t>
      </w:r>
      <w:r w:rsidRPr="007F1170">
        <w:rPr>
          <w:rStyle w:val="FootnoteReference"/>
        </w:rPr>
        <w:footnoteReference w:id="291"/>
      </w:r>
      <w:r w:rsidRPr="00FD5A0A">
        <w:rPr>
          <w:lang w:eastAsia="fr-FR"/>
        </w:rPr>
        <w:t>. Un ts</w:t>
      </w:r>
      <w:r>
        <w:rPr>
          <w:lang w:eastAsia="fr-FR"/>
        </w:rPr>
        <w:t>h</w:t>
      </w:r>
      <w:r w:rsidRPr="00FD5A0A">
        <w:rPr>
          <w:lang w:eastAsia="fr-FR"/>
        </w:rPr>
        <w:t>iota important était</w:t>
      </w:r>
      <w:r>
        <w:rPr>
          <w:lang w:eastAsia="fr-FR"/>
        </w:rPr>
        <w:t xml:space="preserve"> notamment</w:t>
      </w:r>
      <w:r w:rsidRPr="00FD5A0A">
        <w:rPr>
          <w:lang w:eastAsia="fr-FR"/>
        </w:rPr>
        <w:t xml:space="preserve"> installé chez le chef du village de Tshikulu</w:t>
      </w:r>
      <w:r w:rsidRPr="007F1170">
        <w:rPr>
          <w:rStyle w:val="FootnoteReference"/>
        </w:rPr>
        <w:footnoteReference w:id="292"/>
      </w:r>
      <w:r>
        <w:rPr>
          <w:lang w:eastAsia="fr-FR"/>
        </w:rPr>
        <w:t xml:space="preserve"> et les miliciens </w:t>
      </w:r>
      <w:r w:rsidRPr="00FD5A0A">
        <w:rPr>
          <w:lang w:eastAsia="fr-FR"/>
        </w:rPr>
        <w:t xml:space="preserve">Kamuina Nsapu du territoire de Kazumba </w:t>
      </w:r>
      <w:r>
        <w:rPr>
          <w:lang w:eastAsia="fr-FR"/>
        </w:rPr>
        <w:t>ont été parmi les</w:t>
      </w:r>
      <w:r w:rsidRPr="00FD5A0A">
        <w:rPr>
          <w:lang w:eastAsia="fr-FR"/>
        </w:rPr>
        <w:t xml:space="preserve"> plus expansionniste</w:t>
      </w:r>
      <w:r w:rsidR="0096305A">
        <w:rPr>
          <w:lang w:eastAsia="fr-FR"/>
        </w:rPr>
        <w:t xml:space="preserve">s. Ainsi des miliciens </w:t>
      </w:r>
      <w:r>
        <w:rPr>
          <w:lang w:eastAsia="fr-FR"/>
        </w:rPr>
        <w:t xml:space="preserve">de ce territoire se sont déplacés sur le territoire de Luiza, mais aussi </w:t>
      </w:r>
      <w:r w:rsidR="0096305A">
        <w:rPr>
          <w:lang w:eastAsia="fr-FR"/>
        </w:rPr>
        <w:t>sur</w:t>
      </w:r>
      <w:r>
        <w:rPr>
          <w:lang w:eastAsia="fr-FR"/>
        </w:rPr>
        <w:t xml:space="preserve"> </w:t>
      </w:r>
      <w:r w:rsidR="00080C8B">
        <w:rPr>
          <w:lang w:eastAsia="fr-FR"/>
        </w:rPr>
        <w:t xml:space="preserve">les </w:t>
      </w:r>
      <w:r>
        <w:rPr>
          <w:lang w:eastAsia="fr-FR"/>
        </w:rPr>
        <w:t>territoires de Luebo et de Kamonia dans la Province du Kasaï</w:t>
      </w:r>
      <w:r w:rsidRPr="007F1170">
        <w:rPr>
          <w:rStyle w:val="FootnoteReference"/>
        </w:rPr>
        <w:footnoteReference w:id="293"/>
      </w:r>
      <w:r>
        <w:rPr>
          <w:lang w:eastAsia="fr-FR"/>
        </w:rPr>
        <w:t xml:space="preserve">. </w:t>
      </w:r>
      <w:r w:rsidRPr="00FD5A0A">
        <w:rPr>
          <w:lang w:eastAsia="fr-FR"/>
        </w:rPr>
        <w:t>Les incidents isolés que l’EEI a été en mesure de documenter sur le territoire de Kazumba</w:t>
      </w:r>
      <w:r>
        <w:rPr>
          <w:lang w:eastAsia="fr-FR"/>
        </w:rPr>
        <w:t>, pendant</w:t>
      </w:r>
      <w:r w:rsidRPr="00FD5A0A">
        <w:rPr>
          <w:lang w:eastAsia="fr-FR"/>
        </w:rPr>
        <w:t xml:space="preserve"> son mandat</w:t>
      </w:r>
      <w:r>
        <w:rPr>
          <w:lang w:eastAsia="fr-FR"/>
        </w:rPr>
        <w:t>,</w:t>
      </w:r>
      <w:r w:rsidRPr="00FD5A0A">
        <w:rPr>
          <w:lang w:eastAsia="fr-FR"/>
        </w:rPr>
        <w:t xml:space="preserve"> ne sont</w:t>
      </w:r>
      <w:r>
        <w:rPr>
          <w:lang w:eastAsia="fr-FR"/>
        </w:rPr>
        <w:t>,</w:t>
      </w:r>
      <w:r w:rsidRPr="00FD5A0A">
        <w:rPr>
          <w:lang w:eastAsia="fr-FR"/>
        </w:rPr>
        <w:t xml:space="preserve"> de l’avis de l’EEI</w:t>
      </w:r>
      <w:r>
        <w:rPr>
          <w:lang w:eastAsia="fr-FR"/>
        </w:rPr>
        <w:t>,</w:t>
      </w:r>
      <w:r w:rsidRPr="00FD5A0A">
        <w:rPr>
          <w:lang w:eastAsia="fr-FR"/>
        </w:rPr>
        <w:t xml:space="preserve"> pas représentati</w:t>
      </w:r>
      <w:r w:rsidR="0096305A">
        <w:rPr>
          <w:lang w:eastAsia="fr-FR"/>
        </w:rPr>
        <w:t>f</w:t>
      </w:r>
      <w:r>
        <w:rPr>
          <w:lang w:eastAsia="fr-FR"/>
        </w:rPr>
        <w:t>s</w:t>
      </w:r>
      <w:r w:rsidRPr="00FD5A0A">
        <w:rPr>
          <w:lang w:eastAsia="fr-FR"/>
        </w:rPr>
        <w:t xml:space="preserve"> </w:t>
      </w:r>
      <w:r>
        <w:rPr>
          <w:lang w:eastAsia="fr-FR"/>
        </w:rPr>
        <w:t xml:space="preserve">des exactions </w:t>
      </w:r>
      <w:r w:rsidR="0096305A">
        <w:rPr>
          <w:lang w:eastAsia="fr-FR"/>
        </w:rPr>
        <w:t xml:space="preserve">qui </w:t>
      </w:r>
      <w:r>
        <w:rPr>
          <w:lang w:eastAsia="fr-FR"/>
        </w:rPr>
        <w:t xml:space="preserve">ont été commises contre la population civile par les miliciens Kamuina Nsapu et par les forces de défense et de sécurité </w:t>
      </w:r>
      <w:r w:rsidRPr="00FD5A0A">
        <w:rPr>
          <w:lang w:eastAsia="fr-FR"/>
        </w:rPr>
        <w:t xml:space="preserve">entre janvier et juin 2017 </w:t>
      </w:r>
      <w:r>
        <w:rPr>
          <w:lang w:eastAsia="fr-FR"/>
        </w:rPr>
        <w:t>et considère que des enquêtes plus approfondies sont nécessaires</w:t>
      </w:r>
      <w:r w:rsidRPr="00FD5A0A">
        <w:rPr>
          <w:lang w:eastAsia="fr-FR"/>
        </w:rPr>
        <w:t xml:space="preserve">. </w:t>
      </w:r>
    </w:p>
    <w:p w14:paraId="2D5A241E" w14:textId="7122CB4D" w:rsidR="00771DAE" w:rsidRPr="001A6581" w:rsidRDefault="00771DAE" w:rsidP="00BE7CAA">
      <w:pPr>
        <w:pStyle w:val="BodyText"/>
        <w:tabs>
          <w:tab w:val="left" w:pos="1559"/>
          <w:tab w:val="left" w:pos="1984"/>
          <w:tab w:val="left" w:leader="dot" w:pos="7654"/>
          <w:tab w:val="right" w:pos="8929"/>
        </w:tabs>
        <w:spacing w:line="240" w:lineRule="atLeast"/>
        <w:ind w:left="1138" w:right="1138" w:firstLine="0"/>
      </w:pPr>
      <w:r w:rsidRPr="00441382">
        <w:t xml:space="preserve">Le 11 mars 2017, </w:t>
      </w:r>
      <w:r>
        <w:t xml:space="preserve">des miliciens Kamuina Nsapu, dont des enfants, ont attaqué six pères catholiques à la </w:t>
      </w:r>
      <w:r w:rsidRPr="00441382">
        <w:t xml:space="preserve">Maison de formation de Notre-Dame du Kasaï, colline de Malandji, </w:t>
      </w:r>
      <w:r>
        <w:t xml:space="preserve">accusant les </w:t>
      </w:r>
      <w:r w:rsidR="006F1284">
        <w:t xml:space="preserve">ecclésiastiques </w:t>
      </w:r>
      <w:r>
        <w:t xml:space="preserve">d’avoir caché des militaires. Après avoir pillé certains biens, les miliciens ont amené les six pères à </w:t>
      </w:r>
      <w:r>
        <w:rPr>
          <w:lang w:eastAsia="fr-FR"/>
        </w:rPr>
        <w:t>leur</w:t>
      </w:r>
      <w:r>
        <w:t xml:space="preserve"> tshiota qui se trouvait à une douzaine de kilomètres dans le village de Nsanga Nyembe. Les miliciens Kamuina Nsapu </w:t>
      </w:r>
      <w:r w:rsidR="006F1284">
        <w:t xml:space="preserve">les </w:t>
      </w:r>
      <w:r>
        <w:t>ont alors forcé</w:t>
      </w:r>
      <w:r w:rsidR="006F1284">
        <w:t>s</w:t>
      </w:r>
      <w:r>
        <w:t xml:space="preserve"> à se déshabiller dans le but de les décapiter. Finalement, </w:t>
      </w:r>
      <w:r w:rsidR="006F1284">
        <w:t xml:space="preserve">tous ont été libérés après que </w:t>
      </w:r>
      <w:r>
        <w:t xml:space="preserve">cinq </w:t>
      </w:r>
      <w:r w:rsidR="006F1284">
        <w:t>d’entre eux</w:t>
      </w:r>
      <w:r>
        <w:t xml:space="preserve"> ont chacun reçu</w:t>
      </w:r>
      <w:r w:rsidRPr="005E488D">
        <w:rPr>
          <w:color w:val="000000"/>
          <w:lang w:eastAsia="fr-FR"/>
        </w:rPr>
        <w:t xml:space="preserve">10 coups avec la partie plate de la lame </w:t>
      </w:r>
      <w:r>
        <w:rPr>
          <w:color w:val="000000"/>
          <w:lang w:eastAsia="fr-FR"/>
        </w:rPr>
        <w:t xml:space="preserve">d’une </w:t>
      </w:r>
      <w:r w:rsidRPr="005E488D">
        <w:rPr>
          <w:color w:val="000000"/>
          <w:lang w:eastAsia="fr-FR"/>
        </w:rPr>
        <w:t xml:space="preserve">machette </w:t>
      </w:r>
      <w:r>
        <w:rPr>
          <w:color w:val="000000"/>
          <w:lang w:eastAsia="fr-FR"/>
        </w:rPr>
        <w:t>s</w:t>
      </w:r>
      <w:r w:rsidRPr="005E488D">
        <w:rPr>
          <w:color w:val="000000"/>
          <w:lang w:eastAsia="fr-FR"/>
        </w:rPr>
        <w:t>ur la plante des pieds</w:t>
      </w:r>
      <w:r w:rsidRPr="007F1170">
        <w:rPr>
          <w:rStyle w:val="FootnoteReference"/>
        </w:rPr>
        <w:footnoteReference w:id="294"/>
      </w:r>
      <w:r>
        <w:t>. La vieille, le menuisier du Sanctuaire de Notre Dame du Kasaï avait également été attaqué par des miliciens Kamuina Nsapu. Ses cinq enfants, âgés de 2 ans à 17 ans, ont été battus par les miliciens et certains de ses biens pillés. Là encore, le menuisier a été déplacé au tshiota et menacé de mort. Il a ensuite été ligoté, battu et a eu la main droite</w:t>
      </w:r>
      <w:r w:rsidRPr="008C0E7B">
        <w:t xml:space="preserve"> coupé</w:t>
      </w:r>
      <w:r>
        <w:t>e par</w:t>
      </w:r>
      <w:r w:rsidRPr="008C0E7B">
        <w:t xml:space="preserve"> deux coups de machette</w:t>
      </w:r>
      <w:r w:rsidRPr="007F1170">
        <w:rPr>
          <w:rStyle w:val="FootnoteReference"/>
        </w:rPr>
        <w:footnoteReference w:id="295"/>
      </w:r>
      <w:r w:rsidRPr="005E488D">
        <w:rPr>
          <w:color w:val="676767"/>
          <w:lang w:eastAsia="fr-FR"/>
        </w:rPr>
        <w:t>.</w:t>
      </w:r>
    </w:p>
    <w:p w14:paraId="76285296" w14:textId="29298401" w:rsidR="00771DAE" w:rsidRDefault="00771DAE" w:rsidP="00BE7CAA">
      <w:pPr>
        <w:pStyle w:val="BodyText"/>
        <w:tabs>
          <w:tab w:val="left" w:pos="1559"/>
          <w:tab w:val="left" w:pos="1984"/>
          <w:tab w:val="left" w:leader="dot" w:pos="7654"/>
          <w:tab w:val="right" w:pos="8929"/>
        </w:tabs>
        <w:spacing w:line="240" w:lineRule="atLeast"/>
        <w:ind w:left="1138" w:right="1138" w:firstLine="0"/>
      </w:pPr>
      <w:r w:rsidRPr="00E81F0C">
        <w:t>Dans le cadre de l’</w:t>
      </w:r>
      <w:r>
        <w:t>organisation de l’examen d’Etat</w:t>
      </w:r>
      <w:r w:rsidRPr="00E81F0C">
        <w:t>, plusieurs délégations d’inspecteurs de l’éducation</w:t>
      </w:r>
      <w:r>
        <w:t xml:space="preserve"> nationale </w:t>
      </w:r>
      <w:r w:rsidR="006F1284">
        <w:t xml:space="preserve">avaient </w:t>
      </w:r>
      <w:r>
        <w:t>été déployé</w:t>
      </w:r>
      <w:r w:rsidR="00CD1518">
        <w:t>e</w:t>
      </w:r>
      <w:r>
        <w:t>s au Kasaï</w:t>
      </w:r>
      <w:r w:rsidRPr="00E81F0C">
        <w:t xml:space="preserve">, notamment </w:t>
      </w:r>
      <w:r w:rsidR="00FF552A">
        <w:t>dans</w:t>
      </w:r>
      <w:r w:rsidRPr="00E81F0C">
        <w:t xml:space="preserve"> le territoire de Kazumba</w:t>
      </w:r>
      <w:r>
        <w:t>,</w:t>
      </w:r>
      <w:r w:rsidRPr="00E81F0C">
        <w:t xml:space="preserve"> </w:t>
      </w:r>
      <w:r>
        <w:t xml:space="preserve">fin avril 2017. Au moins deux </w:t>
      </w:r>
      <w:r w:rsidR="00CD1518">
        <w:t xml:space="preserve">d’entre elles </w:t>
      </w:r>
      <w:r>
        <w:t xml:space="preserve">ont été attaquées par les miliciens Kamuina Nsapu. Les membres de l’une de ces délégations ont </w:t>
      </w:r>
      <w:r w:rsidRPr="00E81F0C">
        <w:t>été arrêté</w:t>
      </w:r>
      <w:r w:rsidR="006F1284">
        <w:t>s</w:t>
      </w:r>
      <w:r w:rsidRPr="00E81F0C">
        <w:t>, maltraité</w:t>
      </w:r>
      <w:r w:rsidR="006F1284">
        <w:t>s</w:t>
      </w:r>
      <w:r w:rsidRPr="00E81F0C">
        <w:t xml:space="preserve"> et ext</w:t>
      </w:r>
      <w:r>
        <w:t>orqué</w:t>
      </w:r>
      <w:r w:rsidR="006F1284">
        <w:t>s</w:t>
      </w:r>
      <w:r>
        <w:t xml:space="preserve"> à plusieurs reprises par d</w:t>
      </w:r>
      <w:r w:rsidRPr="00E81F0C">
        <w:t xml:space="preserve">es miliciens Kamuina Nsapu </w:t>
      </w:r>
      <w:r>
        <w:t>provenant</w:t>
      </w:r>
      <w:r w:rsidRPr="00E81F0C">
        <w:t xml:space="preserve"> </w:t>
      </w:r>
      <w:r>
        <w:t>d</w:t>
      </w:r>
      <w:r w:rsidRPr="00E81F0C">
        <w:t>es alentours du village de Tshikulu et le chef de mission a été blessé à la cuisse</w:t>
      </w:r>
      <w:r w:rsidRPr="007F1170">
        <w:rPr>
          <w:rStyle w:val="FootnoteReference"/>
        </w:rPr>
        <w:footnoteReference w:id="296"/>
      </w:r>
      <w:r>
        <w:rPr>
          <w:vertAlign w:val="superscript"/>
        </w:rPr>
        <w:t xml:space="preserve">. </w:t>
      </w:r>
      <w:r w:rsidRPr="00E81F0C">
        <w:t>Par ailleurs</w:t>
      </w:r>
      <w:r w:rsidR="006F1284">
        <w:t xml:space="preserve">, </w:t>
      </w:r>
      <w:r w:rsidR="00CD1518">
        <w:t xml:space="preserve">près du village de </w:t>
      </w:r>
      <w:r w:rsidRPr="00E81F0C">
        <w:t>Kazumba, trois inspecteurs et trois inspectrices ont été stoppés par des miliciens Kamuina Nsapu et ne sont jamais rentré</w:t>
      </w:r>
      <w:r w:rsidR="0096305A">
        <w:t>s</w:t>
      </w:r>
      <w:r w:rsidRPr="00E81F0C">
        <w:t xml:space="preserve"> de </w:t>
      </w:r>
      <w:r>
        <w:t xml:space="preserve">leur </w:t>
      </w:r>
      <w:r w:rsidRPr="00E81F0C">
        <w:t>mission</w:t>
      </w:r>
      <w:r>
        <w:t>. L</w:t>
      </w:r>
      <w:r w:rsidRPr="00E81F0C">
        <w:t>eur</w:t>
      </w:r>
      <w:r w:rsidR="00CD1518">
        <w:t>s</w:t>
      </w:r>
      <w:r w:rsidRPr="00E81F0C">
        <w:t xml:space="preserve"> familles ont perdu to</w:t>
      </w:r>
      <w:r>
        <w:t>ute trace d’e</w:t>
      </w:r>
      <w:r w:rsidRPr="00E81F0C">
        <w:t>ux le 30 avril 2017</w:t>
      </w:r>
      <w:r w:rsidRPr="007F1170">
        <w:rPr>
          <w:rStyle w:val="FootnoteReference"/>
        </w:rPr>
        <w:footnoteReference w:id="297"/>
      </w:r>
      <w:r>
        <w:t>.</w:t>
      </w:r>
    </w:p>
    <w:p w14:paraId="03F52D79" w14:textId="38B9ED4F" w:rsidR="00771DAE" w:rsidRDefault="00771DAE" w:rsidP="00BE7CAA">
      <w:pPr>
        <w:pStyle w:val="BodyText"/>
        <w:tabs>
          <w:tab w:val="left" w:pos="1559"/>
          <w:tab w:val="left" w:pos="1984"/>
          <w:tab w:val="left" w:leader="dot" w:pos="7654"/>
          <w:tab w:val="right" w:pos="8929"/>
        </w:tabs>
        <w:spacing w:line="240" w:lineRule="atLeast"/>
        <w:ind w:left="1138" w:right="1138" w:firstLine="0"/>
        <w:rPr>
          <w:color w:val="676767"/>
          <w:lang w:eastAsia="fr-FR"/>
        </w:rPr>
      </w:pPr>
      <w:r w:rsidRPr="00FD5A0A">
        <w:t xml:space="preserve">Le </w:t>
      </w:r>
      <w:r w:rsidR="00AD391A" w:rsidRPr="00AD391A">
        <w:t>BCNUDH</w:t>
      </w:r>
      <w:r w:rsidR="00AD391A">
        <w:t xml:space="preserve"> de la MONUSCO</w:t>
      </w:r>
      <w:r w:rsidRPr="00FD5A0A">
        <w:t xml:space="preserve"> a </w:t>
      </w:r>
      <w:r>
        <w:t xml:space="preserve">également </w:t>
      </w:r>
      <w:r w:rsidRPr="00FD5A0A">
        <w:t xml:space="preserve">documenté un incident qui s’est déroulé le 7 mai 2017 au marché du village de Tshikulu, </w:t>
      </w:r>
      <w:r w:rsidR="00FF552A">
        <w:t>dans</w:t>
      </w:r>
      <w:r w:rsidR="00FF552A" w:rsidRPr="00FD5A0A">
        <w:t xml:space="preserve"> </w:t>
      </w:r>
      <w:r w:rsidRPr="00FD5A0A">
        <w:t xml:space="preserve">le territoire de Kazumba. </w:t>
      </w:r>
      <w:r>
        <w:t>D’après le</w:t>
      </w:r>
      <w:r w:rsidRPr="00FD5A0A">
        <w:t>s témoi</w:t>
      </w:r>
      <w:r>
        <w:t>gnages recueillis par le BCNUDH</w:t>
      </w:r>
      <w:r w:rsidR="00D02559">
        <w:t xml:space="preserve"> de la MONUSCO</w:t>
      </w:r>
      <w:r>
        <w:t xml:space="preserve">, </w:t>
      </w:r>
      <w:r w:rsidRPr="00FD5A0A">
        <w:t xml:space="preserve">des FARDC </w:t>
      </w:r>
      <w:r>
        <w:t>sont</w:t>
      </w:r>
      <w:r w:rsidRPr="00FD5A0A">
        <w:t xml:space="preserve"> arrivé</w:t>
      </w:r>
      <w:r>
        <w:t>s</w:t>
      </w:r>
      <w:r w:rsidRPr="00FD5A0A">
        <w:t xml:space="preserve"> </w:t>
      </w:r>
      <w:r w:rsidR="00FF552A" w:rsidRPr="00FD5A0A">
        <w:t>vers 14 heures</w:t>
      </w:r>
      <w:r w:rsidR="00FF552A">
        <w:t xml:space="preserve"> ce jour-là à </w:t>
      </w:r>
      <w:r w:rsidR="00FF552A" w:rsidRPr="00FD5A0A">
        <w:t xml:space="preserve">Tshikulu </w:t>
      </w:r>
      <w:r w:rsidRPr="00FD5A0A">
        <w:t xml:space="preserve">à bord d’au moins quatre véhicules de transport de troupe. </w:t>
      </w:r>
      <w:r w:rsidR="00FF552A">
        <w:t>L</w:t>
      </w:r>
      <w:r w:rsidR="00FF552A" w:rsidRPr="00FD5A0A">
        <w:t xml:space="preserve">es </w:t>
      </w:r>
      <w:r w:rsidRPr="00FD5A0A">
        <w:t xml:space="preserve">militaires </w:t>
      </w:r>
      <w:r>
        <w:t>ont</w:t>
      </w:r>
      <w:r w:rsidRPr="00FD5A0A">
        <w:t xml:space="preserve"> d’abord tiré en l’air à l’entrée de la localité puis, étant parvenus à la place du marché, </w:t>
      </w:r>
      <w:r w:rsidR="00FF552A">
        <w:t xml:space="preserve">ils </w:t>
      </w:r>
      <w:r>
        <w:t>ont</w:t>
      </w:r>
      <w:r w:rsidRPr="00FD5A0A">
        <w:t xml:space="preserve"> visé indistinctement les marchands et les </w:t>
      </w:r>
      <w:r w:rsidR="00FF552A">
        <w:t>clients</w:t>
      </w:r>
      <w:r w:rsidR="00FF552A" w:rsidRPr="00FD5A0A">
        <w:t xml:space="preserve"> </w:t>
      </w:r>
      <w:r w:rsidRPr="00FD5A0A">
        <w:t>qui s’y trouvaient, avant d’emporter une importante quantité de marchandises, de</w:t>
      </w:r>
      <w:r w:rsidR="00FF552A">
        <w:t xml:space="preserve"> l’</w:t>
      </w:r>
      <w:r w:rsidRPr="00FD5A0A">
        <w:t xml:space="preserve">argent et </w:t>
      </w:r>
      <w:r>
        <w:t xml:space="preserve">de </w:t>
      </w:r>
      <w:r w:rsidRPr="00FD5A0A">
        <w:t xml:space="preserve">continuer leur route vers Kananga. Au terme des différents entretiens et visites des sites, </w:t>
      </w:r>
      <w:r>
        <w:t>le BCNUDH</w:t>
      </w:r>
      <w:r w:rsidRPr="00FD5A0A">
        <w:t xml:space="preserve"> </w:t>
      </w:r>
      <w:r w:rsidR="00FE402E">
        <w:t>de la MONUSCO</w:t>
      </w:r>
      <w:r w:rsidR="00FE402E" w:rsidRPr="00FD5A0A">
        <w:t xml:space="preserve"> </w:t>
      </w:r>
      <w:r>
        <w:t xml:space="preserve">a pu </w:t>
      </w:r>
      <w:r w:rsidRPr="00FD5A0A">
        <w:t xml:space="preserve">confirmer les exécutions sommaires d’au moins 60 adultes et 19 enfants, des atteintes à l’intégrité physique par des blessures par balle à l’encontre de 17 adultes et </w:t>
      </w:r>
      <w:r>
        <w:t xml:space="preserve">5 enfants ainsi que le viol de </w:t>
      </w:r>
      <w:r w:rsidRPr="00FD5A0A">
        <w:t xml:space="preserve">4 femmes. Par </w:t>
      </w:r>
      <w:r w:rsidR="00FF552A" w:rsidRPr="00FD5A0A">
        <w:t>ailleurs</w:t>
      </w:r>
      <w:r w:rsidR="00FF552A">
        <w:t xml:space="preserve">, </w:t>
      </w:r>
      <w:r w:rsidRPr="00FD5A0A">
        <w:t>le BCNUDH</w:t>
      </w:r>
      <w:r w:rsidR="00D02559">
        <w:t xml:space="preserve"> de la MONUSCO</w:t>
      </w:r>
      <w:r>
        <w:t xml:space="preserve"> a pu obtenir les identités de quatre</w:t>
      </w:r>
      <w:r w:rsidRPr="00FD5A0A">
        <w:t xml:space="preserve"> personnes portées disparues dont </w:t>
      </w:r>
      <w:r>
        <w:t>trois</w:t>
      </w:r>
      <w:r w:rsidRPr="00FD5A0A">
        <w:t xml:space="preserve"> garçons âgés de 14 à 17 ans et recueilli des allégations répétées de pillages de biens provenant de 81 habitants dont des commerçants de la localité. </w:t>
      </w:r>
      <w:r>
        <w:t xml:space="preserve">Enfin le </w:t>
      </w:r>
      <w:r w:rsidRPr="00FD5A0A">
        <w:t>BCNUDH</w:t>
      </w:r>
      <w:r>
        <w:t xml:space="preserve"> </w:t>
      </w:r>
      <w:r w:rsidR="00D02559">
        <w:t xml:space="preserve">de la MONUSCO </w:t>
      </w:r>
      <w:r>
        <w:t>a identifié</w:t>
      </w:r>
      <w:r w:rsidRPr="00FD5A0A">
        <w:t xml:space="preserve"> sept</w:t>
      </w:r>
      <w:r>
        <w:t xml:space="preserve"> fosses communes présumées sur trois</w:t>
      </w:r>
      <w:r w:rsidRPr="00FD5A0A">
        <w:t xml:space="preserve"> sites aux alentours du marché de Tshikulu</w:t>
      </w:r>
      <w:r w:rsidRPr="007F1170">
        <w:rPr>
          <w:rStyle w:val="FootnoteReference"/>
        </w:rPr>
        <w:footnoteReference w:id="298"/>
      </w:r>
      <w:r w:rsidRPr="00FD5A0A">
        <w:rPr>
          <w:lang w:eastAsia="fr-FR"/>
        </w:rPr>
        <w:t>.</w:t>
      </w:r>
      <w:r w:rsidRPr="001A6581">
        <w:rPr>
          <w:color w:val="676767"/>
          <w:lang w:eastAsia="fr-FR"/>
        </w:rPr>
        <w:t xml:space="preserve"> </w:t>
      </w:r>
    </w:p>
    <w:p w14:paraId="6FDE1A80" w14:textId="72C60170" w:rsidR="00771DAE" w:rsidRPr="00FE5E8D" w:rsidRDefault="0084066A" w:rsidP="00BE7CAA">
      <w:pPr>
        <w:pStyle w:val="BodyText"/>
        <w:numPr>
          <w:ilvl w:val="0"/>
          <w:numId w:val="0"/>
        </w:numPr>
        <w:tabs>
          <w:tab w:val="left" w:pos="1559"/>
          <w:tab w:val="left" w:pos="1984"/>
          <w:tab w:val="left" w:leader="dot" w:pos="7654"/>
          <w:tab w:val="right" w:pos="8929"/>
        </w:tabs>
        <w:spacing w:line="240" w:lineRule="atLeast"/>
        <w:ind w:left="1138" w:right="1138"/>
        <w:rPr>
          <w:b/>
          <w:i/>
        </w:rPr>
      </w:pPr>
      <w:r w:rsidRPr="0084066A">
        <w:rPr>
          <w:i/>
        </w:rPr>
        <w:t xml:space="preserve">d. </w:t>
      </w:r>
      <w:r>
        <w:rPr>
          <w:i/>
        </w:rPr>
        <w:tab/>
      </w:r>
      <w:r w:rsidR="00771DAE" w:rsidRPr="0084066A">
        <w:rPr>
          <w:i/>
        </w:rPr>
        <w:t>Territoire de Luiza </w:t>
      </w:r>
    </w:p>
    <w:p w14:paraId="36AB8C66" w14:textId="60183334" w:rsidR="00771DAE" w:rsidRPr="00BA2541" w:rsidRDefault="00771DAE" w:rsidP="00BE7CAA">
      <w:pPr>
        <w:pStyle w:val="BodyText"/>
        <w:tabs>
          <w:tab w:val="left" w:pos="1559"/>
          <w:tab w:val="left" w:pos="1984"/>
          <w:tab w:val="left" w:leader="dot" w:pos="7654"/>
          <w:tab w:val="right" w:pos="8929"/>
        </w:tabs>
        <w:spacing w:line="240" w:lineRule="atLeast"/>
        <w:ind w:left="1138" w:right="1138" w:firstLine="0"/>
      </w:pPr>
      <w:r w:rsidRPr="00BA2541">
        <w:t>Les sept secteurs du territoire de Luiza ont été</w:t>
      </w:r>
      <w:r w:rsidR="0096305A">
        <w:t xml:space="preserve"> le théâtre d’actes de violence</w:t>
      </w:r>
      <w:r w:rsidRPr="00BA2541">
        <w:t xml:space="preserve"> entre fin janvier 2017 et juillet 2017. La milice Kamuina Nsapu est arrivée fin janvier 2017, par le nord </w:t>
      </w:r>
      <w:r>
        <w:t xml:space="preserve">du territoire </w:t>
      </w:r>
      <w:r w:rsidRPr="00BA2541">
        <w:t xml:space="preserve">en provenance du territoire de Dibaya où est né le mouvement. Sur le territoire de Luiza, la milice Kamuina Nsapu était sous l’autorité d’un chef Kamuina Nsapu </w:t>
      </w:r>
      <w:r>
        <w:t xml:space="preserve">se réclamant de la famille du chef Kamuina Nsapu </w:t>
      </w:r>
      <w:r w:rsidRPr="00BA2541">
        <w:t>et d’un adjoint</w:t>
      </w:r>
      <w:r>
        <w:t>, tous deux</w:t>
      </w:r>
      <w:r w:rsidRPr="00BA2541">
        <w:t xml:space="preserve"> originaire</w:t>
      </w:r>
      <w:r>
        <w:t>s</w:t>
      </w:r>
      <w:r w:rsidRPr="00BA2541">
        <w:t xml:space="preserve"> du territoire de Dibaya</w:t>
      </w:r>
      <w:r w:rsidRPr="007F1170">
        <w:rPr>
          <w:rStyle w:val="FootnoteReference"/>
        </w:rPr>
        <w:footnoteReference w:id="299"/>
      </w:r>
      <w:r w:rsidRPr="00701E53">
        <w:t>. La proximité</w:t>
      </w:r>
      <w:r w:rsidRPr="00BA2541">
        <w:t xml:space="preserve"> du territoire de Dibaya </w:t>
      </w:r>
      <w:r>
        <w:t>et</w:t>
      </w:r>
      <w:r w:rsidRPr="00BA2541">
        <w:t xml:space="preserve"> le pa</w:t>
      </w:r>
      <w:r>
        <w:t>rtage d’une langue commune, le t</w:t>
      </w:r>
      <w:r w:rsidRPr="00BA2541">
        <w:t>s</w:t>
      </w:r>
      <w:r>
        <w:t>h</w:t>
      </w:r>
      <w:r w:rsidRPr="00BA2541">
        <w:t xml:space="preserve">iluba, sont des facteurs </w:t>
      </w:r>
      <w:r>
        <w:t>qui ont</w:t>
      </w:r>
      <w:r w:rsidRPr="00BA2541">
        <w:t xml:space="preserve"> favorisé l’expansion de la milice </w:t>
      </w:r>
      <w:r>
        <w:t>dans</w:t>
      </w:r>
      <w:r w:rsidRPr="00BA2541">
        <w:t xml:space="preserve"> </w:t>
      </w:r>
      <w:r w:rsidR="0096305A">
        <w:t>c</w:t>
      </w:r>
      <w:r>
        <w:t>e</w:t>
      </w:r>
      <w:r w:rsidRPr="00BA2541">
        <w:t xml:space="preserve"> territoire. Des conflits de partage du pouvoir coutumier et l’influence</w:t>
      </w:r>
      <w:r>
        <w:t xml:space="preserve"> </w:t>
      </w:r>
      <w:r w:rsidRPr="00BA2541">
        <w:t>politique dans la reconnaissance des chefs coutumiers notamment dans le secteur de Bambayi</w:t>
      </w:r>
      <w:r>
        <w:t>,</w:t>
      </w:r>
      <w:r w:rsidRPr="00BA2541">
        <w:t xml:space="preserve"> ainsi que des tensions préexistantes entre les Bindi</w:t>
      </w:r>
      <w:r w:rsidR="004637BD">
        <w:t>s</w:t>
      </w:r>
      <w:r w:rsidRPr="00BA2541">
        <w:t xml:space="preserve"> et</w:t>
      </w:r>
      <w:r>
        <w:t xml:space="preserve"> les</w:t>
      </w:r>
      <w:r w:rsidRPr="00BA2541">
        <w:t xml:space="preserve"> Kele</w:t>
      </w:r>
      <w:r w:rsidR="004637BD">
        <w:t>s</w:t>
      </w:r>
      <w:r w:rsidRPr="00BA2541">
        <w:t xml:space="preserve"> </w:t>
      </w:r>
      <w:r>
        <w:t>ont</w:t>
      </w:r>
      <w:r w:rsidRPr="00BA2541">
        <w:t xml:space="preserve"> aussi </w:t>
      </w:r>
      <w:r>
        <w:t>été des facteurs favorables à la milice</w:t>
      </w:r>
      <w:r w:rsidRPr="007F1170">
        <w:rPr>
          <w:rStyle w:val="FootnoteReference"/>
        </w:rPr>
        <w:footnoteReference w:id="300"/>
      </w:r>
      <w:r w:rsidRPr="00BA2541">
        <w:t>.</w:t>
      </w:r>
      <w:r>
        <w:t xml:space="preserve"> </w:t>
      </w:r>
    </w:p>
    <w:p w14:paraId="6E35EE1B" w14:textId="05245F0A" w:rsidR="00771DAE" w:rsidRDefault="00771DAE" w:rsidP="00BE7CAA">
      <w:pPr>
        <w:pStyle w:val="BodyText"/>
        <w:tabs>
          <w:tab w:val="left" w:pos="1559"/>
          <w:tab w:val="left" w:pos="1984"/>
          <w:tab w:val="left" w:leader="dot" w:pos="7654"/>
          <w:tab w:val="right" w:pos="8929"/>
        </w:tabs>
        <w:spacing w:line="240" w:lineRule="atLeast"/>
        <w:ind w:left="1138" w:right="1138" w:firstLine="0"/>
      </w:pPr>
      <w:r w:rsidRPr="007F3B26">
        <w:t xml:space="preserve">Le chef Kamuina Nsapu </w:t>
      </w:r>
      <w:r>
        <w:t>du</w:t>
      </w:r>
      <w:r w:rsidRPr="007F3B26">
        <w:t xml:space="preserve"> territoire de Lui</w:t>
      </w:r>
      <w:r>
        <w:t>za a installé plusieurs tshiota</w:t>
      </w:r>
      <w:r w:rsidRPr="007F3B26">
        <w:t xml:space="preserve"> dont deux importants dans les villages de Kitoko et de Yangala</w:t>
      </w:r>
      <w:r w:rsidRPr="007F1170">
        <w:rPr>
          <w:rStyle w:val="FootnoteReference"/>
        </w:rPr>
        <w:footnoteReference w:id="301"/>
      </w:r>
      <w:r w:rsidRPr="007F3B26">
        <w:t>. Il a, avec son adjoint, parcouru les villages pour convaincre ou contraindre les chefs de village</w:t>
      </w:r>
      <w:r w:rsidR="00F90DA9">
        <w:t xml:space="preserve"> à </w:t>
      </w:r>
      <w:r w:rsidRPr="007F3B26">
        <w:t>adhérer au mouvement Kamuina Nsapu</w:t>
      </w:r>
      <w:r w:rsidRPr="007F1170">
        <w:rPr>
          <w:rStyle w:val="FootnoteReference"/>
        </w:rPr>
        <w:footnoteReference w:id="302"/>
      </w:r>
      <w:r w:rsidRPr="007F3B26">
        <w:t xml:space="preserve">. Au moins </w:t>
      </w:r>
      <w:r>
        <w:t>neuf</w:t>
      </w:r>
      <w:r w:rsidRPr="007F3B26">
        <w:t xml:space="preserve"> chefs coutumiers</w:t>
      </w:r>
      <w:r>
        <w:t xml:space="preserve"> ainsi que des membres de leurs familles qui avaient refusé d’adhérer au mouvement</w:t>
      </w:r>
      <w:r w:rsidRPr="007F3B26">
        <w:t xml:space="preserve"> ont été décapités</w:t>
      </w:r>
      <w:r w:rsidRPr="007F1170">
        <w:rPr>
          <w:rStyle w:val="FootnoteReference"/>
        </w:rPr>
        <w:footnoteReference w:id="303"/>
      </w:r>
      <w:r w:rsidRPr="007F3B26">
        <w:t>. L’un de ces chefs a été tué avec un fusil traditionnel dans le village de Masuika avant d’être décapité</w:t>
      </w:r>
      <w:r w:rsidR="00F90DA9">
        <w:t xml:space="preserve"> et son corps découpé</w:t>
      </w:r>
      <w:r w:rsidRPr="007F3B26">
        <w:t>. Sa tête, son sexe et ses bras ont ensuite été amené</w:t>
      </w:r>
      <w:r w:rsidR="00F90DA9">
        <w:t>s</w:t>
      </w:r>
      <w:r w:rsidRPr="007F3B26">
        <w:t xml:space="preserve"> au grand tshiota de Yangala</w:t>
      </w:r>
      <w:r w:rsidRPr="007F1170">
        <w:rPr>
          <w:rStyle w:val="FootnoteReference"/>
        </w:rPr>
        <w:footnoteReference w:id="304"/>
      </w:r>
      <w:r w:rsidRPr="007F3B26">
        <w:t xml:space="preserve">. </w:t>
      </w:r>
    </w:p>
    <w:p w14:paraId="25FC85D6" w14:textId="71BAA3B9" w:rsidR="00771DAE" w:rsidRPr="00B324FD" w:rsidRDefault="00771DAE" w:rsidP="00BE7CAA">
      <w:pPr>
        <w:pStyle w:val="BodyText"/>
        <w:tabs>
          <w:tab w:val="left" w:pos="1559"/>
          <w:tab w:val="left" w:pos="1984"/>
          <w:tab w:val="left" w:leader="dot" w:pos="7654"/>
          <w:tab w:val="right" w:pos="8929"/>
        </w:tabs>
        <w:spacing w:line="240" w:lineRule="atLeast"/>
        <w:ind w:left="1138" w:right="1138" w:firstLine="0"/>
      </w:pPr>
      <w:r w:rsidRPr="00733957">
        <w:t xml:space="preserve">De très nombreux </w:t>
      </w:r>
      <w:r w:rsidR="00F90DA9" w:rsidRPr="00733957">
        <w:t>garçons et filles</w:t>
      </w:r>
      <w:r w:rsidRPr="00733957">
        <w:t>, plusieurs centaines, parfois très jeunes, ont été recruté</w:t>
      </w:r>
      <w:r w:rsidR="00F90DA9">
        <w:t>s</w:t>
      </w:r>
      <w:r w:rsidRPr="00733957">
        <w:t xml:space="preserve"> dans la milice Kamuina Nsapu notamment dans les villages de Kitoko, Moma, Kadongo, Masuika, Mubinza et Tulumé. </w:t>
      </w:r>
      <w:r w:rsidRPr="007F3B26">
        <w:t>Les chefs de village qui ont adhéré au mouvement ont participé activement au recrutement des enfants tout comme le chef Kamuina Nsapu et son adjoint sur le territoire tous deux originaires du territoire de Dibaya</w:t>
      </w:r>
      <w:r w:rsidRPr="007F1170">
        <w:rPr>
          <w:rStyle w:val="FootnoteReference"/>
        </w:rPr>
        <w:footnoteReference w:id="305"/>
      </w:r>
      <w:r w:rsidRPr="007F3B26">
        <w:t xml:space="preserve">. </w:t>
      </w:r>
      <w:r w:rsidRPr="00F124C4">
        <w:t>D’après les informations collectées par la MONUSCO, il y a eu plusieurs vagues de recrutement massif d’enfants garçons et filles dans le territoire de Luiza</w:t>
      </w:r>
      <w:r w:rsidR="00F90DA9" w:rsidRPr="00F90DA9">
        <w:t xml:space="preserve"> </w:t>
      </w:r>
      <w:r w:rsidR="00F90DA9" w:rsidRPr="00F124C4">
        <w:t>en mars et avril 2017</w:t>
      </w:r>
      <w:r w:rsidR="00F90DA9">
        <w:t xml:space="preserve"> : </w:t>
      </w:r>
      <w:r w:rsidRPr="00F124C4">
        <w:t xml:space="preserve">au moins 50 </w:t>
      </w:r>
      <w:r w:rsidR="00F90DA9">
        <w:t xml:space="preserve">enfants </w:t>
      </w:r>
      <w:r w:rsidRPr="00F124C4">
        <w:t>rien que dans la localité de Masuika dont 4 filles</w:t>
      </w:r>
      <w:r w:rsidR="00F90DA9">
        <w:t> ;</w:t>
      </w:r>
      <w:r w:rsidRPr="00F124C4">
        <w:t xml:space="preserve"> au moins 32 </w:t>
      </w:r>
      <w:r w:rsidR="00F90DA9">
        <w:t xml:space="preserve">enfants dans </w:t>
      </w:r>
      <w:r w:rsidRPr="00F124C4">
        <w:t>le village de Moma dont 7 filles</w:t>
      </w:r>
      <w:r w:rsidR="00F90DA9">
        <w:t xml:space="preserve"> ; </w:t>
      </w:r>
      <w:r w:rsidRPr="00F124C4">
        <w:t>et</w:t>
      </w:r>
      <w:r w:rsidR="00F90DA9">
        <w:t>,</w:t>
      </w:r>
      <w:r w:rsidRPr="00F124C4">
        <w:t xml:space="preserve"> au moins 17 garçons et 1 fille dans le village de Kadongo.</w:t>
      </w:r>
      <w:r w:rsidRPr="007F3B26">
        <w:t xml:space="preserve"> Ces enfants ont été recrut</w:t>
      </w:r>
      <w:r>
        <w:t>és dans le but d’affronter les f</w:t>
      </w:r>
      <w:r w:rsidRPr="007F3B26">
        <w:t>orces de défense et de sécurité. Certains d’entre eux déclarent que les Kamuina Nsapu leur ont promis l’éducation gratuite et des bourses d’études à la condition qu’ils aillent combattre les militaires. C’est également dans le territoire de Luiza que l’on trouve les enfants</w:t>
      </w:r>
      <w:r w:rsidR="00F90DA9">
        <w:t xml:space="preserve"> les plus jeunes à avoir été enrôlés dans la milice</w:t>
      </w:r>
      <w:r w:rsidRPr="007F3B26">
        <w:t xml:space="preserve">. </w:t>
      </w:r>
      <w:r w:rsidR="00F90DA9">
        <w:t xml:space="preserve">Il en est ainsi des </w:t>
      </w:r>
      <w:r w:rsidRPr="007F3B26">
        <w:t>cas de</w:t>
      </w:r>
      <w:r w:rsidR="00F90DA9">
        <w:t xml:space="preserve"> deux </w:t>
      </w:r>
      <w:r w:rsidRPr="007F3B26">
        <w:t xml:space="preserve">garçons âgés 3 ans et </w:t>
      </w:r>
      <w:r w:rsidR="00F90DA9">
        <w:t xml:space="preserve">de 14 mois </w:t>
      </w:r>
      <w:r w:rsidRPr="007F3B26">
        <w:t xml:space="preserve">au moment de leur initiation par les Kamuina Nsapu bien qu’ils n’aient pas été utilisés </w:t>
      </w:r>
      <w:r w:rsidR="0096305A">
        <w:t>lors de</w:t>
      </w:r>
      <w:r w:rsidRPr="007F3B26">
        <w:t xml:space="preserve"> combat</w:t>
      </w:r>
      <w:r w:rsidR="0096305A">
        <w:t>s</w:t>
      </w:r>
      <w:r w:rsidRPr="007F3B26">
        <w:t xml:space="preserve">. Un garçon de 5 ans sera toutefois utilisé par les Kamuina Nsapu comme éclaireur. </w:t>
      </w:r>
      <w:r w:rsidR="00F90DA9">
        <w:t>E</w:t>
      </w:r>
      <w:r w:rsidR="00F90DA9" w:rsidRPr="007F3B26">
        <w:t>n mai 2017</w:t>
      </w:r>
      <w:r w:rsidR="00F90DA9">
        <w:t xml:space="preserve">, dans </w:t>
      </w:r>
      <w:r w:rsidRPr="007F3B26">
        <w:t xml:space="preserve">le territoire de Luiza, les miliciens Kamuina Nsapu ont décapité un garçon de 17 ans </w:t>
      </w:r>
      <w:r w:rsidR="0096305A">
        <w:t xml:space="preserve">qui avait </w:t>
      </w:r>
      <w:r w:rsidR="00F90DA9">
        <w:t>refusé d’intégrer la milice</w:t>
      </w:r>
      <w:r w:rsidRPr="007F1170">
        <w:rPr>
          <w:rStyle w:val="FootnoteReference"/>
        </w:rPr>
        <w:footnoteReference w:id="306"/>
      </w:r>
      <w:r w:rsidRPr="007F3B26">
        <w:t>.</w:t>
      </w:r>
    </w:p>
    <w:p w14:paraId="63A71850" w14:textId="191C7D34" w:rsidR="00771DAE" w:rsidRDefault="00771DAE" w:rsidP="00BE7CAA">
      <w:pPr>
        <w:pStyle w:val="BodyText"/>
        <w:tabs>
          <w:tab w:val="left" w:pos="1559"/>
          <w:tab w:val="left" w:pos="1984"/>
          <w:tab w:val="left" w:leader="dot" w:pos="7654"/>
          <w:tab w:val="right" w:pos="8929"/>
        </w:tabs>
        <w:spacing w:line="240" w:lineRule="atLeast"/>
        <w:ind w:left="1138" w:right="1138" w:firstLine="0"/>
      </w:pPr>
      <w:r>
        <w:t>Par ailleurs, p</w:t>
      </w:r>
      <w:r w:rsidRPr="007F3B26">
        <w:t xml:space="preserve">lusieurs témoins racontent que lorsque les miliciens sont arrivés </w:t>
      </w:r>
      <w:r w:rsidR="0027038B">
        <w:t xml:space="preserve">à </w:t>
      </w:r>
      <w:r w:rsidRPr="007F3B26">
        <w:t xml:space="preserve">la mission catholique </w:t>
      </w:r>
      <w:r w:rsidR="0027038B">
        <w:t xml:space="preserve">du village </w:t>
      </w:r>
      <w:r w:rsidRPr="007F3B26">
        <w:t xml:space="preserve">de Moma, ils ont recruté </w:t>
      </w:r>
      <w:r>
        <w:t>par la force</w:t>
      </w:r>
      <w:r w:rsidRPr="007F3B26">
        <w:t xml:space="preserve"> de nombreux habitants du village dont des enfants</w:t>
      </w:r>
      <w:r w:rsidRPr="007F1170">
        <w:rPr>
          <w:rStyle w:val="FootnoteReference"/>
        </w:rPr>
        <w:footnoteReference w:id="307"/>
      </w:r>
      <w:r w:rsidRPr="007F3B26">
        <w:t>. Un témoin explique qu’au moins 25 personnes du village de Kitoko parmi lesquel</w:t>
      </w:r>
      <w:r w:rsidR="00796AC3">
        <w:t>le</w:t>
      </w:r>
      <w:r w:rsidRPr="007F3B26">
        <w:t>s sept garçons et filles ont été recrutés dans la milice</w:t>
      </w:r>
      <w:r w:rsidRPr="007F1170">
        <w:rPr>
          <w:rStyle w:val="FootnoteReference"/>
        </w:rPr>
        <w:footnoteReference w:id="308"/>
      </w:r>
      <w:r w:rsidRPr="007F3B26">
        <w:t xml:space="preserve">.Un </w:t>
      </w:r>
      <w:r>
        <w:t>autre</w:t>
      </w:r>
      <w:r w:rsidRPr="007F3B26">
        <w:t xml:space="preserve"> </w:t>
      </w:r>
      <w:r>
        <w:t xml:space="preserve">estime à </w:t>
      </w:r>
      <w:r w:rsidRPr="007F3B26">
        <w:t>environ 500</w:t>
      </w:r>
      <w:r>
        <w:t xml:space="preserve"> le nombre d’</w:t>
      </w:r>
      <w:r w:rsidRPr="007F3B26">
        <w:t>enfants recrutés et baptisés dans le village de Masuika</w:t>
      </w:r>
      <w:r w:rsidRPr="007F1170">
        <w:rPr>
          <w:rStyle w:val="FootnoteReference"/>
        </w:rPr>
        <w:footnoteReference w:id="309"/>
      </w:r>
      <w:r w:rsidRPr="007F3B26">
        <w:t>. 60 à 70 enfants</w:t>
      </w:r>
      <w:r>
        <w:t xml:space="preserve"> ont été</w:t>
      </w:r>
      <w:r w:rsidRPr="007F3B26">
        <w:t xml:space="preserve"> recrutés dans le v</w:t>
      </w:r>
      <w:r>
        <w:t>illage de Lumpungu en mars 2017</w:t>
      </w:r>
      <w:r w:rsidRPr="007F1170">
        <w:rPr>
          <w:rStyle w:val="FootnoteReference"/>
        </w:rPr>
        <w:footnoteReference w:id="310"/>
      </w:r>
      <w:r>
        <w:t>. Dans la cité de Yangala, des enfants du village ont été recrutés par la force et de nombreux enfants venant des villages environnant</w:t>
      </w:r>
      <w:r w:rsidR="00E90C08">
        <w:t>s</w:t>
      </w:r>
      <w:r>
        <w:t xml:space="preserve"> venaient s’y faire baptiser</w:t>
      </w:r>
      <w:r w:rsidRPr="007F1170">
        <w:rPr>
          <w:rStyle w:val="FootnoteReference"/>
        </w:rPr>
        <w:footnoteReference w:id="311"/>
      </w:r>
      <w:r>
        <w:t>. Après avoir installé un tshiota dans le village de Tulumé, les miliciens ont recruté des adultes mais aussi une cinquantaine d’enfants, filles et garçons, entre 13 et 18 ans</w:t>
      </w:r>
      <w:r w:rsidRPr="007F1170">
        <w:rPr>
          <w:rStyle w:val="FootnoteReference"/>
        </w:rPr>
        <w:footnoteReference w:id="312"/>
      </w:r>
      <w:r>
        <w:t xml:space="preserve">. </w:t>
      </w:r>
    </w:p>
    <w:p w14:paraId="1C5CB066" w14:textId="481F3BD4" w:rsidR="00771DAE" w:rsidRDefault="00771DAE" w:rsidP="00BE7CAA">
      <w:pPr>
        <w:pStyle w:val="BodyText"/>
        <w:tabs>
          <w:tab w:val="left" w:pos="1559"/>
          <w:tab w:val="left" w:pos="1984"/>
          <w:tab w:val="left" w:leader="dot" w:pos="7654"/>
          <w:tab w:val="right" w:pos="8929"/>
        </w:tabs>
        <w:spacing w:line="240" w:lineRule="atLeast"/>
        <w:ind w:left="1138" w:right="1138" w:firstLine="0"/>
      </w:pPr>
      <w:r w:rsidRPr="00BA2541">
        <w:t xml:space="preserve">Dans les villages </w:t>
      </w:r>
      <w:r w:rsidR="0027038B">
        <w:t xml:space="preserve">qui leur étaient </w:t>
      </w:r>
      <w:r w:rsidRPr="00BA2541">
        <w:t>hostiles</w:t>
      </w:r>
      <w:r>
        <w:t>,</w:t>
      </w:r>
      <w:r w:rsidRPr="00BA2541">
        <w:t xml:space="preserve"> les miliciens Kamuina Nsapu s’en sont pris aux habitants et à leurs biens en pillant et br</w:t>
      </w:r>
      <w:r w:rsidR="00FA2F05">
        <w:t>û</w:t>
      </w:r>
      <w:r w:rsidRPr="00BA2541">
        <w:t xml:space="preserve">lant </w:t>
      </w:r>
      <w:r>
        <w:t>les</w:t>
      </w:r>
      <w:r w:rsidRPr="00BA2541">
        <w:t xml:space="preserve"> maisons</w:t>
      </w:r>
      <w:r w:rsidRPr="007F1170">
        <w:rPr>
          <w:rStyle w:val="FootnoteReference"/>
        </w:rPr>
        <w:footnoteReference w:id="313"/>
      </w:r>
      <w:r w:rsidRPr="00BA2541">
        <w:t xml:space="preserve">. Par exemple dans le village de Kamushilu, </w:t>
      </w:r>
      <w:r w:rsidR="0027038B" w:rsidRPr="00BA2541">
        <w:t xml:space="preserve">les miliciens Kamuina Nsapu </w:t>
      </w:r>
      <w:r w:rsidR="0027038B">
        <w:t xml:space="preserve">ont incendié </w:t>
      </w:r>
      <w:r w:rsidRPr="00BA2541">
        <w:t xml:space="preserve">50 maisons </w:t>
      </w:r>
      <w:r w:rsidR="0027038B">
        <w:t>suite à</w:t>
      </w:r>
      <w:r w:rsidRPr="00BA2541">
        <w:t xml:space="preserve"> l’hostilité </w:t>
      </w:r>
      <w:r w:rsidR="0027038B">
        <w:t>de</w:t>
      </w:r>
      <w:r w:rsidRPr="00BA2541">
        <w:t xml:space="preserve"> la population</w:t>
      </w:r>
      <w:r w:rsidR="0027038B">
        <w:t xml:space="preserve"> à leur égard</w:t>
      </w:r>
      <w:r w:rsidRPr="007F1170">
        <w:rPr>
          <w:rStyle w:val="FootnoteReference"/>
        </w:rPr>
        <w:footnoteReference w:id="314"/>
      </w:r>
      <w:r w:rsidRPr="00BA2541">
        <w:t>.</w:t>
      </w:r>
      <w:r w:rsidRPr="00DF14CE">
        <w:t xml:space="preserve"> D’après la MONUSCO, le 6 mars 2017, 2 filles et 2 garçons âgés de 4, 7, 11 et 13</w:t>
      </w:r>
      <w:r>
        <w:t xml:space="preserve"> </w:t>
      </w:r>
      <w:r w:rsidRPr="00DF14CE">
        <w:t>ans sont morts br</w:t>
      </w:r>
      <w:r w:rsidR="00FA2F05">
        <w:t>û</w:t>
      </w:r>
      <w:r w:rsidRPr="00DF14CE">
        <w:t>lés vifs dans le territoire de Luiza après l’attaque de leur village par les Kamuina Nsapu</w:t>
      </w:r>
      <w:r w:rsidRPr="007F1170">
        <w:rPr>
          <w:rStyle w:val="FootnoteReference"/>
        </w:rPr>
        <w:footnoteReference w:id="315"/>
      </w:r>
      <w:r w:rsidRPr="00DF14CE">
        <w:t>.</w:t>
      </w:r>
      <w:r>
        <w:t xml:space="preserve"> Un garçon de six ans a été tué par les miliciens Kamuina Nsapu alors qu’il fuyait le village de Tulum</w:t>
      </w:r>
      <w:r w:rsidR="00796AC3">
        <w:t>e</w:t>
      </w:r>
      <w:r>
        <w:t xml:space="preserve"> avec son père</w:t>
      </w:r>
      <w:r w:rsidRPr="007F1170">
        <w:rPr>
          <w:rStyle w:val="FootnoteReference"/>
        </w:rPr>
        <w:footnoteReference w:id="316"/>
      </w:r>
      <w:r>
        <w:t xml:space="preserve">. Dans le village de Mpungu, </w:t>
      </w:r>
      <w:r w:rsidRPr="00DF14CE">
        <w:t>des affr</w:t>
      </w:r>
      <w:r>
        <w:t>ontements entre les habitants hostiles au mouvement et les miliciens Kamuina Nsapu ont fait quatre morts parmi les habitants, trois hommes et une femme</w:t>
      </w:r>
      <w:r w:rsidRPr="007F1170">
        <w:rPr>
          <w:rStyle w:val="FootnoteReference"/>
        </w:rPr>
        <w:footnoteReference w:id="317"/>
      </w:r>
      <w:r>
        <w:t xml:space="preserve">. </w:t>
      </w:r>
      <w:r w:rsidRPr="007F3B26">
        <w:t xml:space="preserve">Début juin 2017, les miliciens Kamuina Nsapu ont </w:t>
      </w:r>
      <w:r>
        <w:t xml:space="preserve">également </w:t>
      </w:r>
      <w:r w:rsidRPr="007F3B26">
        <w:t xml:space="preserve">attaqué un groupe de huit personnes dont une femme qui avaient été </w:t>
      </w:r>
      <w:r>
        <w:t>envoyé</w:t>
      </w:r>
      <w:r w:rsidR="00796AC3">
        <w:t>es</w:t>
      </w:r>
      <w:r>
        <w:t xml:space="preserve"> en mission par</w:t>
      </w:r>
      <w:r w:rsidRPr="007F3B26">
        <w:t xml:space="preserve"> les chefs de groupements pour inciter les habitants à quitter le mouvement Kamuina Nsapu au chef</w:t>
      </w:r>
      <w:r>
        <w:t>-</w:t>
      </w:r>
      <w:r w:rsidRPr="007F3B26">
        <w:t>lieu du groupement de Kalanla D</w:t>
      </w:r>
      <w:r>
        <w:t>iboko. Quatre ont réussi à fuir. L</w:t>
      </w:r>
      <w:r w:rsidRPr="007F3B26">
        <w:t>es q</w:t>
      </w:r>
      <w:r>
        <w:t xml:space="preserve">uatre autres ont été </w:t>
      </w:r>
      <w:r w:rsidR="00695197">
        <w:t>amené</w:t>
      </w:r>
      <w:r w:rsidR="00796AC3">
        <w:t>e</w:t>
      </w:r>
      <w:r w:rsidR="00695197">
        <w:t>s</w:t>
      </w:r>
      <w:r>
        <w:t xml:space="preserve"> au t</w:t>
      </w:r>
      <w:r w:rsidRPr="007F3B26">
        <w:t>s</w:t>
      </w:r>
      <w:r>
        <w:t>h</w:t>
      </w:r>
      <w:r w:rsidRPr="007F3B26">
        <w:t>iota de Yangala. Les trois hommes ont été battus à mort et jeté</w:t>
      </w:r>
      <w:r>
        <w:t>s</w:t>
      </w:r>
      <w:r w:rsidRPr="007F3B26">
        <w:t xml:space="preserve"> dans une rivière et la femme violée par les miliciens Kamuina Nsapu avant d’être relâché</w:t>
      </w:r>
      <w:r>
        <w:t>e</w:t>
      </w:r>
      <w:r w:rsidRPr="007F1170">
        <w:rPr>
          <w:rStyle w:val="FootnoteReference"/>
        </w:rPr>
        <w:footnoteReference w:id="318"/>
      </w:r>
      <w:r w:rsidRPr="007F3B26">
        <w:t>.</w:t>
      </w:r>
    </w:p>
    <w:p w14:paraId="2AE7EBC8" w14:textId="17B4B5B0" w:rsidR="00771DAE" w:rsidRPr="00BE7CAA" w:rsidRDefault="00771DAE" w:rsidP="00BE7CAA">
      <w:pPr>
        <w:pStyle w:val="BodyText"/>
        <w:tabs>
          <w:tab w:val="left" w:pos="1559"/>
          <w:tab w:val="left" w:pos="1984"/>
          <w:tab w:val="left" w:leader="dot" w:pos="7654"/>
          <w:tab w:val="right" w:pos="8929"/>
        </w:tabs>
        <w:spacing w:line="240" w:lineRule="atLeast"/>
        <w:ind w:left="1138" w:right="1138" w:firstLine="0"/>
      </w:pPr>
      <w:r w:rsidRPr="007F3B26">
        <w:t>Les miliciens Kamuina Nsapu ont</w:t>
      </w:r>
      <w:r>
        <w:t xml:space="preserve"> continué </w:t>
      </w:r>
      <w:r w:rsidR="00695197">
        <w:t>à</w:t>
      </w:r>
      <w:r>
        <w:t xml:space="preserve"> conduire</w:t>
      </w:r>
      <w:r w:rsidRPr="007F3B26">
        <w:t xml:space="preserve"> des attaques contre les biens et </w:t>
      </w:r>
      <w:r w:rsidR="00695197">
        <w:t xml:space="preserve">les </w:t>
      </w:r>
      <w:r w:rsidRPr="007F3B26">
        <w:t xml:space="preserve">personnes </w:t>
      </w:r>
      <w:r>
        <w:t xml:space="preserve">représentant </w:t>
      </w:r>
      <w:r w:rsidRPr="007F3B26">
        <w:t xml:space="preserve">l’autorité étatique ou </w:t>
      </w:r>
      <w:r>
        <w:t xml:space="preserve">qui y étaient </w:t>
      </w:r>
      <w:r w:rsidRPr="007F3B26">
        <w:t>assimilés</w:t>
      </w:r>
      <w:r w:rsidRPr="007F1170">
        <w:rPr>
          <w:rStyle w:val="FootnoteReference"/>
        </w:rPr>
        <w:footnoteReference w:id="319"/>
      </w:r>
      <w:r w:rsidRPr="007F3B26">
        <w:t xml:space="preserve">. </w:t>
      </w:r>
      <w:r>
        <w:t>Par exemple dans le village de Masuika, les miliciens Kamuina Nsapu ont pillé ou détruit les symboles de l’Etat comme l’église et les maisons d</w:t>
      </w:r>
      <w:r w:rsidR="00695197">
        <w:t>’</w:t>
      </w:r>
      <w:r>
        <w:t>agents de l’Etat</w:t>
      </w:r>
      <w:r w:rsidRPr="007F1170">
        <w:rPr>
          <w:rStyle w:val="FootnoteReference"/>
        </w:rPr>
        <w:footnoteReference w:id="320"/>
      </w:r>
      <w:r>
        <w:t xml:space="preserve">. </w:t>
      </w:r>
      <w:r w:rsidRPr="007F3B26">
        <w:t xml:space="preserve">Les miliciens ont </w:t>
      </w:r>
      <w:r>
        <w:t xml:space="preserve">aussi </w:t>
      </w:r>
      <w:r w:rsidRPr="007F3B26">
        <w:t xml:space="preserve">commis des exactions contre la population civile dans les villages où ils </w:t>
      </w:r>
      <w:r w:rsidR="00695197">
        <w:t>s’</w:t>
      </w:r>
      <w:r w:rsidRPr="007F3B26">
        <w:t xml:space="preserve">étaient installés. Les habitants qui ne respectaient pas les règles </w:t>
      </w:r>
      <w:r>
        <w:t xml:space="preserve">ou qui étaient considérés comme des traîtres </w:t>
      </w:r>
      <w:r w:rsidRPr="007F3B26">
        <w:t>étaient « jugés » au tshiota avant d’être battus ou décapités</w:t>
      </w:r>
      <w:r w:rsidRPr="007F1170">
        <w:rPr>
          <w:rStyle w:val="FootnoteReference"/>
        </w:rPr>
        <w:footnoteReference w:id="321"/>
      </w:r>
      <w:r w:rsidRPr="007F3B26">
        <w:t>.</w:t>
      </w:r>
      <w:r>
        <w:t xml:space="preserve"> Par exemple à Masuika, les miliciens Kamuina Nsapu avaient installé trois tshiota. Après avoir incité ou forcé la population à rejoindre le mouvement, ils </w:t>
      </w:r>
      <w:r w:rsidR="00695197">
        <w:t xml:space="preserve">règlementaient </w:t>
      </w:r>
      <w:r>
        <w:t>la vie du village. De nombreuses personnes ont été battu</w:t>
      </w:r>
      <w:r w:rsidR="00695197">
        <w:t>es</w:t>
      </w:r>
      <w:r>
        <w:t xml:space="preserve"> ou tué</w:t>
      </w:r>
      <w:r w:rsidR="00695197">
        <w:t>e</w:t>
      </w:r>
      <w:r>
        <w:t>s aux tshiota pour ne pas avoir respecté les règles imposées par la milice</w:t>
      </w:r>
      <w:r w:rsidRPr="007F1170">
        <w:rPr>
          <w:rStyle w:val="FootnoteReference"/>
        </w:rPr>
        <w:footnoteReference w:id="322"/>
      </w:r>
      <w:r>
        <w:t>.</w:t>
      </w:r>
      <w:r w:rsidRPr="007F3B26">
        <w:t xml:space="preserve"> </w:t>
      </w:r>
    </w:p>
    <w:p w14:paraId="072B59D5" w14:textId="63065441" w:rsidR="002465FD" w:rsidRDefault="006644C3" w:rsidP="00BE7CAA">
      <w:pPr>
        <w:pStyle w:val="BodyText"/>
        <w:tabs>
          <w:tab w:val="left" w:pos="1559"/>
          <w:tab w:val="left" w:pos="1984"/>
          <w:tab w:val="left" w:leader="dot" w:pos="7654"/>
          <w:tab w:val="right" w:pos="8929"/>
        </w:tabs>
        <w:spacing w:line="240" w:lineRule="atLeast"/>
        <w:ind w:left="1138" w:right="1138" w:firstLine="0"/>
      </w:pPr>
      <w:r w:rsidRPr="00A50179">
        <w:t>L’</w:t>
      </w:r>
      <w:r>
        <w:t>E</w:t>
      </w:r>
      <w:r w:rsidRPr="00A50179">
        <w:t xml:space="preserve">glise </w:t>
      </w:r>
      <w:r w:rsidR="00771DAE" w:rsidRPr="00A50179">
        <w:t xml:space="preserve">catholique a été une cible privilégiée des miliciens Kamuina Nsapu sur le territoire de Luiza. </w:t>
      </w:r>
      <w:r w:rsidR="002465FD">
        <w:t>S</w:t>
      </w:r>
      <w:r w:rsidR="00771DAE" w:rsidRPr="00A50179">
        <w:t xml:space="preserve">es biens et bâtiments ont été en </w:t>
      </w:r>
      <w:r w:rsidR="00771DAE">
        <w:t>largement</w:t>
      </w:r>
      <w:r w:rsidR="00771DAE" w:rsidRPr="00A50179">
        <w:t xml:space="preserve"> détruits </w:t>
      </w:r>
      <w:r w:rsidR="00771DAE">
        <w:t xml:space="preserve">ou pillés </w:t>
      </w:r>
      <w:r w:rsidR="00771DAE" w:rsidRPr="00A50179">
        <w:t>et des prêt</w:t>
      </w:r>
      <w:r w:rsidR="002465FD">
        <w:t>r</w:t>
      </w:r>
      <w:r w:rsidR="00771DAE" w:rsidRPr="00A50179">
        <w:t xml:space="preserve">es </w:t>
      </w:r>
      <w:r w:rsidR="006C20DF">
        <w:t>et</w:t>
      </w:r>
      <w:r w:rsidR="00771DAE" w:rsidRPr="00A50179">
        <w:t xml:space="preserve"> personnes </w:t>
      </w:r>
      <w:r w:rsidR="00771DAE">
        <w:t>proches de l’</w:t>
      </w:r>
      <w:r w:rsidR="002465FD">
        <w:t>E</w:t>
      </w:r>
      <w:r w:rsidR="00771DAE">
        <w:t>glise</w:t>
      </w:r>
      <w:r w:rsidR="00771DAE" w:rsidRPr="00A50179">
        <w:t xml:space="preserve"> ont été menacés et </w:t>
      </w:r>
      <w:r w:rsidR="00771DAE">
        <w:t>battus</w:t>
      </w:r>
      <w:r w:rsidR="002465FD">
        <w:t>,</w:t>
      </w:r>
      <w:r w:rsidR="00771DAE" w:rsidRPr="00A50179">
        <w:t xml:space="preserve"> par exemple dans le village de Masuika et à la mission catholique de Mubinza</w:t>
      </w:r>
      <w:r w:rsidR="00771DAE" w:rsidRPr="007F1170">
        <w:rPr>
          <w:rStyle w:val="FootnoteReference"/>
        </w:rPr>
        <w:footnoteReference w:id="323"/>
      </w:r>
      <w:r w:rsidR="00771DAE" w:rsidRPr="00A50179">
        <w:t xml:space="preserve">. </w:t>
      </w:r>
      <w:r w:rsidR="00771DAE">
        <w:t>L’église du village de Lumpungu a été saccagée par les miliciens Kamuina Nsapu</w:t>
      </w:r>
      <w:r w:rsidR="00771DAE" w:rsidRPr="007F1170">
        <w:rPr>
          <w:rStyle w:val="FootnoteReference"/>
        </w:rPr>
        <w:footnoteReference w:id="324"/>
      </w:r>
      <w:r w:rsidR="00771DAE">
        <w:t>. Dans la cité de Yangala, les religieux catholiques ont été arrêtés, menacés de mort et battus par les miliciens Kamuina Nsapu</w:t>
      </w:r>
      <w:r w:rsidR="00771DAE" w:rsidRPr="007F1170">
        <w:rPr>
          <w:rStyle w:val="FootnoteReference"/>
        </w:rPr>
        <w:footnoteReference w:id="325"/>
      </w:r>
      <w:r w:rsidR="002465FD">
        <w:t>.</w:t>
      </w:r>
    </w:p>
    <w:p w14:paraId="1E4D3060" w14:textId="01640EF3" w:rsidR="00771DAE" w:rsidRDefault="00771DAE" w:rsidP="00BE7CAA">
      <w:pPr>
        <w:pStyle w:val="BodyText"/>
        <w:tabs>
          <w:tab w:val="left" w:pos="1559"/>
          <w:tab w:val="left" w:pos="1984"/>
          <w:tab w:val="left" w:leader="dot" w:pos="7654"/>
          <w:tab w:val="right" w:pos="8929"/>
        </w:tabs>
        <w:spacing w:line="240" w:lineRule="atLeast"/>
        <w:ind w:left="1138" w:right="1138" w:firstLine="0"/>
      </w:pPr>
      <w:r w:rsidRPr="00EA3F06">
        <w:t xml:space="preserve">De nombreuses écoles ont été détruites par les miliciens dans les villages </w:t>
      </w:r>
      <w:r w:rsidRPr="00733957">
        <w:t>de Kamushilu, Ngonyi, Kitoko, Kadongo, Kalemba-Mbuji et Ma</w:t>
      </w:r>
      <w:r>
        <w:t>lambo</w:t>
      </w:r>
      <w:r w:rsidRPr="007F1170">
        <w:rPr>
          <w:rStyle w:val="FootnoteReference"/>
        </w:rPr>
        <w:footnoteReference w:id="326"/>
      </w:r>
      <w:r w:rsidRPr="00EA3F06">
        <w:t xml:space="preserve">. </w:t>
      </w:r>
      <w:r>
        <w:t>Par exemple, dans le village de Kadongo, devant le refus de la population du village d’adhérer au mouvement Kamuina Nsapu, des miliciens ont brûlé trois écoles primaires et une école secondaire</w:t>
      </w:r>
      <w:r w:rsidRPr="007F1170">
        <w:rPr>
          <w:rStyle w:val="FootnoteReference"/>
        </w:rPr>
        <w:footnoteReference w:id="327"/>
      </w:r>
      <w:r>
        <w:t xml:space="preserve">. </w:t>
      </w:r>
    </w:p>
    <w:p w14:paraId="124588C0" w14:textId="714718DE" w:rsidR="00771DAE" w:rsidRDefault="00771DAE" w:rsidP="00BE7CAA">
      <w:pPr>
        <w:pStyle w:val="BodyText"/>
        <w:tabs>
          <w:tab w:val="left" w:pos="1559"/>
          <w:tab w:val="left" w:pos="1984"/>
          <w:tab w:val="left" w:leader="dot" w:pos="7654"/>
          <w:tab w:val="right" w:pos="8929"/>
        </w:tabs>
        <w:spacing w:line="240" w:lineRule="atLeast"/>
        <w:ind w:left="1138" w:right="1138" w:firstLine="0"/>
      </w:pPr>
      <w:r>
        <w:t>Pour la première fois avec une telle ampleur, d</w:t>
      </w:r>
      <w:r w:rsidRPr="00DC5BAA">
        <w:t xml:space="preserve">es viols </w:t>
      </w:r>
      <w:r>
        <w:t xml:space="preserve">collectifs, </w:t>
      </w:r>
      <w:r w:rsidRPr="00DC5BAA">
        <w:t>parfois devant les enfants des victimes</w:t>
      </w:r>
      <w:r>
        <w:t>, commis</w:t>
      </w:r>
      <w:r w:rsidRPr="00DC5BAA">
        <w:t xml:space="preserve"> par les miliciens Kamuina Nsapu sont </w:t>
      </w:r>
      <w:r>
        <w:t xml:space="preserve">rapportés. Ainsi à l’arrivée des miliciens Kamuina Nsapu dans le village de Muzodi, début avril 2017, </w:t>
      </w:r>
      <w:r w:rsidR="006C20DF">
        <w:t xml:space="preserve">cinq miliciens Kamuina Nsapu ont violé </w:t>
      </w:r>
      <w:r>
        <w:t>une femme enceinte devant sa fille de deux ans</w:t>
      </w:r>
      <w:r w:rsidR="006C20DF">
        <w:t> ; u</w:t>
      </w:r>
      <w:r>
        <w:t xml:space="preserve">ne semaine plus tard, </w:t>
      </w:r>
      <w:r w:rsidR="006C20DF">
        <w:t>elle</w:t>
      </w:r>
      <w:r>
        <w:t xml:space="preserve"> a fait une fausse couche</w:t>
      </w:r>
      <w:r w:rsidRPr="007F1170">
        <w:rPr>
          <w:rStyle w:val="FootnoteReference"/>
        </w:rPr>
        <w:footnoteReference w:id="328"/>
      </w:r>
      <w:r>
        <w:t xml:space="preserve">. Dans le village de Masuika, une vingtaine de miliciens Kamuina Nsapu à la recherche d’un agent de l’Etat ont accusé sa femme de traitrise. Menacée par un couteau, la femme a tenté de s’enfuir mais les miliciens ont déchiré ses vêtements avant de la violer devant ses enfants qui pleuraient. </w:t>
      </w:r>
      <w:r w:rsidR="006C20DF">
        <w:t>Elle s’est</w:t>
      </w:r>
      <w:r>
        <w:t xml:space="preserve"> évanouie après </w:t>
      </w:r>
      <w:r w:rsidR="006C20DF">
        <w:t xml:space="preserve">avoir été violée par </w:t>
      </w:r>
      <w:r>
        <w:t xml:space="preserve">le cinquième </w:t>
      </w:r>
      <w:r w:rsidR="006C20DF">
        <w:t>agresseur</w:t>
      </w:r>
      <w:r w:rsidRPr="007F1170">
        <w:rPr>
          <w:rStyle w:val="FootnoteReference"/>
        </w:rPr>
        <w:footnoteReference w:id="329"/>
      </w:r>
      <w:r>
        <w:t xml:space="preserve">. A Sankaji, une femme est tombée sur six miliciens Kamuina Nsapu, cinq adultes et un </w:t>
      </w:r>
      <w:r w:rsidR="006C20DF">
        <w:t>garçon</w:t>
      </w:r>
      <w:r>
        <w:t xml:space="preserve"> de 15 ans qui ont menacé de la tuer si elle n’avait pas des rapports sexuels avec eux. Ils </w:t>
      </w:r>
      <w:r w:rsidR="006C20DF">
        <w:t>l’</w:t>
      </w:r>
      <w:r>
        <w:t>ont ensuite jeté à terre et l’ont violé à tour de rôle</w:t>
      </w:r>
      <w:r w:rsidRPr="007F1170">
        <w:rPr>
          <w:rStyle w:val="FootnoteReference"/>
        </w:rPr>
        <w:footnoteReference w:id="330"/>
      </w:r>
      <w:r>
        <w:t>. Une dizaine d’habitants du village de Kamayi ont été attaqué</w:t>
      </w:r>
      <w:r w:rsidR="00796AC3">
        <w:t>s</w:t>
      </w:r>
      <w:r>
        <w:t xml:space="preserve"> par des miliciens au mois d’avril 2017 alors qu’ils travaillaient aux champs. Les miliciens ont tiré sur les villageois qui essayaient de fuir et un homme a été tué. Deux femmes ont été </w:t>
      </w:r>
      <w:r w:rsidR="006C20DF">
        <w:t>em</w:t>
      </w:r>
      <w:r>
        <w:t xml:space="preserve">menées dans le village Lusengu où elles </w:t>
      </w:r>
      <w:r w:rsidRPr="00D84DD1">
        <w:t>ont été battu</w:t>
      </w:r>
      <w:r w:rsidR="006C20DF">
        <w:t>e</w:t>
      </w:r>
      <w:r w:rsidRPr="00D84DD1">
        <w:t>s avant d’être violées par six ou sept</w:t>
      </w:r>
      <w:r w:rsidR="006C20DF" w:rsidRPr="006C20DF">
        <w:t xml:space="preserve"> </w:t>
      </w:r>
      <w:r w:rsidR="006C20DF" w:rsidRPr="00D84DD1">
        <w:t>miliciens</w:t>
      </w:r>
      <w:r w:rsidRPr="00D84DD1">
        <w:t xml:space="preserve">. L’une </w:t>
      </w:r>
      <w:r w:rsidR="006C20DF">
        <w:t xml:space="preserve">d’entre elles </w:t>
      </w:r>
      <w:r w:rsidRPr="00D84DD1">
        <w:t>est morte des suites de ce</w:t>
      </w:r>
      <w:r w:rsidR="006C20DF">
        <w:t>s</w:t>
      </w:r>
      <w:r w:rsidRPr="00D84DD1">
        <w:t xml:space="preserve"> viol</w:t>
      </w:r>
      <w:r w:rsidR="006C20DF">
        <w:t>s</w:t>
      </w:r>
      <w:r w:rsidRPr="007F1170">
        <w:rPr>
          <w:rStyle w:val="FootnoteReference"/>
        </w:rPr>
        <w:footnoteReference w:id="331"/>
      </w:r>
      <w:r>
        <w:t xml:space="preserve">. </w:t>
      </w:r>
    </w:p>
    <w:p w14:paraId="109BF83B" w14:textId="3DA2512F" w:rsidR="00771DAE" w:rsidRPr="006521D2" w:rsidRDefault="00771DAE" w:rsidP="00BE7CAA">
      <w:pPr>
        <w:pStyle w:val="BodyText"/>
        <w:tabs>
          <w:tab w:val="left" w:pos="1559"/>
          <w:tab w:val="left" w:pos="1984"/>
          <w:tab w:val="left" w:leader="dot" w:pos="7654"/>
          <w:tab w:val="right" w:pos="8929"/>
        </w:tabs>
        <w:spacing w:line="240" w:lineRule="atLeast"/>
        <w:ind w:left="1138" w:right="1138" w:firstLine="0"/>
      </w:pPr>
      <w:r w:rsidRPr="006521D2">
        <w:t>Les forces de défense et de sécurité sont arrivées sur le territoire de Luiza début février 2017 dans le village de Nguema, secteur de Bambaie</w:t>
      </w:r>
      <w:r w:rsidRPr="007F1170">
        <w:rPr>
          <w:rStyle w:val="FootnoteReference"/>
        </w:rPr>
        <w:footnoteReference w:id="332"/>
      </w:r>
      <w:r w:rsidRPr="006521D2">
        <w:t>. Entre le 3 et 5 février 2017</w:t>
      </w:r>
      <w:r w:rsidR="00DD4A37">
        <w:t>,</w:t>
      </w:r>
      <w:r w:rsidRPr="006521D2">
        <w:t xml:space="preserve"> plusieurs affrontements violents entre les miliciens Kamuina Nsapu, en majorité des enfants</w:t>
      </w:r>
      <w:r w:rsidR="00DD4A37">
        <w:t xml:space="preserve"> soit </w:t>
      </w:r>
      <w:r w:rsidRPr="006521D2">
        <w:t xml:space="preserve">non armés </w:t>
      </w:r>
      <w:r w:rsidR="00DD4A37">
        <w:t>soit</w:t>
      </w:r>
      <w:r w:rsidRPr="006521D2">
        <w:t xml:space="preserve"> possession de </w:t>
      </w:r>
      <w:r>
        <w:t xml:space="preserve">bâtons, et les </w:t>
      </w:r>
      <w:r w:rsidRPr="006521D2">
        <w:t>FARDC ont eu lieu dans ce village causant la mort de plusieurs dizaines de miliciens</w:t>
      </w:r>
      <w:r w:rsidRPr="007F1170">
        <w:rPr>
          <w:rStyle w:val="FootnoteReference"/>
        </w:rPr>
        <w:footnoteReference w:id="333"/>
      </w:r>
      <w:r w:rsidRPr="00733957">
        <w:t xml:space="preserve">. </w:t>
      </w:r>
      <w:r w:rsidRPr="006521D2">
        <w:t xml:space="preserve">Au cours des mois suivants, d’autres </w:t>
      </w:r>
      <w:r w:rsidR="005B1D1D">
        <w:t>affrontements</w:t>
      </w:r>
      <w:r w:rsidR="005B1D1D" w:rsidRPr="006521D2">
        <w:t xml:space="preserve"> </w:t>
      </w:r>
      <w:r w:rsidRPr="006521D2">
        <w:t>ont eu lieu à Nguema entre les miliciens Kamuina Nsapu et les forces de défense et de sécurité qui ont fait plusieurs dizaines de morts chez les miliciens dont de nombreux enfants, garçons et filles</w:t>
      </w:r>
      <w:r w:rsidRPr="007F1170">
        <w:rPr>
          <w:rStyle w:val="FootnoteReference"/>
        </w:rPr>
        <w:footnoteReference w:id="334"/>
      </w:r>
      <w:r w:rsidRPr="006521D2">
        <w:t>.</w:t>
      </w:r>
      <w:r>
        <w:t xml:space="preserve"> </w:t>
      </w:r>
      <w:r w:rsidRPr="006521D2">
        <w:t>Trois sites contenant des fosses communes ont été identifiés par la MONUSCO à Nguema</w:t>
      </w:r>
      <w:r w:rsidRPr="007F1170">
        <w:rPr>
          <w:rStyle w:val="FootnoteReference"/>
        </w:rPr>
        <w:footnoteReference w:id="335"/>
      </w:r>
      <w:r>
        <w:t>.</w:t>
      </w:r>
    </w:p>
    <w:p w14:paraId="4A8EB80A" w14:textId="4F91E938" w:rsidR="00771DAE" w:rsidRDefault="00771DAE" w:rsidP="00BE7CAA">
      <w:pPr>
        <w:pStyle w:val="BodyText"/>
        <w:tabs>
          <w:tab w:val="left" w:pos="1559"/>
          <w:tab w:val="left" w:pos="1984"/>
          <w:tab w:val="left" w:leader="dot" w:pos="7654"/>
          <w:tab w:val="right" w:pos="8929"/>
        </w:tabs>
        <w:spacing w:line="240" w:lineRule="atLeast"/>
        <w:ind w:left="1138" w:right="1138" w:firstLine="0"/>
      </w:pPr>
      <w:r w:rsidRPr="00F3478F">
        <w:t xml:space="preserve">De </w:t>
      </w:r>
      <w:r w:rsidR="00DC1F5A">
        <w:t>nombreux affrontements</w:t>
      </w:r>
      <w:r w:rsidRPr="00F3478F">
        <w:t xml:space="preserve"> ont eu lieu </w:t>
      </w:r>
      <w:r w:rsidR="00DC1F5A">
        <w:t>dans</w:t>
      </w:r>
      <w:r w:rsidRPr="00F3478F">
        <w:t xml:space="preserve"> le territoire de Luiza en</w:t>
      </w:r>
      <w:r>
        <w:t>tre février et mi-juillet 2017</w:t>
      </w:r>
      <w:r w:rsidR="00DC1F5A">
        <w:t xml:space="preserve"> lorsque le village de Yangala a été repris</w:t>
      </w:r>
      <w:r>
        <w:t xml:space="preserve"> par</w:t>
      </w:r>
      <w:r w:rsidRPr="00F3478F">
        <w:t xml:space="preserve"> les FARDC</w:t>
      </w:r>
      <w:r w:rsidRPr="007F1170">
        <w:rPr>
          <w:rStyle w:val="FootnoteReference"/>
        </w:rPr>
        <w:footnoteReference w:id="336"/>
      </w:r>
      <w:r w:rsidRPr="00F3478F">
        <w:t xml:space="preserve">. </w:t>
      </w:r>
      <w:r w:rsidRPr="00DD57EB">
        <w:t xml:space="preserve">L’EEI a documenté </w:t>
      </w:r>
      <w:r>
        <w:t>certains</w:t>
      </w:r>
      <w:r w:rsidRPr="00DD57EB">
        <w:t xml:space="preserve"> </w:t>
      </w:r>
      <w:r w:rsidR="00DC1F5A">
        <w:t xml:space="preserve">affrontements </w:t>
      </w:r>
      <w:r w:rsidRPr="00DD57EB">
        <w:t>dans les villages de Kadon</w:t>
      </w:r>
      <w:r>
        <w:t xml:space="preserve">go, Masuika, Mubinza, Lumpungu </w:t>
      </w:r>
      <w:r w:rsidRPr="00DD57EB">
        <w:t xml:space="preserve">et Yangala. </w:t>
      </w:r>
      <w:r>
        <w:t>Fin mars/</w:t>
      </w:r>
      <w:r w:rsidRPr="00F3478F">
        <w:t xml:space="preserve">début avril 2017, les FARDC sont arrivés dans le village de Kadongo et les affrontements </w:t>
      </w:r>
      <w:r w:rsidR="00DC1F5A">
        <w:t xml:space="preserve">avec la milice Kamuina Nsapu </w:t>
      </w:r>
      <w:r>
        <w:t>ont</w:t>
      </w:r>
      <w:r w:rsidRPr="00F3478F">
        <w:t xml:space="preserve"> fait au moins 14 morts</w:t>
      </w:r>
      <w:r>
        <w:t>, y compris</w:t>
      </w:r>
      <w:r w:rsidRPr="00F3478F">
        <w:t xml:space="preserve"> des garçons et une femme</w:t>
      </w:r>
      <w:r w:rsidRPr="007F1170">
        <w:rPr>
          <w:rStyle w:val="FootnoteReference"/>
        </w:rPr>
        <w:footnoteReference w:id="337"/>
      </w:r>
      <w:r w:rsidRPr="00F3478F">
        <w:t>. Mi-février 2017</w:t>
      </w:r>
      <w:r>
        <w:t>,</w:t>
      </w:r>
      <w:r w:rsidRPr="00F3478F">
        <w:t xml:space="preserve"> dans les alentours de la mission catholique de Mubinza, plusieurs </w:t>
      </w:r>
      <w:r w:rsidR="005B1D1D">
        <w:t>affrontement</w:t>
      </w:r>
      <w:r w:rsidR="005B1D1D" w:rsidRPr="00F3478F">
        <w:t xml:space="preserve">s </w:t>
      </w:r>
      <w:r w:rsidRPr="00F3478F">
        <w:t>violents ont eu lieu entre les miliciens, en majorité des garçons et</w:t>
      </w:r>
      <w:r>
        <w:t xml:space="preserve"> des</w:t>
      </w:r>
      <w:r w:rsidRPr="00F3478F">
        <w:t xml:space="preserve"> filles, et les FARDC. Environ 13 miliciens ont été tués par les FARDC et un FARDC </w:t>
      </w:r>
      <w:r>
        <w:t xml:space="preserve">a été </w:t>
      </w:r>
      <w:r w:rsidRPr="00F3478F">
        <w:t>décapité par l</w:t>
      </w:r>
      <w:r>
        <w:t xml:space="preserve">es miliciens. Puis 12 miliciens, </w:t>
      </w:r>
      <w:r w:rsidR="00DC1F5A">
        <w:t>cinq</w:t>
      </w:r>
      <w:r w:rsidR="00DC1F5A" w:rsidRPr="00F3478F">
        <w:t xml:space="preserve"> filles et </w:t>
      </w:r>
      <w:r w:rsidR="00DC1F5A">
        <w:t>sept</w:t>
      </w:r>
      <w:r w:rsidR="00DC1F5A" w:rsidRPr="00F3478F">
        <w:t xml:space="preserve"> garçons</w:t>
      </w:r>
      <w:r w:rsidR="00DC1F5A">
        <w:t xml:space="preserve"> </w:t>
      </w:r>
      <w:r w:rsidRPr="00F3478F">
        <w:t>de 7 à 18 ans</w:t>
      </w:r>
      <w:r w:rsidR="00DC1F5A">
        <w:t>,</w:t>
      </w:r>
      <w:r w:rsidRPr="00F3478F">
        <w:t xml:space="preserve"> ont été tués lors d’un autre affrontement le 20 février 2017</w:t>
      </w:r>
      <w:r w:rsidRPr="007F1170">
        <w:rPr>
          <w:rStyle w:val="FootnoteReference"/>
        </w:rPr>
        <w:footnoteReference w:id="338"/>
      </w:r>
      <w:r w:rsidRPr="00F3478F">
        <w:t xml:space="preserve">. </w:t>
      </w:r>
      <w:r>
        <w:t>Un autre témoin indique avoir vu les cadavres de sept civils tués par balles à la suite à ces affrontements</w:t>
      </w:r>
      <w:r w:rsidRPr="007F1170">
        <w:rPr>
          <w:rStyle w:val="FootnoteReference"/>
        </w:rPr>
        <w:footnoteReference w:id="339"/>
      </w:r>
      <w:r>
        <w:t>.</w:t>
      </w:r>
    </w:p>
    <w:p w14:paraId="603731D8" w14:textId="7476A588" w:rsidR="00771DAE" w:rsidRPr="00BE7CAA" w:rsidRDefault="00771DAE" w:rsidP="00BE7CAA">
      <w:pPr>
        <w:pStyle w:val="BodyText"/>
        <w:tabs>
          <w:tab w:val="left" w:pos="1559"/>
          <w:tab w:val="left" w:pos="1984"/>
          <w:tab w:val="left" w:leader="dot" w:pos="7654"/>
          <w:tab w:val="right" w:pos="8929"/>
        </w:tabs>
        <w:spacing w:line="240" w:lineRule="atLeast"/>
        <w:ind w:left="1138" w:right="1138" w:firstLine="0"/>
      </w:pPr>
      <w:r w:rsidRPr="00012405">
        <w:t>Plusieurs affrontements entre les miliciens et les FARDC ont également eu lieu dans le village de Masuika lors de la reprise du village par les FARDC en avril ou mai 2017. Lors d’un affrontement</w:t>
      </w:r>
      <w:r>
        <w:t>,</w:t>
      </w:r>
      <w:r w:rsidRPr="00012405">
        <w:t xml:space="preserve"> au moins 17 miliciens Kamuina Nsapu, une grande majorité d</w:t>
      </w:r>
      <w:r w:rsidR="00CD06FD">
        <w:t>’</w:t>
      </w:r>
      <w:r w:rsidRPr="00012405">
        <w:t xml:space="preserve">enfants, dont certains </w:t>
      </w:r>
      <w:r w:rsidR="00CD06FD">
        <w:t>qui fuyaient</w:t>
      </w:r>
      <w:r w:rsidRPr="00012405">
        <w:t xml:space="preserve"> ont été tués par les FARDC</w:t>
      </w:r>
      <w:r>
        <w:t xml:space="preserve"> qui les pourchassaient</w:t>
      </w:r>
      <w:r w:rsidRPr="00012405">
        <w:t>. Les corps des miliciens ont été jetés dans les latrines</w:t>
      </w:r>
      <w:r w:rsidRPr="007F1170">
        <w:rPr>
          <w:rStyle w:val="FootnoteReference"/>
        </w:rPr>
        <w:footnoteReference w:id="340"/>
      </w:r>
      <w:r w:rsidRPr="00012405">
        <w:t xml:space="preserve"> </w:t>
      </w:r>
      <w:r w:rsidRPr="00DD57EB">
        <w:t xml:space="preserve">Dans la cité de Yangala, les FARDC sont intervenus </w:t>
      </w:r>
      <w:r w:rsidR="00CD06FD">
        <w:t>à la</w:t>
      </w:r>
      <w:r w:rsidRPr="00DD57EB">
        <w:t xml:space="preserve"> mi-juillet 2017. </w:t>
      </w:r>
      <w:r>
        <w:t>L</w:t>
      </w:r>
      <w:r w:rsidRPr="00DD57EB">
        <w:t xml:space="preserve">e bilan </w:t>
      </w:r>
      <w:r w:rsidR="00CD06FD">
        <w:t xml:space="preserve">affrontements </w:t>
      </w:r>
      <w:r>
        <w:t xml:space="preserve">n’est pas connu mais </w:t>
      </w:r>
      <w:r w:rsidRPr="00DD57EB">
        <w:t xml:space="preserve">trois fosses communes </w:t>
      </w:r>
      <w:r>
        <w:t>ont été localisées</w:t>
      </w:r>
      <w:r w:rsidRPr="00DD57EB">
        <w:t xml:space="preserve"> au niveau du domicile des prêt</w:t>
      </w:r>
      <w:r>
        <w:t>r</w:t>
      </w:r>
      <w:r w:rsidRPr="00DD57EB">
        <w:t>es catholiques</w:t>
      </w:r>
      <w:r w:rsidRPr="007F1170">
        <w:rPr>
          <w:rStyle w:val="FootnoteReference"/>
        </w:rPr>
        <w:footnoteReference w:id="341"/>
      </w:r>
      <w:r>
        <w:t>.</w:t>
      </w:r>
      <w:r w:rsidRPr="00DD57EB">
        <w:t xml:space="preserve"> Par ailleurs deux hommes</w:t>
      </w:r>
      <w:r w:rsidR="00CD06FD">
        <w:t xml:space="preserve"> originaires de Yangala</w:t>
      </w:r>
      <w:r w:rsidR="006560CD">
        <w:t xml:space="preserve"> </w:t>
      </w:r>
      <w:r w:rsidRPr="00DD57EB">
        <w:t>ont été tué</w:t>
      </w:r>
      <w:r w:rsidR="004D3D7D">
        <w:t>s</w:t>
      </w:r>
      <w:r w:rsidRPr="00DD57EB">
        <w:t xml:space="preserve"> et un autre blessé par balle par les FARDC alors qu’ils allaient chercher à manger pour les habitants qui s’étaient cach</w:t>
      </w:r>
      <w:r w:rsidR="00CD06FD">
        <w:t>és</w:t>
      </w:r>
      <w:r w:rsidRPr="00DD57EB">
        <w:t xml:space="preserve"> dans la brousse</w:t>
      </w:r>
      <w:r w:rsidRPr="007F1170">
        <w:rPr>
          <w:rStyle w:val="FootnoteReference"/>
        </w:rPr>
        <w:footnoteReference w:id="342"/>
      </w:r>
      <w:r w:rsidRPr="00DD57EB">
        <w:t>. Un autre homme a été tué pa</w:t>
      </w:r>
      <w:r w:rsidRPr="00233B91">
        <w:t>r les FARDC et une femme blessée par balle</w:t>
      </w:r>
      <w:r w:rsidRPr="007F1170">
        <w:rPr>
          <w:rStyle w:val="FootnoteReference"/>
        </w:rPr>
        <w:footnoteReference w:id="343"/>
      </w:r>
      <w:r>
        <w:t xml:space="preserve">. </w:t>
      </w:r>
      <w:r w:rsidRPr="00DD57EB">
        <w:t xml:space="preserve">Dans le village de Masalayi, quatre miliciens Kamuina Nsapu, deux hommes et deux enfants ont été tués par les FARDC en juillet 2017 </w:t>
      </w:r>
      <w:r>
        <w:t>lors d</w:t>
      </w:r>
      <w:r w:rsidR="0028654A">
        <w:t>’affrontements</w:t>
      </w:r>
      <w:r w:rsidRPr="00DD57EB">
        <w:t>. Une femme du village voisin de Malamba qui n’avait pas fui a été tuée par les FARDC</w:t>
      </w:r>
      <w:r w:rsidRPr="007F1170">
        <w:rPr>
          <w:rStyle w:val="FootnoteReference"/>
        </w:rPr>
        <w:footnoteReference w:id="344"/>
      </w:r>
      <w:r w:rsidRPr="00DD57EB">
        <w:t>.</w:t>
      </w:r>
      <w:r w:rsidRPr="00BE7CAA">
        <w:t xml:space="preserve"> </w:t>
      </w:r>
      <w:r w:rsidRPr="00012405">
        <w:t xml:space="preserve">En mai et juin 2017, plusieurs </w:t>
      </w:r>
      <w:r w:rsidR="00C262F1">
        <w:t>affrontements</w:t>
      </w:r>
      <w:r w:rsidR="00C262F1" w:rsidRPr="00012405">
        <w:t xml:space="preserve"> </w:t>
      </w:r>
      <w:r w:rsidRPr="00012405">
        <w:t xml:space="preserve">se sont déroulés dans le village de Kalemba-Mbuji au cours desquels plusieurs dizaines </w:t>
      </w:r>
      <w:r w:rsidR="00C262F1">
        <w:t xml:space="preserve">de miliciens </w:t>
      </w:r>
      <w:r w:rsidRPr="00012405">
        <w:t xml:space="preserve">y compris des filles et des garçons, ont perdu la vie. </w:t>
      </w:r>
      <w:r>
        <w:t>Les militaires ont</w:t>
      </w:r>
      <w:r w:rsidRPr="00DD57EB">
        <w:t xml:space="preserve"> achevé au sol certains miliciens blessés</w:t>
      </w:r>
      <w:r w:rsidRPr="007F1170">
        <w:rPr>
          <w:rStyle w:val="FootnoteReference"/>
        </w:rPr>
        <w:footnoteReference w:id="345"/>
      </w:r>
      <w:r>
        <w:t>.</w:t>
      </w:r>
    </w:p>
    <w:p w14:paraId="40801FFC" w14:textId="19CA432B" w:rsidR="00771DAE" w:rsidRPr="00C741B9" w:rsidRDefault="00771DAE" w:rsidP="00BE7CAA">
      <w:pPr>
        <w:pStyle w:val="BodyText"/>
        <w:tabs>
          <w:tab w:val="left" w:pos="1559"/>
          <w:tab w:val="left" w:pos="1984"/>
          <w:tab w:val="left" w:leader="dot" w:pos="7654"/>
          <w:tab w:val="right" w:pos="8929"/>
        </w:tabs>
        <w:spacing w:line="240" w:lineRule="atLeast"/>
        <w:ind w:left="1138" w:right="1138" w:firstLine="0"/>
      </w:pPr>
      <w:r>
        <w:t xml:space="preserve">L’EEI a par ailleurs collecté des allégations similaires concernant les villages de Mpungu, Tulumé, </w:t>
      </w:r>
      <w:r w:rsidRPr="00012405">
        <w:t>Kal</w:t>
      </w:r>
      <w:r w:rsidR="00FA2F05">
        <w:t>e</w:t>
      </w:r>
      <w:r w:rsidRPr="00012405">
        <w:t xml:space="preserve">mba </w:t>
      </w:r>
      <w:r w:rsidRPr="00B9453D">
        <w:t>Mbuji</w:t>
      </w:r>
      <w:r w:rsidRPr="00BE7CAA">
        <w:t xml:space="preserve"> </w:t>
      </w:r>
      <w:r>
        <w:t>et Musefu</w:t>
      </w:r>
      <w:r w:rsidRPr="007F1170">
        <w:rPr>
          <w:rStyle w:val="FootnoteReference"/>
        </w:rPr>
        <w:footnoteReference w:id="346"/>
      </w:r>
      <w:r w:rsidR="00C262F1">
        <w:t xml:space="preserve"> et </w:t>
      </w:r>
      <w:r w:rsidRPr="00C741B9">
        <w:t>estime que des centaines de miliciens Kamuina Nsapu, en majorité des enfants non armés ou en possession de simple</w:t>
      </w:r>
      <w:r w:rsidR="00E90C08">
        <w:t>s</w:t>
      </w:r>
      <w:r w:rsidRPr="00C741B9">
        <w:t xml:space="preserve"> bâtons</w:t>
      </w:r>
      <w:r>
        <w:t>,</w:t>
      </w:r>
      <w:r w:rsidRPr="00C741B9">
        <w:t xml:space="preserve"> ont été tués par les forces de défense et de sécurité au cours </w:t>
      </w:r>
      <w:r>
        <w:t>d</w:t>
      </w:r>
      <w:r w:rsidR="00C262F1">
        <w:t>’affrontements</w:t>
      </w:r>
      <w:r w:rsidRPr="00C741B9">
        <w:t xml:space="preserve"> sur le territoire de Luiza entre février et juillet 2017. </w:t>
      </w:r>
    </w:p>
    <w:p w14:paraId="0E57CB56" w14:textId="4AB634CB" w:rsidR="00771DAE" w:rsidRPr="00233B91" w:rsidRDefault="00771DAE" w:rsidP="00BE7CAA">
      <w:pPr>
        <w:pStyle w:val="BodyText"/>
        <w:tabs>
          <w:tab w:val="left" w:pos="1559"/>
          <w:tab w:val="left" w:pos="1984"/>
          <w:tab w:val="left" w:leader="dot" w:pos="7654"/>
          <w:tab w:val="right" w:pos="8929"/>
        </w:tabs>
        <w:spacing w:line="240" w:lineRule="atLeast"/>
        <w:ind w:left="1138" w:right="1138" w:firstLine="0"/>
      </w:pPr>
      <w:r w:rsidRPr="00233B91">
        <w:t>De nombreux civils</w:t>
      </w:r>
      <w:r>
        <w:t>, y compris des enfants,</w:t>
      </w:r>
      <w:r w:rsidRPr="00233B91">
        <w:t xml:space="preserve"> ont </w:t>
      </w:r>
      <w:r>
        <w:t>aussi</w:t>
      </w:r>
      <w:r w:rsidRPr="00233B91">
        <w:t xml:space="preserve"> perdu la vie</w:t>
      </w:r>
      <w:r>
        <w:t xml:space="preserve"> ou été blessé</w:t>
      </w:r>
      <w:r w:rsidR="00C262F1">
        <w:t>s</w:t>
      </w:r>
      <w:r w:rsidRPr="00233B91">
        <w:t xml:space="preserve"> </w:t>
      </w:r>
      <w:r w:rsidR="00C262F1">
        <w:t>lorsque les</w:t>
      </w:r>
      <w:r w:rsidRPr="00233B91">
        <w:t xml:space="preserve"> forces de défense et de sécurité</w:t>
      </w:r>
      <w:r w:rsidR="00C262F1">
        <w:t xml:space="preserve"> ont fait usage de leurs armes de manière indiscriminée</w:t>
      </w:r>
      <w:r>
        <w:t xml:space="preserve">, par exemple dans les villages de </w:t>
      </w:r>
      <w:r w:rsidRPr="00233B91">
        <w:t>Masuika</w:t>
      </w:r>
      <w:r>
        <w:t xml:space="preserve">, Kadimba, </w:t>
      </w:r>
      <w:r w:rsidR="00575075">
        <w:t xml:space="preserve">Muzodi, </w:t>
      </w:r>
      <w:r>
        <w:t xml:space="preserve">Nguema et </w:t>
      </w:r>
      <w:r w:rsidRPr="00BE7CAA">
        <w:t xml:space="preserve">entre Tshikombo et Tshibatabata </w:t>
      </w:r>
      <w:r w:rsidRPr="007F1170">
        <w:rPr>
          <w:rStyle w:val="FootnoteReference"/>
        </w:rPr>
        <w:footnoteReference w:id="347"/>
      </w:r>
      <w:r>
        <w:t>.</w:t>
      </w:r>
      <w:r w:rsidRPr="00233B91">
        <w:t xml:space="preserve"> </w:t>
      </w:r>
      <w:r w:rsidR="00575075">
        <w:t xml:space="preserve">Ainsi, </w:t>
      </w:r>
      <w:r w:rsidRPr="00233B91">
        <w:t xml:space="preserve">dans le village de Muzodi, le 7 avril 2017, les habitants avaient été réunis par les miliciens Kamuina Nsapu arrivés la veille dans le village. </w:t>
      </w:r>
      <w:r w:rsidR="00575075">
        <w:t xml:space="preserve">C’est alors que </w:t>
      </w:r>
      <w:r w:rsidRPr="00233B91">
        <w:t xml:space="preserve">les FARDC sont arrivés dans le village et ont ouvert le feu sans sommation et </w:t>
      </w:r>
      <w:r w:rsidR="00575075">
        <w:t>ont tiré en direction de toutes les personnes présentes et poursuivant les personnes qui s’échappaient en faisant usage de leurs armes</w:t>
      </w:r>
      <w:r w:rsidRPr="00233B91">
        <w:t xml:space="preserve">. </w:t>
      </w:r>
      <w:r w:rsidR="00575075">
        <w:t>L</w:t>
      </w:r>
      <w:r w:rsidRPr="00233B91">
        <w:t xml:space="preserve">es militaires </w:t>
      </w:r>
      <w:r w:rsidR="00575075">
        <w:t>ont ensuite</w:t>
      </w:r>
      <w:r w:rsidRPr="00233B91">
        <w:t xml:space="preserve"> parcouru le village</w:t>
      </w:r>
      <w:r w:rsidR="00575075">
        <w:t>,</w:t>
      </w:r>
      <w:r w:rsidRPr="00233B91">
        <w:t xml:space="preserve"> maison par maison </w:t>
      </w:r>
      <w:r w:rsidR="00575075">
        <w:t>et ont</w:t>
      </w:r>
      <w:r w:rsidRPr="00233B91">
        <w:t xml:space="preserve"> tué certains autres civils</w:t>
      </w:r>
      <w:r w:rsidR="00575075">
        <w:t xml:space="preserve">. Un témoin raconte qu’il a </w:t>
      </w:r>
      <w:r w:rsidRPr="00233B91">
        <w:t>été bless</w:t>
      </w:r>
      <w:r w:rsidR="00575075">
        <w:t>é</w:t>
      </w:r>
      <w:r w:rsidRPr="00233B91">
        <w:t xml:space="preserve"> à la jambe </w:t>
      </w:r>
      <w:r w:rsidR="00575075">
        <w:t xml:space="preserve">et au pied par quatre </w:t>
      </w:r>
      <w:r w:rsidRPr="00233B91">
        <w:t>balle</w:t>
      </w:r>
      <w:r w:rsidR="00575075">
        <w:t>s tirées</w:t>
      </w:r>
      <w:r w:rsidRPr="00233B91">
        <w:t xml:space="preserve"> par un militaire</w:t>
      </w:r>
      <w:r w:rsidRPr="007F1170">
        <w:rPr>
          <w:rStyle w:val="FootnoteReference"/>
        </w:rPr>
        <w:footnoteReference w:id="348"/>
      </w:r>
      <w:r w:rsidRPr="00233B91">
        <w:t>.</w:t>
      </w:r>
      <w:r w:rsidR="00575075">
        <w:t xml:space="preserve"> </w:t>
      </w:r>
      <w:r w:rsidRPr="00233B91">
        <w:t>Trois miliciens Kamuina Nsapu et plus d’une vingtaine d’habitants du village, dont des femmes enceintes, des enfants et un bébé de 8 mois ont perdu la vie</w:t>
      </w:r>
      <w:r w:rsidR="00575075">
        <w:t xml:space="preserve">, de </w:t>
      </w:r>
      <w:r w:rsidRPr="00233B91">
        <w:t>nombreux habitants ont également été blessés par balle. Plusieurs maisons ont également été brûlées</w:t>
      </w:r>
      <w:r w:rsidRPr="007F1170">
        <w:rPr>
          <w:rStyle w:val="FootnoteReference"/>
        </w:rPr>
        <w:footnoteReference w:id="349"/>
      </w:r>
      <w:r w:rsidRPr="00233B91">
        <w:t xml:space="preserve">. </w:t>
      </w:r>
    </w:p>
    <w:p w14:paraId="59204BFA" w14:textId="5F5D53D3" w:rsidR="00771DAE" w:rsidRDefault="00771DAE" w:rsidP="00BE7CAA">
      <w:pPr>
        <w:pStyle w:val="BodyText"/>
        <w:tabs>
          <w:tab w:val="left" w:pos="1559"/>
          <w:tab w:val="left" w:pos="1984"/>
          <w:tab w:val="left" w:leader="dot" w:pos="7654"/>
          <w:tab w:val="right" w:pos="8929"/>
        </w:tabs>
        <w:spacing w:line="240" w:lineRule="atLeast"/>
        <w:ind w:left="1138" w:right="1138" w:firstLine="0"/>
      </w:pPr>
      <w:r w:rsidRPr="00701E53">
        <w:t xml:space="preserve">Les </w:t>
      </w:r>
      <w:r w:rsidR="00CF502E">
        <w:t>FARDC</w:t>
      </w:r>
      <w:r w:rsidRPr="00701E53">
        <w:t xml:space="preserve"> ont pillé</w:t>
      </w:r>
      <w:r w:rsidRPr="007F1170">
        <w:rPr>
          <w:rStyle w:val="FootnoteReference"/>
        </w:rPr>
        <w:footnoteReference w:id="350"/>
      </w:r>
      <w:r>
        <w:t>,</w:t>
      </w:r>
      <w:r w:rsidRPr="00701E53">
        <w:t xml:space="preserve"> mais surtout systématiquement brûlé les villages dans lesquels ils étaient venus </w:t>
      </w:r>
      <w:r w:rsidR="00575075" w:rsidRPr="00701E53">
        <w:t>délog</w:t>
      </w:r>
      <w:r w:rsidR="00575075">
        <w:t>er</w:t>
      </w:r>
      <w:r w:rsidR="00575075" w:rsidRPr="00701E53">
        <w:t xml:space="preserve"> </w:t>
      </w:r>
      <w:r w:rsidRPr="00701E53">
        <w:t xml:space="preserve">les miliciens Kamuina Nsapu. </w:t>
      </w:r>
      <w:r>
        <w:t xml:space="preserve">Par exemple, après les affrontements </w:t>
      </w:r>
      <w:r w:rsidR="00CF502E">
        <w:t xml:space="preserve">dans le </w:t>
      </w:r>
      <w:r>
        <w:t xml:space="preserve">village de </w:t>
      </w:r>
      <w:r w:rsidRPr="00701E53">
        <w:t>Kadongo, les FARDC ont br</w:t>
      </w:r>
      <w:r w:rsidR="00FA2F05">
        <w:t>û</w:t>
      </w:r>
      <w:r w:rsidRPr="00701E53">
        <w:t>lé presque toutes les maisons</w:t>
      </w:r>
      <w:r>
        <w:t xml:space="preserve"> du village</w:t>
      </w:r>
      <w:r w:rsidRPr="00701E53">
        <w:t>,</w:t>
      </w:r>
      <w:r>
        <w:t xml:space="preserve"> environ</w:t>
      </w:r>
      <w:r w:rsidRPr="00701E53">
        <w:t xml:space="preserve"> une centaine</w:t>
      </w:r>
      <w:r w:rsidRPr="007F1170">
        <w:rPr>
          <w:rStyle w:val="FootnoteReference"/>
        </w:rPr>
        <w:footnoteReference w:id="351"/>
      </w:r>
      <w:r w:rsidRPr="00701E53">
        <w:t xml:space="preserve">. </w:t>
      </w:r>
      <w:r>
        <w:t>L</w:t>
      </w:r>
      <w:r w:rsidR="00DB37FF">
        <w:t>es FARDC ont totalement brûlé</w:t>
      </w:r>
      <w:r w:rsidRPr="00701E53">
        <w:t xml:space="preserve"> les trois villages de la mission catholique de Moma et</w:t>
      </w:r>
      <w:r>
        <w:t xml:space="preserve"> ainsi</w:t>
      </w:r>
      <w:r w:rsidRPr="00701E53">
        <w:t xml:space="preserve"> au moins 370 maisons </w:t>
      </w:r>
      <w:r w:rsidR="00CF502E">
        <w:t>ont été détruites</w:t>
      </w:r>
      <w:r w:rsidRPr="00701E53">
        <w:t xml:space="preserve">. Une femme </w:t>
      </w:r>
      <w:r w:rsidR="00DB37FF">
        <w:t>de 80 ans</w:t>
      </w:r>
      <w:r w:rsidRPr="00701E53">
        <w:t xml:space="preserve"> </w:t>
      </w:r>
      <w:r>
        <w:t xml:space="preserve">restée </w:t>
      </w:r>
      <w:r w:rsidR="00CF502E">
        <w:t xml:space="preserve">prisonnière de sa maison en flammes </w:t>
      </w:r>
      <w:r w:rsidRPr="00701E53">
        <w:t xml:space="preserve">est </w:t>
      </w:r>
      <w:r>
        <w:t>décédée</w:t>
      </w:r>
      <w:r w:rsidR="00CF502E">
        <w:t>, brûlée vive</w:t>
      </w:r>
      <w:r w:rsidRPr="007F1170">
        <w:rPr>
          <w:rStyle w:val="FootnoteReference"/>
        </w:rPr>
        <w:footnoteReference w:id="352"/>
      </w:r>
      <w:r w:rsidRPr="00701E53">
        <w:t xml:space="preserve">. De nombreuses maisons ont également été brûlées à Masuika lors </w:t>
      </w:r>
      <w:r>
        <w:t>l’</w:t>
      </w:r>
      <w:r w:rsidRPr="00701E53">
        <w:t xml:space="preserve">intervention </w:t>
      </w:r>
      <w:r>
        <w:t>des FARDC</w:t>
      </w:r>
      <w:r w:rsidRPr="007F1170">
        <w:rPr>
          <w:rStyle w:val="FootnoteReference"/>
        </w:rPr>
        <w:footnoteReference w:id="353"/>
      </w:r>
      <w:r w:rsidRPr="00701E53">
        <w:t xml:space="preserve">. En juillet 2017, le village de Masala a été entièrement détruit par </w:t>
      </w:r>
      <w:r>
        <w:t>le feu là encore,</w:t>
      </w:r>
      <w:r w:rsidRPr="00701E53">
        <w:t xml:space="preserve"> suite à</w:t>
      </w:r>
      <w:r>
        <w:t xml:space="preserve"> une opération des</w:t>
      </w:r>
      <w:r w:rsidRPr="00701E53">
        <w:t xml:space="preserve"> FARDC</w:t>
      </w:r>
      <w:r w:rsidRPr="007F1170">
        <w:rPr>
          <w:rStyle w:val="FootnoteReference"/>
        </w:rPr>
        <w:footnoteReference w:id="354"/>
      </w:r>
      <w:r w:rsidRPr="00701E53">
        <w:t xml:space="preserve"> D’autres villages, </w:t>
      </w:r>
      <w:r>
        <w:t>tels que</w:t>
      </w:r>
      <w:r w:rsidRPr="00701E53">
        <w:t xml:space="preserve"> Yangala</w:t>
      </w:r>
      <w:r>
        <w:t>,</w:t>
      </w:r>
      <w:r w:rsidRPr="00701E53">
        <w:t xml:space="preserve"> Bakalomba, Muanda Muji, Kalemba-Mbuji</w:t>
      </w:r>
      <w:r>
        <w:t>,</w:t>
      </w:r>
      <w:r w:rsidRPr="00701E53">
        <w:t xml:space="preserve"> Mbalu et Ntumba </w:t>
      </w:r>
      <w:r>
        <w:t>près</w:t>
      </w:r>
      <w:r w:rsidRPr="00701E53">
        <w:t xml:space="preserve"> de la</w:t>
      </w:r>
      <w:r>
        <w:t xml:space="preserve"> mission catholique de Mubinza et le </w:t>
      </w:r>
      <w:r w:rsidRPr="00701E53">
        <w:t>groupement de Pikan Mbuji</w:t>
      </w:r>
      <w:r>
        <w:t>,</w:t>
      </w:r>
      <w:r w:rsidRPr="00701E53">
        <w:t xml:space="preserve"> </w:t>
      </w:r>
      <w:r>
        <w:t>ont</w:t>
      </w:r>
      <w:r w:rsidRPr="00701E53">
        <w:t xml:space="preserve"> été partiellement brûlés par les FARDC</w:t>
      </w:r>
      <w:r w:rsidRPr="007F1170">
        <w:rPr>
          <w:rStyle w:val="FootnoteReference"/>
        </w:rPr>
        <w:footnoteReference w:id="355"/>
      </w:r>
      <w:r>
        <w:t xml:space="preserve">. </w:t>
      </w:r>
      <w:r w:rsidRPr="00C741B9">
        <w:t>Au regard des éléments collectés, le nombre de village</w:t>
      </w:r>
      <w:r w:rsidR="00CF502E">
        <w:t>s</w:t>
      </w:r>
      <w:r w:rsidRPr="00C741B9">
        <w:t xml:space="preserve"> détruits par les FARDC serait de plusieurs dizaines et le nombre d’habitations br</w:t>
      </w:r>
      <w:r w:rsidR="00FA2F05">
        <w:t>û</w:t>
      </w:r>
      <w:r w:rsidRPr="00C741B9">
        <w:t>lé</w:t>
      </w:r>
      <w:r w:rsidR="00CF502E">
        <w:t>e</w:t>
      </w:r>
      <w:r w:rsidRPr="00C741B9">
        <w:t>s de plusieurs milliers</w:t>
      </w:r>
      <w:r w:rsidRPr="007F1170">
        <w:rPr>
          <w:rStyle w:val="FootnoteReference"/>
        </w:rPr>
        <w:footnoteReference w:id="356"/>
      </w:r>
      <w:r w:rsidRPr="00C741B9">
        <w:t xml:space="preserve">. </w:t>
      </w:r>
      <w:r>
        <w:t xml:space="preserve">Le nombre de maisons et villages brûlés sur le territoire de Luiza est très élevé et sans commune mesure avec ce que l’EEI a documenté dans d’autres territoires. </w:t>
      </w:r>
      <w:r w:rsidR="00CF502E">
        <w:t>L’EEI estime qu’il</w:t>
      </w:r>
      <w:r>
        <w:t xml:space="preserve"> s’agissait d’une stratégie délibérée des FARDC, dans le but de punir les villages dans lesquels les miliciens Kamuina Nsapu avaient installé des tshiota.</w:t>
      </w:r>
    </w:p>
    <w:p w14:paraId="470F9654" w14:textId="4856AE6D" w:rsidR="00771DAE" w:rsidRPr="00233B91" w:rsidRDefault="00771DAE" w:rsidP="00BE7CAA">
      <w:pPr>
        <w:pStyle w:val="BodyText"/>
        <w:tabs>
          <w:tab w:val="left" w:pos="1559"/>
          <w:tab w:val="left" w:pos="1984"/>
          <w:tab w:val="left" w:leader="dot" w:pos="7654"/>
          <w:tab w:val="right" w:pos="8929"/>
        </w:tabs>
        <w:spacing w:line="240" w:lineRule="atLeast"/>
        <w:ind w:left="1138" w:right="1138" w:firstLine="0"/>
        <w:rPr>
          <w:shd w:val="clear" w:color="auto" w:fill="F6F6F6"/>
        </w:rPr>
      </w:pPr>
      <w:r>
        <w:t xml:space="preserve">Des cas de viols </w:t>
      </w:r>
      <w:r w:rsidRPr="00DD57EB">
        <w:t>collectifs</w:t>
      </w:r>
      <w:r>
        <w:t xml:space="preserve"> commis </w:t>
      </w:r>
      <w:r w:rsidRPr="00DD57EB">
        <w:t>par des FAR</w:t>
      </w:r>
      <w:r>
        <w:t xml:space="preserve">DC ont </w:t>
      </w:r>
      <w:r w:rsidRPr="00DD57EB">
        <w:t>été documentés dans les villages de Kadongo, Masuika, et Yangala.</w:t>
      </w:r>
      <w:r w:rsidRPr="00CE5A6E">
        <w:t xml:space="preserve"> </w:t>
      </w:r>
      <w:r>
        <w:t>D</w:t>
      </w:r>
      <w:r w:rsidRPr="00CE5A6E">
        <w:t>ans le village de Kadongo,</w:t>
      </w:r>
      <w:r>
        <w:t xml:space="preserve"> juste</w:t>
      </w:r>
      <w:r w:rsidRPr="00CE5A6E">
        <w:t xml:space="preserve"> après l’</w:t>
      </w:r>
      <w:r>
        <w:t xml:space="preserve">opération </w:t>
      </w:r>
      <w:r w:rsidRPr="00BE7CAA">
        <w:rPr>
          <w:rStyle w:val="FootnoteReference"/>
        </w:rPr>
        <w:t>militaire</w:t>
      </w:r>
      <w:r w:rsidRPr="00CE5A6E">
        <w:t xml:space="preserve">, une femme qui venait d’accoucher a été violée par deux éléments FARDC. </w:t>
      </w:r>
      <w:r w:rsidR="00CF502E">
        <w:t xml:space="preserve">Une </w:t>
      </w:r>
      <w:r w:rsidRPr="00CE5A6E">
        <w:t xml:space="preserve">autre femme a </w:t>
      </w:r>
      <w:r w:rsidR="00CF502E">
        <w:t xml:space="preserve">également </w:t>
      </w:r>
      <w:r w:rsidRPr="00CE5A6E">
        <w:t xml:space="preserve">été violée par deux éléments FARDC </w:t>
      </w:r>
      <w:r w:rsidR="00CF502E">
        <w:t xml:space="preserve">dans des circonstances similaires </w:t>
      </w:r>
      <w:r w:rsidRPr="00CE5A6E">
        <w:t>à la même période</w:t>
      </w:r>
      <w:r w:rsidRPr="007F1170">
        <w:rPr>
          <w:rStyle w:val="FootnoteReference"/>
        </w:rPr>
        <w:footnoteReference w:id="357"/>
      </w:r>
      <w:r w:rsidRPr="00CE5A6E">
        <w:t xml:space="preserve">. Deux femmes auraient été violées dans le village de Masuika et plusieurs jeunes filles mineures abusées par les FARDC </w:t>
      </w:r>
      <w:r w:rsidR="00CF502E">
        <w:t>alors qu’ils stationnaient dans le village</w:t>
      </w:r>
      <w:r w:rsidRPr="007F1170">
        <w:rPr>
          <w:rStyle w:val="FootnoteReference"/>
        </w:rPr>
        <w:footnoteReference w:id="358"/>
      </w:r>
      <w:r w:rsidRPr="004D3D7D">
        <w:t xml:space="preserve">. </w:t>
      </w:r>
      <w:r w:rsidR="00CF502E" w:rsidRPr="004D3D7D">
        <w:t>Deux éléments FARDC ont violée une jeune fille mineure lors</w:t>
      </w:r>
      <w:r w:rsidRPr="004D3D7D">
        <w:t xml:space="preserve"> de l’intervention des FARDC dans la cité de Yangala. Le viol a été</w:t>
      </w:r>
      <w:r w:rsidRPr="00DD57EB">
        <w:t xml:space="preserve"> dénoncé à la hiérarchie militaire mais </w:t>
      </w:r>
      <w:r w:rsidR="00E87055">
        <w:t>au jour du d</w:t>
      </w:r>
      <w:r w:rsidR="00DB37FF">
        <w:t>épart de cette unité de Yangala</w:t>
      </w:r>
      <w:r w:rsidR="00E87055">
        <w:t xml:space="preserve"> </w:t>
      </w:r>
      <w:r w:rsidRPr="00DD57EB">
        <w:t>aucune sanction n’a</w:t>
      </w:r>
      <w:r w:rsidR="00E87055">
        <w:t>vait</w:t>
      </w:r>
      <w:r w:rsidRPr="00DD57EB">
        <w:t xml:space="preserve"> été infligée aux auteurs</w:t>
      </w:r>
      <w:r w:rsidRPr="007F1170">
        <w:rPr>
          <w:rStyle w:val="FootnoteReference"/>
        </w:rPr>
        <w:footnoteReference w:id="359"/>
      </w:r>
      <w:r w:rsidRPr="00DD57EB">
        <w:t>.</w:t>
      </w:r>
    </w:p>
    <w:p w14:paraId="3C06EC8F" w14:textId="6FD78293" w:rsidR="00771DAE" w:rsidRPr="00FE5E8D" w:rsidRDefault="00771DAE" w:rsidP="00BC668B">
      <w:pPr>
        <w:pStyle w:val="Heading3"/>
        <w:spacing w:before="240" w:line="240" w:lineRule="exact"/>
        <w:ind w:left="1138" w:right="1138" w:hanging="571"/>
        <w:rPr>
          <w:b/>
        </w:rPr>
      </w:pPr>
      <w:r w:rsidRPr="00FE5E8D">
        <w:rPr>
          <w:b/>
        </w:rPr>
        <w:t>Province du Kasaï Oriental</w:t>
      </w:r>
    </w:p>
    <w:p w14:paraId="70ADEDD5" w14:textId="2BE13F8F" w:rsidR="00771DAE" w:rsidRPr="00233B91" w:rsidRDefault="00771DAE" w:rsidP="00BE7CAA">
      <w:pPr>
        <w:pStyle w:val="BodyText"/>
        <w:tabs>
          <w:tab w:val="left" w:pos="1559"/>
          <w:tab w:val="left" w:pos="1984"/>
          <w:tab w:val="left" w:leader="dot" w:pos="7654"/>
          <w:tab w:val="right" w:pos="8929"/>
        </w:tabs>
        <w:spacing w:line="240" w:lineRule="atLeast"/>
        <w:ind w:left="1138" w:right="1138" w:firstLine="0"/>
      </w:pPr>
      <w:r w:rsidRPr="00233B91">
        <w:t xml:space="preserve">Dans la première partie de l’année 2017, la milice Kamuina Nsapu a continué </w:t>
      </w:r>
      <w:r w:rsidR="00B07142">
        <w:t xml:space="preserve">à </w:t>
      </w:r>
      <w:r w:rsidRPr="00233B91">
        <w:t xml:space="preserve">être active au Kasaï Oriental, en particulier </w:t>
      </w:r>
      <w:r w:rsidR="00B07142">
        <w:t>dans</w:t>
      </w:r>
      <w:r w:rsidR="00B07142" w:rsidRPr="00233B91">
        <w:t xml:space="preserve"> </w:t>
      </w:r>
      <w:r w:rsidRPr="00233B91">
        <w:t>le territoire de Kabeya-Kambwanga</w:t>
      </w:r>
      <w:r w:rsidRPr="007F1170">
        <w:rPr>
          <w:rStyle w:val="FootnoteReference"/>
        </w:rPr>
        <w:footnoteReference w:id="360"/>
      </w:r>
      <w:r w:rsidRPr="00233B91">
        <w:t xml:space="preserve">. L’EEI a reçu des allégations d’exactions commises par les miliciens Kamuina Nsapu, notamment des décapitations, ainsi que d’affrontements entre les forces de défense et de sécurité et les miliciens </w:t>
      </w:r>
      <w:r>
        <w:t>et</w:t>
      </w:r>
      <w:r w:rsidR="00B07142">
        <w:t xml:space="preserve"> d’exécutions sommaires de civils</w:t>
      </w:r>
      <w:r w:rsidRPr="007F1170">
        <w:rPr>
          <w:rStyle w:val="FootnoteReference"/>
        </w:rPr>
        <w:footnoteReference w:id="361"/>
      </w:r>
      <w:r w:rsidRPr="00233B91">
        <w:t>. Elle considère que des enquêtes plus approfondies sur ces allégations sont nécessaires.</w:t>
      </w:r>
    </w:p>
    <w:p w14:paraId="5B89F3F2" w14:textId="681935A1" w:rsidR="00771DAE" w:rsidRPr="00233B91" w:rsidRDefault="00771DAE" w:rsidP="00BE7CAA">
      <w:pPr>
        <w:pStyle w:val="BodyText"/>
        <w:tabs>
          <w:tab w:val="left" w:pos="1559"/>
          <w:tab w:val="left" w:pos="1984"/>
          <w:tab w:val="left" w:leader="dot" w:pos="7654"/>
          <w:tab w:val="right" w:pos="8929"/>
        </w:tabs>
        <w:spacing w:line="240" w:lineRule="atLeast"/>
        <w:ind w:left="1138" w:right="1138" w:firstLine="0"/>
      </w:pPr>
      <w:r>
        <w:t>L</w:t>
      </w:r>
      <w:r w:rsidRPr="00233B91">
        <w:t xml:space="preserve">’EEI a documenté un cas d’exécution sommaire et plusieurs cas de viols commis par les FARDC </w:t>
      </w:r>
      <w:r w:rsidR="00B07142">
        <w:t>sur</w:t>
      </w:r>
      <w:r w:rsidRPr="00233B91">
        <w:t xml:space="preserve"> des civils lors d’opérations militaires </w:t>
      </w:r>
      <w:r w:rsidR="00B07142">
        <w:t>dans</w:t>
      </w:r>
      <w:r w:rsidR="00B07142" w:rsidRPr="00233B91">
        <w:t xml:space="preserve"> </w:t>
      </w:r>
      <w:r w:rsidRPr="00233B91">
        <w:t xml:space="preserve">le territoire de Miabi. Ainsi à Miteka, en juin 2017, </w:t>
      </w:r>
      <w:r w:rsidR="00B07142">
        <w:t xml:space="preserve">lors d’une opération </w:t>
      </w:r>
      <w:r w:rsidRPr="00233B91">
        <w:t xml:space="preserve">des FARDC, </w:t>
      </w:r>
      <w:r w:rsidR="00B07142">
        <w:t xml:space="preserve">ils ont </w:t>
      </w:r>
      <w:r w:rsidRPr="00233B91">
        <w:t>sommairement exéc</w:t>
      </w:r>
      <w:r>
        <w:t xml:space="preserve">uté </w:t>
      </w:r>
      <w:r w:rsidR="00B07142" w:rsidRPr="00233B91">
        <w:t xml:space="preserve">un homme </w:t>
      </w:r>
      <w:r w:rsidR="00B07142">
        <w:t xml:space="preserve">qui fuyait le </w:t>
      </w:r>
      <w:r w:rsidRPr="00233B91">
        <w:t>village. Sa femme a ensuite été violée par trois FARDC</w:t>
      </w:r>
      <w:r w:rsidRPr="007F1170">
        <w:rPr>
          <w:rStyle w:val="FootnoteReference"/>
        </w:rPr>
        <w:footnoteReference w:id="362"/>
      </w:r>
      <w:r w:rsidRPr="00233B91">
        <w:t>. Toujours à Miteka à la même période, une femme a croisé une douzaine de FARDC sans sa fuite. Après lui avoir demandé si elle voulait ou non mourir, ils l’ont déshabillé</w:t>
      </w:r>
      <w:r w:rsidR="00DB37FF">
        <w:t>e</w:t>
      </w:r>
      <w:r w:rsidRPr="00233B91">
        <w:t>, fait</w:t>
      </w:r>
      <w:r w:rsidR="00DB37FF">
        <w:t>e</w:t>
      </w:r>
      <w:r w:rsidRPr="00233B91">
        <w:t xml:space="preserve"> tomber par terre et violée devant l’un de ses enfants</w:t>
      </w:r>
      <w:r w:rsidRPr="007F1170">
        <w:rPr>
          <w:rStyle w:val="FootnoteReference"/>
        </w:rPr>
        <w:footnoteReference w:id="363"/>
      </w:r>
      <w:r w:rsidRPr="00233B91">
        <w:t>. En janvier 2017, dans le village de Bena Niandu, six FARDC</w:t>
      </w:r>
      <w:r w:rsidR="00DF250E">
        <w:t xml:space="preserve"> s’exprimant en lingala</w:t>
      </w:r>
      <w:r w:rsidRPr="00233B91">
        <w:t xml:space="preserve"> se sont introduits dans une maison. Après avoir demandé à l’une des femmes</w:t>
      </w:r>
      <w:r w:rsidR="00DF250E">
        <w:t xml:space="preserve"> s’y trouvant </w:t>
      </w:r>
      <w:r w:rsidRPr="00233B91">
        <w:t>de choisir entre la vie et la mort, ils l’ont frappée avec un objet dans le bas du dos et fauché. A</w:t>
      </w:r>
      <w:r w:rsidR="00B07142">
        <w:t>lors qu’elle était à</w:t>
      </w:r>
      <w:r w:rsidRPr="00233B91">
        <w:t xml:space="preserve"> terre, ils l’ont violé</w:t>
      </w:r>
      <w:r>
        <w:t>e</w:t>
      </w:r>
      <w:r w:rsidRPr="00233B91">
        <w:t xml:space="preserve"> tour à tour</w:t>
      </w:r>
      <w:r w:rsidRPr="007F1170">
        <w:rPr>
          <w:rStyle w:val="FootnoteReference"/>
        </w:rPr>
        <w:footnoteReference w:id="364"/>
      </w:r>
      <w:r w:rsidRPr="00233B91">
        <w:t>.</w:t>
      </w:r>
    </w:p>
    <w:p w14:paraId="56607696" w14:textId="250E453C" w:rsidR="00771DAE" w:rsidRPr="00233B91" w:rsidRDefault="00771DAE" w:rsidP="00BE7CAA">
      <w:pPr>
        <w:pStyle w:val="BodyText"/>
        <w:tabs>
          <w:tab w:val="left" w:pos="1559"/>
          <w:tab w:val="left" w:pos="1984"/>
          <w:tab w:val="left" w:leader="dot" w:pos="7654"/>
          <w:tab w:val="right" w:pos="8929"/>
        </w:tabs>
        <w:spacing w:line="240" w:lineRule="atLeast"/>
        <w:ind w:left="1138" w:right="1138" w:firstLine="0"/>
      </w:pPr>
      <w:r w:rsidRPr="00233B91">
        <w:t>Sur le territoire de Tshilenge, l’EEI a en particulier documenté plusieurs cas de recrutement d’enfants</w:t>
      </w:r>
      <w:r w:rsidR="00DF250E">
        <w:t>,</w:t>
      </w:r>
      <w:r w:rsidRPr="007222C1">
        <w:t xml:space="preserve"> </w:t>
      </w:r>
      <w:r w:rsidR="00DF250E" w:rsidRPr="00233B91">
        <w:t xml:space="preserve">dont des filles, </w:t>
      </w:r>
      <w:r w:rsidRPr="00233B91">
        <w:t>dans la milice Kamuina Nsapu dans les villages de Bena Tshisuaka et de Nyoka</w:t>
      </w:r>
      <w:r>
        <w:t xml:space="preserve"> en mai-juin 2017</w:t>
      </w:r>
      <w:r w:rsidRPr="007F1170">
        <w:rPr>
          <w:rStyle w:val="FootnoteReference"/>
        </w:rPr>
        <w:footnoteReference w:id="365"/>
      </w:r>
      <w:r w:rsidRPr="00233B91">
        <w:t>. Les enfants</w:t>
      </w:r>
      <w:r>
        <w:t>, qui</w:t>
      </w:r>
      <w:r w:rsidRPr="00233B91">
        <w:t xml:space="preserve"> </w:t>
      </w:r>
      <w:r>
        <w:t>venaient</w:t>
      </w:r>
      <w:r w:rsidRPr="00233B91">
        <w:t xml:space="preserve"> de villages avoisinants ou de Bena Tshisuaka</w:t>
      </w:r>
      <w:r>
        <w:t>,</w:t>
      </w:r>
      <w:r w:rsidRPr="00233B91">
        <w:t xml:space="preserve"> ont été forcé</w:t>
      </w:r>
      <w:r>
        <w:t>s,</w:t>
      </w:r>
      <w:r w:rsidRPr="00233B91">
        <w:t xml:space="preserve"> parfois </w:t>
      </w:r>
      <w:r w:rsidR="00DF250E">
        <w:t xml:space="preserve">menacés </w:t>
      </w:r>
      <w:r>
        <w:t>de mort,</w:t>
      </w:r>
      <w:r w:rsidRPr="00233B91">
        <w:t xml:space="preserve"> d’accepter le baptême. Un</w:t>
      </w:r>
      <w:r w:rsidR="00DF250E">
        <w:t>e jeune fille</w:t>
      </w:r>
      <w:r w:rsidRPr="00233B91">
        <w:t xml:space="preserve"> raconte que le jour de son baptême</w:t>
      </w:r>
      <w:r>
        <w:t>,</w:t>
      </w:r>
      <w:r w:rsidRPr="00233B91">
        <w:t xml:space="preserve"> il y avait quelques adultes mais surtout des enfants âgés de 9 à 12 ans</w:t>
      </w:r>
      <w:r w:rsidRPr="007F1170">
        <w:rPr>
          <w:rStyle w:val="FootnoteReference"/>
        </w:rPr>
        <w:footnoteReference w:id="366"/>
      </w:r>
      <w:r w:rsidRPr="00233B91">
        <w:t xml:space="preserve">. Les enfants </w:t>
      </w:r>
      <w:r w:rsidR="00DF250E">
        <w:t>rencontrés par l’EEI</w:t>
      </w:r>
      <w:r w:rsidR="00DF250E" w:rsidRPr="00233B91">
        <w:t xml:space="preserve"> </w:t>
      </w:r>
      <w:r w:rsidRPr="00233B91">
        <w:t xml:space="preserve">ont </w:t>
      </w:r>
      <w:r>
        <w:t>tous combattus contre les FARDC et ont parfois tué</w:t>
      </w:r>
      <w:r w:rsidR="00DF250E">
        <w:t xml:space="preserve"> des personnes</w:t>
      </w:r>
      <w:r>
        <w:t>.</w:t>
      </w:r>
      <w:r w:rsidRPr="00233B91">
        <w:t xml:space="preserve"> </w:t>
      </w:r>
      <w:r>
        <w:t>C</w:t>
      </w:r>
      <w:r w:rsidRPr="00233B91">
        <w:t>ertaines filles</w:t>
      </w:r>
      <w:r w:rsidR="00DF250E">
        <w:t xml:space="preserve"> racontent qu’elles</w:t>
      </w:r>
      <w:r w:rsidRPr="00233B91">
        <w:t xml:space="preserve"> </w:t>
      </w:r>
      <w:r>
        <w:t xml:space="preserve">ont été utilisées </w:t>
      </w:r>
      <w:r w:rsidRPr="00233B91">
        <w:t xml:space="preserve">comme </w:t>
      </w:r>
      <w:r w:rsidR="00DB37FF">
        <w:t>« </w:t>
      </w:r>
      <w:r w:rsidR="000B02B8" w:rsidRPr="00BE7CAA">
        <w:t>y</w:t>
      </w:r>
      <w:r w:rsidRPr="00BE7CAA">
        <w:t xml:space="preserve">a </w:t>
      </w:r>
      <w:r w:rsidR="000B02B8" w:rsidRPr="00BE7CAA">
        <w:t>m</w:t>
      </w:r>
      <w:r w:rsidRPr="00BE7CAA">
        <w:t>ama</w:t>
      </w:r>
      <w:r w:rsidR="00DB37FF">
        <w:t> »</w:t>
      </w:r>
      <w:r w:rsidR="00DF250E">
        <w:t>,</w:t>
      </w:r>
      <w:r>
        <w:t xml:space="preserve"> </w:t>
      </w:r>
      <w:r w:rsidR="00DF250E">
        <w:t>c’est-</w:t>
      </w:r>
      <w:r>
        <w:t>à</w:t>
      </w:r>
      <w:r w:rsidR="00DF250E">
        <w:t>-</w:t>
      </w:r>
      <w:r>
        <w:t>dire</w:t>
      </w:r>
      <w:r w:rsidRPr="00233B91">
        <w:t xml:space="preserve"> </w:t>
      </w:r>
      <w:r w:rsidR="00DF250E">
        <w:t xml:space="preserve">qu’elles étaient en première ligne des combats </w:t>
      </w:r>
      <w:r w:rsidRPr="00233B91">
        <w:t xml:space="preserve">chargées d’arrêter les balles des </w:t>
      </w:r>
      <w:r>
        <w:t>FARDC</w:t>
      </w:r>
      <w:r w:rsidRPr="00233B91">
        <w:t xml:space="preserve"> avec leurs jupes</w:t>
      </w:r>
      <w:r w:rsidRPr="007F1170">
        <w:rPr>
          <w:rStyle w:val="FootnoteReference"/>
        </w:rPr>
        <w:footnoteReference w:id="367"/>
      </w:r>
      <w:r w:rsidRPr="00233B91">
        <w:t xml:space="preserve">. </w:t>
      </w:r>
      <w:r w:rsidR="00DF250E">
        <w:t>Lorsqu’il n’y avait pas</w:t>
      </w:r>
      <w:r w:rsidRPr="00233B91">
        <w:t xml:space="preserve"> </w:t>
      </w:r>
      <w:r w:rsidR="00DF250E">
        <w:t>d’</w:t>
      </w:r>
      <w:r w:rsidRPr="00233B91">
        <w:t>affrontement</w:t>
      </w:r>
      <w:r>
        <w:t>,</w:t>
      </w:r>
      <w:r w:rsidRPr="00233B91">
        <w:t xml:space="preserve"> les enfants travaillaient </w:t>
      </w:r>
      <w:r w:rsidR="00DF250E">
        <w:t>aux champs</w:t>
      </w:r>
      <w:r w:rsidRPr="00233B91">
        <w:t xml:space="preserve"> ou</w:t>
      </w:r>
      <w:r>
        <w:t xml:space="preserve"> </w:t>
      </w:r>
      <w:r w:rsidR="00DF250E">
        <w:t>cuisinaient</w:t>
      </w:r>
      <w:r w:rsidRPr="007F1170">
        <w:rPr>
          <w:rStyle w:val="FootnoteReference"/>
        </w:rPr>
        <w:footnoteReference w:id="368"/>
      </w:r>
      <w:r w:rsidRPr="00233B91">
        <w:t>. Une fille de 14 ans raconte : « les miliciens coupaient le sexe des militaires qui avaient été tués mais c’était le plus souvent le sexe des militaires gradés qu’ils coupaient. Ensuite les sexes étaient grillés et mangés. Les garçons coupaient les sexes et les donnaient aux filles. Le sang des victimes était bu. La peau des militaires était séchée puis réduite en poudre et ensuite cette poudre était mélangée à de l’huile de palme. Ensuite on nous mettait ce mélange dans la bouche ou sur le front. Ça nous faisait perdre connaissance et ça nous donnait la haine</w:t>
      </w:r>
      <w:r w:rsidRPr="008779AB">
        <w:rPr>
          <w:lang w:eastAsia="fr-FR"/>
        </w:rPr>
        <w:t>”</w:t>
      </w:r>
      <w:r w:rsidRPr="007F1170">
        <w:rPr>
          <w:rStyle w:val="FootnoteReference"/>
        </w:rPr>
        <w:footnoteReference w:id="369"/>
      </w:r>
      <w:r w:rsidRPr="008779AB">
        <w:rPr>
          <w:lang w:eastAsia="fr-FR"/>
        </w:rPr>
        <w:t>.</w:t>
      </w:r>
    </w:p>
    <w:p w14:paraId="4DB23301" w14:textId="69D0777B" w:rsidR="00771DAE" w:rsidRPr="00FE5E8D" w:rsidRDefault="00771DAE" w:rsidP="00BC668B">
      <w:pPr>
        <w:pStyle w:val="Heading3"/>
        <w:spacing w:before="240" w:line="240" w:lineRule="exact"/>
        <w:ind w:left="1138" w:right="1138" w:hanging="571"/>
        <w:rPr>
          <w:b/>
        </w:rPr>
      </w:pPr>
      <w:r w:rsidRPr="00FE5E8D">
        <w:rPr>
          <w:b/>
        </w:rPr>
        <w:t xml:space="preserve">Province </w:t>
      </w:r>
      <w:r w:rsidR="00AB33F7" w:rsidRPr="00FE5E8D">
        <w:rPr>
          <w:b/>
        </w:rPr>
        <w:t>de</w:t>
      </w:r>
      <w:r w:rsidRPr="00FE5E8D">
        <w:rPr>
          <w:b/>
        </w:rPr>
        <w:t xml:space="preserve"> Lomami</w:t>
      </w:r>
    </w:p>
    <w:p w14:paraId="485B9763" w14:textId="77832DEF" w:rsidR="00771DAE" w:rsidRDefault="00771DAE" w:rsidP="00BE7CAA">
      <w:pPr>
        <w:pStyle w:val="BodyText"/>
        <w:tabs>
          <w:tab w:val="left" w:pos="1559"/>
          <w:tab w:val="left" w:pos="1984"/>
          <w:tab w:val="left" w:leader="dot" w:pos="7654"/>
          <w:tab w:val="right" w:pos="8929"/>
        </w:tabs>
        <w:spacing w:line="240" w:lineRule="atLeast"/>
        <w:ind w:left="1138" w:right="1138" w:firstLine="0"/>
      </w:pPr>
      <w:r w:rsidRPr="0066210B">
        <w:t>Entre mars et juin 2017, la mi</w:t>
      </w:r>
      <w:r>
        <w:t xml:space="preserve">lice Kamuina Nsapu était présente </w:t>
      </w:r>
      <w:r w:rsidRPr="0066210B">
        <w:t>dans la Province</w:t>
      </w:r>
      <w:r w:rsidR="001167FD">
        <w:t xml:space="preserve"> de</w:t>
      </w:r>
      <w:r w:rsidRPr="0066210B">
        <w:t xml:space="preserve"> Lomami, en particulier </w:t>
      </w:r>
      <w:r>
        <w:t>dans</w:t>
      </w:r>
      <w:r w:rsidRPr="0066210B">
        <w:t xml:space="preserve"> le territoire de Luilu</w:t>
      </w:r>
      <w:r w:rsidRPr="007F1170">
        <w:rPr>
          <w:rStyle w:val="FootnoteReference"/>
        </w:rPr>
        <w:footnoteReference w:id="370"/>
      </w:r>
      <w:r w:rsidRPr="0066210B">
        <w:t>.</w:t>
      </w:r>
      <w:r>
        <w:t xml:space="preserve"> Elle est arrivée </w:t>
      </w:r>
      <w:r w:rsidR="007017B7">
        <w:t>du</w:t>
      </w:r>
      <w:r>
        <w:t xml:space="preserve"> territoire de Luiza, au Kasaï </w:t>
      </w:r>
      <w:r w:rsidR="00E442FD">
        <w:t>C</w:t>
      </w:r>
      <w:r>
        <w:t>entral, où les miliciens étaient particulièrement actifs à cette période</w:t>
      </w:r>
      <w:r w:rsidRPr="007F1170">
        <w:rPr>
          <w:rStyle w:val="FootnoteReference"/>
        </w:rPr>
        <w:footnoteReference w:id="371"/>
      </w:r>
      <w:r w:rsidR="007017B7">
        <w:t>. P</w:t>
      </w:r>
      <w:r>
        <w:t xml:space="preserve">lusieurs recrues du territoire de Luilu sont </w:t>
      </w:r>
      <w:r w:rsidR="00F11C6E">
        <w:t>allées</w:t>
      </w:r>
      <w:r>
        <w:t xml:space="preserve"> accomplir la cérémonie du baptême</w:t>
      </w:r>
      <w:r w:rsidR="007017B7" w:rsidRPr="007017B7">
        <w:t xml:space="preserve"> </w:t>
      </w:r>
      <w:r w:rsidR="007017B7">
        <w:t>au tshiota de la cité de Yangala</w:t>
      </w:r>
      <w:r w:rsidRPr="007F1170">
        <w:rPr>
          <w:rStyle w:val="FootnoteReference"/>
        </w:rPr>
        <w:footnoteReference w:id="372"/>
      </w:r>
      <w:r>
        <w:t xml:space="preserve">. </w:t>
      </w:r>
      <w:r w:rsidR="007017B7">
        <w:t>L</w:t>
      </w:r>
      <w:r>
        <w:t xml:space="preserve">e chef Kamuina Nsapu du territoire de Luiza, se revendiquant de la famille Kamuina Nsapu et originaire du territoire de Dibaya, </w:t>
      </w:r>
      <w:r w:rsidR="007017B7">
        <w:t>est</w:t>
      </w:r>
      <w:r>
        <w:t xml:space="preserve"> mentionné comme le principal chef Kamuina Nsapu dans le territoire de Luil</w:t>
      </w:r>
      <w:r w:rsidR="007017B7">
        <w:t>u</w:t>
      </w:r>
      <w:r w:rsidRPr="007F1170">
        <w:rPr>
          <w:rStyle w:val="FootnoteReference"/>
        </w:rPr>
        <w:footnoteReference w:id="373"/>
      </w:r>
      <w:r>
        <w:t>.</w:t>
      </w:r>
    </w:p>
    <w:p w14:paraId="7CCB8BA0" w14:textId="64D28520" w:rsidR="00771DAE" w:rsidRPr="009D7D82" w:rsidRDefault="00771DAE" w:rsidP="00BE7CAA">
      <w:pPr>
        <w:pStyle w:val="BodyText"/>
        <w:tabs>
          <w:tab w:val="left" w:pos="1559"/>
          <w:tab w:val="left" w:pos="1984"/>
          <w:tab w:val="left" w:leader="dot" w:pos="7654"/>
          <w:tab w:val="right" w:pos="8929"/>
        </w:tabs>
        <w:spacing w:line="240" w:lineRule="atLeast"/>
        <w:ind w:left="1138" w:right="1138" w:firstLine="0"/>
      </w:pPr>
      <w:r w:rsidRPr="009D7D82">
        <w:t xml:space="preserve">Le niveau de violence </w:t>
      </w:r>
      <w:r>
        <w:t xml:space="preserve">et de cruauté </w:t>
      </w:r>
      <w:r w:rsidRPr="009D7D82">
        <w:t>auquel a recours la milice Kamuina Nsapu contre les populations civiles croît avec son expansion vers des territoires où la population non-lubaphone est importante. Le recrutement dans la milice Kamuina Nsapu se fait systématiquement par la force ou la contrainte</w:t>
      </w:r>
      <w:r w:rsidRPr="007F1170">
        <w:rPr>
          <w:rStyle w:val="FootnoteReference"/>
        </w:rPr>
        <w:footnoteReference w:id="374"/>
      </w:r>
      <w:r w:rsidRPr="009D7D82">
        <w:t xml:space="preserve">. Les chefs de villages sont </w:t>
      </w:r>
      <w:r>
        <w:t>l</w:t>
      </w:r>
      <w:r w:rsidRPr="009D7D82">
        <w:t xml:space="preserve">oin d’être les seuls visés et les habitants, même les enfants, qui refusaient d’adhérer au mouvement Kamuina Nsapu </w:t>
      </w:r>
      <w:r w:rsidR="007017B7">
        <w:t>sont</w:t>
      </w:r>
      <w:r w:rsidR="007017B7" w:rsidRPr="009D7D82">
        <w:t xml:space="preserve"> </w:t>
      </w:r>
      <w:r w:rsidRPr="009D7D82">
        <w:t>tués</w:t>
      </w:r>
      <w:r w:rsidRPr="007F1170">
        <w:rPr>
          <w:rStyle w:val="FootnoteReference"/>
        </w:rPr>
        <w:footnoteReference w:id="375"/>
      </w:r>
      <w:r w:rsidRPr="009D7D82">
        <w:t xml:space="preserve">. Un témoin raconte ainsi qu’après avoir été arrêté par des miliciens Kamuina Nsapu dans le village de Mwena Kangala et avoir dû dénoncer la cachette de sa famille, </w:t>
      </w:r>
      <w:r w:rsidR="007017B7">
        <w:t>ils</w:t>
      </w:r>
      <w:r w:rsidRPr="009D7D82">
        <w:t xml:space="preserve"> sont </w:t>
      </w:r>
      <w:r>
        <w:t>revenus avec ses deux grands frè</w:t>
      </w:r>
      <w:r w:rsidRPr="009D7D82">
        <w:t>res</w:t>
      </w:r>
      <w:r>
        <w:t>,</w:t>
      </w:r>
      <w:r w:rsidRPr="009D7D82">
        <w:t xml:space="preserve"> son petit frère de cinq ans et sa mère, son père ayant été décapité. Les miliciens Kamuina Nsapu ont ensuite égorgé les quatre membres de sa famille dont son petit frère de cinq ans</w:t>
      </w:r>
      <w:r>
        <w:t>.</w:t>
      </w:r>
      <w:r w:rsidRPr="009D7D82">
        <w:t xml:space="preserve"> </w:t>
      </w:r>
      <w:r>
        <w:t>L</w:t>
      </w:r>
      <w:r w:rsidRPr="009D7D82">
        <w:t>e témoin</w:t>
      </w:r>
      <w:r>
        <w:t xml:space="preserve"> a dû</w:t>
      </w:r>
      <w:r w:rsidRPr="009D7D82">
        <w:t xml:space="preserve"> transporter la tête et le bras de </w:t>
      </w:r>
      <w:r>
        <w:t>sa mère jusqu’au village de Yan</w:t>
      </w:r>
      <w:r w:rsidRPr="009D7D82">
        <w:t>gala</w:t>
      </w:r>
      <w:r w:rsidRPr="007F1170">
        <w:rPr>
          <w:rStyle w:val="FootnoteReference"/>
        </w:rPr>
        <w:footnoteReference w:id="376"/>
      </w:r>
      <w:r w:rsidRPr="009D7D82">
        <w:t xml:space="preserve">. Un </w:t>
      </w:r>
      <w:r w:rsidR="007017B7">
        <w:t xml:space="preserve">garçon </w:t>
      </w:r>
      <w:r w:rsidR="00DB37FF">
        <w:t>de 16</w:t>
      </w:r>
      <w:r w:rsidRPr="009D7D82">
        <w:t xml:space="preserve"> ans au moment des évènements, raconte comment il a été enrôlé de force dans le village de Kaboya, à 60 km de Mwene Dit</w:t>
      </w:r>
      <w:r>
        <w:t>u, avant d’être envoyé à Yangala</w:t>
      </w:r>
      <w:r w:rsidRPr="009D7D82">
        <w:t xml:space="preserve"> pour son baptême. </w:t>
      </w:r>
      <w:r>
        <w:t>I</w:t>
      </w:r>
      <w:r w:rsidRPr="009D7D82">
        <w:t xml:space="preserve">l a été </w:t>
      </w:r>
      <w:r>
        <w:t xml:space="preserve">ensuite été </w:t>
      </w:r>
      <w:r w:rsidRPr="009D7D82">
        <w:t>envoyé</w:t>
      </w:r>
      <w:r>
        <w:t>,</w:t>
      </w:r>
      <w:r w:rsidRPr="009D7D82">
        <w:t xml:space="preserve"> avec d’autres miliciens Kamuina Nsapu</w:t>
      </w:r>
      <w:r>
        <w:t>,</w:t>
      </w:r>
      <w:r w:rsidRPr="009D7D82">
        <w:t xml:space="preserve"> combattre les FARDC à Lunda dans la Province </w:t>
      </w:r>
      <w:r w:rsidR="007017B7" w:rsidRPr="009D7D82">
        <w:t>d</w:t>
      </w:r>
      <w:r w:rsidR="007017B7">
        <w:t>e</w:t>
      </w:r>
      <w:r w:rsidR="007017B7" w:rsidRPr="009D7D82">
        <w:t xml:space="preserve"> </w:t>
      </w:r>
      <w:r w:rsidRPr="009D7D82">
        <w:t>Luluaba</w:t>
      </w:r>
      <w:r>
        <w:t>.</w:t>
      </w:r>
      <w:r w:rsidRPr="009D7D82">
        <w:t xml:space="preserve"> </w:t>
      </w:r>
      <w:r>
        <w:t>A</w:t>
      </w:r>
      <w:r w:rsidRPr="009D7D82">
        <w:t xml:space="preserve">u cours </w:t>
      </w:r>
      <w:r>
        <w:t xml:space="preserve">de ces </w:t>
      </w:r>
      <w:r w:rsidR="007017B7">
        <w:t>affrontements,</w:t>
      </w:r>
      <w:r w:rsidR="007017B7" w:rsidRPr="009D7D82">
        <w:t xml:space="preserve"> </w:t>
      </w:r>
      <w:r w:rsidRPr="009D7D82">
        <w:t xml:space="preserve">20 miliciens </w:t>
      </w:r>
      <w:r>
        <w:t>auraient perdu la vie</w:t>
      </w:r>
      <w:r w:rsidRPr="009D7D82">
        <w:t xml:space="preserve"> dont cinq filles. Lors de cette opération, un </w:t>
      </w:r>
      <w:r w:rsidR="007017B7">
        <w:t>« </w:t>
      </w:r>
      <w:r w:rsidRPr="009D7D82">
        <w:t>capitaine</w:t>
      </w:r>
      <w:r w:rsidR="007017B7">
        <w:t> »</w:t>
      </w:r>
      <w:r w:rsidRPr="009D7D82">
        <w:t xml:space="preserve"> </w:t>
      </w:r>
      <w:r>
        <w:t xml:space="preserve">était en charge sur le terrain et il </w:t>
      </w:r>
      <w:r w:rsidR="007017B7">
        <w:t>faisait rapport</w:t>
      </w:r>
      <w:r w:rsidRPr="009D7D82">
        <w:t xml:space="preserve"> au chef Kamuina Nsapu </w:t>
      </w:r>
      <w:r>
        <w:t>du</w:t>
      </w:r>
      <w:r w:rsidRPr="009D7D82">
        <w:t xml:space="preserve"> territoire de Luiza</w:t>
      </w:r>
      <w:r w:rsidRPr="007F1170">
        <w:rPr>
          <w:rStyle w:val="FootnoteReference"/>
        </w:rPr>
        <w:footnoteReference w:id="377"/>
      </w:r>
      <w:r w:rsidRPr="009D7D82">
        <w:t>.</w:t>
      </w:r>
    </w:p>
    <w:p w14:paraId="27B87116" w14:textId="7832EC76" w:rsidR="00771DAE" w:rsidRPr="00DA1AEF" w:rsidRDefault="00771DAE" w:rsidP="00BE7CAA">
      <w:pPr>
        <w:pStyle w:val="BodyText"/>
        <w:tabs>
          <w:tab w:val="left" w:pos="1559"/>
          <w:tab w:val="left" w:pos="1984"/>
          <w:tab w:val="left" w:leader="dot" w:pos="7654"/>
          <w:tab w:val="right" w:pos="8929"/>
        </w:tabs>
        <w:spacing w:line="240" w:lineRule="atLeast"/>
        <w:ind w:left="1138" w:right="1138" w:firstLine="0"/>
      </w:pPr>
      <w:r w:rsidRPr="00DA1AEF">
        <w:t>Loin des règles imposées par le mouvement sur le territoire de Dibaya dans les premiers mois du conflit, des cas de viols commis par les miliciens Kamuina Nsapu sont rapportés sur le territoire de Luil</w:t>
      </w:r>
      <w:r w:rsidR="007017B7">
        <w:t>u</w:t>
      </w:r>
      <w:r w:rsidRPr="00DA1AEF">
        <w:t xml:space="preserve">. Par exemple, dans le village de Kaesa, un groupe de quatre femmes </w:t>
      </w:r>
      <w:r>
        <w:t>a été stoppé par des miliciens</w:t>
      </w:r>
      <w:r w:rsidRPr="00DA1AEF">
        <w:t xml:space="preserve"> Kamuina Nsapu qui leur ont demandé si elles voulaient vivre ou mourir.</w:t>
      </w:r>
      <w:r w:rsidR="007017B7">
        <w:t xml:space="preserve"> Ayant répondu qu’elles choisissaient la vie, l</w:t>
      </w:r>
      <w:r w:rsidRPr="00DA1AEF">
        <w:t>es quatre femmes ont</w:t>
      </w:r>
      <w:r>
        <w:t xml:space="preserve"> toutes </w:t>
      </w:r>
      <w:r w:rsidRPr="00DA1AEF">
        <w:t>été violées par deux miliciens</w:t>
      </w:r>
      <w:r w:rsidRPr="007F1170">
        <w:rPr>
          <w:rStyle w:val="FootnoteReference"/>
        </w:rPr>
        <w:footnoteReference w:id="378"/>
      </w:r>
      <w:r w:rsidRPr="00DA1AEF">
        <w:t>. Plusieurs civils ont aussi été blessés ou tués par les miliciens Kamuina Nsapu pour ne pas avoir respecté les règles imposées ou</w:t>
      </w:r>
      <w:r>
        <w:t xml:space="preserve"> pour avoir été</w:t>
      </w:r>
      <w:r w:rsidRPr="00DA1AEF">
        <w:t xml:space="preserve"> accusés d’être des féticheurs</w:t>
      </w:r>
      <w:r w:rsidRPr="007F1170">
        <w:rPr>
          <w:rStyle w:val="FootnoteReference"/>
        </w:rPr>
        <w:footnoteReference w:id="379"/>
      </w:r>
      <w:r>
        <w:t>.</w:t>
      </w:r>
    </w:p>
    <w:p w14:paraId="69D72B7C" w14:textId="77B59750" w:rsidR="00771DAE" w:rsidRPr="00AE284A" w:rsidRDefault="00771DAE" w:rsidP="00BE7CAA">
      <w:pPr>
        <w:pStyle w:val="BodyText"/>
        <w:tabs>
          <w:tab w:val="left" w:pos="1559"/>
          <w:tab w:val="left" w:pos="1984"/>
          <w:tab w:val="left" w:leader="dot" w:pos="7654"/>
          <w:tab w:val="right" w:pos="8929"/>
        </w:tabs>
        <w:spacing w:line="240" w:lineRule="atLeast"/>
        <w:ind w:left="1138" w:right="1138" w:firstLine="0"/>
      </w:pPr>
      <w:r w:rsidRPr="00BE7CAA">
        <w:t xml:space="preserve">Les enfants recrutés dans la milice sur le territoire de </w:t>
      </w:r>
      <w:r w:rsidR="00421059" w:rsidRPr="00BE7CAA">
        <w:t xml:space="preserve">Luilu </w:t>
      </w:r>
      <w:r w:rsidRPr="00BE7CAA">
        <w:t xml:space="preserve">ont été utilisés dans des affrontements contre les forces de défense et de sécurité, en particulier dans les villages de Tshilondu, de Mulundu et </w:t>
      </w:r>
      <w:r w:rsidR="00421059" w:rsidRPr="00BE7CAA">
        <w:t xml:space="preserve">dans la zone située </w:t>
      </w:r>
      <w:r w:rsidRPr="00BE7CAA">
        <w:t>entre les villages de Kajaganye et de Tshidulu</w:t>
      </w:r>
      <w:r w:rsidRPr="007F1170">
        <w:rPr>
          <w:rStyle w:val="FootnoteReference"/>
        </w:rPr>
        <w:footnoteReference w:id="380"/>
      </w:r>
      <w:r w:rsidRPr="00BE7CAA">
        <w:t xml:space="preserve">. </w:t>
      </w:r>
      <w:r w:rsidRPr="00AE284A">
        <w:t xml:space="preserve">L’EEI a collecté des témoignages sur des </w:t>
      </w:r>
      <w:r w:rsidR="00421059">
        <w:t xml:space="preserve">affrontements </w:t>
      </w:r>
      <w:r w:rsidRPr="00AE284A">
        <w:t xml:space="preserve">dans les villages de Mahola, de Kadia Bilula, et dans un village </w:t>
      </w:r>
      <w:r w:rsidR="00421059">
        <w:t>près de</w:t>
      </w:r>
      <w:r w:rsidRPr="00AE284A">
        <w:t xml:space="preserve"> Kamuena, au cours desquels des miliciens Kamuina Nsapu, mais aussi des civils</w:t>
      </w:r>
      <w:r w:rsidR="00F11C6E">
        <w:t>,</w:t>
      </w:r>
      <w:r w:rsidRPr="00AE284A">
        <w:t xml:space="preserve"> auraient perdu la vie</w:t>
      </w:r>
      <w:r w:rsidRPr="007F1170">
        <w:rPr>
          <w:rStyle w:val="FootnoteReference"/>
        </w:rPr>
        <w:footnoteReference w:id="381"/>
      </w:r>
      <w:r w:rsidRPr="00AE284A">
        <w:t>. D’autres allégations crédibles</w:t>
      </w:r>
      <w:r>
        <w:t xml:space="preserve"> reçues</w:t>
      </w:r>
      <w:r w:rsidRPr="00AE284A">
        <w:t xml:space="preserve"> suggèrent que les exactions commises par les forces de défense et de sécurité </w:t>
      </w:r>
      <w:r>
        <w:t xml:space="preserve">dans le cadre d’affrontements et </w:t>
      </w:r>
      <w:r w:rsidRPr="00AE284A">
        <w:t xml:space="preserve">contre la population civile seraient d’une ampleur plus importante que les éléments collectés </w:t>
      </w:r>
      <w:r>
        <w:t>par l’EEI. Elle</w:t>
      </w:r>
      <w:r w:rsidRPr="00AE284A">
        <w:t xml:space="preserve"> </w:t>
      </w:r>
      <w:r>
        <w:t>considère que des enquêtes supplémentaires sont nécessaires</w:t>
      </w:r>
      <w:r w:rsidRPr="00AE284A">
        <w:t xml:space="preserve"> dans la cité </w:t>
      </w:r>
      <w:r>
        <w:t>de Mwene Ditu, ainsi que dans les villages de</w:t>
      </w:r>
      <w:r w:rsidR="00924EDC">
        <w:t xml:space="preserve"> Wi</w:t>
      </w:r>
      <w:r w:rsidRPr="00AE284A">
        <w:t>kong, Mulundu et Tshidienga</w:t>
      </w:r>
      <w:r w:rsidRPr="007F1170">
        <w:rPr>
          <w:rStyle w:val="FootnoteReference"/>
        </w:rPr>
        <w:footnoteReference w:id="382"/>
      </w:r>
      <w:r w:rsidRPr="00AE284A">
        <w:t xml:space="preserve">. </w:t>
      </w:r>
      <w:r w:rsidRPr="00BE7CAA">
        <w:t xml:space="preserve">L’EEI a aussi documenté un cas de viol </w:t>
      </w:r>
      <w:r w:rsidR="00421059" w:rsidRPr="00BE7CAA">
        <w:t xml:space="preserve">commis </w:t>
      </w:r>
      <w:r w:rsidRPr="00BE7CAA">
        <w:t xml:space="preserve">par un </w:t>
      </w:r>
      <w:r w:rsidR="00421059" w:rsidRPr="00BE7CAA">
        <w:t xml:space="preserve">élément </w:t>
      </w:r>
      <w:r w:rsidRPr="00BE7CAA">
        <w:t xml:space="preserve">FARDC dans la cité de Mwene-Ditu en juin 2017. Le viol a été dénoncé et le FARDC a été arrêté par sa hiérarchie. Il a été jugé et condamné à 20 ans </w:t>
      </w:r>
      <w:r w:rsidR="00421059" w:rsidRPr="00BE7CAA">
        <w:t>de servitude pénale</w:t>
      </w:r>
      <w:r w:rsidRPr="007F1170">
        <w:rPr>
          <w:rStyle w:val="FootnoteReference"/>
        </w:rPr>
        <w:footnoteReference w:id="383"/>
      </w:r>
      <w:r w:rsidRPr="00AE284A">
        <w:t xml:space="preserve">. </w:t>
      </w:r>
      <w:r w:rsidRPr="00BE7CAA">
        <w:t xml:space="preserve">Enfin, </w:t>
      </w:r>
      <w:r w:rsidR="000007D0" w:rsidRPr="00BE7CAA">
        <w:t>des témoins ont rapporté qu’u</w:t>
      </w:r>
      <w:r w:rsidRPr="00BE7CAA">
        <w:t>ne</w:t>
      </w:r>
      <w:r w:rsidRPr="00AE284A">
        <w:rPr>
          <w:rFonts w:eastAsiaTheme="minorHAnsi"/>
        </w:rPr>
        <w:t xml:space="preserve"> milice Ma</w:t>
      </w:r>
      <w:r w:rsidR="006560CD">
        <w:rPr>
          <w:rFonts w:eastAsiaTheme="minorHAnsi"/>
        </w:rPr>
        <w:t>ï</w:t>
      </w:r>
      <w:r w:rsidRPr="00AE284A">
        <w:rPr>
          <w:rFonts w:eastAsiaTheme="minorHAnsi"/>
        </w:rPr>
        <w:t>-Ma</w:t>
      </w:r>
      <w:r w:rsidR="006560CD">
        <w:rPr>
          <w:rFonts w:eastAsiaTheme="minorHAnsi"/>
        </w:rPr>
        <w:t>ï</w:t>
      </w:r>
      <w:r>
        <w:rPr>
          <w:rFonts w:eastAsiaTheme="minorHAnsi"/>
        </w:rPr>
        <w:t>,</w:t>
      </w:r>
      <w:r w:rsidRPr="00AE284A">
        <w:rPr>
          <w:rFonts w:eastAsiaTheme="minorHAnsi"/>
        </w:rPr>
        <w:t xml:space="preserve"> composée </w:t>
      </w:r>
      <w:r w:rsidR="000007D0">
        <w:rPr>
          <w:rFonts w:eastAsiaTheme="minorHAnsi"/>
        </w:rPr>
        <w:t xml:space="preserve">de personnes </w:t>
      </w:r>
      <w:r w:rsidRPr="00AE284A">
        <w:rPr>
          <w:rFonts w:eastAsiaTheme="minorHAnsi"/>
        </w:rPr>
        <w:t>de l’ethnie Kanyoka</w:t>
      </w:r>
      <w:r w:rsidR="000007D0">
        <w:rPr>
          <w:rFonts w:eastAsiaTheme="minorHAnsi"/>
        </w:rPr>
        <w:t xml:space="preserve"> s’était orga</w:t>
      </w:r>
      <w:r w:rsidRPr="00AE284A">
        <w:rPr>
          <w:rFonts w:eastAsiaTheme="minorHAnsi"/>
        </w:rPr>
        <w:t>nisé</w:t>
      </w:r>
      <w:r w:rsidR="000007D0">
        <w:rPr>
          <w:rFonts w:eastAsiaTheme="minorHAnsi"/>
        </w:rPr>
        <w:t>e</w:t>
      </w:r>
      <w:r w:rsidRPr="00AE284A">
        <w:rPr>
          <w:rFonts w:eastAsiaTheme="minorHAnsi"/>
        </w:rPr>
        <w:t xml:space="preserve"> pour combattre les miliciens Kamuina Nsapu dans la province </w:t>
      </w:r>
      <w:r w:rsidR="001167FD">
        <w:rPr>
          <w:rFonts w:eastAsiaTheme="minorHAnsi"/>
        </w:rPr>
        <w:t>de</w:t>
      </w:r>
      <w:r w:rsidRPr="00AE284A">
        <w:rPr>
          <w:rFonts w:eastAsiaTheme="minorHAnsi"/>
        </w:rPr>
        <w:t xml:space="preserve"> Lomami</w:t>
      </w:r>
      <w:r w:rsidR="000007D0">
        <w:rPr>
          <w:rFonts w:eastAsiaTheme="minorHAnsi"/>
        </w:rPr>
        <w:t xml:space="preserve"> et que certains de ses membres </w:t>
      </w:r>
      <w:r>
        <w:rPr>
          <w:rFonts w:eastAsiaTheme="minorHAnsi"/>
        </w:rPr>
        <w:t>ont</w:t>
      </w:r>
      <w:r w:rsidRPr="00AE284A">
        <w:rPr>
          <w:rFonts w:eastAsiaTheme="minorHAnsi"/>
        </w:rPr>
        <w:t xml:space="preserve"> commis des exactions contre </w:t>
      </w:r>
      <w:r w:rsidR="000007D0">
        <w:rPr>
          <w:rFonts w:eastAsiaTheme="minorHAnsi"/>
        </w:rPr>
        <w:t>des</w:t>
      </w:r>
      <w:r>
        <w:rPr>
          <w:rFonts w:eastAsiaTheme="minorHAnsi"/>
        </w:rPr>
        <w:t xml:space="preserve"> membres de la population </w:t>
      </w:r>
      <w:r w:rsidRPr="00AE284A">
        <w:rPr>
          <w:rFonts w:eastAsiaTheme="minorHAnsi"/>
        </w:rPr>
        <w:t xml:space="preserve">qu’ils soupçonnaient d’avoir adhérer au mouvement Kamuina Nsapu. Deux </w:t>
      </w:r>
      <w:r w:rsidR="000007D0">
        <w:rPr>
          <w:rFonts w:eastAsiaTheme="minorHAnsi"/>
        </w:rPr>
        <w:t>femmes ont été violées par des membres de cette milice Ma</w:t>
      </w:r>
      <w:r w:rsidR="006560CD">
        <w:rPr>
          <w:rFonts w:eastAsiaTheme="minorHAnsi"/>
        </w:rPr>
        <w:t>ï</w:t>
      </w:r>
      <w:r w:rsidR="000007D0">
        <w:rPr>
          <w:rFonts w:eastAsiaTheme="minorHAnsi"/>
        </w:rPr>
        <w:t>-Ma</w:t>
      </w:r>
      <w:r w:rsidR="006560CD">
        <w:rPr>
          <w:rFonts w:eastAsiaTheme="minorHAnsi"/>
        </w:rPr>
        <w:t>ï</w:t>
      </w:r>
      <w:r w:rsidRPr="007F1170">
        <w:rPr>
          <w:rStyle w:val="FootnoteReference"/>
        </w:rPr>
        <w:footnoteReference w:id="384"/>
      </w:r>
      <w:r w:rsidRPr="00AE284A">
        <w:t>.</w:t>
      </w:r>
    </w:p>
    <w:p w14:paraId="7EAC33B9" w14:textId="50B955FE" w:rsidR="00771DAE" w:rsidRPr="0084066A" w:rsidRDefault="00771DAE" w:rsidP="00BE7CAA">
      <w:pPr>
        <w:pStyle w:val="Heading3"/>
        <w:spacing w:before="240" w:line="240" w:lineRule="exact"/>
        <w:ind w:left="1138" w:right="1138" w:hanging="958"/>
        <w:rPr>
          <w:b/>
        </w:rPr>
      </w:pPr>
      <w:r w:rsidRPr="00FE5E8D">
        <w:rPr>
          <w:b/>
        </w:rPr>
        <w:t xml:space="preserve">Province du Kasaï </w:t>
      </w:r>
    </w:p>
    <w:p w14:paraId="2F492DD4" w14:textId="23E70337" w:rsidR="00771DAE" w:rsidRDefault="00771DAE" w:rsidP="00BE7CAA">
      <w:pPr>
        <w:pStyle w:val="BodyText"/>
        <w:tabs>
          <w:tab w:val="left" w:pos="1559"/>
          <w:tab w:val="left" w:pos="1984"/>
          <w:tab w:val="left" w:leader="dot" w:pos="7654"/>
          <w:tab w:val="right" w:pos="8929"/>
        </w:tabs>
        <w:spacing w:line="240" w:lineRule="atLeast"/>
        <w:ind w:left="1138" w:right="1138" w:firstLine="0"/>
      </w:pPr>
      <w:r w:rsidRPr="00803C07">
        <w:t>Les cinq territoires de la province du Kasaï ont été touchés par des actes de violence</w:t>
      </w:r>
      <w:r>
        <w:t xml:space="preserve"> en 2017</w:t>
      </w:r>
      <w:r w:rsidRPr="00803C07">
        <w:t xml:space="preserve">. Les deux territoires les plus affectés sont le territoire de </w:t>
      </w:r>
      <w:r w:rsidR="000007D0">
        <w:t xml:space="preserve">Luebo et celui de </w:t>
      </w:r>
      <w:r w:rsidRPr="00803C07">
        <w:t xml:space="preserve">Kamonia sur lesquels </w:t>
      </w:r>
      <w:r>
        <w:t>l’EEI</w:t>
      </w:r>
      <w:r w:rsidRPr="00803C07">
        <w:t xml:space="preserve"> a focalisé ses enquêtes. </w:t>
      </w:r>
    </w:p>
    <w:p w14:paraId="256FEDF7" w14:textId="4A490D2E" w:rsidR="00771DAE" w:rsidRPr="00FE5E8D" w:rsidRDefault="00BE7CAA" w:rsidP="00BE7CAA">
      <w:pPr>
        <w:pStyle w:val="BodyText"/>
        <w:numPr>
          <w:ilvl w:val="0"/>
          <w:numId w:val="0"/>
        </w:numPr>
        <w:tabs>
          <w:tab w:val="left" w:pos="1559"/>
          <w:tab w:val="left" w:pos="1984"/>
          <w:tab w:val="left" w:leader="dot" w:pos="7654"/>
          <w:tab w:val="right" w:pos="8929"/>
        </w:tabs>
        <w:spacing w:line="240" w:lineRule="atLeast"/>
        <w:ind w:left="1138" w:right="1138"/>
        <w:rPr>
          <w:i/>
        </w:rPr>
      </w:pPr>
      <w:r w:rsidRPr="00BE7CAA">
        <w:rPr>
          <w:i/>
        </w:rPr>
        <w:t>a.</w:t>
      </w:r>
      <w:r>
        <w:rPr>
          <w:i/>
        </w:rPr>
        <w:tab/>
      </w:r>
      <w:r w:rsidR="00771DAE" w:rsidRPr="00FE5E8D">
        <w:rPr>
          <w:i/>
        </w:rPr>
        <w:t>Territoire de Luebo</w:t>
      </w:r>
    </w:p>
    <w:p w14:paraId="5208EF4D" w14:textId="1E10142D" w:rsidR="00771DAE" w:rsidRPr="00803C07" w:rsidRDefault="00771DAE" w:rsidP="00BE7CAA">
      <w:pPr>
        <w:pStyle w:val="BodyText"/>
        <w:tabs>
          <w:tab w:val="left" w:pos="1559"/>
          <w:tab w:val="left" w:pos="1984"/>
          <w:tab w:val="left" w:leader="dot" w:pos="7654"/>
          <w:tab w:val="right" w:pos="8929"/>
        </w:tabs>
        <w:spacing w:line="240" w:lineRule="atLeast"/>
        <w:ind w:left="1138" w:right="1138" w:firstLine="0"/>
      </w:pPr>
      <w:bookmarkStart w:id="45" w:name="_Ref517880631"/>
      <w:r>
        <w:t>En décembre 2016, l</w:t>
      </w:r>
      <w:r w:rsidRPr="00803C07">
        <w:t>e mouvement Kamuina Nsapu a fait son apparition sur le territoire de Luebo,</w:t>
      </w:r>
      <w:r>
        <w:t xml:space="preserve"> province du Kasaï,</w:t>
      </w:r>
      <w:r w:rsidRPr="00803C07">
        <w:t xml:space="preserve"> en particulier dans les villages </w:t>
      </w:r>
      <w:r w:rsidRPr="00CA61D9">
        <w:t>de Kabeya-Mayi et de Konyi. En</w:t>
      </w:r>
      <w:r w:rsidRPr="00803C07">
        <w:t xml:space="preserve"> décembre 2016, un habitant du village de Konyi </w:t>
      </w:r>
      <w:r>
        <w:t>est allé chercher</w:t>
      </w:r>
      <w:r w:rsidRPr="00803C07">
        <w:t xml:space="preserve"> des fétiches et </w:t>
      </w:r>
      <w:r>
        <w:t>a</w:t>
      </w:r>
      <w:r w:rsidRPr="00803C07">
        <w:t xml:space="preserve"> établi un tshiota dans le village. </w:t>
      </w:r>
      <w:r>
        <w:t>Cet habitant, devenu le</w:t>
      </w:r>
      <w:r w:rsidRPr="00803C07">
        <w:t xml:space="preserve"> chef Kamuina Nsapu du village de Konyi</w:t>
      </w:r>
      <w:r>
        <w:t>, y</w:t>
      </w:r>
      <w:r w:rsidRPr="00803C07">
        <w:t xml:space="preserve"> a recruté </w:t>
      </w:r>
      <w:r>
        <w:t>des miliciens de tous âges, y compris des enfants</w:t>
      </w:r>
      <w:r w:rsidRPr="007F1170">
        <w:rPr>
          <w:rStyle w:val="FootnoteReference"/>
        </w:rPr>
        <w:footnoteReference w:id="385"/>
      </w:r>
      <w:r w:rsidRPr="00803C07">
        <w:t xml:space="preserve">. Ce même chef Kamuina Nsapu </w:t>
      </w:r>
      <w:r>
        <w:t>a</w:t>
      </w:r>
      <w:r w:rsidRPr="00803C07">
        <w:t xml:space="preserve"> favoris</w:t>
      </w:r>
      <w:r>
        <w:t xml:space="preserve">é la création d’autres tshiota </w:t>
      </w:r>
      <w:r w:rsidRPr="00803C07">
        <w:t>sur le territoire</w:t>
      </w:r>
      <w:r w:rsidRPr="007F1170">
        <w:rPr>
          <w:rStyle w:val="FootnoteReference"/>
        </w:rPr>
        <w:footnoteReference w:id="386"/>
      </w:r>
      <w:r>
        <w:t>. L’expansion</w:t>
      </w:r>
      <w:r w:rsidRPr="00803C07">
        <w:t xml:space="preserve"> du mouvement Kamuina Nsapu </w:t>
      </w:r>
      <w:r>
        <w:t>dans</w:t>
      </w:r>
      <w:r w:rsidRPr="00803C07">
        <w:t xml:space="preserve"> le territoire de Luebo s’explique notamment par le fait que la population </w:t>
      </w:r>
      <w:r>
        <w:t xml:space="preserve">y </w:t>
      </w:r>
      <w:r w:rsidRPr="00803C07">
        <w:t xml:space="preserve">est majoritairement </w:t>
      </w:r>
      <w:r w:rsidR="0061479D">
        <w:t>l</w:t>
      </w:r>
      <w:r>
        <w:t xml:space="preserve">uba </w:t>
      </w:r>
      <w:r w:rsidR="00634E62">
        <w:t>du clan</w:t>
      </w:r>
      <w:r w:rsidR="00634E62" w:rsidRPr="00803C07">
        <w:t xml:space="preserve"> </w:t>
      </w:r>
      <w:r w:rsidR="00006825" w:rsidRPr="004637BD">
        <w:t>Bashila</w:t>
      </w:r>
      <w:r w:rsidR="00006825" w:rsidRPr="00FE5E8D" w:rsidDel="00006825">
        <w:t xml:space="preserve"> </w:t>
      </w:r>
      <w:r w:rsidRPr="00FE5E8D">
        <w:t>Kasanga</w:t>
      </w:r>
      <w:r w:rsidRPr="007F1170">
        <w:rPr>
          <w:rStyle w:val="FootnoteReference"/>
        </w:rPr>
        <w:footnoteReference w:id="387"/>
      </w:r>
      <w:r w:rsidRPr="004637BD">
        <w:t>.</w:t>
      </w:r>
      <w:bookmarkEnd w:id="45"/>
      <w:r w:rsidRPr="00803C07">
        <w:t xml:space="preserve"> </w:t>
      </w:r>
    </w:p>
    <w:p w14:paraId="3BD13D42" w14:textId="03647965" w:rsidR="00771DAE" w:rsidRPr="00803C07" w:rsidRDefault="00771DAE" w:rsidP="00BE7CAA">
      <w:pPr>
        <w:pStyle w:val="BodyText"/>
        <w:tabs>
          <w:tab w:val="left" w:pos="1559"/>
          <w:tab w:val="left" w:pos="1984"/>
          <w:tab w:val="left" w:leader="dot" w:pos="7654"/>
          <w:tab w:val="right" w:pos="8929"/>
        </w:tabs>
        <w:spacing w:line="240" w:lineRule="atLeast"/>
        <w:ind w:left="1138" w:right="1138" w:firstLine="0"/>
      </w:pPr>
      <w:r>
        <w:t xml:space="preserve">L’EEI a en particulier documenté </w:t>
      </w:r>
      <w:r w:rsidR="00634E62">
        <w:t xml:space="preserve">des </w:t>
      </w:r>
      <w:r>
        <w:t xml:space="preserve">actes de violence qui ont eu lieu </w:t>
      </w:r>
      <w:r w:rsidRPr="00803C07">
        <w:t xml:space="preserve">dans la cité de Luebo et dans les villages avoisinants. </w:t>
      </w:r>
      <w:r w:rsidRPr="000478A6">
        <w:t>Les miliciens Kamuina Nsapu ont fait leur première incursion dans la cité de Luebo fin février ou début mars 2017.</w:t>
      </w:r>
      <w:r w:rsidRPr="00803C07">
        <w:t xml:space="preserve"> Cette première tentative d’incursion a été conduite par deux factions</w:t>
      </w:r>
      <w:r>
        <w:t xml:space="preserve"> distinctes</w:t>
      </w:r>
      <w:r w:rsidRPr="00803C07">
        <w:t xml:space="preserve"> de la milice. Un témoin raconte que les miliciens Kamuina Nsapu </w:t>
      </w:r>
      <w:r>
        <w:t>sont</w:t>
      </w:r>
      <w:r w:rsidRPr="00803C07">
        <w:t xml:space="preserve"> arrivés dans </w:t>
      </w:r>
      <w:r w:rsidRPr="00843F9E">
        <w:t xml:space="preserve">le </w:t>
      </w:r>
      <w:r>
        <w:t>village de Tsh</w:t>
      </w:r>
      <w:r w:rsidRPr="00843F9E">
        <w:t xml:space="preserve">ibuyi </w:t>
      </w:r>
      <w:r>
        <w:t>à</w:t>
      </w:r>
      <w:r w:rsidRPr="00803C07">
        <w:t xml:space="preserve"> l’entrée de la cité</w:t>
      </w:r>
      <w:r>
        <w:t>. Lorsqu’ils ont</w:t>
      </w:r>
      <w:r w:rsidRPr="00803C07">
        <w:t xml:space="preserve"> tenté de traverser au niveau des deux ponts de la </w:t>
      </w:r>
      <w:r w:rsidRPr="00843F9E">
        <w:t>rivière Kaluebo, ils</w:t>
      </w:r>
      <w:r w:rsidRPr="00803C07">
        <w:t xml:space="preserve"> </w:t>
      </w:r>
      <w:r>
        <w:t xml:space="preserve">sont </w:t>
      </w:r>
      <w:r w:rsidRPr="00803C07">
        <w:t xml:space="preserve">tombés dans une embuscade des forces de défense et de sécurité </w:t>
      </w:r>
      <w:r>
        <w:t xml:space="preserve">qui étaient déjà </w:t>
      </w:r>
      <w:r w:rsidRPr="00803C07">
        <w:t>informé</w:t>
      </w:r>
      <w:r w:rsidR="00634E62">
        <w:t>e</w:t>
      </w:r>
      <w:r>
        <w:t>s de leur arrivée</w:t>
      </w:r>
      <w:r w:rsidRPr="00803C07">
        <w:t xml:space="preserve">. Un témoin qui s’est rendu sur les lieux </w:t>
      </w:r>
      <w:r>
        <w:t xml:space="preserve">juste </w:t>
      </w:r>
      <w:r w:rsidRPr="00803C07">
        <w:t xml:space="preserve">après </w:t>
      </w:r>
      <w:r>
        <w:t>l’incident</w:t>
      </w:r>
      <w:r w:rsidRPr="00803C07">
        <w:t xml:space="preserve"> raconte avoir vu a</w:t>
      </w:r>
      <w:r>
        <w:t>u moins trois corps</w:t>
      </w:r>
      <w:r w:rsidR="00634E62">
        <w:t> : ceux</w:t>
      </w:r>
      <w:r>
        <w:t xml:space="preserve"> d’une fille</w:t>
      </w:r>
      <w:r w:rsidRPr="00803C07">
        <w:t xml:space="preserve"> et d’un garçon âgé</w:t>
      </w:r>
      <w:r>
        <w:t>s</w:t>
      </w:r>
      <w:r w:rsidRPr="00803C07">
        <w:t xml:space="preserve"> de 8-9 ans et </w:t>
      </w:r>
      <w:r w:rsidR="00634E62">
        <w:t>celui d’un</w:t>
      </w:r>
      <w:r w:rsidRPr="00803C07">
        <w:t xml:space="preserve"> garçon de 15 ans</w:t>
      </w:r>
      <w:r w:rsidRPr="007F1170">
        <w:rPr>
          <w:rStyle w:val="FootnoteReference"/>
        </w:rPr>
        <w:footnoteReference w:id="388"/>
      </w:r>
      <w:r w:rsidRPr="00803C07">
        <w:t>.</w:t>
      </w:r>
    </w:p>
    <w:p w14:paraId="6527D01C" w14:textId="3ADE442B" w:rsidR="00771DAE" w:rsidRPr="00803C07" w:rsidRDefault="00771DAE" w:rsidP="00BE7CAA">
      <w:pPr>
        <w:pStyle w:val="BodyText"/>
        <w:tabs>
          <w:tab w:val="left" w:pos="1559"/>
          <w:tab w:val="left" w:pos="1984"/>
          <w:tab w:val="left" w:leader="dot" w:pos="7654"/>
          <w:tab w:val="right" w:pos="8929"/>
        </w:tabs>
        <w:spacing w:line="240" w:lineRule="atLeast"/>
        <w:ind w:left="1138" w:right="1138" w:firstLine="0"/>
      </w:pPr>
      <w:r w:rsidRPr="00803C07">
        <w:t>Ce même jour</w:t>
      </w:r>
      <w:r w:rsidR="00634E62">
        <w:t>,</w:t>
      </w:r>
      <w:r w:rsidRPr="00803C07">
        <w:t xml:space="preserve"> </w:t>
      </w:r>
      <w:r>
        <w:t>une seconde faction de</w:t>
      </w:r>
      <w:r w:rsidRPr="00803C07">
        <w:t xml:space="preserve"> miliciens Kamuina Nsapu est arrivé</w:t>
      </w:r>
      <w:r>
        <w:t>e</w:t>
      </w:r>
      <w:r w:rsidRPr="00803C07">
        <w:t xml:space="preserve"> au </w:t>
      </w:r>
      <w:r w:rsidRPr="000478A6">
        <w:t>village de Kan Jinganyinga.</w:t>
      </w:r>
      <w:r w:rsidRPr="00803C07">
        <w:t xml:space="preserve"> Les </w:t>
      </w:r>
      <w:r>
        <w:t>FARDC informé</w:t>
      </w:r>
      <w:r w:rsidRPr="00803C07">
        <w:t>s de leur arrivée</w:t>
      </w:r>
      <w:r>
        <w:t>,</w:t>
      </w:r>
      <w:r w:rsidRPr="00803C07">
        <w:t xml:space="preserve"> ont lancé une attaque très tôt le matin suivant </w:t>
      </w:r>
      <w:r>
        <w:t xml:space="preserve">dans ce village, </w:t>
      </w:r>
      <w:r w:rsidRPr="00803C07">
        <w:t>avant</w:t>
      </w:r>
      <w:r>
        <w:t xml:space="preserve"> même</w:t>
      </w:r>
      <w:r w:rsidRPr="00803C07">
        <w:t xml:space="preserve"> que les miliciens n’aient </w:t>
      </w:r>
      <w:r>
        <w:t xml:space="preserve">eu </w:t>
      </w:r>
      <w:r w:rsidRPr="00803C07">
        <w:t xml:space="preserve">le temps de progresser vers la cité. Les </w:t>
      </w:r>
      <w:r>
        <w:t>FARDC</w:t>
      </w:r>
      <w:r w:rsidRPr="00803C07">
        <w:t xml:space="preserve"> ont utilisé des lance</w:t>
      </w:r>
      <w:r w:rsidR="00634E62">
        <w:t>-</w:t>
      </w:r>
      <w:r w:rsidRPr="00803C07">
        <w:t xml:space="preserve">roquettes faisant de nombreux morts parmi les habitants. Un témoin qui s’est rendu sur les lieux </w:t>
      </w:r>
      <w:r>
        <w:t xml:space="preserve">juste après l’incident, </w:t>
      </w:r>
      <w:r w:rsidRPr="00803C07">
        <w:t>raconte avoir vu u</w:t>
      </w:r>
      <w:r>
        <w:t>n milicien Kamuina Nsapu blessé</w:t>
      </w:r>
      <w:r w:rsidRPr="00803C07">
        <w:t xml:space="preserve"> </w:t>
      </w:r>
      <w:r>
        <w:t>et</w:t>
      </w:r>
      <w:r w:rsidRPr="00803C07">
        <w:t xml:space="preserve"> au moins vingt corps de civils dont des femmes et des enfants. </w:t>
      </w:r>
      <w:r>
        <w:t>Les FARDC</w:t>
      </w:r>
      <w:r w:rsidRPr="00803C07">
        <w:t xml:space="preserve"> ont pillé </w:t>
      </w:r>
      <w:r>
        <w:t>le</w:t>
      </w:r>
      <w:r w:rsidRPr="00803C07">
        <w:t xml:space="preserve"> village </w:t>
      </w:r>
      <w:r>
        <w:t>avant de partir</w:t>
      </w:r>
      <w:r w:rsidRPr="007F1170">
        <w:rPr>
          <w:rStyle w:val="FootnoteReference"/>
        </w:rPr>
        <w:footnoteReference w:id="389"/>
      </w:r>
      <w:r w:rsidRPr="00803C07">
        <w:t>. Un autre témoin</w:t>
      </w:r>
      <w:r>
        <w:t xml:space="preserve"> indirect</w:t>
      </w:r>
      <w:r w:rsidRPr="00803C07">
        <w:t xml:space="preserve"> indique que le bilan cet incident serait de trois morts et un blessé et que les cadavres auraient été enterrés par les militaires</w:t>
      </w:r>
      <w:r w:rsidRPr="007F1170">
        <w:rPr>
          <w:rStyle w:val="FootnoteReference"/>
        </w:rPr>
        <w:footnoteReference w:id="390"/>
      </w:r>
      <w:r w:rsidRPr="00803C07">
        <w:t>.</w:t>
      </w:r>
      <w:r>
        <w:t xml:space="preserve"> </w:t>
      </w:r>
      <w:r w:rsidRPr="00803C07">
        <w:t>Peu de temps après, les FARDC ont quitté la cité de Luebo</w:t>
      </w:r>
      <w:r w:rsidRPr="007F1170">
        <w:rPr>
          <w:rStyle w:val="FootnoteReference"/>
        </w:rPr>
        <w:footnoteReference w:id="391"/>
      </w:r>
      <w:r w:rsidRPr="00803C07">
        <w:t xml:space="preserve">. </w:t>
      </w:r>
    </w:p>
    <w:p w14:paraId="4367B8C9" w14:textId="69B35F67" w:rsidR="00771DAE" w:rsidRPr="005A707E" w:rsidRDefault="00771DAE" w:rsidP="00BE7CAA">
      <w:pPr>
        <w:pStyle w:val="BodyText"/>
        <w:tabs>
          <w:tab w:val="left" w:pos="1559"/>
          <w:tab w:val="left" w:pos="1984"/>
          <w:tab w:val="left" w:leader="dot" w:pos="7654"/>
          <w:tab w:val="right" w:pos="8929"/>
        </w:tabs>
        <w:spacing w:line="240" w:lineRule="atLeast"/>
        <w:ind w:left="1138" w:right="1138" w:firstLine="0"/>
      </w:pPr>
      <w:r w:rsidRPr="005A707E">
        <w:t xml:space="preserve">Le matin du 31 mars 2017, la milice Kamuina Nsapu est entrée dans la cité de Luebo et en a pris le contrôle. Les </w:t>
      </w:r>
      <w:r>
        <w:t>miliciens étaient très nombreux.</w:t>
      </w:r>
      <w:r w:rsidRPr="005A707E">
        <w:t xml:space="preserve"> </w:t>
      </w:r>
      <w:r>
        <w:t xml:space="preserve">Les </w:t>
      </w:r>
      <w:r w:rsidRPr="005A707E">
        <w:t>témoins parlent de plusieurs centaines</w:t>
      </w:r>
      <w:r>
        <w:t>,</w:t>
      </w:r>
      <w:r w:rsidRPr="005A707E">
        <w:t xml:space="preserve"> </w:t>
      </w:r>
      <w:r>
        <w:t>dont une majorité d’enfants, garçons et filles</w:t>
      </w:r>
      <w:r w:rsidRPr="007F1170">
        <w:rPr>
          <w:rStyle w:val="FootnoteReference"/>
        </w:rPr>
        <w:footnoteReference w:id="392"/>
      </w:r>
      <w:r w:rsidRPr="005A707E">
        <w:t xml:space="preserve">. Plusieurs témoins </w:t>
      </w:r>
      <w:r>
        <w:t>précisent</w:t>
      </w:r>
      <w:r w:rsidRPr="005A707E">
        <w:t xml:space="preserve">, </w:t>
      </w:r>
      <w:r>
        <w:t>qu’en plus des bâtons, couteaux,</w:t>
      </w:r>
      <w:r w:rsidRPr="005A707E">
        <w:t xml:space="preserve"> machettes et fusils de </w:t>
      </w:r>
      <w:r>
        <w:t>chasse</w:t>
      </w:r>
      <w:r w:rsidRPr="005A707E">
        <w:t xml:space="preserve">, </w:t>
      </w:r>
      <w:r>
        <w:t>certains</w:t>
      </w:r>
      <w:r w:rsidRPr="005A707E">
        <w:t xml:space="preserve"> miliciens étaient en possession d’armes de guerre</w:t>
      </w:r>
      <w:r w:rsidRPr="007F1170">
        <w:rPr>
          <w:rStyle w:val="FootnoteReference"/>
        </w:rPr>
        <w:footnoteReference w:id="393"/>
      </w:r>
      <w:r w:rsidRPr="005A707E">
        <w:t xml:space="preserve">. La possession d’armes de ce type par les miliciens Kamuina Nsapu </w:t>
      </w:r>
      <w:r>
        <w:t>n’a été que très peu rapporté à l’EEI</w:t>
      </w:r>
      <w:r w:rsidRPr="005A707E">
        <w:t xml:space="preserve">. D’après les informations </w:t>
      </w:r>
      <w:r w:rsidR="00E2660C">
        <w:t>acquise</w:t>
      </w:r>
      <w:r w:rsidRPr="005A707E">
        <w:t xml:space="preserve">s, il est possible que ces armes de guerre </w:t>
      </w:r>
      <w:r>
        <w:t xml:space="preserve">aient </w:t>
      </w:r>
      <w:r w:rsidRPr="005A707E">
        <w:t xml:space="preserve">été collectées par </w:t>
      </w:r>
      <w:r>
        <w:t>la milice</w:t>
      </w:r>
      <w:r w:rsidRPr="005A707E">
        <w:t xml:space="preserve"> </w:t>
      </w:r>
      <w:r>
        <w:t>lors</w:t>
      </w:r>
      <w:r w:rsidRPr="005A707E">
        <w:t xml:space="preserve"> d’attaques</w:t>
      </w:r>
      <w:r>
        <w:t xml:space="preserve"> </w:t>
      </w:r>
      <w:r w:rsidRPr="005A707E">
        <w:t>précédentes visant les forces de défense et de sécurité</w:t>
      </w:r>
      <w:r w:rsidRPr="007F1170">
        <w:rPr>
          <w:rStyle w:val="FootnoteReference"/>
        </w:rPr>
        <w:footnoteReference w:id="394"/>
      </w:r>
      <w:r w:rsidR="0050151D">
        <w:t>.</w:t>
      </w:r>
    </w:p>
    <w:p w14:paraId="7D28BF19" w14:textId="1275F555" w:rsidR="00771DAE" w:rsidRDefault="00771DAE" w:rsidP="00BE7CAA">
      <w:pPr>
        <w:pStyle w:val="BodyText"/>
        <w:tabs>
          <w:tab w:val="left" w:pos="1559"/>
          <w:tab w:val="left" w:pos="1984"/>
          <w:tab w:val="left" w:leader="dot" w:pos="7654"/>
          <w:tab w:val="right" w:pos="8929"/>
        </w:tabs>
        <w:spacing w:line="240" w:lineRule="atLeast"/>
        <w:ind w:left="1138" w:right="1138" w:firstLine="0"/>
      </w:pPr>
      <w:r w:rsidRPr="00CA661D">
        <w:t xml:space="preserve">Les miliciens Kamuina Nsapu </w:t>
      </w:r>
      <w:r>
        <w:t>sont allés</w:t>
      </w:r>
      <w:r w:rsidRPr="00CA661D">
        <w:t xml:space="preserve"> à la prison et </w:t>
      </w:r>
      <w:r>
        <w:t>ont</w:t>
      </w:r>
      <w:r w:rsidRPr="00CA661D">
        <w:t xml:space="preserve"> libéré</w:t>
      </w:r>
      <w:r>
        <w:t xml:space="preserve"> les </w:t>
      </w:r>
      <w:r w:rsidR="0050151D">
        <w:t>détenus</w:t>
      </w:r>
      <w:r>
        <w:t>. Ils se sont ensuite r</w:t>
      </w:r>
      <w:r w:rsidRPr="00CA661D">
        <w:t>endus au couvent des sœurs du cœur immaculé de Marie</w:t>
      </w:r>
      <w:r w:rsidR="0050151D">
        <w:t xml:space="preserve">, </w:t>
      </w:r>
      <w:r w:rsidRPr="00CA661D">
        <w:t xml:space="preserve">sont entrés dans les maisons </w:t>
      </w:r>
      <w:r>
        <w:t xml:space="preserve">et </w:t>
      </w:r>
      <w:r w:rsidRPr="00CA661D">
        <w:t>ont brutalisé</w:t>
      </w:r>
      <w:r>
        <w:t xml:space="preserve"> les </w:t>
      </w:r>
      <w:r w:rsidR="00686B07">
        <w:t>sœurs</w:t>
      </w:r>
      <w:r w:rsidRPr="007F1170">
        <w:rPr>
          <w:rStyle w:val="FootnoteReference"/>
        </w:rPr>
        <w:footnoteReference w:id="395"/>
      </w:r>
      <w:r w:rsidRPr="00CA661D">
        <w:t>. Les miliciens Kamuin</w:t>
      </w:r>
      <w:r>
        <w:t>a Nsapu se sont ensuite dirigés</w:t>
      </w:r>
      <w:r w:rsidRPr="00CA661D">
        <w:t xml:space="preserve"> </w:t>
      </w:r>
      <w:r>
        <w:t>vers le</w:t>
      </w:r>
      <w:r w:rsidRPr="00CA661D">
        <w:t xml:space="preserve"> quartier </w:t>
      </w:r>
      <w:r w:rsidRPr="00B71642">
        <w:t>Lunkulu, où</w:t>
      </w:r>
      <w:r w:rsidRPr="00CA661D">
        <w:t xml:space="preserve"> se trouvent </w:t>
      </w:r>
      <w:r w:rsidRPr="000478A6">
        <w:t xml:space="preserve">plusieurs bâtiments religieux. Les bureaux de l’Institut supérieur et sa bibliothèque ont été saccagés et brûlés. Les habitations des religieux </w:t>
      </w:r>
      <w:r>
        <w:t>et</w:t>
      </w:r>
      <w:r w:rsidRPr="000478A6">
        <w:t xml:space="preserve"> tous les biens de valeur ont été pillés ou détruits. L’évêché de Luebo a ensuite été pris pour cible</w:t>
      </w:r>
      <w:r>
        <w:t>. Là encore,</w:t>
      </w:r>
      <w:r w:rsidRPr="000478A6">
        <w:t xml:space="preserve"> les biens de valeur et les archives ont été sacc</w:t>
      </w:r>
      <w:r>
        <w:t>agés et br</w:t>
      </w:r>
      <w:r w:rsidR="00FA2F05">
        <w:t>û</w:t>
      </w:r>
      <w:r>
        <w:t>lés. Les religieux et toute personne</w:t>
      </w:r>
      <w:r w:rsidRPr="000478A6">
        <w:t xml:space="preserve"> associée à </w:t>
      </w:r>
      <w:r w:rsidR="006644C3" w:rsidRPr="000478A6">
        <w:t>l’</w:t>
      </w:r>
      <w:r w:rsidR="006644C3">
        <w:t>E</w:t>
      </w:r>
      <w:r w:rsidR="006644C3" w:rsidRPr="000478A6">
        <w:t xml:space="preserve">glise </w:t>
      </w:r>
      <w:r w:rsidRPr="000478A6">
        <w:t>catholique pr</w:t>
      </w:r>
      <w:r>
        <w:t>ésents à Luebo ce jour-là, recherché</w:t>
      </w:r>
      <w:r w:rsidR="00233435">
        <w:t>s</w:t>
      </w:r>
      <w:r w:rsidRPr="000478A6">
        <w:t xml:space="preserve"> par les miliciens Kamuina Nsapu</w:t>
      </w:r>
      <w:r w:rsidR="00233435">
        <w:t>,</w:t>
      </w:r>
      <w:r w:rsidRPr="000478A6">
        <w:t xml:space="preserve"> ont dû prendre la fuite</w:t>
      </w:r>
      <w:r w:rsidRPr="007F1170">
        <w:rPr>
          <w:rStyle w:val="FootnoteReference"/>
        </w:rPr>
        <w:footnoteReference w:id="396"/>
      </w:r>
      <w:r w:rsidRPr="000478A6">
        <w:t xml:space="preserve">. </w:t>
      </w:r>
      <w:r w:rsidR="00233435">
        <w:t xml:space="preserve">Un habitant qui tentait </w:t>
      </w:r>
      <w:r w:rsidR="00233435" w:rsidRPr="000478A6">
        <w:t xml:space="preserve">d’empêcher la destruction de l’évêché </w:t>
      </w:r>
      <w:r w:rsidRPr="000478A6">
        <w:t xml:space="preserve">a été blessé à coups de machette par cinq miliciens Kamuina Nsapu qui venaient du </w:t>
      </w:r>
      <w:r>
        <w:t>territoire de Kazumba au Kasaï Central</w:t>
      </w:r>
      <w:r w:rsidRPr="007F1170">
        <w:rPr>
          <w:rStyle w:val="FootnoteReference"/>
        </w:rPr>
        <w:footnoteReference w:id="397"/>
      </w:r>
      <w:r w:rsidRPr="000478A6">
        <w:t xml:space="preserve">. </w:t>
      </w:r>
      <w:r w:rsidRPr="00CA661D">
        <w:t xml:space="preserve">Les principaux bâtiments administratifs de la cité </w:t>
      </w:r>
      <w:r w:rsidR="00233435" w:rsidRPr="00CA661D">
        <w:t xml:space="preserve">ainsi que des habitations </w:t>
      </w:r>
      <w:r w:rsidRPr="00CA661D">
        <w:t xml:space="preserve">ont </w:t>
      </w:r>
      <w:r>
        <w:t>aussi</w:t>
      </w:r>
      <w:r w:rsidRPr="00CA661D">
        <w:t xml:space="preserve"> été incendiés</w:t>
      </w:r>
      <w:r w:rsidRPr="007F1170">
        <w:rPr>
          <w:rStyle w:val="FootnoteReference"/>
        </w:rPr>
        <w:footnoteReference w:id="398"/>
      </w:r>
      <w:r w:rsidRPr="00CA661D">
        <w:t>.</w:t>
      </w:r>
    </w:p>
    <w:p w14:paraId="1F38183F" w14:textId="741D46C8" w:rsidR="00771DAE" w:rsidRPr="00E90C08" w:rsidRDefault="00771DAE" w:rsidP="00BE7CAA">
      <w:pPr>
        <w:pStyle w:val="BodyText"/>
        <w:tabs>
          <w:tab w:val="left" w:pos="1559"/>
          <w:tab w:val="left" w:pos="1984"/>
          <w:tab w:val="left" w:leader="dot" w:pos="7654"/>
          <w:tab w:val="right" w:pos="8929"/>
        </w:tabs>
        <w:spacing w:line="240" w:lineRule="atLeast"/>
        <w:ind w:left="1138" w:right="1138" w:firstLine="0"/>
      </w:pPr>
      <w:r w:rsidRPr="00817F48">
        <w:t>Tout comme</w:t>
      </w:r>
      <w:r w:rsidR="00233435">
        <w:t xml:space="preserve"> dans</w:t>
      </w:r>
      <w:r w:rsidRPr="00817F48">
        <w:t xml:space="preserve"> le territoire de Luiza au Kasaï Central, </w:t>
      </w:r>
      <w:r w:rsidR="006644C3" w:rsidRPr="00817F48">
        <w:t>l’</w:t>
      </w:r>
      <w:r w:rsidR="006644C3">
        <w:t>E</w:t>
      </w:r>
      <w:r w:rsidR="006644C3" w:rsidRPr="00817F48">
        <w:t xml:space="preserve">glise </w:t>
      </w:r>
      <w:r w:rsidRPr="00817F48">
        <w:t xml:space="preserve">catholique a été </w:t>
      </w:r>
      <w:r w:rsidRPr="004637BD">
        <w:t xml:space="preserve">spécifiquement visée par la milice Kamuina Nsapu. Plusieurs sources mentionnent que les miliciens Kamuina Nsapu accusaient </w:t>
      </w:r>
      <w:r w:rsidR="006644C3" w:rsidRPr="00591FD8">
        <w:t xml:space="preserve">l’Eglise </w:t>
      </w:r>
      <w:r w:rsidRPr="0094347A">
        <w:t xml:space="preserve">catholique d’avoir essayé de favoriser un nouveau mandat de l’actuel Président de la république avec la conférence épiscopale nationale </w:t>
      </w:r>
      <w:r w:rsidR="00E2660C">
        <w:t>d</w:t>
      </w:r>
      <w:r w:rsidRPr="0094347A">
        <w:t>u Congo (</w:t>
      </w:r>
      <w:r w:rsidRPr="00FE5E8D">
        <w:t>CENCO</w:t>
      </w:r>
      <w:r w:rsidRPr="004637BD">
        <w:t xml:space="preserve">) et </w:t>
      </w:r>
      <w:r w:rsidR="00D02559" w:rsidRPr="004637BD">
        <w:t>l’accord politique global et inclusif du Centre interdiocésain de Kinshas</w:t>
      </w:r>
      <w:r w:rsidR="00B71642" w:rsidRPr="004637BD">
        <w:t>a</w:t>
      </w:r>
      <w:r w:rsidRPr="007F1170">
        <w:rPr>
          <w:rStyle w:val="FootnoteReference"/>
        </w:rPr>
        <w:footnoteReference w:id="399"/>
      </w:r>
      <w:r w:rsidRPr="004637BD">
        <w:t xml:space="preserve">. Une autre explication serait l’aide apportée par </w:t>
      </w:r>
      <w:r w:rsidR="006644C3" w:rsidRPr="00591FD8">
        <w:t xml:space="preserve">l’Eglise </w:t>
      </w:r>
      <w:r w:rsidRPr="00591FD8">
        <w:t xml:space="preserve">catholique aux membres de l’ethnie Dekese qui </w:t>
      </w:r>
      <w:r w:rsidRPr="0094347A">
        <w:t>ont été particulièrement pris pour cible et chassés par les miliciens Kamuina Nsapu du territoire de Luebo</w:t>
      </w:r>
      <w:r w:rsidRPr="007F1170">
        <w:rPr>
          <w:rStyle w:val="FootnoteReference"/>
        </w:rPr>
        <w:footnoteReference w:id="400"/>
      </w:r>
      <w:r w:rsidRPr="00E90C08">
        <w:t>.</w:t>
      </w:r>
    </w:p>
    <w:p w14:paraId="4606ED99" w14:textId="0E62F0EF" w:rsidR="00771DAE" w:rsidRPr="001E2715" w:rsidRDefault="00771DAE" w:rsidP="00BE7CAA">
      <w:pPr>
        <w:pStyle w:val="BodyText"/>
        <w:tabs>
          <w:tab w:val="left" w:pos="1559"/>
          <w:tab w:val="left" w:pos="1984"/>
          <w:tab w:val="left" w:leader="dot" w:pos="7654"/>
          <w:tab w:val="right" w:pos="8929"/>
        </w:tabs>
        <w:spacing w:line="240" w:lineRule="atLeast"/>
        <w:ind w:left="1138" w:right="1138" w:firstLine="0"/>
      </w:pPr>
      <w:r>
        <w:t>Toujours le 31 mars 2017, l</w:t>
      </w:r>
      <w:r w:rsidRPr="000478A6">
        <w:t xml:space="preserve">es miliciens </w:t>
      </w:r>
      <w:r>
        <w:t xml:space="preserve">se sont </w:t>
      </w:r>
      <w:r w:rsidRPr="000478A6">
        <w:t>attaqué</w:t>
      </w:r>
      <w:r w:rsidR="00233435">
        <w:t>s</w:t>
      </w:r>
      <w:r w:rsidRPr="000478A6">
        <w:t xml:space="preserve"> </w:t>
      </w:r>
      <w:r>
        <w:t xml:space="preserve">à </w:t>
      </w:r>
      <w:r w:rsidRPr="000478A6">
        <w:t>la femme</w:t>
      </w:r>
      <w:r w:rsidRPr="00CA661D">
        <w:t xml:space="preserve"> de l’administrateur du territoire de Luebo</w:t>
      </w:r>
      <w:r>
        <w:t>. Elle a été</w:t>
      </w:r>
      <w:r w:rsidRPr="00CA661D">
        <w:t xml:space="preserve"> exécutée par arme à feu puis ses pieds et mains ont été coupés par des miliciens</w:t>
      </w:r>
      <w:r w:rsidRPr="007F1170">
        <w:rPr>
          <w:rStyle w:val="FootnoteReference"/>
        </w:rPr>
        <w:footnoteReference w:id="401"/>
      </w:r>
      <w:r w:rsidRPr="00CA661D">
        <w:t xml:space="preserve">. Trois autres personnes </w:t>
      </w:r>
      <w:r>
        <w:t xml:space="preserve">ont </w:t>
      </w:r>
      <w:r w:rsidRPr="00CA661D">
        <w:t>été tué</w:t>
      </w:r>
      <w:r w:rsidR="00233435">
        <w:t>e</w:t>
      </w:r>
      <w:r w:rsidRPr="00CA661D">
        <w:t xml:space="preserve">s par les miliciens ce </w:t>
      </w:r>
      <w:r w:rsidRPr="001E2715">
        <w:t xml:space="preserve">jour-là. Il s’agit de deux agents PNC et d’une personne de l’ethnie </w:t>
      </w:r>
      <w:r w:rsidRPr="00CB2CDD">
        <w:t>Dekese</w:t>
      </w:r>
      <w:r w:rsidRPr="007F1170">
        <w:rPr>
          <w:rStyle w:val="FootnoteReference"/>
        </w:rPr>
        <w:footnoteReference w:id="402"/>
      </w:r>
      <w:r w:rsidRPr="00CB2CDD">
        <w:t xml:space="preserve">. </w:t>
      </w:r>
      <w:r w:rsidRPr="001E2715">
        <w:t>Un des agents de la PNC a été amené au tshiota où il a été allongé et s’est vu administré des coups de machette</w:t>
      </w:r>
      <w:r w:rsidR="00D03E10" w:rsidRPr="001E2715">
        <w:t xml:space="preserve"> </w:t>
      </w:r>
      <w:r w:rsidRPr="001E2715">
        <w:t>et de couteau.</w:t>
      </w:r>
      <w:r w:rsidR="00D03E10" w:rsidRPr="001E2715">
        <w:t xml:space="preserve"> </w:t>
      </w:r>
      <w:r w:rsidRPr="001E2715">
        <w:t>Un milicien lui a donné un coup de couteau au niveau du cou. Les miliciens l’ont finalement démembré</w:t>
      </w:r>
      <w:r w:rsidRPr="007F1170">
        <w:rPr>
          <w:rStyle w:val="FootnoteReference"/>
        </w:rPr>
        <w:footnoteReference w:id="403"/>
      </w:r>
      <w:r w:rsidRPr="001E2715">
        <w:t>.</w:t>
      </w:r>
    </w:p>
    <w:p w14:paraId="12D5CFB7" w14:textId="58D4B704" w:rsidR="00771DAE" w:rsidRPr="0019617D" w:rsidRDefault="00D03E10" w:rsidP="00BE7CAA">
      <w:pPr>
        <w:pStyle w:val="BodyText"/>
        <w:tabs>
          <w:tab w:val="left" w:pos="1559"/>
          <w:tab w:val="left" w:pos="1984"/>
          <w:tab w:val="left" w:leader="dot" w:pos="7654"/>
          <w:tab w:val="right" w:pos="8929"/>
        </w:tabs>
        <w:spacing w:line="240" w:lineRule="atLeast"/>
        <w:ind w:left="1138" w:right="1138" w:firstLine="0"/>
      </w:pPr>
      <w:r w:rsidRPr="001E2715">
        <w:t xml:space="preserve">Entre le 31 mars et le </w:t>
      </w:r>
      <w:r w:rsidRPr="00CB2CDD">
        <w:t>16 avril 2017</w:t>
      </w:r>
      <w:r w:rsidRPr="001E2715">
        <w:t>, jour de l’intervention des forces de défense et de sécurité, l</w:t>
      </w:r>
      <w:r w:rsidR="00771DAE" w:rsidRPr="001E2715">
        <w:t>a milice Kamuina Nsapu s’est installée et a contrôlé la cité de Luebo où les autorités avaient pris la fuite. Un tshiota</w:t>
      </w:r>
      <w:r w:rsidRPr="001E2715">
        <w:t xml:space="preserve">, où toutes les décisions se prenaient, </w:t>
      </w:r>
      <w:r w:rsidR="00771DAE" w:rsidRPr="001E2715">
        <w:t>a été installé au niveau du rond-point parking</w:t>
      </w:r>
      <w:r w:rsidR="00771DAE">
        <w:t>.</w:t>
      </w:r>
      <w:r w:rsidR="00771DAE" w:rsidRPr="00817F48">
        <w:t xml:space="preserve"> Les témoins décrivent que les miliciens Kamuina Nsapu étaient</w:t>
      </w:r>
      <w:r w:rsidR="00771DAE">
        <w:t xml:space="preserve"> principalement</w:t>
      </w:r>
      <w:r w:rsidR="00771DAE" w:rsidRPr="00817F48">
        <w:t xml:space="preserve"> des filles et garçons</w:t>
      </w:r>
      <w:r>
        <w:t xml:space="preserve"> et qu’ils portaient </w:t>
      </w:r>
      <w:r w:rsidR="00771DAE" w:rsidRPr="00817F48">
        <w:t>des band</w:t>
      </w:r>
      <w:r>
        <w:t xml:space="preserve">eaux </w:t>
      </w:r>
      <w:r w:rsidR="00771DAE">
        <w:t>rouges autour de la tête. C</w:t>
      </w:r>
      <w:r w:rsidR="00771DAE" w:rsidRPr="00817F48">
        <w:t>ertains avaient des bâtons, des couteaux et des machettes</w:t>
      </w:r>
      <w:r w:rsidR="00771DAE" w:rsidRPr="007F1170">
        <w:rPr>
          <w:rStyle w:val="FootnoteReference"/>
        </w:rPr>
        <w:footnoteReference w:id="404"/>
      </w:r>
      <w:r w:rsidR="00771DAE" w:rsidRPr="00817F48">
        <w:t>. Les chefs des miliciens Kamuina Nsapu</w:t>
      </w:r>
      <w:r>
        <w:t>, des adultes,</w:t>
      </w:r>
      <w:r w:rsidR="00771DAE" w:rsidRPr="00817F48">
        <w:t xml:space="preserve"> portaient des </w:t>
      </w:r>
      <w:r>
        <w:t xml:space="preserve">sortes de </w:t>
      </w:r>
      <w:r w:rsidR="00771DAE" w:rsidRPr="00817F48">
        <w:t>soutanes</w:t>
      </w:r>
      <w:r w:rsidR="00771DAE" w:rsidRPr="007F1170">
        <w:rPr>
          <w:rStyle w:val="FootnoteReference"/>
        </w:rPr>
        <w:footnoteReference w:id="405"/>
      </w:r>
      <w:r w:rsidR="00771DAE" w:rsidRPr="00817F48">
        <w:t>. Plusieurs chefs de groupement du ter</w:t>
      </w:r>
      <w:r w:rsidR="001F5B4E">
        <w:t>ritoire de Luebo où des tshiota</w:t>
      </w:r>
      <w:r w:rsidR="00771DAE" w:rsidRPr="00817F48">
        <w:t xml:space="preserve"> avaient été installés étaient les chefs d</w:t>
      </w:r>
      <w:r>
        <w:t>e</w:t>
      </w:r>
      <w:r w:rsidR="00771DAE" w:rsidRPr="00817F48">
        <w:t xml:space="preserve"> la cité de Luebo et se relayaient pour </w:t>
      </w:r>
      <w:r>
        <w:t xml:space="preserve">en assurer le </w:t>
      </w:r>
      <w:r w:rsidR="00771DAE" w:rsidRPr="00817F48">
        <w:t>contrôle</w:t>
      </w:r>
      <w:r w:rsidR="00771DAE" w:rsidRPr="007F1170">
        <w:rPr>
          <w:rStyle w:val="FootnoteReference"/>
        </w:rPr>
        <w:footnoteReference w:id="406"/>
      </w:r>
      <w:r w:rsidR="00771DAE">
        <w:t>.</w:t>
      </w:r>
      <w:r w:rsidR="00771DAE" w:rsidRPr="00817F48">
        <w:t xml:space="preserve"> Les chefs miliciens Kamuina Nsapu ont ordonné la fermeture de toutes les églises et contrôlaient les appels téléphoniques. </w:t>
      </w:r>
      <w:r w:rsidR="00771DAE">
        <w:t>Deux témoins</w:t>
      </w:r>
      <w:r w:rsidR="00771DAE" w:rsidRPr="00817F48">
        <w:t xml:space="preserve"> mentionne</w:t>
      </w:r>
      <w:r w:rsidR="00771DAE">
        <w:t>nt</w:t>
      </w:r>
      <w:r w:rsidR="00771DAE" w:rsidRPr="00817F48">
        <w:t xml:space="preserve"> que des parents devaient payer pour le baptême</w:t>
      </w:r>
      <w:r w:rsidR="00133D2B">
        <w:t xml:space="preserve"> de leurs enfants par la milice</w:t>
      </w:r>
      <w:r w:rsidR="00771DAE" w:rsidRPr="007F1170">
        <w:rPr>
          <w:rStyle w:val="FootnoteReference"/>
        </w:rPr>
        <w:footnoteReference w:id="407"/>
      </w:r>
      <w:r w:rsidR="00771DAE" w:rsidRPr="004637BD">
        <w:t>.</w:t>
      </w:r>
    </w:p>
    <w:p w14:paraId="07613A67" w14:textId="737E0BD0" w:rsidR="000F2F7A" w:rsidRDefault="000F2F7A" w:rsidP="00BE7CAA">
      <w:pPr>
        <w:pStyle w:val="BodyText"/>
        <w:tabs>
          <w:tab w:val="left" w:pos="1559"/>
          <w:tab w:val="left" w:pos="1984"/>
          <w:tab w:val="left" w:leader="dot" w:pos="7654"/>
          <w:tab w:val="right" w:pos="8929"/>
        </w:tabs>
        <w:spacing w:line="240" w:lineRule="atLeast"/>
        <w:ind w:left="1138" w:right="1138" w:firstLine="0"/>
      </w:pPr>
      <w:r>
        <w:t xml:space="preserve">Le 4 </w:t>
      </w:r>
      <w:r w:rsidRPr="00817F48">
        <w:t>avril 2017</w:t>
      </w:r>
      <w:r>
        <w:t>,</w:t>
      </w:r>
      <w:r w:rsidRPr="00817F48">
        <w:t xml:space="preserve"> </w:t>
      </w:r>
      <w:r>
        <w:t>des</w:t>
      </w:r>
      <w:r w:rsidRPr="00817F48">
        <w:t xml:space="preserve"> miliciens Kamuina Nsapu </w:t>
      </w:r>
      <w:r>
        <w:t>se sont introduit</w:t>
      </w:r>
      <w:r w:rsidR="00133D2B">
        <w:t>s</w:t>
      </w:r>
      <w:r w:rsidRPr="00817F48">
        <w:t xml:space="preserve"> dans </w:t>
      </w:r>
      <w:r>
        <w:t>une maison</w:t>
      </w:r>
      <w:r w:rsidRPr="00817F48">
        <w:t xml:space="preserve"> </w:t>
      </w:r>
      <w:r>
        <w:t>et ont violé</w:t>
      </w:r>
      <w:r w:rsidRPr="00817F48">
        <w:t xml:space="preserve"> deux </w:t>
      </w:r>
      <w:r>
        <w:t xml:space="preserve">sœurs </w:t>
      </w:r>
      <w:r w:rsidRPr="00817F48">
        <w:t>âgées de 15 et 17 ans</w:t>
      </w:r>
      <w:r w:rsidRPr="007F1170">
        <w:rPr>
          <w:rStyle w:val="FootnoteReference"/>
        </w:rPr>
        <w:footnoteReference w:id="408"/>
      </w:r>
      <w:r w:rsidRPr="00817F48">
        <w:t xml:space="preserve">. </w:t>
      </w:r>
      <w:r>
        <w:t>Sous la menace d’un couteau, les jeunes filles ont dû se déshabiller. L’une d’entre elle a été maintenue par les pieds et les mains pendant que d’autres miliciens la violaient. L’autre jeune fille a été amenée dans une maison voisine et a été violée par cinq miliciens Kamuina Nsapu</w:t>
      </w:r>
      <w:r w:rsidRPr="007F1170">
        <w:rPr>
          <w:rStyle w:val="FootnoteReference"/>
        </w:rPr>
        <w:footnoteReference w:id="409"/>
      </w:r>
      <w:r>
        <w:t>.</w:t>
      </w:r>
    </w:p>
    <w:p w14:paraId="2F8E5DBF" w14:textId="75F5FDAE" w:rsidR="00771DAE" w:rsidRPr="00817F48" w:rsidRDefault="00771DAE" w:rsidP="00BE7CAA">
      <w:pPr>
        <w:pStyle w:val="BodyText"/>
        <w:tabs>
          <w:tab w:val="left" w:pos="1559"/>
          <w:tab w:val="left" w:pos="1984"/>
          <w:tab w:val="left" w:leader="dot" w:pos="7654"/>
          <w:tab w:val="right" w:pos="8929"/>
        </w:tabs>
        <w:spacing w:line="240" w:lineRule="atLeast"/>
        <w:ind w:left="1138" w:right="1138" w:firstLine="0"/>
      </w:pPr>
      <w:r w:rsidRPr="00817F48">
        <w:t xml:space="preserve">Le 9 avril 2017, des miliciens Kamuina Nsapu </w:t>
      </w:r>
      <w:r>
        <w:t xml:space="preserve">ont </w:t>
      </w:r>
      <w:r w:rsidR="000F2F7A">
        <w:t>forcé</w:t>
      </w:r>
      <w:r w:rsidR="000F2F7A" w:rsidRPr="00817F48">
        <w:t xml:space="preserve"> </w:t>
      </w:r>
      <w:r w:rsidRPr="00817F48">
        <w:t>une femme, propriétaire d’un restaurant</w:t>
      </w:r>
      <w:r w:rsidR="000F2F7A">
        <w:t>,</w:t>
      </w:r>
      <w:r w:rsidRPr="00817F48">
        <w:t xml:space="preserve"> et son beau-fils à voir des relations sexuelles en public au niveau </w:t>
      </w:r>
      <w:r>
        <w:t>du tshiota.</w:t>
      </w:r>
      <w:r w:rsidRPr="00817F48">
        <w:t xml:space="preserve"> </w:t>
      </w:r>
      <w:r w:rsidR="000F2F7A">
        <w:t xml:space="preserve">Tous deux </w:t>
      </w:r>
      <w:r>
        <w:t xml:space="preserve">ont </w:t>
      </w:r>
      <w:r w:rsidR="00133D2B">
        <w:t>ensuite été</w:t>
      </w:r>
      <w:r w:rsidR="00D03E10">
        <w:t xml:space="preserve"> tués, </w:t>
      </w:r>
      <w:r w:rsidRPr="00817F48">
        <w:t>mutilés et décapités</w:t>
      </w:r>
      <w:r w:rsidR="000F2F7A">
        <w:t xml:space="preserve"> par des miliciens Kamuina Nsapu</w:t>
      </w:r>
      <w:r w:rsidRPr="007F1170">
        <w:rPr>
          <w:rStyle w:val="FootnoteReference"/>
        </w:rPr>
        <w:footnoteReference w:id="410"/>
      </w:r>
      <w:r w:rsidRPr="00817F48">
        <w:t>. La femme était accusée par les miliciens d’avoir trahi le mouvement Kamuina Nsapu</w:t>
      </w:r>
      <w:r>
        <w:t>.</w:t>
      </w:r>
      <w:r w:rsidRPr="00817F48">
        <w:t xml:space="preserve"> </w:t>
      </w:r>
      <w:r>
        <w:t>P</w:t>
      </w:r>
      <w:r w:rsidRPr="00817F48">
        <w:t>lusieurs témoins mentionne</w:t>
      </w:r>
      <w:r w:rsidR="000F2F7A">
        <w:t>nt</w:t>
      </w:r>
      <w:r w:rsidRPr="00817F48">
        <w:t xml:space="preserve"> qu’elle a été </w:t>
      </w:r>
      <w:r>
        <w:t>« </w:t>
      </w:r>
      <w:r w:rsidRPr="00817F48">
        <w:t>jugé</w:t>
      </w:r>
      <w:r w:rsidR="00686B07">
        <w:t>e</w:t>
      </w:r>
      <w:r>
        <w:t> »</w:t>
      </w:r>
      <w:r w:rsidRPr="00817F48">
        <w:t xml:space="preserve"> </w:t>
      </w:r>
      <w:r>
        <w:t>au tshiota</w:t>
      </w:r>
      <w:r w:rsidRPr="007F1170">
        <w:rPr>
          <w:rStyle w:val="FootnoteReference"/>
        </w:rPr>
        <w:footnoteReference w:id="411"/>
      </w:r>
      <w:r w:rsidRPr="00817F48">
        <w:t xml:space="preserve">. Ce même jour, un agent </w:t>
      </w:r>
      <w:r w:rsidR="000F2F7A">
        <w:t xml:space="preserve">de la </w:t>
      </w:r>
      <w:r w:rsidRPr="00817F48">
        <w:t>PNC</w:t>
      </w:r>
      <w:r w:rsidR="000F2F7A">
        <w:t xml:space="preserve">, </w:t>
      </w:r>
      <w:r w:rsidR="000F2F7A" w:rsidRPr="00817F48">
        <w:t xml:space="preserve">un jeune homme accusé d’être un voleur et un homme accusé d’être un sorcier </w:t>
      </w:r>
      <w:r w:rsidR="000F2F7A">
        <w:t>ont</w:t>
      </w:r>
      <w:r w:rsidRPr="00817F48">
        <w:t xml:space="preserve"> été tué</w:t>
      </w:r>
      <w:r w:rsidR="000F2F7A">
        <w:t xml:space="preserve">s </w:t>
      </w:r>
      <w:r w:rsidRPr="00817F48">
        <w:t>par décapitation au tshiota</w:t>
      </w:r>
      <w:r w:rsidRPr="007F1170">
        <w:rPr>
          <w:rStyle w:val="FootnoteReference"/>
        </w:rPr>
        <w:footnoteReference w:id="412"/>
      </w:r>
      <w:r w:rsidRPr="00817F48">
        <w:t>.</w:t>
      </w:r>
    </w:p>
    <w:p w14:paraId="7539207D" w14:textId="2FD7596A" w:rsidR="00771DAE" w:rsidRDefault="00771DAE" w:rsidP="00BE7CAA">
      <w:pPr>
        <w:pStyle w:val="BodyText"/>
        <w:tabs>
          <w:tab w:val="left" w:pos="1559"/>
          <w:tab w:val="left" w:pos="1984"/>
          <w:tab w:val="left" w:leader="dot" w:pos="7654"/>
          <w:tab w:val="right" w:pos="8929"/>
        </w:tabs>
        <w:spacing w:line="240" w:lineRule="atLeast"/>
        <w:ind w:left="1138" w:right="1138" w:firstLine="0"/>
      </w:pPr>
      <w:r>
        <w:t xml:space="preserve">Vers le 16 avril 2017, les FARDC ont repris le contrôle de la cité de Luebo après plusieurs </w:t>
      </w:r>
      <w:r w:rsidR="0094671E">
        <w:t xml:space="preserve">affrontements </w:t>
      </w:r>
      <w:r>
        <w:t xml:space="preserve">avec les miliciens Kamuina Nsapu. Il y a eu des affrontements au niveau du pont de Kaluebo et dans le centre-ville. Au niveau du pont Kaluebo, des miliciens mais aussi des civils qui les suivaient ont perdu la vie </w:t>
      </w:r>
      <w:r w:rsidR="0094671E">
        <w:t xml:space="preserve">suite aux tirs des </w:t>
      </w:r>
      <w:r>
        <w:t>forces de défense et de sécurité. Les miliciens ont alors fui vers le tshiota dans le centre-ville de Luebo et une partie de population a fui en dehors de la cité</w:t>
      </w:r>
      <w:r w:rsidRPr="007F1170">
        <w:rPr>
          <w:rStyle w:val="FootnoteReference"/>
        </w:rPr>
        <w:footnoteReference w:id="413"/>
      </w:r>
      <w:r>
        <w:t>. Un autre affrontement très violent</w:t>
      </w:r>
      <w:r w:rsidR="0094671E">
        <w:t>, les FARDC utilisant des lance-roquettes,</w:t>
      </w:r>
      <w:r>
        <w:t xml:space="preserve"> a eu lieu dans le centre de la cité de Luebo au cours duquel de très nombreux enfants miliciens Kamuina Nsapu ont perdu la vie</w:t>
      </w:r>
      <w:r w:rsidRPr="007F1170">
        <w:rPr>
          <w:rStyle w:val="FootnoteReference"/>
        </w:rPr>
        <w:footnoteReference w:id="414"/>
      </w:r>
      <w:r>
        <w:t xml:space="preserve">. Un témoin explique </w:t>
      </w:r>
      <w:r w:rsidR="0094671E">
        <w:t xml:space="preserve">que juste après </w:t>
      </w:r>
      <w:r>
        <w:t xml:space="preserve">les affrontements </w:t>
      </w:r>
      <w:r w:rsidR="0094671E">
        <w:t xml:space="preserve">il a vu de nombreux </w:t>
      </w:r>
      <w:r>
        <w:t xml:space="preserve">cadavres </w:t>
      </w:r>
      <w:r w:rsidRPr="00C456DB">
        <w:t xml:space="preserve">sur l’avenue Kalemba et l’avenue de la mission. </w:t>
      </w:r>
      <w:r>
        <w:t>L</w:t>
      </w:r>
      <w:r w:rsidRPr="00C456DB">
        <w:t xml:space="preserve">es </w:t>
      </w:r>
      <w:r w:rsidR="0094671E">
        <w:t xml:space="preserve">corps, qu’il n’a pu dénombrer, étaient principalement ceux de </w:t>
      </w:r>
      <w:r w:rsidRPr="00C456DB">
        <w:t xml:space="preserve">miliciens. Les </w:t>
      </w:r>
      <w:r w:rsidR="0094671E">
        <w:t xml:space="preserve">FARDC ont achevé les </w:t>
      </w:r>
      <w:r w:rsidRPr="00C456DB">
        <w:t xml:space="preserve">enfants </w:t>
      </w:r>
      <w:r>
        <w:t>blessés</w:t>
      </w:r>
      <w:r w:rsidRPr="00C456DB">
        <w:t xml:space="preserve">. </w:t>
      </w:r>
      <w:r>
        <w:t>U</w:t>
      </w:r>
      <w:r w:rsidRPr="00C456DB">
        <w:t>n second affrontement dans l’après</w:t>
      </w:r>
      <w:r>
        <w:t>-</w:t>
      </w:r>
      <w:r w:rsidRPr="00C456DB">
        <w:t xml:space="preserve">midi </w:t>
      </w:r>
      <w:r w:rsidR="0059105E">
        <w:t xml:space="preserve">aurait également fait 12 </w:t>
      </w:r>
      <w:r w:rsidR="00686B07">
        <w:t>m</w:t>
      </w:r>
      <w:r w:rsidR="0059105E">
        <w:t>orts parmi les miliciens</w:t>
      </w:r>
      <w:r>
        <w:t>.</w:t>
      </w:r>
      <w:r w:rsidRPr="00C456DB">
        <w:t xml:space="preserve"> </w:t>
      </w:r>
      <w:r>
        <w:t>Dans les jours suivants il y aurait eu au moins deux autres affrontements entre les FARDC et les miliciens Kamuina Nsapu qui aurait conduit à la mort de huit miliciens</w:t>
      </w:r>
      <w:r w:rsidRPr="007F1170">
        <w:rPr>
          <w:rStyle w:val="FootnoteReference"/>
        </w:rPr>
        <w:footnoteReference w:id="415"/>
      </w:r>
      <w:r>
        <w:t>. Les militaires ont tiré en l’air avant d’arriver au centre-ville</w:t>
      </w:r>
      <w:r w:rsidRPr="007F1170">
        <w:rPr>
          <w:rStyle w:val="FootnoteReference"/>
        </w:rPr>
        <w:footnoteReference w:id="416"/>
      </w:r>
      <w:r>
        <w:t>. Plusieurs témoins mentionnent que des civils ont également été tués lors de ces affrontements sans qu’il ait été possible d’en déterminer le nombre</w:t>
      </w:r>
      <w:r w:rsidRPr="007F1170">
        <w:rPr>
          <w:rStyle w:val="FootnoteReference"/>
        </w:rPr>
        <w:footnoteReference w:id="417"/>
      </w:r>
      <w:r>
        <w:t xml:space="preserve">. L’EEI note qu’il a été particulièrement difficile de documenter la reprise de la ville de Luebo par les </w:t>
      </w:r>
      <w:r w:rsidR="0059105E">
        <w:t xml:space="preserve">FARDC </w:t>
      </w:r>
      <w:r>
        <w:t xml:space="preserve">et que plusieurs contacts ou témoins ont exprimé des réticences à s’exprimer </w:t>
      </w:r>
      <w:r w:rsidR="0059105E">
        <w:t>sur le rôle des FARDC dans ces évènements</w:t>
      </w:r>
      <w:r w:rsidRPr="007F1170">
        <w:rPr>
          <w:rStyle w:val="FootnoteReference"/>
        </w:rPr>
        <w:footnoteReference w:id="418"/>
      </w:r>
      <w:r w:rsidR="0059105E">
        <w:t>.</w:t>
      </w:r>
      <w:r>
        <w:t xml:space="preserve"> Plusieurs fosses communes ont été identifiées dans la cité de Luebo</w:t>
      </w:r>
      <w:r w:rsidRPr="007F1170">
        <w:rPr>
          <w:rStyle w:val="FootnoteReference"/>
        </w:rPr>
        <w:footnoteReference w:id="419"/>
      </w:r>
      <w:r>
        <w:t>.</w:t>
      </w:r>
    </w:p>
    <w:p w14:paraId="2BA05F96" w14:textId="7911EAF4" w:rsidR="00771DAE" w:rsidRDefault="00CB371E" w:rsidP="00BE7CAA">
      <w:pPr>
        <w:pStyle w:val="BodyText"/>
        <w:tabs>
          <w:tab w:val="left" w:pos="1559"/>
          <w:tab w:val="left" w:pos="1984"/>
          <w:tab w:val="left" w:leader="dot" w:pos="7654"/>
          <w:tab w:val="right" w:pos="8929"/>
        </w:tabs>
        <w:spacing w:line="240" w:lineRule="atLeast"/>
        <w:ind w:left="1138" w:right="1138" w:firstLine="0"/>
      </w:pPr>
      <w:r>
        <w:t>A la reprise de la cité de Luebo, d</w:t>
      </w:r>
      <w:r w:rsidR="00771DAE" w:rsidRPr="00D84995">
        <w:t xml:space="preserve">es éléments FARDC </w:t>
      </w:r>
      <w:r>
        <w:t xml:space="preserve">ont également procédé </w:t>
      </w:r>
      <w:r w:rsidR="00771DAE" w:rsidRPr="00D84995">
        <w:t>à des pillages des biens de</w:t>
      </w:r>
      <w:r>
        <w:t>s habitants</w:t>
      </w:r>
      <w:r w:rsidR="00771DAE" w:rsidRPr="007F1170">
        <w:rPr>
          <w:rStyle w:val="FootnoteReference"/>
        </w:rPr>
        <w:footnoteReference w:id="420"/>
      </w:r>
      <w:r w:rsidR="00771DAE" w:rsidRPr="00D84995">
        <w:t xml:space="preserve"> et ont érigés des barrières afin d’extorquer la population</w:t>
      </w:r>
      <w:r w:rsidR="00771DAE" w:rsidRPr="007F1170">
        <w:rPr>
          <w:rStyle w:val="FootnoteReference"/>
        </w:rPr>
        <w:footnoteReference w:id="421"/>
      </w:r>
      <w:r w:rsidR="00771DAE">
        <w:t>. Après la reprise de la cité, les forces de défense et de sécurité ont lancé des opérations militaires sur l’ensemble du territoire de Luebo, et en particulier dans les villages où la milice s’était installée. Des allégations crédibles</w:t>
      </w:r>
      <w:r w:rsidR="00133D2B">
        <w:t>,</w:t>
      </w:r>
      <w:r w:rsidR="00771DAE">
        <w:t xml:space="preserve"> qui doivent</w:t>
      </w:r>
      <w:r>
        <w:t xml:space="preserve"> cependant </w:t>
      </w:r>
      <w:r w:rsidR="00771DAE">
        <w:t xml:space="preserve">être vérifiées, d’opérations militaires dans les villages voisins de Luebo, de </w:t>
      </w:r>
      <w:r w:rsidR="00771DAE" w:rsidRPr="000478A6">
        <w:t>Kan Jinganyinga</w:t>
      </w:r>
      <w:r w:rsidR="00771DAE">
        <w:t xml:space="preserve"> et de Kambamoma, au cours desquelles les FARDC auraient tué des miliciens et des civils, et incendiés les habitations, ont été rapportées</w:t>
      </w:r>
      <w:r w:rsidR="00771DAE" w:rsidRPr="007F1170">
        <w:rPr>
          <w:rStyle w:val="FootnoteReference"/>
        </w:rPr>
        <w:footnoteReference w:id="422"/>
      </w:r>
      <w:r w:rsidR="00771DAE">
        <w:t xml:space="preserve">. </w:t>
      </w:r>
    </w:p>
    <w:p w14:paraId="427FC0DA" w14:textId="3F6F7E76" w:rsidR="00771DAE" w:rsidRDefault="00771DAE" w:rsidP="00BE7CAA">
      <w:pPr>
        <w:pStyle w:val="BodyText"/>
        <w:tabs>
          <w:tab w:val="left" w:pos="1559"/>
          <w:tab w:val="left" w:pos="1984"/>
          <w:tab w:val="left" w:leader="dot" w:pos="7654"/>
          <w:tab w:val="right" w:pos="8929"/>
        </w:tabs>
        <w:spacing w:line="240" w:lineRule="atLeast"/>
        <w:ind w:left="1138" w:right="1138" w:firstLine="0"/>
      </w:pPr>
      <w:r>
        <w:t xml:space="preserve">De nombreux actes de violence commis par la milice Kamuina Nsapu et par les forces de défense et de sécurité ont eu lieu entre décembre 2016 et juin 2017 sur le territoire de Luebo. D’après les informations recueillies, entre février et avril 2017, 350 femmes et 420 hommes auraient été tués lors d’affrontements entre les miliciens Kamuina Nsapu et les FARDC. 58 femmes et 150 hommes auraient également été blessés et 50 personnes auraient tuées par des balles perdues. 800 maisons ont été incendiées </w:t>
      </w:r>
      <w:r w:rsidR="00CB371E">
        <w:t>et</w:t>
      </w:r>
      <w:r>
        <w:t xml:space="preserve"> quatre écoles de l’Eglise catholique</w:t>
      </w:r>
      <w:r w:rsidR="00CB371E">
        <w:t xml:space="preserve"> ont été</w:t>
      </w:r>
      <w:r>
        <w:t xml:space="preserve"> saccagées, pillées ou incendiées sur l’ensemble du territoire de Luebo</w:t>
      </w:r>
      <w:r w:rsidRPr="007F1170">
        <w:rPr>
          <w:rStyle w:val="FootnoteReference"/>
        </w:rPr>
        <w:footnoteReference w:id="423"/>
      </w:r>
      <w:r>
        <w:t xml:space="preserve">. </w:t>
      </w:r>
    </w:p>
    <w:p w14:paraId="3A165059" w14:textId="2032AE15" w:rsidR="00771DAE" w:rsidRPr="00B76E6A" w:rsidRDefault="00DB238D" w:rsidP="00BE7CAA">
      <w:pPr>
        <w:pStyle w:val="BodyText"/>
        <w:tabs>
          <w:tab w:val="left" w:pos="1559"/>
          <w:tab w:val="left" w:pos="1984"/>
          <w:tab w:val="left" w:leader="dot" w:pos="7654"/>
          <w:tab w:val="right" w:pos="8929"/>
        </w:tabs>
        <w:spacing w:line="240" w:lineRule="atLeast"/>
        <w:ind w:left="1138" w:right="1138" w:firstLine="0"/>
      </w:pPr>
      <w:bookmarkStart w:id="46" w:name="_Ref517880650"/>
      <w:r>
        <w:t xml:space="preserve">L’allégation selon laquelle </w:t>
      </w:r>
      <w:r w:rsidR="00771DAE">
        <w:t xml:space="preserve">un affrontement très violent au cours duquel de très nombreux miliciens Kamuina Nsapu, dont de </w:t>
      </w:r>
      <w:r w:rsidR="00133D2B">
        <w:t>nombreux</w:t>
      </w:r>
      <w:r w:rsidR="00771DAE">
        <w:t xml:space="preserve"> enfants, auraient été tué, sur l’axe reliant cité de Luebo à celle de Mweka, début avril 2017</w:t>
      </w:r>
      <w:r>
        <w:t>, devrait, aux yeux de l’EEI, faire l’objet d’une enquête approfondie</w:t>
      </w:r>
      <w:r w:rsidR="00771DAE" w:rsidRPr="007F1170">
        <w:rPr>
          <w:rStyle w:val="FootnoteReference"/>
        </w:rPr>
        <w:footnoteReference w:id="424"/>
      </w:r>
      <w:r w:rsidR="00771DAE" w:rsidRPr="00E32C55">
        <w:rPr>
          <w:noProof/>
          <w:color w:val="000000"/>
        </w:rPr>
        <w:t xml:space="preserve">. </w:t>
      </w:r>
      <w:r>
        <w:rPr>
          <w:noProof/>
          <w:color w:val="000000"/>
        </w:rPr>
        <w:t>Il en est de même de</w:t>
      </w:r>
      <w:r w:rsidR="00771DAE">
        <w:rPr>
          <w:noProof/>
          <w:color w:val="000000"/>
        </w:rPr>
        <w:t xml:space="preserve"> l’attaque par les miliciens </w:t>
      </w:r>
      <w:r>
        <w:rPr>
          <w:noProof/>
          <w:color w:val="000000"/>
        </w:rPr>
        <w:t xml:space="preserve">Kamuina Nsapu </w:t>
      </w:r>
      <w:r w:rsidR="00771DAE">
        <w:rPr>
          <w:noProof/>
          <w:color w:val="000000"/>
        </w:rPr>
        <w:t xml:space="preserve">du village de Bagnagna où la population civile, en particulier les Bashilele </w:t>
      </w:r>
      <w:r>
        <w:rPr>
          <w:noProof/>
          <w:color w:val="000000"/>
        </w:rPr>
        <w:t>aurait</w:t>
      </w:r>
      <w:r w:rsidR="00771DAE">
        <w:rPr>
          <w:noProof/>
          <w:color w:val="000000"/>
        </w:rPr>
        <w:t xml:space="preserve"> été la cible des miliciens Kamuina Nsapu</w:t>
      </w:r>
      <w:r w:rsidR="00771DAE" w:rsidRPr="007F1170">
        <w:rPr>
          <w:rStyle w:val="FootnoteReference"/>
        </w:rPr>
        <w:footnoteReference w:id="425"/>
      </w:r>
      <w:r w:rsidR="00771DAE">
        <w:rPr>
          <w:noProof/>
          <w:color w:val="000000"/>
        </w:rPr>
        <w:t>.</w:t>
      </w:r>
      <w:bookmarkEnd w:id="46"/>
      <w:r w:rsidR="00771DAE">
        <w:rPr>
          <w:noProof/>
          <w:color w:val="000000"/>
        </w:rPr>
        <w:t xml:space="preserve"> </w:t>
      </w:r>
    </w:p>
    <w:p w14:paraId="7F71D722" w14:textId="5684A8A0" w:rsidR="00B76E6A" w:rsidRPr="00FE5E8D" w:rsidRDefault="00BE7CAA" w:rsidP="00BE7CAA">
      <w:pPr>
        <w:pStyle w:val="BodyText"/>
        <w:numPr>
          <w:ilvl w:val="0"/>
          <w:numId w:val="0"/>
        </w:numPr>
        <w:tabs>
          <w:tab w:val="left" w:pos="1559"/>
          <w:tab w:val="left" w:pos="1984"/>
          <w:tab w:val="left" w:leader="dot" w:pos="7654"/>
          <w:tab w:val="right" w:pos="8929"/>
        </w:tabs>
        <w:spacing w:line="240" w:lineRule="atLeast"/>
        <w:ind w:left="1138" w:right="1138"/>
        <w:rPr>
          <w:i/>
        </w:rPr>
      </w:pPr>
      <w:r>
        <w:rPr>
          <w:i/>
        </w:rPr>
        <w:t>b.</w:t>
      </w:r>
      <w:r>
        <w:rPr>
          <w:i/>
        </w:rPr>
        <w:tab/>
      </w:r>
      <w:r w:rsidR="00B76E6A" w:rsidRPr="00FE5E8D">
        <w:rPr>
          <w:i/>
        </w:rPr>
        <w:t>Territoire de Kamonia</w:t>
      </w:r>
    </w:p>
    <w:p w14:paraId="5918C360" w14:textId="4DE794E1" w:rsidR="00B76E6A" w:rsidRPr="00EC5EC6" w:rsidRDefault="00B76E6A" w:rsidP="00BE7CAA">
      <w:pPr>
        <w:pStyle w:val="BodyText"/>
        <w:tabs>
          <w:tab w:val="left" w:pos="1559"/>
          <w:tab w:val="left" w:pos="1984"/>
          <w:tab w:val="left" w:leader="dot" w:pos="7654"/>
          <w:tab w:val="right" w:pos="8929"/>
        </w:tabs>
        <w:spacing w:line="240" w:lineRule="atLeast"/>
        <w:ind w:left="1138" w:right="1138" w:firstLine="0"/>
      </w:pPr>
      <w:r w:rsidRPr="00EC5EC6">
        <w:t xml:space="preserve">La milice Kamuina Nsapu était déjà active </w:t>
      </w:r>
      <w:r w:rsidR="00796FB0">
        <w:t>autour</w:t>
      </w:r>
      <w:r w:rsidRPr="00EC5EC6">
        <w:t xml:space="preserve"> de la ville de Tshikapa et sur l’axe routier Kananga-Tshikapa, secteur Bakwa-Nyambi, depuis décembre 2016</w:t>
      </w:r>
      <w:r w:rsidRPr="007F1170">
        <w:rPr>
          <w:rStyle w:val="FootnoteReference"/>
        </w:rPr>
        <w:footnoteReference w:id="426"/>
      </w:r>
      <w:r w:rsidRPr="00EC5EC6">
        <w:t xml:space="preserve"> et l’est restée au cours </w:t>
      </w:r>
      <w:r w:rsidRPr="00BE7CAA">
        <w:rPr>
          <w:noProof/>
          <w:color w:val="000000"/>
        </w:rPr>
        <w:t>de</w:t>
      </w:r>
      <w:r w:rsidRPr="00EC5EC6">
        <w:t xml:space="preserve"> la période </w:t>
      </w:r>
      <w:r w:rsidR="001132A1">
        <w:t xml:space="preserve">allant de </w:t>
      </w:r>
      <w:r w:rsidRPr="00EC5EC6">
        <w:t>janvier</w:t>
      </w:r>
      <w:r w:rsidR="001132A1">
        <w:t xml:space="preserve"> à </w:t>
      </w:r>
      <w:r w:rsidRPr="00EC5EC6">
        <w:t>mai 2017. A partir de février-mars 2017,</w:t>
      </w:r>
      <w:r>
        <w:t xml:space="preserve"> dans un deuxième mouvement,</w:t>
      </w:r>
      <w:r w:rsidRPr="00EC5EC6">
        <w:t xml:space="preserve"> la milice Kamuina Nsapu, en provenance du territoire de Kazumba, Kasaï Central, est arrivée dans la partie sud du territoire de Kamonia dans les secteurs de Kasaï-Longatshimo, Kasaï-Lunyeka et Lovua-Longatshimo. Dans le secteur de Kasaï-Longatshimo où la population est majoritairement </w:t>
      </w:r>
      <w:r w:rsidR="0061479D">
        <w:t>l</w:t>
      </w:r>
      <w:r w:rsidRPr="00EC5EC6">
        <w:t xml:space="preserve">uba, la milice Kamuina Nsapu a progressé rapidement le long de l’axe entre Mutena et Kamako, ainsi que dans la partie frontalière </w:t>
      </w:r>
      <w:r w:rsidR="00133D2B">
        <w:t>avec</w:t>
      </w:r>
      <w:r w:rsidRPr="00EC5EC6">
        <w:t xml:space="preserve"> l’Angola dans le secteur de Kasaï-Lunyeka. Elle a ensuite atteint les zones où la population tend à être majoritairement </w:t>
      </w:r>
      <w:r w:rsidR="00651768">
        <w:t>chokwe</w:t>
      </w:r>
      <w:r w:rsidRPr="00EC5EC6">
        <w:t xml:space="preserve"> du secteur de Lovua-Longatshimo où elle a rencontré une résistance violente des </w:t>
      </w:r>
      <w:r w:rsidR="00651768">
        <w:t>Chokwe</w:t>
      </w:r>
      <w:r w:rsidR="004A163E">
        <w:t>s</w:t>
      </w:r>
      <w:r w:rsidRPr="00EC5EC6">
        <w:t xml:space="preserve"> et Pende</w:t>
      </w:r>
      <w:r w:rsidR="004A163E">
        <w:t>s</w:t>
      </w:r>
      <w:r w:rsidRPr="00EC5EC6">
        <w:t>. Ces derniers se sont alors organisés en milices</w:t>
      </w:r>
      <w:r w:rsidR="001132A1">
        <w:t>, les milices</w:t>
      </w:r>
      <w:r w:rsidRPr="00EC5EC6">
        <w:t xml:space="preserve"> Bana Mura, dans le </w:t>
      </w:r>
      <w:r>
        <w:t xml:space="preserve">secteur de </w:t>
      </w:r>
      <w:r w:rsidRPr="00EC5EC6">
        <w:t>Kasaï-Longatshimo</w:t>
      </w:r>
      <w:r>
        <w:t>,</w:t>
      </w:r>
      <w:r w:rsidRPr="00EC5EC6">
        <w:t xml:space="preserve"> </w:t>
      </w:r>
      <w:r>
        <w:t>et</w:t>
      </w:r>
      <w:r w:rsidRPr="00EC5EC6">
        <w:t xml:space="preserve"> aussi dans et autour de la cité de Kamonia, initialement pour se défendre. </w:t>
      </w:r>
      <w:r w:rsidR="001132A1">
        <w:t>C</w:t>
      </w:r>
      <w:r w:rsidRPr="00EC5EC6">
        <w:t>ependant</w:t>
      </w:r>
      <w:r w:rsidR="001132A1">
        <w:t xml:space="preserve">, </w:t>
      </w:r>
      <w:r w:rsidRPr="00EC5EC6">
        <w:t xml:space="preserve">ils s’en sont </w:t>
      </w:r>
      <w:r w:rsidR="001132A1">
        <w:t xml:space="preserve">rapidement </w:t>
      </w:r>
      <w:r w:rsidRPr="00EC5EC6">
        <w:t>pris à l</w:t>
      </w:r>
      <w:r w:rsidR="001132A1">
        <w:t>a</w:t>
      </w:r>
      <w:r w:rsidRPr="00EC5EC6">
        <w:t xml:space="preserve"> population </w:t>
      </w:r>
      <w:r w:rsidR="0061479D">
        <w:t>l</w:t>
      </w:r>
      <w:r w:rsidRPr="00EC5EC6">
        <w:t xml:space="preserve">uba au cours d’attaques extrêmement violentes. </w:t>
      </w:r>
    </w:p>
    <w:p w14:paraId="260C10F2" w14:textId="7199F83B" w:rsidR="00B76E6A" w:rsidRDefault="000E2F10" w:rsidP="00BE7CAA">
      <w:pPr>
        <w:pStyle w:val="BodyText"/>
        <w:tabs>
          <w:tab w:val="left" w:pos="1559"/>
          <w:tab w:val="left" w:pos="1984"/>
          <w:tab w:val="left" w:leader="dot" w:pos="7654"/>
          <w:tab w:val="right" w:pos="8929"/>
        </w:tabs>
        <w:spacing w:line="240" w:lineRule="atLeast"/>
        <w:ind w:left="1138" w:right="1138" w:firstLine="0"/>
      </w:pPr>
      <w:r>
        <w:t xml:space="preserve">L’EEI est particulièrement alarmée par le niveau de violence auquel la milice Kamuina Nsapu a eu recours sur le territoire de Kamonia. </w:t>
      </w:r>
      <w:r w:rsidR="00B76E6A" w:rsidRPr="005C02EF">
        <w:t>Le territoire de Kamonia a été l’un des plus affecté par la crise qui touche le Kasaï depuis 2016. La progression de la milice Kamuina Nsapu s’y est heurtée aux limites territoriales luba</w:t>
      </w:r>
      <w:r w:rsidR="001132A1">
        <w:t>s</w:t>
      </w:r>
      <w:r w:rsidR="00B76E6A" w:rsidRPr="005C02EF">
        <w:t xml:space="preserve"> dans le Kasaï. En tentant de s’étendre vers des zones majoritairement </w:t>
      </w:r>
      <w:r w:rsidR="004A163E">
        <w:t xml:space="preserve">habitées par des </w:t>
      </w:r>
      <w:r w:rsidR="00651768">
        <w:t>Chokwe</w:t>
      </w:r>
      <w:r w:rsidR="004A163E">
        <w:t>s</w:t>
      </w:r>
      <w:r w:rsidR="00B76E6A" w:rsidRPr="005C02EF">
        <w:t xml:space="preserve"> et </w:t>
      </w:r>
      <w:r w:rsidR="004A163E">
        <w:t xml:space="preserve">des </w:t>
      </w:r>
      <w:r w:rsidR="00B76E6A" w:rsidRPr="005C02EF">
        <w:t>Pende</w:t>
      </w:r>
      <w:r w:rsidR="004A163E">
        <w:t>s</w:t>
      </w:r>
      <w:r w:rsidR="00B76E6A" w:rsidRPr="005C02EF">
        <w:t xml:space="preserve">, la milice Kamuina Nsapu a rencontré une très forte résistance de la part de ces communautés. Les faits décrits </w:t>
      </w:r>
      <w:r w:rsidR="00B76E6A">
        <w:t xml:space="preserve">dans cette section </w:t>
      </w:r>
      <w:r w:rsidR="00B76E6A" w:rsidRPr="005C02EF">
        <w:t>démontrent que le niveau de violence</w:t>
      </w:r>
      <w:r w:rsidR="00133D2B">
        <w:t>s</w:t>
      </w:r>
      <w:r w:rsidR="00B76E6A" w:rsidRPr="005C02EF">
        <w:t xml:space="preserve"> </w:t>
      </w:r>
      <w:r w:rsidR="00B76E6A">
        <w:t xml:space="preserve">auquel ont eu recours </w:t>
      </w:r>
      <w:r w:rsidR="00B76E6A" w:rsidRPr="005C02EF">
        <w:t>l</w:t>
      </w:r>
      <w:r w:rsidR="001132A1">
        <w:t>a</w:t>
      </w:r>
      <w:r w:rsidR="00B76E6A">
        <w:t xml:space="preserve"> milic</w:t>
      </w:r>
      <w:r w:rsidR="001132A1">
        <w:t>e</w:t>
      </w:r>
      <w:r w:rsidR="00B76E6A">
        <w:t xml:space="preserve"> Kamuina Nsapu et </w:t>
      </w:r>
      <w:r w:rsidR="00B76E6A" w:rsidRPr="005C02EF">
        <w:t>les milices Bana Mura</w:t>
      </w:r>
      <w:r w:rsidR="001132A1">
        <w:t xml:space="preserve"> </w:t>
      </w:r>
      <w:r w:rsidR="00B76E6A" w:rsidRPr="005C02EF">
        <w:t>est le plus élevé que l’EEI a</w:t>
      </w:r>
      <w:r w:rsidR="00B76E6A">
        <w:t>it</w:t>
      </w:r>
      <w:r w:rsidR="00B76E6A" w:rsidRPr="005C02EF">
        <w:t xml:space="preserve"> documenté aux cours de ses enquêtes. Les populations civiles</w:t>
      </w:r>
      <w:r w:rsidR="001132A1">
        <w:t>,</w:t>
      </w:r>
      <w:r w:rsidR="00B76E6A" w:rsidRPr="005C02EF">
        <w:t xml:space="preserve"> qu’elles soient</w:t>
      </w:r>
      <w:r w:rsidR="008844A4">
        <w:t xml:space="preserve"> d’ethnie</w:t>
      </w:r>
      <w:r w:rsidR="00B76E6A" w:rsidRPr="005C02EF">
        <w:t xml:space="preserve"> </w:t>
      </w:r>
      <w:r w:rsidR="00651768">
        <w:t>chokwe</w:t>
      </w:r>
      <w:r w:rsidR="00B76E6A" w:rsidRPr="005C02EF">
        <w:t xml:space="preserve">, </w:t>
      </w:r>
      <w:r w:rsidR="008844A4">
        <w:t>p</w:t>
      </w:r>
      <w:r w:rsidR="00B76E6A" w:rsidRPr="005C02EF">
        <w:t xml:space="preserve">ende ou </w:t>
      </w:r>
      <w:r w:rsidR="008844A4">
        <w:t>l</w:t>
      </w:r>
      <w:r w:rsidR="00B76E6A" w:rsidRPr="005C02EF">
        <w:t xml:space="preserve">uba, ont été les principales victimes des actes de violence commises par tous </w:t>
      </w:r>
      <w:r w:rsidR="001132A1">
        <w:t>les acteurs du</w:t>
      </w:r>
      <w:r w:rsidR="00B76E6A">
        <w:t xml:space="preserve"> conflit</w:t>
      </w:r>
      <w:r w:rsidR="00B76E6A" w:rsidRPr="005C02EF">
        <w:t>. L’EEI estime que sur le seul territoire de Kamonia, plusieurs milliers de personnes ont perdu la vie entre février et juin 2017.</w:t>
      </w:r>
      <w:r w:rsidRPr="000E2F10">
        <w:t xml:space="preserve"> </w:t>
      </w:r>
      <w:r>
        <w:t xml:space="preserve">L’EEI a noté deux changements, particulièrement marquants sur le territoire de Kamonia dans le mode opératoire de la milice Kamuina Nsapu. </w:t>
      </w:r>
    </w:p>
    <w:p w14:paraId="7839D49A" w14:textId="148FE242" w:rsidR="00B76E6A" w:rsidRDefault="00B76E6A" w:rsidP="00BE7CAA">
      <w:pPr>
        <w:pStyle w:val="BodyText"/>
        <w:tabs>
          <w:tab w:val="left" w:pos="1559"/>
          <w:tab w:val="left" w:pos="1984"/>
          <w:tab w:val="left" w:leader="dot" w:pos="7654"/>
          <w:tab w:val="right" w:pos="8929"/>
        </w:tabs>
        <w:spacing w:line="240" w:lineRule="atLeast"/>
        <w:ind w:left="1138" w:right="1138" w:firstLine="0"/>
      </w:pPr>
      <w:r>
        <w:t>Tout d’abord, loin de la règle de principe imposée au sein de la milice Kamuina Nsapu de l’interdiction du viol, l’EEI a documenté de nombreux cas de viols et de violences sexuelles commis par les miliciens Kamuina Nsapu sur le territoire de Kamonia. De</w:t>
      </w:r>
      <w:r w:rsidR="00893EA8">
        <w:t xml:space="preserve"> même cas </w:t>
      </w:r>
      <w:r>
        <w:t xml:space="preserve">ont aussi été rapportés dans d’autres territoires, notamment ceux sur lesquels l’influence </w:t>
      </w:r>
      <w:r w:rsidR="0061479D">
        <w:t xml:space="preserve">des </w:t>
      </w:r>
      <w:r>
        <w:t>Luba</w:t>
      </w:r>
      <w:r w:rsidR="0061479D">
        <w:t>s</w:t>
      </w:r>
      <w:r>
        <w:t xml:space="preserve"> se réduit. Néanmoins leur nombre et leur violence sont spécialement importants </w:t>
      </w:r>
      <w:r w:rsidR="00893EA8">
        <w:t xml:space="preserve">dans </w:t>
      </w:r>
      <w:r>
        <w:t>le territoire de Kamonia</w:t>
      </w:r>
      <w:r w:rsidR="004A5D3D">
        <w:t>. Le nombre de viols commis est alarmant comme l’atteste le nombre de victimes entendues par l’EEI</w:t>
      </w:r>
      <w:r w:rsidRPr="007F1170">
        <w:rPr>
          <w:rStyle w:val="FootnoteReference"/>
        </w:rPr>
        <w:footnoteReference w:id="427"/>
      </w:r>
      <w:r>
        <w:t>. A titre d’exemple, en mars 2017, une jeune femme a été kidnappée par des miliciens Kamuina Nsapu et conduite dans une maison dans le village de Dizumbudu. Trois miliciens Kamuina Nsapu l’ont alors violée. Elle est restée dans cette maison pendant une semaine où elle a été battue tous les jours et violée trois fois avant d’être finalement libérée</w:t>
      </w:r>
      <w:r w:rsidRPr="007F1170">
        <w:rPr>
          <w:rStyle w:val="FootnoteReference"/>
        </w:rPr>
        <w:footnoteReference w:id="428"/>
      </w:r>
      <w:r>
        <w:t xml:space="preserve">. Une </w:t>
      </w:r>
      <w:r w:rsidR="00893EA8">
        <w:t xml:space="preserve">jeune </w:t>
      </w:r>
      <w:r>
        <w:t xml:space="preserve">fille de 17 ans au moment des faits, dont le mari a été décapité par des miliciens Kamuina Nsapu qui s’étaient introduits à son domicile dans le village de Kamundele en avril 2017, a été violée par des miliciens Kamuina Nsapu. Alors que deux miliciens la tenaient, un troisième l’a violée. Puis quatre miliciens l’ont encore violée. Son voisin qui avait tenté de la secourir a été décapité. La victime est tombée enceinte </w:t>
      </w:r>
      <w:r w:rsidR="00893EA8">
        <w:t>suite à</w:t>
      </w:r>
      <w:r>
        <w:t xml:space="preserve"> ce viol</w:t>
      </w:r>
      <w:r w:rsidRPr="007F1170">
        <w:rPr>
          <w:rStyle w:val="FootnoteReference"/>
        </w:rPr>
        <w:footnoteReference w:id="429"/>
      </w:r>
      <w:r>
        <w:t xml:space="preserve">. Une </w:t>
      </w:r>
      <w:r w:rsidR="00893EA8">
        <w:t xml:space="preserve">autre jeune fille de </w:t>
      </w:r>
      <w:r>
        <w:t xml:space="preserve">17 ans a également été violée par des miliciens Kamuina Nsapu dans le village de Tinjide, près de la frontière avec l’Angola. Un groupe de miliciens, y compris des enfants, s’est introduit au domicile de la victime. </w:t>
      </w:r>
      <w:r w:rsidR="00893EA8">
        <w:t>Son</w:t>
      </w:r>
      <w:r>
        <w:t xml:space="preserve"> frère qui a tenté de s’interpos</w:t>
      </w:r>
      <w:r w:rsidR="00133D2B">
        <w:t>er</w:t>
      </w:r>
      <w:r>
        <w:t xml:space="preserve"> a reçu un coup avec le plat de la machette derrière la tête et les miliciens lui ont ensuite coupé le sexe</w:t>
      </w:r>
      <w:r w:rsidRPr="004637BD">
        <w:t xml:space="preserve">. Des miliciens adultes ont </w:t>
      </w:r>
      <w:r w:rsidR="00893EA8" w:rsidRPr="00591FD8">
        <w:t xml:space="preserve">ensuite </w:t>
      </w:r>
      <w:r w:rsidRPr="00591FD8">
        <w:t>violé</w:t>
      </w:r>
      <w:r w:rsidR="00893EA8" w:rsidRPr="00591FD8">
        <w:t xml:space="preserve"> cette jeune fille. S’étant évanouie après s’être cognée la tête pendant son agression, </w:t>
      </w:r>
      <w:r w:rsidRPr="0094347A">
        <w:t>elle n’est pas en mesure de dire combien</w:t>
      </w:r>
      <w:r w:rsidR="00893EA8" w:rsidRPr="000E0DA5">
        <w:t xml:space="preserve"> d’agresseurs l’ont violée</w:t>
      </w:r>
      <w:r w:rsidRPr="007F1170">
        <w:rPr>
          <w:rStyle w:val="FootnoteReference"/>
        </w:rPr>
        <w:footnoteReference w:id="430"/>
      </w:r>
      <w:r w:rsidRPr="00E90C08">
        <w:t xml:space="preserve">. Dans le village de Kabumbo, à l’arrivée des miliciens Kamuina Nsapu, un homme du village accusé d’être membre </w:t>
      </w:r>
      <w:r w:rsidR="00893EA8" w:rsidRPr="00E90C08">
        <w:t>du</w:t>
      </w:r>
      <w:r w:rsidRPr="00E90C08">
        <w:t xml:space="preserve"> </w:t>
      </w:r>
      <w:r w:rsidR="009B68E9" w:rsidRPr="00E90C08">
        <w:t>Parti du peuple pour la reconstruction et la démocratie</w:t>
      </w:r>
      <w:r w:rsidR="009B68E9" w:rsidRPr="00FE5E8D">
        <w:t xml:space="preserve"> (</w:t>
      </w:r>
      <w:r w:rsidRPr="00FE5E8D">
        <w:t>PPRD</w:t>
      </w:r>
      <w:r w:rsidR="009B68E9" w:rsidRPr="004637BD">
        <w:t>)</w:t>
      </w:r>
      <w:r w:rsidRPr="004637BD">
        <w:t xml:space="preserve"> a été</w:t>
      </w:r>
      <w:r>
        <w:t xml:space="preserve"> déshabillé en public par les miliciens Kamuina Nsapu. Ces derniers ont alors demandé à un garçon du village de</w:t>
      </w:r>
      <w:r w:rsidR="00893EA8">
        <w:t xml:space="preserve"> le violer en</w:t>
      </w:r>
      <w:r>
        <w:t xml:space="preserve"> le pénétr</w:t>
      </w:r>
      <w:r w:rsidR="00893EA8">
        <w:t>ant</w:t>
      </w:r>
      <w:r>
        <w:t xml:space="preserve"> </w:t>
      </w:r>
      <w:r w:rsidR="00893EA8">
        <w:t>par</w:t>
      </w:r>
      <w:r>
        <w:t xml:space="preserve"> l’anus. L’homme souffre toujours de </w:t>
      </w:r>
      <w:r w:rsidR="00893EA8">
        <w:t xml:space="preserve">séquelles </w:t>
      </w:r>
      <w:r>
        <w:t>physiques importantes liées à ce viol</w:t>
      </w:r>
      <w:r w:rsidRPr="007F1170">
        <w:rPr>
          <w:rStyle w:val="FootnoteReference"/>
        </w:rPr>
        <w:footnoteReference w:id="431"/>
      </w:r>
      <w:r>
        <w:t>.</w:t>
      </w:r>
    </w:p>
    <w:p w14:paraId="5D9DFEAC" w14:textId="4D9D3220" w:rsidR="00B76E6A" w:rsidRDefault="00B76E6A" w:rsidP="00BE7CAA">
      <w:pPr>
        <w:pStyle w:val="BodyText"/>
        <w:tabs>
          <w:tab w:val="left" w:pos="1559"/>
          <w:tab w:val="left" w:pos="1984"/>
          <w:tab w:val="left" w:leader="dot" w:pos="7654"/>
          <w:tab w:val="right" w:pos="8929"/>
        </w:tabs>
        <w:spacing w:line="240" w:lineRule="atLeast"/>
        <w:ind w:left="1138" w:right="1138" w:firstLine="0"/>
      </w:pPr>
      <w:r>
        <w:t xml:space="preserve">De plus, certains des actes de violence commis sur ce territoire par les miliciens Kamuina Nsapu revêtent une connotation ethnique. Les miliciens Kamuina Nsapu considéraient les non-lubaphones, spécialement les </w:t>
      </w:r>
      <w:r w:rsidR="00651768">
        <w:t>Chokwe</w:t>
      </w:r>
      <w:r w:rsidR="004A163E">
        <w:t>s</w:t>
      </w:r>
      <w:r>
        <w:t>, Pende</w:t>
      </w:r>
      <w:r w:rsidR="004A163E">
        <w:t>s</w:t>
      </w:r>
      <w:r>
        <w:t xml:space="preserve"> et Tet</w:t>
      </w:r>
      <w:r w:rsidR="00A00A7A">
        <w:t>e</w:t>
      </w:r>
      <w:r>
        <w:t>la</w:t>
      </w:r>
      <w:r w:rsidR="004A163E">
        <w:t>s</w:t>
      </w:r>
      <w:r>
        <w:t>, comme des ennemis du mouvement. D</w:t>
      </w:r>
      <w:r w:rsidR="00133D2B">
        <w:t>e</w:t>
      </w:r>
      <w:r>
        <w:t xml:space="preserve"> nombreux actes de violence commis par les Kamuina Nsapu contre des membres de ces trois ethnies sont présentés</w:t>
      </w:r>
      <w:r w:rsidR="00904079">
        <w:t xml:space="preserve"> ci-dessous</w:t>
      </w:r>
      <w:r>
        <w:t xml:space="preserve">. Il ne ressort pas toujours nettement des éléments de preuve si les </w:t>
      </w:r>
      <w:r w:rsidR="00651768">
        <w:t>Chokwe</w:t>
      </w:r>
      <w:r w:rsidR="004A163E">
        <w:t>s</w:t>
      </w:r>
      <w:r>
        <w:t>, Pende</w:t>
      </w:r>
      <w:r w:rsidR="004A163E">
        <w:t>s</w:t>
      </w:r>
      <w:r>
        <w:t xml:space="preserve"> et Tet</w:t>
      </w:r>
      <w:r w:rsidR="00A00A7A">
        <w:t>e</w:t>
      </w:r>
      <w:r>
        <w:t>la</w:t>
      </w:r>
      <w:r w:rsidR="004A163E">
        <w:t>s</w:t>
      </w:r>
      <w:r>
        <w:t xml:space="preserve"> ont été attaqués pour des raisons ethniques ou parce qu’ils étaient assimilés à des opposants au mouvement et/ou considéré comme proches des autorités étatiques ou encore pour ces deux raisons à la fois. Cependant, les éléments de preuve montrent qu’au moins certains des actes de violence commis par les miliciens Kamuina Nsapu sur ce territoire revêtaient un caractère ethnique. Ainsi, dans le village de Lubami Monga, au moment de l’attaque du village de Senge </w:t>
      </w:r>
      <w:r w:rsidR="00006825">
        <w:t xml:space="preserve">(ou Cinq) </w:t>
      </w:r>
      <w:r>
        <w:t>par les miliciens Bana Mura</w:t>
      </w:r>
      <w:r w:rsidRPr="007F1170">
        <w:rPr>
          <w:rStyle w:val="FootnoteReference"/>
        </w:rPr>
        <w:footnoteReference w:id="432"/>
      </w:r>
      <w:r>
        <w:t>, la milice Kamuina Nsapu était partie combattre les miliciens Bana Mura. A leur retour les miliciens Kamuina Nsapu ont</w:t>
      </w:r>
      <w:r w:rsidR="00D24636">
        <w:t xml:space="preserve"> spécifiquement</w:t>
      </w:r>
      <w:r>
        <w:t xml:space="preserve"> regroupé</w:t>
      </w:r>
      <w:r w:rsidR="00D24636">
        <w:t>s</w:t>
      </w:r>
      <w:r>
        <w:t xml:space="preserve"> tous les hommes et les femmes </w:t>
      </w:r>
      <w:r w:rsidR="00366883">
        <w:t>p</w:t>
      </w:r>
      <w:r>
        <w:t>ende</w:t>
      </w:r>
      <w:r w:rsidR="00366883">
        <w:t>s</w:t>
      </w:r>
      <w:r>
        <w:t xml:space="preserve"> du village et 24 Pende</w:t>
      </w:r>
      <w:r w:rsidR="00366883">
        <w:t>s</w:t>
      </w:r>
      <w:r>
        <w:t xml:space="preserve"> ont été décapités au tshiota</w:t>
      </w:r>
      <w:r w:rsidRPr="007F1170">
        <w:rPr>
          <w:rStyle w:val="FootnoteReference"/>
        </w:rPr>
        <w:footnoteReference w:id="433"/>
      </w:r>
      <w:r>
        <w:t xml:space="preserve">. Un témoin explique que dans le village de Lupemba, les miliciens Kamuina Nsapu interdisaient aux habitants de parler </w:t>
      </w:r>
      <w:r w:rsidR="00366883">
        <w:t>t</w:t>
      </w:r>
      <w:r>
        <w:t>et</w:t>
      </w:r>
      <w:r w:rsidR="00A00A7A">
        <w:t>e</w:t>
      </w:r>
      <w:r>
        <w:t xml:space="preserve">la et </w:t>
      </w:r>
      <w:r w:rsidR="00366883">
        <w:t>p</w:t>
      </w:r>
      <w:r>
        <w:t xml:space="preserve">ende. </w:t>
      </w:r>
      <w:r w:rsidR="004A5D3D">
        <w:t>Il</w:t>
      </w:r>
      <w:r>
        <w:t xml:space="preserve"> a dû prendre la fuite vers l’Angola après avoir été dénoncé comme appartenant à cette ethnie. Une fois arrivé en Angola, il a été informé par des habitants du village que 18 Tet</w:t>
      </w:r>
      <w:r w:rsidR="00A00A7A">
        <w:t>e</w:t>
      </w:r>
      <w:r>
        <w:t>la</w:t>
      </w:r>
      <w:r w:rsidR="00DF202E">
        <w:t>s</w:t>
      </w:r>
      <w:r>
        <w:t xml:space="preserve"> avaient été tués dans le village par les miliciens Kamuina Nsapu en mai 2017</w:t>
      </w:r>
      <w:r w:rsidRPr="007F1170">
        <w:rPr>
          <w:rStyle w:val="FootnoteReference"/>
        </w:rPr>
        <w:footnoteReference w:id="434"/>
      </w:r>
      <w:r>
        <w:t>. Un autre témoin explique que dans le village de Dibala, où les miliciens Kamuina Nsapu avaient installé un tshiota, de nombreuses personnes ont été décapitées et que le choix des victimes se faisait notamment sur une base d’appartenance ethnique</w:t>
      </w:r>
      <w:r w:rsidRPr="007F1170">
        <w:rPr>
          <w:rStyle w:val="FootnoteReference"/>
        </w:rPr>
        <w:footnoteReference w:id="435"/>
      </w:r>
      <w:r>
        <w:t xml:space="preserve">. </w:t>
      </w:r>
    </w:p>
    <w:p w14:paraId="113FE787" w14:textId="6ECAB9FB" w:rsidR="00B76E6A" w:rsidRPr="00FE5E8D" w:rsidRDefault="00B76E6A" w:rsidP="00E33BE6">
      <w:pPr>
        <w:pStyle w:val="Heading5"/>
        <w:tabs>
          <w:tab w:val="clear" w:pos="1984"/>
          <w:tab w:val="left" w:pos="2340"/>
        </w:tabs>
        <w:spacing w:before="120" w:after="120"/>
        <w:ind w:firstLine="1440"/>
        <w:contextualSpacing w:val="0"/>
        <w:rPr>
          <w:b w:val="0"/>
        </w:rPr>
      </w:pPr>
      <w:r w:rsidRPr="00FE5E8D">
        <w:rPr>
          <w:b w:val="0"/>
        </w:rPr>
        <w:t>Axe Kananga-Tshikapa</w:t>
      </w:r>
    </w:p>
    <w:p w14:paraId="695F494A" w14:textId="158DF7C2" w:rsidR="00B76E6A" w:rsidRPr="00A85A7D" w:rsidRDefault="00B76E6A" w:rsidP="00BE7CAA">
      <w:pPr>
        <w:pStyle w:val="BodyText"/>
        <w:tabs>
          <w:tab w:val="left" w:pos="1559"/>
          <w:tab w:val="left" w:pos="1984"/>
          <w:tab w:val="left" w:leader="dot" w:pos="7654"/>
          <w:tab w:val="right" w:pos="8929"/>
        </w:tabs>
        <w:spacing w:line="240" w:lineRule="atLeast"/>
        <w:ind w:left="1138" w:right="1138" w:firstLine="0"/>
      </w:pPr>
      <w:bookmarkStart w:id="47" w:name="_Ref517875182"/>
      <w:r w:rsidRPr="00A85A7D">
        <w:rPr>
          <w:lang w:eastAsia="fr-FR"/>
        </w:rPr>
        <w:t xml:space="preserve">Au cours </w:t>
      </w:r>
      <w:r w:rsidR="004A5D3D">
        <w:rPr>
          <w:lang w:eastAsia="fr-FR"/>
        </w:rPr>
        <w:t>du premier semestre</w:t>
      </w:r>
      <w:r w:rsidRPr="00A85A7D">
        <w:rPr>
          <w:lang w:eastAsia="fr-FR"/>
        </w:rPr>
        <w:t xml:space="preserve"> 2017, la milice Kamuina Nsapu a continué </w:t>
      </w:r>
      <w:r>
        <w:rPr>
          <w:lang w:eastAsia="fr-FR"/>
        </w:rPr>
        <w:t>à</w:t>
      </w:r>
      <w:r w:rsidRPr="00A85A7D">
        <w:rPr>
          <w:lang w:eastAsia="fr-FR"/>
        </w:rPr>
        <w:t xml:space="preserve"> commettre des exactions sur l’axe Kananga-Tshikapa, notamment dans la zone autour du groupement Mbawu et jusqu’au village de Kamuesha</w:t>
      </w:r>
      <w:r w:rsidRPr="007F1170">
        <w:rPr>
          <w:rStyle w:val="FootnoteReference"/>
        </w:rPr>
        <w:footnoteReference w:id="436"/>
      </w:r>
      <w:r w:rsidRPr="00A85A7D">
        <w:rPr>
          <w:lang w:eastAsia="fr-FR"/>
        </w:rPr>
        <w:t>. L’EEI a en particulier documenté l’incident au cours duquel 37 PNC</w:t>
      </w:r>
      <w:r w:rsidR="00533331">
        <w:rPr>
          <w:lang w:eastAsia="fr-FR"/>
        </w:rPr>
        <w:t>, plus précisément de la LNI,</w:t>
      </w:r>
      <w:r w:rsidRPr="00A85A7D">
        <w:rPr>
          <w:lang w:eastAsia="fr-FR"/>
        </w:rPr>
        <w:t xml:space="preserve"> et 2 FARDC </w:t>
      </w:r>
      <w:r>
        <w:rPr>
          <w:lang w:eastAsia="fr-FR"/>
        </w:rPr>
        <w:t>ont trouvé la mort</w:t>
      </w:r>
      <w:r w:rsidRPr="00A85A7D">
        <w:rPr>
          <w:lang w:eastAsia="fr-FR"/>
        </w:rPr>
        <w:t xml:space="preserve"> dans une embuscade des miliciens Kamuina Nsapu, autour du 24 mars 2017, vers le village de Malenga.</w:t>
      </w:r>
      <w:bookmarkEnd w:id="47"/>
      <w:r w:rsidRPr="00A85A7D">
        <w:rPr>
          <w:lang w:eastAsia="fr-FR"/>
        </w:rPr>
        <w:t xml:space="preserve"> </w:t>
      </w:r>
    </w:p>
    <w:p w14:paraId="078B9678" w14:textId="0D61CD97" w:rsidR="00B76E6A" w:rsidRPr="00A460C8" w:rsidRDefault="00B76E6A" w:rsidP="00BE7CAA">
      <w:pPr>
        <w:pStyle w:val="BodyText"/>
        <w:tabs>
          <w:tab w:val="left" w:pos="1559"/>
          <w:tab w:val="left" w:pos="1984"/>
          <w:tab w:val="left" w:leader="dot" w:pos="7654"/>
          <w:tab w:val="right" w:pos="8929"/>
        </w:tabs>
        <w:spacing w:line="240" w:lineRule="atLeast"/>
        <w:ind w:left="1138" w:right="1138" w:firstLine="0"/>
        <w:rPr>
          <w:color w:val="000000"/>
          <w:lang w:eastAsia="fr-FR"/>
        </w:rPr>
      </w:pPr>
      <w:bookmarkStart w:id="48" w:name="_Ref517875207"/>
      <w:r w:rsidRPr="005C02EF">
        <w:t>Vers le 2</w:t>
      </w:r>
      <w:r w:rsidR="0084066A">
        <w:t>4</w:t>
      </w:r>
      <w:r w:rsidRPr="005C02EF">
        <w:t xml:space="preserve"> </w:t>
      </w:r>
      <w:r w:rsidR="0084066A">
        <w:t>m</w:t>
      </w:r>
      <w:r w:rsidRPr="005C02EF">
        <w:t>ars 2017</w:t>
      </w:r>
      <w:r>
        <w:t>,</w:t>
      </w:r>
      <w:r w:rsidRPr="005C02EF">
        <w:t xml:space="preserve"> </w:t>
      </w:r>
      <w:r>
        <w:t xml:space="preserve">deux camions transportant des membres de </w:t>
      </w:r>
      <w:r w:rsidRPr="00B71642">
        <w:t xml:space="preserve">la </w:t>
      </w:r>
      <w:r w:rsidR="00533331" w:rsidRPr="00CB2CDD">
        <w:t>LNI</w:t>
      </w:r>
      <w:r w:rsidR="00533331" w:rsidRPr="00E27AAC">
        <w:t xml:space="preserve"> </w:t>
      </w:r>
      <w:r>
        <w:t>et deux éléments FARDC sont partis de de Tshikapa vers Kananga</w:t>
      </w:r>
      <w:r w:rsidR="004A5D3D">
        <w:t>. D</w:t>
      </w:r>
      <w:r>
        <w:t>eux jours plus tard,</w:t>
      </w:r>
      <w:r w:rsidRPr="005C02EF">
        <w:t xml:space="preserve"> </w:t>
      </w:r>
      <w:r w:rsidR="004A5D3D">
        <w:t xml:space="preserve">ils </w:t>
      </w:r>
      <w:r w:rsidRPr="005C02EF">
        <w:t>se sont embourbés sur la route principale</w:t>
      </w:r>
      <w:r>
        <w:t xml:space="preserve"> à quelques kilomètres de</w:t>
      </w:r>
      <w:r w:rsidRPr="005C02EF">
        <w:t xml:space="preserve"> la bifurcation Djoku Punda qui se trouve à 95 km de Tshikapa</w:t>
      </w:r>
      <w:r w:rsidRPr="007F1170">
        <w:rPr>
          <w:rStyle w:val="FootnoteReference"/>
        </w:rPr>
        <w:footnoteReference w:id="437"/>
      </w:r>
      <w:r w:rsidRPr="005C02EF">
        <w:t xml:space="preserve">. </w:t>
      </w:r>
      <w:r>
        <w:t>Les deux camions</w:t>
      </w:r>
      <w:r w:rsidR="004A5D3D">
        <w:t xml:space="preserve"> et leurs passagers</w:t>
      </w:r>
      <w:r>
        <w:t xml:space="preserve"> se sont retrouvés encerclés par de très nombreux miliciens Kamuina Nsapu</w:t>
      </w:r>
      <w:r w:rsidRPr="007F1170">
        <w:rPr>
          <w:rStyle w:val="FootnoteReference"/>
        </w:rPr>
        <w:footnoteReference w:id="438"/>
      </w:r>
      <w:r w:rsidRPr="005C02EF">
        <w:t>.</w:t>
      </w:r>
      <w:r>
        <w:t xml:space="preserve"> </w:t>
      </w:r>
      <w:r w:rsidRPr="005C02EF">
        <w:t xml:space="preserve">Les </w:t>
      </w:r>
      <w:r w:rsidR="00E90C08">
        <w:t xml:space="preserve">agents </w:t>
      </w:r>
      <w:r w:rsidR="00533331">
        <w:t xml:space="preserve">de la LNI </w:t>
      </w:r>
      <w:r w:rsidR="004A5D3D">
        <w:t xml:space="preserve">et </w:t>
      </w:r>
      <w:r w:rsidR="002D5D63">
        <w:t xml:space="preserve">des </w:t>
      </w:r>
      <w:r w:rsidR="004A5D3D">
        <w:t>FARDC</w:t>
      </w:r>
      <w:r w:rsidRPr="005C02EF">
        <w:t xml:space="preserve"> ont été assis par terre et les miliciens Kamuina Nsapu les ont </w:t>
      </w:r>
      <w:r w:rsidR="004A5D3D" w:rsidRPr="005C02EF">
        <w:t>filmés</w:t>
      </w:r>
      <w:r w:rsidRPr="007F1170">
        <w:rPr>
          <w:rStyle w:val="FootnoteReference"/>
        </w:rPr>
        <w:footnoteReference w:id="439"/>
      </w:r>
      <w:r w:rsidRPr="005C02EF">
        <w:t xml:space="preserve">. </w:t>
      </w:r>
      <w:r>
        <w:t>Les miliciens</w:t>
      </w:r>
      <w:r w:rsidRPr="005C02EF">
        <w:t xml:space="preserve"> ont </w:t>
      </w:r>
      <w:r>
        <w:t xml:space="preserve">alors </w:t>
      </w:r>
      <w:r w:rsidRPr="005C02EF">
        <w:t xml:space="preserve">demandé aux </w:t>
      </w:r>
      <w:r w:rsidR="00E90C08">
        <w:t xml:space="preserve">agents </w:t>
      </w:r>
      <w:r w:rsidR="00533331">
        <w:t xml:space="preserve">de la LNI </w:t>
      </w:r>
      <w:r>
        <w:t xml:space="preserve">de retirer </w:t>
      </w:r>
      <w:r w:rsidRPr="005C02EF">
        <w:t>leurs uniformes</w:t>
      </w:r>
      <w:r w:rsidRPr="007F1170">
        <w:rPr>
          <w:rStyle w:val="FootnoteReference"/>
        </w:rPr>
        <w:footnoteReference w:id="440"/>
      </w:r>
      <w:r>
        <w:t xml:space="preserve"> et </w:t>
      </w:r>
      <w:r w:rsidRPr="005C02EF">
        <w:t>ont collecté le</w:t>
      </w:r>
      <w:r w:rsidR="007D735A">
        <w:t xml:space="preserve">s </w:t>
      </w:r>
      <w:r w:rsidRPr="005C02EF">
        <w:t>armes qui se trouvaient dans les camions</w:t>
      </w:r>
      <w:r w:rsidRPr="007F1170">
        <w:rPr>
          <w:rStyle w:val="FootnoteReference"/>
        </w:rPr>
        <w:footnoteReference w:id="441"/>
      </w:r>
      <w:r w:rsidRPr="005C02EF">
        <w:t>.</w:t>
      </w:r>
      <w:r>
        <w:t xml:space="preserve"> Les miliciens </w:t>
      </w:r>
      <w:r w:rsidRPr="005C02EF">
        <w:t xml:space="preserve">ont ensuite amené les </w:t>
      </w:r>
      <w:r w:rsidR="00533331">
        <w:t>membres de la LNI</w:t>
      </w:r>
      <w:r w:rsidR="00533331" w:rsidRPr="005C02EF">
        <w:t xml:space="preserve"> </w:t>
      </w:r>
      <w:r w:rsidRPr="005C02EF">
        <w:t>et les FARDC</w:t>
      </w:r>
      <w:r>
        <w:t>,</w:t>
      </w:r>
      <w:r w:rsidRPr="005C02EF">
        <w:t xml:space="preserve"> deux par deux</w:t>
      </w:r>
      <w:r>
        <w:t>,</w:t>
      </w:r>
      <w:r w:rsidRPr="005C02EF">
        <w:t xml:space="preserve"> derrière une école et les ont tous tués à coups de machette et décapités</w:t>
      </w:r>
      <w:r w:rsidRPr="007F1170">
        <w:rPr>
          <w:rStyle w:val="FootnoteReference"/>
        </w:rPr>
        <w:footnoteReference w:id="442"/>
      </w:r>
      <w:r w:rsidRPr="005C02EF">
        <w:t xml:space="preserve">. 37 </w:t>
      </w:r>
      <w:r w:rsidR="00533331">
        <w:t>agents de la LNI</w:t>
      </w:r>
      <w:r w:rsidRPr="005C02EF">
        <w:t xml:space="preserve"> et deux FARDC ont ainsi perdu la vie. </w:t>
      </w:r>
      <w:r>
        <w:t xml:space="preserve">Trois </w:t>
      </w:r>
      <w:r w:rsidR="00533331">
        <w:t xml:space="preserve">agents de la LNI </w:t>
      </w:r>
      <w:r>
        <w:t xml:space="preserve">et les deux chauffeurs qui parlaient tshiluba ont eu la vie sauve mais ont dû toute la matinée du lendemain, enterrer </w:t>
      </w:r>
      <w:r w:rsidR="007D735A">
        <w:t xml:space="preserve">le corps de </w:t>
      </w:r>
      <w:r>
        <w:t>leurs collègues</w:t>
      </w:r>
      <w:r w:rsidRPr="007F1170">
        <w:rPr>
          <w:rStyle w:val="FootnoteReference"/>
        </w:rPr>
        <w:footnoteReference w:id="443"/>
      </w:r>
      <w:r w:rsidRPr="005C02EF">
        <w:t xml:space="preserve">. </w:t>
      </w:r>
      <w:r>
        <w:rPr>
          <w:lang w:eastAsia="fr-FR"/>
        </w:rPr>
        <w:t xml:space="preserve">Le major de la PNC </w:t>
      </w:r>
      <w:r w:rsidR="002D5D63">
        <w:rPr>
          <w:lang w:eastAsia="fr-FR"/>
        </w:rPr>
        <w:t>a</w:t>
      </w:r>
      <w:r>
        <w:rPr>
          <w:lang w:eastAsia="fr-FR"/>
        </w:rPr>
        <w:t xml:space="preserve"> été tué </w:t>
      </w:r>
      <w:r w:rsidR="002D5D63">
        <w:rPr>
          <w:lang w:eastAsia="fr-FR"/>
        </w:rPr>
        <w:t>dans un autre endroit</w:t>
      </w:r>
      <w:r>
        <w:rPr>
          <w:lang w:eastAsia="fr-FR"/>
        </w:rPr>
        <w:t>. Les miliciens Kamuina Nsapu lui avaient coupé le sexe et</w:t>
      </w:r>
      <w:r w:rsidR="007D735A">
        <w:rPr>
          <w:lang w:eastAsia="fr-FR"/>
        </w:rPr>
        <w:t xml:space="preserve"> les survivants avaient </w:t>
      </w:r>
      <w:r w:rsidR="002D5D63">
        <w:rPr>
          <w:lang w:eastAsia="fr-FR"/>
        </w:rPr>
        <w:t>aussi dû l’enterrer</w:t>
      </w:r>
      <w:r w:rsidRPr="007F1170">
        <w:rPr>
          <w:rStyle w:val="FootnoteReference"/>
        </w:rPr>
        <w:footnoteReference w:id="444"/>
      </w:r>
      <w:r w:rsidRPr="005C02EF">
        <w:rPr>
          <w:lang w:eastAsia="fr-FR"/>
        </w:rPr>
        <w:t>.</w:t>
      </w:r>
      <w:bookmarkEnd w:id="48"/>
    </w:p>
    <w:p w14:paraId="1118335E" w14:textId="5567B851" w:rsidR="00B76E6A" w:rsidRPr="002A65ED" w:rsidRDefault="00B76E6A" w:rsidP="00BE7CAA">
      <w:pPr>
        <w:pStyle w:val="BodyText"/>
        <w:tabs>
          <w:tab w:val="left" w:pos="1559"/>
          <w:tab w:val="left" w:pos="1984"/>
          <w:tab w:val="left" w:leader="dot" w:pos="7654"/>
          <w:tab w:val="right" w:pos="8929"/>
        </w:tabs>
        <w:spacing w:line="240" w:lineRule="atLeast"/>
        <w:ind w:left="1138" w:right="1138" w:firstLine="0"/>
        <w:rPr>
          <w:lang w:eastAsia="fr-FR"/>
        </w:rPr>
      </w:pPr>
      <w:r w:rsidRPr="002A65ED">
        <w:rPr>
          <w:lang w:eastAsia="fr-FR"/>
        </w:rPr>
        <w:t xml:space="preserve">Par ailleurs, l’EEI a collecté des témoignages qui montrent que les </w:t>
      </w:r>
      <w:r w:rsidR="00C44FF6">
        <w:rPr>
          <w:lang w:eastAsia="fr-FR"/>
        </w:rPr>
        <w:t>FARDC</w:t>
      </w:r>
      <w:r w:rsidRPr="002A65ED">
        <w:rPr>
          <w:lang w:eastAsia="fr-FR"/>
        </w:rPr>
        <w:t xml:space="preserve"> ont aussi commis des exactions sur </w:t>
      </w:r>
      <w:r>
        <w:rPr>
          <w:lang w:eastAsia="fr-FR"/>
        </w:rPr>
        <w:t>l’axe Kananga-Tshikapa</w:t>
      </w:r>
      <w:r w:rsidRPr="002A65ED">
        <w:rPr>
          <w:lang w:eastAsia="fr-FR"/>
        </w:rPr>
        <w:t>. Par exemple, dans le village de Kabumba, lors d’une opération des FARDC, deux filles de 15 ans racontent qu’en fuyant le village elles ont vu de nombreux cadavres et qu’elles ont perdu à cet</w:t>
      </w:r>
      <w:r>
        <w:rPr>
          <w:lang w:eastAsia="fr-FR"/>
        </w:rPr>
        <w:t>te</w:t>
      </w:r>
      <w:r w:rsidRPr="002A65ED">
        <w:rPr>
          <w:lang w:eastAsia="fr-FR"/>
        </w:rPr>
        <w:t xml:space="preserve"> occasion quatre hommes de leur famille</w:t>
      </w:r>
      <w:r w:rsidRPr="007F1170">
        <w:rPr>
          <w:rStyle w:val="FootnoteReference"/>
        </w:rPr>
        <w:footnoteReference w:id="445"/>
      </w:r>
      <w:r w:rsidRPr="002A65ED">
        <w:rPr>
          <w:lang w:eastAsia="fr-FR"/>
        </w:rPr>
        <w:t xml:space="preserve">. </w:t>
      </w:r>
      <w:r w:rsidR="00C44FF6">
        <w:rPr>
          <w:lang w:eastAsia="fr-FR"/>
        </w:rPr>
        <w:t>D</w:t>
      </w:r>
      <w:r w:rsidRPr="002A65ED">
        <w:rPr>
          <w:lang w:eastAsia="fr-FR"/>
        </w:rPr>
        <w:t xml:space="preserve">’après un </w:t>
      </w:r>
      <w:r w:rsidR="00C44FF6">
        <w:rPr>
          <w:lang w:eastAsia="fr-FR"/>
        </w:rPr>
        <w:t xml:space="preserve">autre </w:t>
      </w:r>
      <w:r w:rsidRPr="002A65ED">
        <w:rPr>
          <w:lang w:eastAsia="fr-FR"/>
        </w:rPr>
        <w:t>témoin</w:t>
      </w:r>
      <w:r w:rsidR="00C44FF6">
        <w:rPr>
          <w:lang w:eastAsia="fr-FR"/>
        </w:rPr>
        <w:t>,</w:t>
      </w:r>
      <w:r w:rsidRPr="002A65ED">
        <w:rPr>
          <w:lang w:eastAsia="fr-FR"/>
        </w:rPr>
        <w:t xml:space="preserve"> il y aurait eu plusieurs affrontements entre les FARDC et les miliciens Kamuina Nsapu au cours desquels plusieurs dizaines</w:t>
      </w:r>
      <w:r>
        <w:rPr>
          <w:lang w:eastAsia="fr-FR"/>
        </w:rPr>
        <w:t xml:space="preserve"> de personnes</w:t>
      </w:r>
      <w:r w:rsidRPr="002A65ED">
        <w:rPr>
          <w:lang w:eastAsia="fr-FR"/>
        </w:rPr>
        <w:t xml:space="preserve">, des miliciens et de civils, auraient été tués entre février et avril 2017 dans village de </w:t>
      </w:r>
      <w:r w:rsidRPr="005C02EF">
        <w:t>Tshitadi</w:t>
      </w:r>
      <w:r w:rsidRPr="002A65ED">
        <w:rPr>
          <w:lang w:eastAsia="fr-FR"/>
        </w:rPr>
        <w:t>. Le témoin indique avoir assisté à l’enterrement d’au moins 10 habitants du village en avril 2017</w:t>
      </w:r>
      <w:r>
        <w:rPr>
          <w:lang w:eastAsia="fr-FR"/>
        </w:rPr>
        <w:t>,</w:t>
      </w:r>
      <w:r w:rsidRPr="002A65ED">
        <w:rPr>
          <w:lang w:eastAsia="fr-FR"/>
        </w:rPr>
        <w:t xml:space="preserve"> tous tués par balle,</w:t>
      </w:r>
      <w:r>
        <w:rPr>
          <w:lang w:eastAsia="fr-FR"/>
        </w:rPr>
        <w:t xml:space="preserve"> dont</w:t>
      </w:r>
      <w:r w:rsidRPr="002A65ED">
        <w:rPr>
          <w:lang w:eastAsia="fr-FR"/>
        </w:rPr>
        <w:t xml:space="preserve"> quatre hommes, une femme, une fille de 15 ans, et trois garçons de moins de </w:t>
      </w:r>
      <w:r w:rsidR="00C44FF6">
        <w:rPr>
          <w:lang w:eastAsia="fr-FR"/>
        </w:rPr>
        <w:t xml:space="preserve">trois </w:t>
      </w:r>
      <w:r w:rsidRPr="002A65ED">
        <w:rPr>
          <w:lang w:eastAsia="fr-FR"/>
        </w:rPr>
        <w:t>ans</w:t>
      </w:r>
      <w:r w:rsidRPr="007F1170">
        <w:rPr>
          <w:rStyle w:val="FootnoteReference"/>
        </w:rPr>
        <w:footnoteReference w:id="446"/>
      </w:r>
      <w:r w:rsidRPr="002A65ED">
        <w:rPr>
          <w:lang w:eastAsia="fr-FR"/>
        </w:rPr>
        <w:t>. Un</w:t>
      </w:r>
      <w:r w:rsidR="00C44FF6">
        <w:rPr>
          <w:lang w:eastAsia="fr-FR"/>
        </w:rPr>
        <w:t>e autre femme a expliqué</w:t>
      </w:r>
      <w:r w:rsidRPr="002A65ED">
        <w:rPr>
          <w:lang w:eastAsia="fr-FR"/>
        </w:rPr>
        <w:t xml:space="preserve"> que son mari a</w:t>
      </w:r>
      <w:r w:rsidR="00C44FF6">
        <w:rPr>
          <w:lang w:eastAsia="fr-FR"/>
        </w:rPr>
        <w:t>vait</w:t>
      </w:r>
      <w:r w:rsidRPr="002A65ED">
        <w:rPr>
          <w:lang w:eastAsia="fr-FR"/>
        </w:rPr>
        <w:t xml:space="preserve"> été tué par balle par les FARDC lors d’une </w:t>
      </w:r>
      <w:r>
        <w:rPr>
          <w:lang w:eastAsia="fr-FR"/>
        </w:rPr>
        <w:t>opération militaire</w:t>
      </w:r>
      <w:r w:rsidRPr="002A65ED">
        <w:rPr>
          <w:lang w:eastAsia="fr-FR"/>
        </w:rPr>
        <w:t xml:space="preserve"> dans le village de </w:t>
      </w:r>
      <w:r w:rsidRPr="005C02EF">
        <w:t>Tshitadi</w:t>
      </w:r>
      <w:r w:rsidRPr="002A65ED">
        <w:rPr>
          <w:lang w:eastAsia="fr-FR"/>
        </w:rPr>
        <w:t xml:space="preserve"> en mars 2017</w:t>
      </w:r>
      <w:r w:rsidRPr="007F1170">
        <w:rPr>
          <w:rStyle w:val="FootnoteReference"/>
        </w:rPr>
        <w:footnoteReference w:id="447"/>
      </w:r>
      <w:r w:rsidRPr="002A65ED">
        <w:rPr>
          <w:lang w:eastAsia="fr-FR"/>
        </w:rPr>
        <w:t xml:space="preserve">. </w:t>
      </w:r>
      <w:r w:rsidR="00C44FF6">
        <w:rPr>
          <w:lang w:eastAsia="fr-FR"/>
        </w:rPr>
        <w:t xml:space="preserve">Un témoin raconte que vers le </w:t>
      </w:r>
      <w:r w:rsidRPr="002A65ED">
        <w:rPr>
          <w:lang w:eastAsia="fr-FR"/>
        </w:rPr>
        <w:t>village de Kaluebo</w:t>
      </w:r>
      <w:r w:rsidR="00C44FF6">
        <w:rPr>
          <w:lang w:eastAsia="fr-FR"/>
        </w:rPr>
        <w:t>,</w:t>
      </w:r>
      <w:r w:rsidRPr="002A65ED">
        <w:rPr>
          <w:lang w:eastAsia="fr-FR"/>
        </w:rPr>
        <w:t xml:space="preserve"> </w:t>
      </w:r>
      <w:r>
        <w:rPr>
          <w:lang w:eastAsia="fr-FR"/>
        </w:rPr>
        <w:t xml:space="preserve">sa fille </w:t>
      </w:r>
      <w:r w:rsidRPr="002A65ED">
        <w:rPr>
          <w:lang w:eastAsia="fr-FR"/>
        </w:rPr>
        <w:t>de 24 ans a été violée par trois éléments FARDC si violemment qu’elle a commencé à saigner et qu’elle est dé</w:t>
      </w:r>
      <w:r>
        <w:rPr>
          <w:lang w:eastAsia="fr-FR"/>
        </w:rPr>
        <w:t>cédée des suites de ce viol.</w:t>
      </w:r>
      <w:r w:rsidR="00C44FF6">
        <w:rPr>
          <w:lang w:eastAsia="fr-FR"/>
        </w:rPr>
        <w:t xml:space="preserve"> Le </w:t>
      </w:r>
      <w:r w:rsidRPr="002A65ED">
        <w:rPr>
          <w:lang w:eastAsia="fr-FR"/>
        </w:rPr>
        <w:t xml:space="preserve">bébé </w:t>
      </w:r>
      <w:r w:rsidR="00C44FF6">
        <w:rPr>
          <w:lang w:eastAsia="fr-FR"/>
        </w:rPr>
        <w:t xml:space="preserve">de sa fille, </w:t>
      </w:r>
      <w:r w:rsidRPr="002A65ED">
        <w:rPr>
          <w:lang w:eastAsia="fr-FR"/>
        </w:rPr>
        <w:t>âgé de deux semaines</w:t>
      </w:r>
      <w:r w:rsidR="00C44FF6">
        <w:rPr>
          <w:lang w:eastAsia="fr-FR"/>
        </w:rPr>
        <w:t>,</w:t>
      </w:r>
      <w:r w:rsidRPr="002A65ED">
        <w:rPr>
          <w:lang w:eastAsia="fr-FR"/>
        </w:rPr>
        <w:t xml:space="preserve"> est également décédé en raison des conditions de vie imposées par cette fuite</w:t>
      </w:r>
      <w:r w:rsidRPr="007F1170">
        <w:rPr>
          <w:rStyle w:val="FootnoteReference"/>
        </w:rPr>
        <w:footnoteReference w:id="448"/>
      </w:r>
      <w:r w:rsidRPr="002A65ED">
        <w:rPr>
          <w:lang w:eastAsia="fr-FR"/>
        </w:rPr>
        <w:t xml:space="preserve">. </w:t>
      </w:r>
      <w:r w:rsidRPr="002A65ED">
        <w:t>D’autres allégations crédibles</w:t>
      </w:r>
      <w:r>
        <w:t xml:space="preserve"> reçues</w:t>
      </w:r>
      <w:r w:rsidRPr="002A65ED">
        <w:t xml:space="preserve"> </w:t>
      </w:r>
      <w:r w:rsidRPr="005C02EF">
        <w:t>suggèrent que les exactions commises par les forces de défense et de sécurité contre la population civile</w:t>
      </w:r>
      <w:r>
        <w:t xml:space="preserve"> sur cet axe</w:t>
      </w:r>
      <w:r w:rsidRPr="005C02EF">
        <w:t xml:space="preserve"> seraient d’une ampleur</w:t>
      </w:r>
      <w:r>
        <w:t xml:space="preserve"> bien</w:t>
      </w:r>
      <w:r w:rsidRPr="005C02EF">
        <w:t xml:space="preserve"> plus importante que les éléments collectés par l’EEI. Elle considère que des enquêtes supplémentaires </w:t>
      </w:r>
      <w:r w:rsidR="00C44FF6">
        <w:t>seraient</w:t>
      </w:r>
      <w:r w:rsidR="00C44FF6" w:rsidRPr="005C02EF">
        <w:t xml:space="preserve"> </w:t>
      </w:r>
      <w:r w:rsidRPr="005C02EF">
        <w:t>nécessaires</w:t>
      </w:r>
      <w:r>
        <w:t>.</w:t>
      </w:r>
    </w:p>
    <w:p w14:paraId="68775258" w14:textId="0716F0D8" w:rsidR="00B76E6A" w:rsidRPr="00FE5E8D" w:rsidRDefault="00B76E6A" w:rsidP="00E33BE6">
      <w:pPr>
        <w:pStyle w:val="Heading5"/>
        <w:tabs>
          <w:tab w:val="clear" w:pos="1984"/>
          <w:tab w:val="left" w:pos="2340"/>
        </w:tabs>
        <w:spacing w:before="120" w:after="120"/>
        <w:ind w:firstLine="1440"/>
        <w:contextualSpacing w:val="0"/>
        <w:rPr>
          <w:b w:val="0"/>
        </w:rPr>
      </w:pPr>
      <w:r w:rsidRPr="00FE5E8D">
        <w:rPr>
          <w:b w:val="0"/>
        </w:rPr>
        <w:t>Ville de Tshikapa</w:t>
      </w:r>
    </w:p>
    <w:p w14:paraId="21BC7DFC" w14:textId="75E6122B" w:rsidR="00B76E6A" w:rsidRDefault="00B76E6A" w:rsidP="00BE7CAA">
      <w:pPr>
        <w:pStyle w:val="BodyText"/>
        <w:tabs>
          <w:tab w:val="left" w:pos="1559"/>
          <w:tab w:val="left" w:pos="1984"/>
          <w:tab w:val="left" w:leader="dot" w:pos="7654"/>
          <w:tab w:val="right" w:pos="8929"/>
        </w:tabs>
        <w:spacing w:line="240" w:lineRule="atLeast"/>
        <w:ind w:left="1138" w:right="1138" w:firstLine="0"/>
      </w:pPr>
      <w:r w:rsidRPr="005C02EF">
        <w:t xml:space="preserve">La ville de Tshikapa est majoritairement lubaphone même si les minorités </w:t>
      </w:r>
      <w:r w:rsidR="00651768">
        <w:t>chokwe</w:t>
      </w:r>
      <w:r w:rsidR="004A163E">
        <w:t>s</w:t>
      </w:r>
      <w:r w:rsidRPr="005C02EF">
        <w:t xml:space="preserve"> et </w:t>
      </w:r>
      <w:r w:rsidR="004A163E">
        <w:t>p</w:t>
      </w:r>
      <w:r w:rsidRPr="005C02EF">
        <w:t>ende</w:t>
      </w:r>
      <w:r w:rsidR="004A163E">
        <w:t>s</w:t>
      </w:r>
      <w:r w:rsidRPr="005C02EF">
        <w:t xml:space="preserve"> </w:t>
      </w:r>
      <w:r>
        <w:t xml:space="preserve">y </w:t>
      </w:r>
      <w:r w:rsidRPr="005C02EF">
        <w:t xml:space="preserve">sont importantes. </w:t>
      </w:r>
      <w:r w:rsidR="00507AB2" w:rsidRPr="005C02EF">
        <w:t>Tshikapa est divisé en neuf secteurs dont cinq sont majoritairement</w:t>
      </w:r>
      <w:r w:rsidR="0061479D">
        <w:t xml:space="preserve"> habités par des</w:t>
      </w:r>
      <w:r w:rsidR="00507AB2" w:rsidRPr="005C02EF">
        <w:t xml:space="preserve"> Luba</w:t>
      </w:r>
      <w:r w:rsidR="0061479D">
        <w:t>s</w:t>
      </w:r>
      <w:r w:rsidR="00507AB2" w:rsidRPr="005C02EF">
        <w:t>, trois</w:t>
      </w:r>
      <w:r w:rsidR="0061479D">
        <w:t xml:space="preserve"> par les</w:t>
      </w:r>
      <w:r w:rsidR="00507AB2" w:rsidRPr="005C02EF">
        <w:t xml:space="preserve"> </w:t>
      </w:r>
      <w:r w:rsidR="00651768">
        <w:t>Chokwe</w:t>
      </w:r>
      <w:r w:rsidR="008844A4">
        <w:t>s</w:t>
      </w:r>
      <w:r w:rsidR="00507AB2" w:rsidRPr="005C02EF">
        <w:t xml:space="preserve"> et un </w:t>
      </w:r>
      <w:r w:rsidR="0061479D">
        <w:t xml:space="preserve">par les </w:t>
      </w:r>
      <w:r w:rsidR="00507AB2" w:rsidRPr="005C02EF">
        <w:t>Pende</w:t>
      </w:r>
      <w:r w:rsidR="008844A4">
        <w:t>s</w:t>
      </w:r>
      <w:r w:rsidR="00507AB2">
        <w:t>.</w:t>
      </w:r>
      <w:r w:rsidR="00507AB2" w:rsidRPr="005C02EF">
        <w:t xml:space="preserve"> </w:t>
      </w:r>
      <w:r w:rsidRPr="005C02EF">
        <w:t>Les</w:t>
      </w:r>
      <w:r>
        <w:t xml:space="preserve"> différentes</w:t>
      </w:r>
      <w:r w:rsidRPr="005C02EF">
        <w:t xml:space="preserve"> communautés se mélangent peu.</w:t>
      </w:r>
      <w:r w:rsidRPr="007F1170">
        <w:rPr>
          <w:rStyle w:val="FootnoteReference"/>
        </w:rPr>
        <w:footnoteReference w:id="449"/>
      </w:r>
      <w:r w:rsidRPr="005C02EF">
        <w:t xml:space="preserve"> </w:t>
      </w:r>
    </w:p>
    <w:p w14:paraId="573A0363" w14:textId="1D654356" w:rsidR="00B76E6A" w:rsidRPr="00263236" w:rsidRDefault="00B76E6A" w:rsidP="00BE7CAA">
      <w:pPr>
        <w:pStyle w:val="BodyText"/>
        <w:tabs>
          <w:tab w:val="left" w:pos="1559"/>
          <w:tab w:val="left" w:pos="1984"/>
          <w:tab w:val="left" w:leader="dot" w:pos="7654"/>
          <w:tab w:val="right" w:pos="8929"/>
        </w:tabs>
        <w:spacing w:line="240" w:lineRule="atLeast"/>
        <w:ind w:left="1138" w:right="1138" w:firstLine="0"/>
      </w:pPr>
      <w:r w:rsidRPr="005C02EF">
        <w:t xml:space="preserve">La milice Kamuina Nsapu s’est installée dans les quartiers </w:t>
      </w:r>
      <w:r w:rsidR="0061479D">
        <w:t>habités par des</w:t>
      </w:r>
      <w:r w:rsidR="0061479D" w:rsidRPr="005C02EF">
        <w:t xml:space="preserve"> Luba</w:t>
      </w:r>
      <w:r w:rsidR="0061479D">
        <w:t>s</w:t>
      </w:r>
      <w:r w:rsidRPr="005C02EF">
        <w:t xml:space="preserve"> de Tshikapa</w:t>
      </w:r>
      <w:r w:rsidRPr="007F1170">
        <w:rPr>
          <w:rStyle w:val="FootnoteReference"/>
        </w:rPr>
        <w:footnoteReference w:id="450"/>
      </w:r>
      <w:r>
        <w:t xml:space="preserve"> et</w:t>
      </w:r>
      <w:r w:rsidR="002D5D63">
        <w:t xml:space="preserve"> a commis des actes de violence</w:t>
      </w:r>
      <w:r>
        <w:t xml:space="preserve"> dans la ville, en particulier entre janvier et avril 2017. Dans </w:t>
      </w:r>
      <w:r w:rsidR="00507AB2">
        <w:t xml:space="preserve">la </w:t>
      </w:r>
      <w:r>
        <w:t>traque des représentants de l’Etat, plusieurs agents de la PNC, dont un commandant ont été décapités</w:t>
      </w:r>
      <w:r w:rsidRPr="007F1170">
        <w:rPr>
          <w:rStyle w:val="FootnoteReference"/>
        </w:rPr>
        <w:footnoteReference w:id="451"/>
      </w:r>
      <w:r w:rsidRPr="005C02EF">
        <w:t xml:space="preserve">. </w:t>
      </w:r>
      <w:r>
        <w:t>Le niveau de violence</w:t>
      </w:r>
      <w:r w:rsidR="002D5D63">
        <w:t>s</w:t>
      </w:r>
      <w:r>
        <w:t xml:space="preserve"> </w:t>
      </w:r>
      <w:r w:rsidR="00507AB2">
        <w:t>à l’encontre de la population par</w:t>
      </w:r>
      <w:r>
        <w:t xml:space="preserve"> la milice s’</w:t>
      </w:r>
      <w:r w:rsidR="00507AB2">
        <w:t xml:space="preserve">est </w:t>
      </w:r>
      <w:r>
        <w:t>accentu</w:t>
      </w:r>
      <w:r w:rsidR="00507AB2">
        <w:t>é</w:t>
      </w:r>
      <w:r>
        <w:t xml:space="preserve">. </w:t>
      </w:r>
      <w:r w:rsidRPr="005C02EF">
        <w:t>Par exemple</w:t>
      </w:r>
      <w:r>
        <w:t>, début février 2017,</w:t>
      </w:r>
      <w:r w:rsidRPr="005C02EF">
        <w:t xml:space="preserve"> des miliciens ont </w:t>
      </w:r>
      <w:r w:rsidR="00F12042">
        <w:t xml:space="preserve">pénétré au domicile </w:t>
      </w:r>
      <w:r>
        <w:t>d’une femme</w:t>
      </w:r>
      <w:r w:rsidRPr="005C02EF">
        <w:t xml:space="preserve"> à </w:t>
      </w:r>
      <w:r>
        <w:t>la recherche d’agents de l’Etat. A</w:t>
      </w:r>
      <w:r w:rsidRPr="005C02EF">
        <w:t>près avoir fouillé</w:t>
      </w:r>
      <w:r>
        <w:t xml:space="preserve"> la maison, les miliciens Kamuina Nsapu </w:t>
      </w:r>
      <w:r w:rsidR="00F12042">
        <w:t xml:space="preserve">lui </w:t>
      </w:r>
      <w:r>
        <w:t xml:space="preserve">ont demandé de choisir entre mourir ou devenir leur femme. </w:t>
      </w:r>
      <w:r w:rsidRPr="005C02EF">
        <w:t>Quatre miliciens Kamuina Nsapu l’ont</w:t>
      </w:r>
      <w:r>
        <w:t xml:space="preserve"> alors</w:t>
      </w:r>
      <w:r w:rsidRPr="005C02EF">
        <w:t xml:space="preserve"> plaqué</w:t>
      </w:r>
      <w:r>
        <w:t>e</w:t>
      </w:r>
      <w:r w:rsidRPr="005C02EF">
        <w:t xml:space="preserve"> au sol et violé</w:t>
      </w:r>
      <w:r>
        <w:t>e</w:t>
      </w:r>
      <w:r w:rsidRPr="007F1170">
        <w:rPr>
          <w:rStyle w:val="FootnoteReference"/>
        </w:rPr>
        <w:footnoteReference w:id="452"/>
      </w:r>
      <w:r w:rsidRPr="005C02EF">
        <w:t xml:space="preserve">. Un témoin de l’ethnie </w:t>
      </w:r>
      <w:r w:rsidR="00DF202E">
        <w:t>t</w:t>
      </w:r>
      <w:r w:rsidRPr="005C02EF">
        <w:t>et</w:t>
      </w:r>
      <w:r w:rsidR="00A00A7A">
        <w:t>e</w:t>
      </w:r>
      <w:r w:rsidRPr="005C02EF">
        <w:t xml:space="preserve">la explique que </w:t>
      </w:r>
      <w:r w:rsidR="00F12042">
        <w:t>d</w:t>
      </w:r>
      <w:r w:rsidRPr="005C02EF">
        <w:t>es miliciens Kamuina Nsapu, une femme et quatre hommes</w:t>
      </w:r>
      <w:r>
        <w:t>,</w:t>
      </w:r>
      <w:r w:rsidRPr="005C02EF">
        <w:t xml:space="preserve"> sont </w:t>
      </w:r>
      <w:r>
        <w:t>entrés</w:t>
      </w:r>
      <w:r w:rsidRPr="005C02EF">
        <w:t xml:space="preserve"> </w:t>
      </w:r>
      <w:r>
        <w:t xml:space="preserve">dans sa maison </w:t>
      </w:r>
      <w:r w:rsidRPr="009B6743">
        <w:rPr>
          <w:color w:val="000000"/>
          <w:lang w:eastAsia="fr-FR"/>
        </w:rPr>
        <w:t>et ont décapité son mari</w:t>
      </w:r>
      <w:r>
        <w:rPr>
          <w:color w:val="000000"/>
          <w:lang w:eastAsia="fr-FR"/>
        </w:rPr>
        <w:t>.</w:t>
      </w:r>
      <w:r w:rsidRPr="009B6743">
        <w:rPr>
          <w:color w:val="000000"/>
          <w:lang w:eastAsia="fr-FR"/>
        </w:rPr>
        <w:t xml:space="preserve"> </w:t>
      </w:r>
      <w:r>
        <w:rPr>
          <w:color w:val="000000"/>
          <w:lang w:eastAsia="fr-FR"/>
        </w:rPr>
        <w:t>U</w:t>
      </w:r>
      <w:r w:rsidRPr="009B6743">
        <w:rPr>
          <w:color w:val="000000"/>
          <w:lang w:eastAsia="fr-FR"/>
        </w:rPr>
        <w:t xml:space="preserve">n </w:t>
      </w:r>
      <w:r>
        <w:rPr>
          <w:color w:val="000000"/>
          <w:lang w:eastAsia="fr-FR"/>
        </w:rPr>
        <w:t>milicien a alors</w:t>
      </w:r>
      <w:r w:rsidRPr="009B6743">
        <w:rPr>
          <w:color w:val="000000"/>
          <w:lang w:eastAsia="fr-FR"/>
        </w:rPr>
        <w:t xml:space="preserve"> bu le sang qui coulait de </w:t>
      </w:r>
      <w:r>
        <w:rPr>
          <w:color w:val="000000"/>
          <w:lang w:eastAsia="fr-FR"/>
        </w:rPr>
        <w:t>l</w:t>
      </w:r>
      <w:r w:rsidRPr="009B6743">
        <w:rPr>
          <w:color w:val="000000"/>
          <w:lang w:eastAsia="fr-FR"/>
        </w:rPr>
        <w:t>a tête</w:t>
      </w:r>
      <w:r>
        <w:rPr>
          <w:color w:val="000000"/>
          <w:lang w:eastAsia="fr-FR"/>
        </w:rPr>
        <w:t xml:space="preserve"> de son mari</w:t>
      </w:r>
      <w:r w:rsidRPr="009B6743">
        <w:rPr>
          <w:color w:val="000000"/>
          <w:lang w:eastAsia="fr-FR"/>
        </w:rPr>
        <w:t xml:space="preserve">. </w:t>
      </w:r>
      <w:r>
        <w:rPr>
          <w:color w:val="000000"/>
          <w:lang w:eastAsia="fr-FR"/>
        </w:rPr>
        <w:t xml:space="preserve">Un chef Kamuina Nsapu a ensuite </w:t>
      </w:r>
      <w:r w:rsidRPr="009B6743">
        <w:rPr>
          <w:color w:val="000000"/>
          <w:lang w:eastAsia="fr-FR"/>
        </w:rPr>
        <w:t>pris sa baïonnette et commencé à mutiler</w:t>
      </w:r>
      <w:r>
        <w:rPr>
          <w:color w:val="000000"/>
          <w:lang w:eastAsia="fr-FR"/>
        </w:rPr>
        <w:t xml:space="preserve"> le visage du témoin avant d’introduire sa main dans le vagin du témoin devant ses enfants. Le témoin ajoute : « i</w:t>
      </w:r>
      <w:r w:rsidRPr="00263236">
        <w:rPr>
          <w:color w:val="000000"/>
          <w:lang w:eastAsia="fr-FR"/>
        </w:rPr>
        <w:t>l enfonçait sa main comme s’il voulait arracher quelque chose à l’intérieur. J’étais enceinte de cinq mois. J’ai beaucoup saigné. Ils m’ont ensuite abandonnée là avec mes enfants.</w:t>
      </w:r>
      <w:r>
        <w:rPr>
          <w:color w:val="000000"/>
          <w:lang w:eastAsia="fr-FR"/>
        </w:rPr>
        <w:t> »</w:t>
      </w:r>
      <w:r w:rsidRPr="007F1170">
        <w:rPr>
          <w:rStyle w:val="FootnoteReference"/>
        </w:rPr>
        <w:footnoteReference w:id="453"/>
      </w:r>
    </w:p>
    <w:p w14:paraId="67A0DACF" w14:textId="13969EAF" w:rsidR="00B76E6A" w:rsidRPr="00BE7CAA" w:rsidRDefault="00B76E6A" w:rsidP="00BE7CAA">
      <w:pPr>
        <w:pStyle w:val="BodyText"/>
        <w:tabs>
          <w:tab w:val="left" w:pos="1559"/>
          <w:tab w:val="left" w:pos="1984"/>
          <w:tab w:val="left" w:leader="dot" w:pos="7654"/>
          <w:tab w:val="right" w:pos="8929"/>
        </w:tabs>
        <w:spacing w:line="240" w:lineRule="atLeast"/>
        <w:ind w:left="1138" w:right="1138" w:firstLine="0"/>
        <w:rPr>
          <w:color w:val="000000"/>
          <w:lang w:eastAsia="fr-FR"/>
        </w:rPr>
      </w:pPr>
      <w:r w:rsidRPr="005C02EF">
        <w:t xml:space="preserve">Plusieurs affrontements entre </w:t>
      </w:r>
      <w:r>
        <w:t>la milice</w:t>
      </w:r>
      <w:r w:rsidRPr="005C02EF">
        <w:t xml:space="preserve"> Kamuina Nsapu et les </w:t>
      </w:r>
      <w:r>
        <w:t>FARDC,</w:t>
      </w:r>
      <w:r w:rsidRPr="005C02EF">
        <w:t xml:space="preserve"> mais aussi des opérations</w:t>
      </w:r>
      <w:r>
        <w:t xml:space="preserve"> militaires</w:t>
      </w:r>
      <w:r w:rsidRPr="005C02EF">
        <w:t xml:space="preserve"> menées à la recherche de miliciens Kamuina Nsapu</w:t>
      </w:r>
      <w:r>
        <w:t>,</w:t>
      </w:r>
      <w:r w:rsidRPr="005C02EF">
        <w:t xml:space="preserve"> ont eu lieu au cours de cette période</w:t>
      </w:r>
      <w:r w:rsidRPr="007F1170">
        <w:rPr>
          <w:rStyle w:val="FootnoteReference"/>
        </w:rPr>
        <w:footnoteReference w:id="454"/>
      </w:r>
      <w:r w:rsidRPr="005C02EF">
        <w:t xml:space="preserve">. </w:t>
      </w:r>
      <w:r>
        <w:t xml:space="preserve">Plusieurs habitants de Tshikapa ont été blessés ou tués par les FARDC lors d’opérations militaires, notamment dans </w:t>
      </w:r>
      <w:r w:rsidRPr="005C02EF">
        <w:t>le quartier de l’hôpital de Tshikapa</w:t>
      </w:r>
      <w:r>
        <w:t xml:space="preserve">, la </w:t>
      </w:r>
      <w:r w:rsidRPr="00BE7CAA">
        <w:rPr>
          <w:color w:val="000000"/>
          <w:lang w:eastAsia="fr-FR"/>
        </w:rPr>
        <w:t>commune de Kel</w:t>
      </w:r>
      <w:r w:rsidR="002D5D63">
        <w:rPr>
          <w:color w:val="000000"/>
          <w:lang w:eastAsia="fr-FR"/>
        </w:rPr>
        <w:t>e</w:t>
      </w:r>
      <w:r w:rsidRPr="00BE7CAA">
        <w:rPr>
          <w:color w:val="000000"/>
          <w:lang w:eastAsia="fr-FR"/>
        </w:rPr>
        <w:t xml:space="preserve">, et au niveau de l’aéroport. Des témoins ont indiqué que lors des opérations, les FARDC tiraient sur </w:t>
      </w:r>
      <w:r w:rsidR="003E3225" w:rsidRPr="00BE7CAA">
        <w:rPr>
          <w:color w:val="000000"/>
          <w:lang w:eastAsia="fr-FR"/>
        </w:rPr>
        <w:t>tout le monde</w:t>
      </w:r>
      <w:r w:rsidRPr="00BE7CAA">
        <w:rPr>
          <w:color w:val="000000"/>
          <w:lang w:eastAsia="fr-FR"/>
        </w:rPr>
        <w:t xml:space="preserve"> sans faire de distinction entre les miliciens et les habitants</w:t>
      </w:r>
      <w:r w:rsidRPr="007F1170">
        <w:rPr>
          <w:rStyle w:val="FootnoteReference"/>
        </w:rPr>
        <w:footnoteReference w:id="455"/>
      </w:r>
      <w:r w:rsidRPr="00BE7CAA">
        <w:rPr>
          <w:color w:val="000000"/>
          <w:lang w:eastAsia="fr-FR"/>
        </w:rPr>
        <w:t>.</w:t>
      </w:r>
    </w:p>
    <w:p w14:paraId="20F71BFB" w14:textId="3506CE5F" w:rsidR="00B76E6A" w:rsidRPr="00BE7CAA" w:rsidRDefault="00B76E6A" w:rsidP="00BE7CAA">
      <w:pPr>
        <w:pStyle w:val="BodyText"/>
        <w:tabs>
          <w:tab w:val="left" w:pos="1559"/>
          <w:tab w:val="left" w:pos="1984"/>
          <w:tab w:val="left" w:leader="dot" w:pos="7654"/>
          <w:tab w:val="right" w:pos="8929"/>
        </w:tabs>
        <w:spacing w:line="240" w:lineRule="atLeast"/>
        <w:ind w:left="1138" w:right="1138" w:firstLine="0"/>
        <w:rPr>
          <w:color w:val="000000"/>
          <w:lang w:eastAsia="fr-FR"/>
        </w:rPr>
      </w:pPr>
      <w:r w:rsidRPr="00BE7CAA">
        <w:rPr>
          <w:color w:val="000000"/>
          <w:lang w:eastAsia="fr-FR"/>
        </w:rPr>
        <w:t xml:space="preserve">L’EEI a également </w:t>
      </w:r>
      <w:r w:rsidR="003E3225" w:rsidRPr="00BE7CAA">
        <w:rPr>
          <w:color w:val="000000"/>
          <w:lang w:eastAsia="fr-FR"/>
        </w:rPr>
        <w:t xml:space="preserve">collecté </w:t>
      </w:r>
      <w:r w:rsidRPr="00BE7CAA">
        <w:rPr>
          <w:color w:val="000000"/>
          <w:lang w:eastAsia="fr-FR"/>
        </w:rPr>
        <w:t xml:space="preserve">des éléments de preuve </w:t>
      </w:r>
      <w:r w:rsidR="003E3225" w:rsidRPr="00BE7CAA">
        <w:rPr>
          <w:color w:val="000000"/>
          <w:lang w:eastAsia="fr-FR"/>
        </w:rPr>
        <w:t xml:space="preserve">concernant </w:t>
      </w:r>
      <w:r w:rsidRPr="00BE7CAA">
        <w:rPr>
          <w:color w:val="000000"/>
          <w:lang w:eastAsia="fr-FR"/>
        </w:rPr>
        <w:t>des actes de violence particulièrement graves commis par les FARDC contre des habitants de la ville de Tshikapa. En juin 2017, un groupe d’une dizaine d’hommes parlant lingala</w:t>
      </w:r>
      <w:r w:rsidR="003E3225" w:rsidRPr="00BE7CAA">
        <w:rPr>
          <w:color w:val="000000"/>
          <w:lang w:eastAsia="fr-FR"/>
        </w:rPr>
        <w:t>,</w:t>
      </w:r>
      <w:r w:rsidRPr="00BE7CAA">
        <w:rPr>
          <w:color w:val="000000"/>
          <w:lang w:eastAsia="fr-FR"/>
        </w:rPr>
        <w:t xml:space="preserve"> portant des pantalons militaires et de</w:t>
      </w:r>
      <w:r w:rsidR="003E3225" w:rsidRPr="00BE7CAA">
        <w:rPr>
          <w:color w:val="000000"/>
          <w:lang w:eastAsia="fr-FR"/>
        </w:rPr>
        <w:t>s</w:t>
      </w:r>
      <w:r w:rsidRPr="00BE7CAA">
        <w:rPr>
          <w:color w:val="000000"/>
          <w:lang w:eastAsia="fr-FR"/>
        </w:rPr>
        <w:t xml:space="preserve"> cagoules, et armés de machettes et de couteaux, se sont introduits dans une maison en pleine nuit. Ils ont </w:t>
      </w:r>
      <w:r w:rsidR="00686B07" w:rsidRPr="00BE7CAA">
        <w:rPr>
          <w:color w:val="000000"/>
          <w:lang w:eastAsia="fr-FR"/>
        </w:rPr>
        <w:t>ligoté</w:t>
      </w:r>
      <w:r w:rsidR="003E3225" w:rsidRPr="00BE7CAA">
        <w:rPr>
          <w:color w:val="000000"/>
          <w:lang w:eastAsia="fr-FR"/>
        </w:rPr>
        <w:t xml:space="preserve"> </w:t>
      </w:r>
      <w:r w:rsidRPr="00BE7CAA">
        <w:rPr>
          <w:color w:val="000000"/>
          <w:lang w:eastAsia="fr-FR"/>
        </w:rPr>
        <w:t>les pieds et les main</w:t>
      </w:r>
      <w:r w:rsidR="003E3225" w:rsidRPr="00BE7CAA">
        <w:rPr>
          <w:color w:val="000000"/>
          <w:lang w:eastAsia="fr-FR"/>
        </w:rPr>
        <w:t>s</w:t>
      </w:r>
      <w:r w:rsidRPr="00BE7CAA">
        <w:rPr>
          <w:color w:val="000000"/>
          <w:lang w:eastAsia="fr-FR"/>
        </w:rPr>
        <w:t xml:space="preserve"> d’un homme avant de </w:t>
      </w:r>
      <w:r w:rsidR="003E3225" w:rsidRPr="00BE7CAA">
        <w:rPr>
          <w:color w:val="000000"/>
          <w:lang w:eastAsia="fr-FR"/>
        </w:rPr>
        <w:t xml:space="preserve">le </w:t>
      </w:r>
      <w:r w:rsidRPr="00BE7CAA">
        <w:rPr>
          <w:color w:val="000000"/>
          <w:lang w:eastAsia="fr-FR"/>
        </w:rPr>
        <w:t xml:space="preserve">décapiter. Ils ont également décapité un autre jeune homme et éventré une femme enceinte de sept mois. Ils ont sorti le </w:t>
      </w:r>
      <w:r w:rsidR="00686B07" w:rsidRPr="00BE7CAA">
        <w:rPr>
          <w:color w:val="000000"/>
          <w:lang w:eastAsia="fr-FR"/>
        </w:rPr>
        <w:t>fœtus</w:t>
      </w:r>
      <w:r w:rsidR="003E3225" w:rsidRPr="00BE7CAA">
        <w:rPr>
          <w:color w:val="000000"/>
          <w:lang w:eastAsia="fr-FR"/>
        </w:rPr>
        <w:t xml:space="preserve"> </w:t>
      </w:r>
      <w:r w:rsidRPr="00BE7CAA">
        <w:rPr>
          <w:color w:val="000000"/>
          <w:lang w:eastAsia="fr-FR"/>
        </w:rPr>
        <w:t xml:space="preserve">et tué la mère. Puis neuf des hommes ont trainé une femme derrière la maison, l’ont fait </w:t>
      </w:r>
      <w:r w:rsidR="00686B07" w:rsidRPr="00BE7CAA">
        <w:rPr>
          <w:color w:val="000000"/>
          <w:lang w:eastAsia="fr-FR"/>
        </w:rPr>
        <w:t>tomber</w:t>
      </w:r>
      <w:r w:rsidR="002D5D63">
        <w:rPr>
          <w:color w:val="000000"/>
          <w:lang w:eastAsia="fr-FR"/>
        </w:rPr>
        <w:t xml:space="preserve"> par terre, lui ont arraché</w:t>
      </w:r>
      <w:r w:rsidRPr="00BE7CAA">
        <w:rPr>
          <w:color w:val="000000"/>
          <w:lang w:eastAsia="fr-FR"/>
        </w:rPr>
        <w:t xml:space="preserve"> ses vêtements avant de la violer. Cinq d’entre eux ont également mis un doigt dans</w:t>
      </w:r>
      <w:r w:rsidR="003E3225" w:rsidRPr="00BE7CAA">
        <w:rPr>
          <w:color w:val="000000"/>
          <w:lang w:eastAsia="fr-FR"/>
        </w:rPr>
        <w:t xml:space="preserve"> son </w:t>
      </w:r>
      <w:r w:rsidRPr="00BE7CAA">
        <w:rPr>
          <w:color w:val="000000"/>
          <w:lang w:eastAsia="fr-FR"/>
        </w:rPr>
        <w:t>anus</w:t>
      </w:r>
      <w:r w:rsidR="003E3225" w:rsidRPr="00BE7CAA">
        <w:rPr>
          <w:color w:val="000000"/>
          <w:lang w:eastAsia="fr-FR"/>
        </w:rPr>
        <w:t>. Elle souffre d’importantes séquelles physiques.</w:t>
      </w:r>
      <w:r w:rsidRPr="00BE7CAA">
        <w:rPr>
          <w:color w:val="000000"/>
          <w:lang w:eastAsia="fr-FR"/>
        </w:rPr>
        <w:t xml:space="preserve"> Ils ont ensuite enlevé quatre jeunes filles mineures disant qu’ils allaient en faire leurs femmes</w:t>
      </w:r>
      <w:r w:rsidRPr="007F1170">
        <w:rPr>
          <w:rStyle w:val="FootnoteReference"/>
        </w:rPr>
        <w:footnoteReference w:id="456"/>
      </w:r>
      <w:r w:rsidRPr="00BE7CAA">
        <w:rPr>
          <w:color w:val="000000"/>
          <w:lang w:eastAsia="fr-FR"/>
        </w:rPr>
        <w:t xml:space="preserve">. De manière similaire, des FARDC se sont introduits dans une maison de la ville de Tshikapa et trois d’entre eux ont décapité un homme avec une machette. </w:t>
      </w:r>
      <w:r w:rsidR="003E3225" w:rsidRPr="00BE7CAA">
        <w:rPr>
          <w:color w:val="000000"/>
          <w:lang w:eastAsia="fr-FR"/>
        </w:rPr>
        <w:t>Sa</w:t>
      </w:r>
      <w:r w:rsidRPr="00BE7CAA">
        <w:rPr>
          <w:color w:val="000000"/>
          <w:lang w:eastAsia="fr-FR"/>
        </w:rPr>
        <w:t xml:space="preserve"> femme</w:t>
      </w:r>
      <w:r w:rsidR="003E3225" w:rsidRPr="00BE7CAA">
        <w:rPr>
          <w:color w:val="000000"/>
          <w:lang w:eastAsia="fr-FR"/>
        </w:rPr>
        <w:t>,</w:t>
      </w:r>
      <w:r w:rsidRPr="00BE7CAA">
        <w:rPr>
          <w:color w:val="000000"/>
          <w:lang w:eastAsia="fr-FR"/>
        </w:rPr>
        <w:t xml:space="preserve"> enceinte</w:t>
      </w:r>
      <w:r w:rsidR="003E3225" w:rsidRPr="00BE7CAA">
        <w:rPr>
          <w:color w:val="000000"/>
          <w:lang w:eastAsia="fr-FR"/>
        </w:rPr>
        <w:t>,</w:t>
      </w:r>
      <w:r w:rsidRPr="00BE7CAA">
        <w:rPr>
          <w:color w:val="000000"/>
          <w:lang w:eastAsia="fr-FR"/>
        </w:rPr>
        <w:t xml:space="preserve"> a été éventrée par les militaires</w:t>
      </w:r>
      <w:r w:rsidR="003E3225" w:rsidRPr="00BE7CAA">
        <w:rPr>
          <w:color w:val="000000"/>
          <w:lang w:eastAsia="fr-FR"/>
        </w:rPr>
        <w:t xml:space="preserve"> qui ont sorti le </w:t>
      </w:r>
      <w:r w:rsidR="00686B07" w:rsidRPr="00BE7CAA">
        <w:rPr>
          <w:color w:val="000000"/>
          <w:lang w:eastAsia="fr-FR"/>
        </w:rPr>
        <w:t>fœtus</w:t>
      </w:r>
      <w:r w:rsidRPr="00BE7CAA">
        <w:rPr>
          <w:color w:val="000000"/>
          <w:lang w:eastAsia="fr-FR"/>
        </w:rPr>
        <w:t xml:space="preserve">. </w:t>
      </w:r>
      <w:r w:rsidR="003E3225" w:rsidRPr="00BE7CAA">
        <w:rPr>
          <w:color w:val="000000"/>
          <w:lang w:eastAsia="fr-FR"/>
        </w:rPr>
        <w:t xml:space="preserve">Deux FARDC ont ensuite violé une jeune femme de 18 ans et deux filles de </w:t>
      </w:r>
      <w:r w:rsidRPr="00BE7CAA">
        <w:rPr>
          <w:color w:val="000000"/>
          <w:lang w:eastAsia="fr-FR"/>
        </w:rPr>
        <w:t>14 et 17 ans</w:t>
      </w:r>
      <w:r w:rsidRPr="007F1170">
        <w:rPr>
          <w:rStyle w:val="FootnoteReference"/>
        </w:rPr>
        <w:footnoteReference w:id="457"/>
      </w:r>
      <w:r w:rsidRPr="00BE7CAA">
        <w:rPr>
          <w:color w:val="000000"/>
          <w:lang w:eastAsia="fr-FR"/>
        </w:rPr>
        <w:t>.</w:t>
      </w:r>
    </w:p>
    <w:p w14:paraId="42F92B6C" w14:textId="129B8345" w:rsidR="00B76E6A" w:rsidRPr="00BE7CAA" w:rsidRDefault="00B76E6A" w:rsidP="00BE7CAA">
      <w:pPr>
        <w:pStyle w:val="BodyText"/>
        <w:tabs>
          <w:tab w:val="left" w:pos="1559"/>
          <w:tab w:val="left" w:pos="1984"/>
          <w:tab w:val="left" w:leader="dot" w:pos="7654"/>
          <w:tab w:val="right" w:pos="8929"/>
        </w:tabs>
        <w:spacing w:line="240" w:lineRule="atLeast"/>
        <w:ind w:left="1138" w:right="1138" w:firstLine="0"/>
        <w:rPr>
          <w:color w:val="000000"/>
          <w:lang w:eastAsia="fr-FR"/>
        </w:rPr>
      </w:pPr>
      <w:r w:rsidRPr="00BE7CAA">
        <w:rPr>
          <w:color w:val="000000"/>
          <w:lang w:eastAsia="fr-FR"/>
        </w:rPr>
        <w:t xml:space="preserve">En avril et mai 2017, les tensions entre </w:t>
      </w:r>
      <w:r w:rsidR="003E3225" w:rsidRPr="00BE7CAA">
        <w:rPr>
          <w:color w:val="000000"/>
          <w:lang w:eastAsia="fr-FR"/>
        </w:rPr>
        <w:t xml:space="preserve">les </w:t>
      </w:r>
      <w:r w:rsidRPr="00BE7CAA">
        <w:rPr>
          <w:color w:val="000000"/>
          <w:lang w:eastAsia="fr-FR"/>
        </w:rPr>
        <w:t>Luba</w:t>
      </w:r>
      <w:r w:rsidR="0061479D" w:rsidRPr="00BE7CAA">
        <w:rPr>
          <w:color w:val="000000"/>
          <w:lang w:eastAsia="fr-FR"/>
        </w:rPr>
        <w:t>s</w:t>
      </w:r>
      <w:r w:rsidRPr="00BE7CAA">
        <w:rPr>
          <w:color w:val="000000"/>
          <w:lang w:eastAsia="fr-FR"/>
        </w:rPr>
        <w:t xml:space="preserve"> et </w:t>
      </w:r>
      <w:r w:rsidR="003E3225" w:rsidRPr="00BE7CAA">
        <w:rPr>
          <w:color w:val="000000"/>
          <w:lang w:eastAsia="fr-FR"/>
        </w:rPr>
        <w:t xml:space="preserve">les </w:t>
      </w:r>
      <w:r w:rsidR="00651768">
        <w:rPr>
          <w:color w:val="000000"/>
          <w:lang w:eastAsia="fr-FR"/>
        </w:rPr>
        <w:t>Chokwe</w:t>
      </w:r>
      <w:r w:rsidR="0061479D" w:rsidRPr="00BE7CAA">
        <w:rPr>
          <w:color w:val="000000"/>
          <w:lang w:eastAsia="fr-FR"/>
        </w:rPr>
        <w:t>s</w:t>
      </w:r>
      <w:r w:rsidR="003E3225" w:rsidRPr="00BE7CAA">
        <w:rPr>
          <w:color w:val="000000"/>
          <w:lang w:eastAsia="fr-FR"/>
        </w:rPr>
        <w:t xml:space="preserve"> et les </w:t>
      </w:r>
      <w:r w:rsidRPr="00BE7CAA">
        <w:rPr>
          <w:color w:val="000000"/>
          <w:lang w:eastAsia="fr-FR"/>
        </w:rPr>
        <w:t>Pende</w:t>
      </w:r>
      <w:r w:rsidR="0061479D" w:rsidRPr="00BE7CAA">
        <w:rPr>
          <w:color w:val="000000"/>
          <w:lang w:eastAsia="fr-FR"/>
        </w:rPr>
        <w:t>s</w:t>
      </w:r>
      <w:r w:rsidRPr="00BE7CAA">
        <w:rPr>
          <w:color w:val="000000"/>
          <w:lang w:eastAsia="fr-FR"/>
        </w:rPr>
        <w:t xml:space="preserve"> étaient importantes dans la ville de Tshikapa</w:t>
      </w:r>
      <w:r w:rsidRPr="007F1170">
        <w:rPr>
          <w:rStyle w:val="FootnoteReference"/>
        </w:rPr>
        <w:footnoteReference w:id="458"/>
      </w:r>
      <w:r w:rsidRPr="00BE7CAA">
        <w:rPr>
          <w:color w:val="000000"/>
          <w:lang w:eastAsia="fr-FR"/>
        </w:rPr>
        <w:t xml:space="preserve">. Un témoin a expliqué à l’EEI qu’en arrivant à Tshikapa, il avait été </w:t>
      </w:r>
      <w:r w:rsidR="003E3225" w:rsidRPr="00BE7CAA">
        <w:rPr>
          <w:color w:val="000000"/>
          <w:lang w:eastAsia="fr-FR"/>
        </w:rPr>
        <w:t xml:space="preserve">arrêté </w:t>
      </w:r>
      <w:r w:rsidRPr="00BE7CAA">
        <w:rPr>
          <w:color w:val="000000"/>
          <w:lang w:eastAsia="fr-FR"/>
        </w:rPr>
        <w:t xml:space="preserve">par des </w:t>
      </w:r>
      <w:r w:rsidR="00651768">
        <w:rPr>
          <w:color w:val="000000"/>
          <w:lang w:eastAsia="fr-FR"/>
        </w:rPr>
        <w:t>Chokwe</w:t>
      </w:r>
      <w:r w:rsidR="008844A4" w:rsidRPr="00BE7CAA">
        <w:rPr>
          <w:color w:val="000000"/>
          <w:lang w:eastAsia="fr-FR"/>
        </w:rPr>
        <w:t>s</w:t>
      </w:r>
      <w:r w:rsidRPr="00BE7CAA">
        <w:rPr>
          <w:color w:val="000000"/>
          <w:lang w:eastAsia="fr-FR"/>
        </w:rPr>
        <w:t xml:space="preserve"> qui lui ont demandé s’il était Luba ou Pende. Comme le témoin parlait </w:t>
      </w:r>
      <w:r w:rsidR="008844A4" w:rsidRPr="00BE7CAA">
        <w:rPr>
          <w:color w:val="000000"/>
          <w:lang w:eastAsia="fr-FR"/>
        </w:rPr>
        <w:t>p</w:t>
      </w:r>
      <w:r w:rsidRPr="00BE7CAA">
        <w:rPr>
          <w:color w:val="000000"/>
          <w:lang w:eastAsia="fr-FR"/>
        </w:rPr>
        <w:t xml:space="preserve">ende, il a pu convaincre les </w:t>
      </w:r>
      <w:r w:rsidR="00651768">
        <w:rPr>
          <w:color w:val="000000"/>
          <w:lang w:eastAsia="fr-FR"/>
        </w:rPr>
        <w:t>Chokwe</w:t>
      </w:r>
      <w:r w:rsidR="008844A4" w:rsidRPr="00BE7CAA">
        <w:rPr>
          <w:color w:val="000000"/>
          <w:lang w:eastAsia="fr-FR"/>
        </w:rPr>
        <w:t>s</w:t>
      </w:r>
      <w:r w:rsidRPr="00BE7CAA">
        <w:rPr>
          <w:color w:val="000000"/>
          <w:lang w:eastAsia="fr-FR"/>
        </w:rPr>
        <w:t xml:space="preserve"> de le laisser passer. Ces derniers lui ont donné une carte attesta</w:t>
      </w:r>
      <w:r w:rsidR="003E3225" w:rsidRPr="00BE7CAA">
        <w:rPr>
          <w:color w:val="000000"/>
          <w:lang w:eastAsia="fr-FR"/>
        </w:rPr>
        <w:t>n</w:t>
      </w:r>
      <w:r w:rsidRPr="00BE7CAA">
        <w:rPr>
          <w:color w:val="000000"/>
          <w:lang w:eastAsia="fr-FR"/>
        </w:rPr>
        <w:t xml:space="preserve">t </w:t>
      </w:r>
      <w:r w:rsidR="003E3225" w:rsidRPr="00BE7CAA">
        <w:rPr>
          <w:color w:val="000000"/>
          <w:lang w:eastAsia="fr-FR"/>
        </w:rPr>
        <w:t xml:space="preserve">son </w:t>
      </w:r>
      <w:r w:rsidRPr="00BE7CAA">
        <w:rPr>
          <w:color w:val="000000"/>
          <w:lang w:eastAsia="fr-FR"/>
        </w:rPr>
        <w:t xml:space="preserve">ethnie </w:t>
      </w:r>
      <w:r w:rsidR="008844A4" w:rsidRPr="00BE7CAA">
        <w:rPr>
          <w:color w:val="000000"/>
          <w:lang w:eastAsia="fr-FR"/>
        </w:rPr>
        <w:t>p</w:t>
      </w:r>
      <w:r w:rsidRPr="00BE7CAA">
        <w:rPr>
          <w:color w:val="000000"/>
          <w:lang w:eastAsia="fr-FR"/>
        </w:rPr>
        <w:t>ende qui servait de justificatif</w:t>
      </w:r>
      <w:r w:rsidRPr="007F1170">
        <w:rPr>
          <w:rStyle w:val="FootnoteReference"/>
        </w:rPr>
        <w:footnoteReference w:id="459"/>
      </w:r>
      <w:r w:rsidR="00686B07" w:rsidRPr="00BE7CAA">
        <w:rPr>
          <w:color w:val="000000"/>
          <w:lang w:eastAsia="fr-FR"/>
        </w:rPr>
        <w:t>.</w:t>
      </w:r>
      <w:r w:rsidRPr="00BE7CAA">
        <w:rPr>
          <w:color w:val="000000"/>
          <w:lang w:eastAsia="fr-FR"/>
        </w:rPr>
        <w:t xml:space="preserve">  </w:t>
      </w:r>
    </w:p>
    <w:p w14:paraId="6C03B3C3" w14:textId="62DE496B" w:rsidR="00B76E6A" w:rsidRPr="00BE7CAA" w:rsidRDefault="00B76E6A" w:rsidP="00BE7CAA">
      <w:pPr>
        <w:pStyle w:val="BodyText"/>
        <w:tabs>
          <w:tab w:val="left" w:pos="1559"/>
          <w:tab w:val="left" w:pos="1984"/>
          <w:tab w:val="left" w:leader="dot" w:pos="7654"/>
          <w:tab w:val="right" w:pos="8929"/>
        </w:tabs>
        <w:spacing w:line="240" w:lineRule="atLeast"/>
        <w:ind w:left="1138" w:right="1138" w:firstLine="0"/>
        <w:rPr>
          <w:color w:val="000000"/>
          <w:lang w:eastAsia="fr-FR"/>
        </w:rPr>
      </w:pPr>
      <w:r w:rsidRPr="00BE7CAA">
        <w:rPr>
          <w:color w:val="000000"/>
          <w:lang w:eastAsia="fr-FR"/>
        </w:rPr>
        <w:t>Un</w:t>
      </w:r>
      <w:r w:rsidR="002D5D63">
        <w:rPr>
          <w:color w:val="000000"/>
          <w:lang w:eastAsia="fr-FR"/>
        </w:rPr>
        <w:t>e femme</w:t>
      </w:r>
      <w:r w:rsidRPr="00BE7CAA">
        <w:rPr>
          <w:color w:val="000000"/>
          <w:lang w:eastAsia="fr-FR"/>
        </w:rPr>
        <w:t xml:space="preserve"> </w:t>
      </w:r>
      <w:r w:rsidR="008844A4" w:rsidRPr="00BE7CAA">
        <w:rPr>
          <w:color w:val="000000"/>
          <w:lang w:eastAsia="fr-FR"/>
        </w:rPr>
        <w:t>l</w:t>
      </w:r>
      <w:r w:rsidRPr="00BE7CAA">
        <w:rPr>
          <w:color w:val="000000"/>
          <w:lang w:eastAsia="fr-FR"/>
        </w:rPr>
        <w:t xml:space="preserve">uba raconte que mi-avril 2017, un groupe de dix hommes armés de bâtons et de haches </w:t>
      </w:r>
      <w:r w:rsidR="003E3225" w:rsidRPr="00BE7CAA">
        <w:rPr>
          <w:color w:val="000000"/>
          <w:lang w:eastAsia="fr-FR"/>
        </w:rPr>
        <w:t>a</w:t>
      </w:r>
      <w:r w:rsidRPr="00BE7CAA">
        <w:rPr>
          <w:color w:val="000000"/>
          <w:lang w:eastAsia="fr-FR"/>
        </w:rPr>
        <w:t xml:space="preserve"> fait irruption dans sa maison. Les hommes qui parlaient </w:t>
      </w:r>
      <w:r w:rsidR="00651768">
        <w:rPr>
          <w:color w:val="000000"/>
          <w:lang w:eastAsia="fr-FR"/>
        </w:rPr>
        <w:t>chokwe</w:t>
      </w:r>
      <w:r w:rsidRPr="00BE7CAA">
        <w:rPr>
          <w:color w:val="000000"/>
          <w:lang w:eastAsia="fr-FR"/>
        </w:rPr>
        <w:t xml:space="preserve"> étaient à la recherche </w:t>
      </w:r>
      <w:r w:rsidR="00A83434" w:rsidRPr="00BE7CAA">
        <w:rPr>
          <w:color w:val="000000"/>
          <w:lang w:eastAsia="fr-FR"/>
        </w:rPr>
        <w:t xml:space="preserve">de son </w:t>
      </w:r>
      <w:r w:rsidRPr="00BE7CAA">
        <w:rPr>
          <w:color w:val="000000"/>
          <w:lang w:eastAsia="fr-FR"/>
        </w:rPr>
        <w:t xml:space="preserve">mari. Ils </w:t>
      </w:r>
      <w:r w:rsidR="00A83434" w:rsidRPr="00BE7CAA">
        <w:rPr>
          <w:color w:val="000000"/>
          <w:lang w:eastAsia="fr-FR"/>
        </w:rPr>
        <w:t>l’</w:t>
      </w:r>
      <w:r w:rsidRPr="00BE7CAA">
        <w:rPr>
          <w:color w:val="000000"/>
          <w:lang w:eastAsia="fr-FR"/>
        </w:rPr>
        <w:t>ont attrapé</w:t>
      </w:r>
      <w:r w:rsidR="00A83434" w:rsidRPr="00BE7CAA">
        <w:rPr>
          <w:color w:val="000000"/>
          <w:lang w:eastAsia="fr-FR"/>
        </w:rPr>
        <w:t xml:space="preserve">e </w:t>
      </w:r>
      <w:r w:rsidRPr="00BE7CAA">
        <w:rPr>
          <w:color w:val="000000"/>
          <w:lang w:eastAsia="fr-FR"/>
        </w:rPr>
        <w:t>et l’ont molesté</w:t>
      </w:r>
      <w:r w:rsidR="00A83434" w:rsidRPr="00BE7CAA">
        <w:rPr>
          <w:color w:val="000000"/>
          <w:lang w:eastAsia="fr-FR"/>
        </w:rPr>
        <w:t>e</w:t>
      </w:r>
      <w:r w:rsidRPr="00BE7CAA">
        <w:rPr>
          <w:color w:val="000000"/>
          <w:lang w:eastAsia="fr-FR"/>
        </w:rPr>
        <w:t xml:space="preserve"> expliquant que se sont ses frères </w:t>
      </w:r>
      <w:r w:rsidR="008844A4" w:rsidRPr="00BE7CAA">
        <w:rPr>
          <w:color w:val="000000"/>
          <w:lang w:eastAsia="fr-FR"/>
        </w:rPr>
        <w:t>l</w:t>
      </w:r>
      <w:r w:rsidRPr="00BE7CAA">
        <w:rPr>
          <w:color w:val="000000"/>
          <w:lang w:eastAsia="fr-FR"/>
        </w:rPr>
        <w:t>uba</w:t>
      </w:r>
      <w:r w:rsidR="008844A4" w:rsidRPr="00BE7CAA">
        <w:rPr>
          <w:color w:val="000000"/>
          <w:lang w:eastAsia="fr-FR"/>
        </w:rPr>
        <w:t>s</w:t>
      </w:r>
      <w:r w:rsidRPr="00BE7CAA">
        <w:rPr>
          <w:color w:val="000000"/>
          <w:lang w:eastAsia="fr-FR"/>
        </w:rPr>
        <w:t xml:space="preserve"> qui tuent les Pende</w:t>
      </w:r>
      <w:r w:rsidR="008844A4" w:rsidRPr="00BE7CAA">
        <w:rPr>
          <w:color w:val="000000"/>
          <w:lang w:eastAsia="fr-FR"/>
        </w:rPr>
        <w:t>s</w:t>
      </w:r>
      <w:r w:rsidRPr="00BE7CAA">
        <w:rPr>
          <w:color w:val="000000"/>
          <w:lang w:eastAsia="fr-FR"/>
        </w:rPr>
        <w:t xml:space="preserve"> à Tshikapa. Les hommes ont décapité le mari du témoin et mis le feu à la maison</w:t>
      </w:r>
      <w:r w:rsidRPr="007F1170">
        <w:rPr>
          <w:rStyle w:val="FootnoteReference"/>
        </w:rPr>
        <w:footnoteReference w:id="460"/>
      </w:r>
      <w:r w:rsidRPr="00BE7CAA">
        <w:rPr>
          <w:color w:val="000000"/>
          <w:lang w:eastAsia="fr-FR"/>
        </w:rPr>
        <w:t>. De manière similaire, le 20 mai 2017, trois hommes cagoulés et habillés en civils se sont introduits dans une habitation et ont violé une femme. Ils ont également enlevé une fille de 12 ans qui est toujours portée disparu</w:t>
      </w:r>
      <w:r w:rsidR="002D5D63">
        <w:rPr>
          <w:color w:val="000000"/>
          <w:lang w:eastAsia="fr-FR"/>
        </w:rPr>
        <w:t>e</w:t>
      </w:r>
      <w:r w:rsidRPr="007F1170">
        <w:rPr>
          <w:rStyle w:val="FootnoteReference"/>
        </w:rPr>
        <w:footnoteReference w:id="461"/>
      </w:r>
      <w:r w:rsidRPr="00BE7CAA">
        <w:rPr>
          <w:color w:val="000000"/>
          <w:lang w:eastAsia="fr-FR"/>
        </w:rPr>
        <w:t xml:space="preserve">. Un autre témoin raconte que sa maison a été </w:t>
      </w:r>
      <w:r w:rsidR="00A83434" w:rsidRPr="00BE7CAA">
        <w:rPr>
          <w:color w:val="000000"/>
          <w:lang w:eastAsia="fr-FR"/>
        </w:rPr>
        <w:t>incendiée</w:t>
      </w:r>
      <w:r w:rsidR="002D5D63">
        <w:rPr>
          <w:color w:val="000000"/>
          <w:lang w:eastAsia="fr-FR"/>
        </w:rPr>
        <w:t xml:space="preserve"> par de</w:t>
      </w:r>
      <w:r w:rsidR="00A83434" w:rsidRPr="00BE7CAA">
        <w:rPr>
          <w:color w:val="000000"/>
          <w:lang w:eastAsia="fr-FR"/>
        </w:rPr>
        <w:t xml:space="preserve"> </w:t>
      </w:r>
      <w:r w:rsidR="00A83434" w:rsidRPr="008A7C64">
        <w:rPr>
          <w:color w:val="000000"/>
          <w:lang w:eastAsia="fr-FR"/>
        </w:rPr>
        <w:t xml:space="preserve">jeunes </w:t>
      </w:r>
      <w:r w:rsidR="00651768">
        <w:rPr>
          <w:color w:val="000000"/>
          <w:lang w:eastAsia="fr-FR"/>
        </w:rPr>
        <w:t>chokwe</w:t>
      </w:r>
      <w:r w:rsidR="008844A4">
        <w:rPr>
          <w:color w:val="000000"/>
          <w:lang w:eastAsia="fr-FR"/>
        </w:rPr>
        <w:t>s</w:t>
      </w:r>
      <w:r w:rsidR="008844A4" w:rsidRPr="008A7C64">
        <w:rPr>
          <w:color w:val="000000"/>
          <w:lang w:eastAsia="fr-FR"/>
        </w:rPr>
        <w:t xml:space="preserve"> </w:t>
      </w:r>
      <w:r w:rsidR="00A83434" w:rsidRPr="008A7C64">
        <w:rPr>
          <w:color w:val="000000"/>
          <w:lang w:eastAsia="fr-FR"/>
        </w:rPr>
        <w:t xml:space="preserve">et </w:t>
      </w:r>
      <w:r w:rsidR="008844A4">
        <w:rPr>
          <w:color w:val="000000"/>
          <w:lang w:eastAsia="fr-FR"/>
        </w:rPr>
        <w:t>p</w:t>
      </w:r>
      <w:r w:rsidR="00A83434" w:rsidRPr="008A7C64">
        <w:rPr>
          <w:color w:val="000000"/>
          <w:lang w:eastAsia="fr-FR"/>
        </w:rPr>
        <w:t>ende</w:t>
      </w:r>
      <w:r w:rsidR="008844A4">
        <w:rPr>
          <w:color w:val="000000"/>
          <w:lang w:eastAsia="fr-FR"/>
        </w:rPr>
        <w:t>s</w:t>
      </w:r>
      <w:r w:rsidR="00A83434" w:rsidRPr="008A7C64">
        <w:rPr>
          <w:color w:val="000000"/>
          <w:lang w:eastAsia="fr-FR"/>
        </w:rPr>
        <w:t xml:space="preserve"> portant de la poudre noire sur le visage pendant la nuit</w:t>
      </w:r>
      <w:r w:rsidR="00A83434">
        <w:rPr>
          <w:color w:val="000000"/>
          <w:lang w:eastAsia="fr-FR"/>
        </w:rPr>
        <w:t> ; r</w:t>
      </w:r>
      <w:r w:rsidR="00A83434" w:rsidRPr="008A7C64">
        <w:rPr>
          <w:color w:val="000000"/>
          <w:lang w:eastAsia="fr-FR"/>
        </w:rPr>
        <w:t>éveillé</w:t>
      </w:r>
      <w:r w:rsidR="00A83434">
        <w:rPr>
          <w:color w:val="000000"/>
          <w:lang w:eastAsia="fr-FR"/>
        </w:rPr>
        <w:t>e</w:t>
      </w:r>
      <w:r w:rsidR="00A83434" w:rsidRPr="008A7C64">
        <w:rPr>
          <w:color w:val="000000"/>
          <w:lang w:eastAsia="fr-FR"/>
        </w:rPr>
        <w:t xml:space="preserve"> dans son sommeil par la fumée</w:t>
      </w:r>
      <w:r w:rsidR="00A83434">
        <w:rPr>
          <w:color w:val="000000"/>
          <w:lang w:eastAsia="fr-FR"/>
        </w:rPr>
        <w:t>,</w:t>
      </w:r>
      <w:r w:rsidR="00A83434" w:rsidRPr="008A7C64">
        <w:rPr>
          <w:color w:val="000000"/>
          <w:lang w:eastAsia="fr-FR"/>
        </w:rPr>
        <w:t xml:space="preserve"> </w:t>
      </w:r>
      <w:r w:rsidR="00A83434">
        <w:rPr>
          <w:color w:val="000000"/>
          <w:lang w:eastAsia="fr-FR"/>
        </w:rPr>
        <w:t xml:space="preserve">elle </w:t>
      </w:r>
      <w:r w:rsidR="00A83434" w:rsidRPr="008A7C64">
        <w:rPr>
          <w:color w:val="000000"/>
          <w:lang w:eastAsia="fr-FR"/>
        </w:rPr>
        <w:t xml:space="preserve">a réussi à s’enfuir avec ses enfants </w:t>
      </w:r>
      <w:r w:rsidR="00A83434">
        <w:rPr>
          <w:color w:val="000000"/>
          <w:lang w:eastAsia="fr-FR"/>
        </w:rPr>
        <w:t>même si l’un d’entre eux</w:t>
      </w:r>
      <w:r w:rsidR="00A83434" w:rsidRPr="008A7C64">
        <w:rPr>
          <w:color w:val="000000"/>
          <w:lang w:eastAsia="fr-FR"/>
        </w:rPr>
        <w:t xml:space="preserve"> a été </w:t>
      </w:r>
      <w:r w:rsidR="00A83434">
        <w:rPr>
          <w:color w:val="000000"/>
          <w:lang w:eastAsia="fr-FR"/>
        </w:rPr>
        <w:t>blessé. Elle estime que sa maison a été</w:t>
      </w:r>
      <w:r w:rsidR="00A83434" w:rsidRPr="00BE7CAA">
        <w:rPr>
          <w:color w:val="000000"/>
          <w:lang w:eastAsia="fr-FR"/>
        </w:rPr>
        <w:t xml:space="preserve"> </w:t>
      </w:r>
      <w:r w:rsidRPr="00BE7CAA">
        <w:rPr>
          <w:color w:val="000000"/>
          <w:lang w:eastAsia="fr-FR"/>
        </w:rPr>
        <w:t xml:space="preserve">ciblée </w:t>
      </w:r>
      <w:r w:rsidR="00A83434" w:rsidRPr="00BE7CAA">
        <w:rPr>
          <w:color w:val="000000"/>
          <w:lang w:eastAsia="fr-FR"/>
        </w:rPr>
        <w:t xml:space="preserve">car </w:t>
      </w:r>
      <w:r w:rsidRPr="00BE7CAA">
        <w:rPr>
          <w:color w:val="000000"/>
          <w:lang w:eastAsia="fr-FR"/>
        </w:rPr>
        <w:t>elle était située dans le quartier</w:t>
      </w:r>
      <w:r w:rsidR="0061479D" w:rsidRPr="00BE7CAA">
        <w:rPr>
          <w:color w:val="000000"/>
          <w:lang w:eastAsia="fr-FR"/>
        </w:rPr>
        <w:t xml:space="preserve"> habité par des Lubas</w:t>
      </w:r>
      <w:r w:rsidRPr="00BE7CAA">
        <w:rPr>
          <w:color w:val="000000"/>
          <w:lang w:eastAsia="fr-FR"/>
        </w:rPr>
        <w:t xml:space="preserve"> de Dibomba</w:t>
      </w:r>
      <w:r w:rsidRPr="008A7C64">
        <w:rPr>
          <w:color w:val="000000"/>
          <w:lang w:eastAsia="fr-FR"/>
        </w:rPr>
        <w:t>.</w:t>
      </w:r>
      <w:r w:rsidRPr="007F1170">
        <w:rPr>
          <w:rStyle w:val="FootnoteReference"/>
        </w:rPr>
        <w:footnoteReference w:id="462"/>
      </w:r>
      <w:r w:rsidRPr="008A7C64">
        <w:rPr>
          <w:color w:val="000000"/>
          <w:lang w:eastAsia="fr-FR"/>
        </w:rPr>
        <w:t>.</w:t>
      </w:r>
    </w:p>
    <w:p w14:paraId="65141E66" w14:textId="44E04B72" w:rsidR="00B76E6A" w:rsidRPr="004360BE" w:rsidRDefault="00B76E6A" w:rsidP="00BE7CAA">
      <w:pPr>
        <w:pStyle w:val="BodyText"/>
        <w:tabs>
          <w:tab w:val="left" w:pos="1559"/>
          <w:tab w:val="left" w:pos="1984"/>
          <w:tab w:val="left" w:leader="dot" w:pos="7654"/>
          <w:tab w:val="right" w:pos="8929"/>
        </w:tabs>
        <w:spacing w:line="240" w:lineRule="atLeast"/>
        <w:ind w:left="1138" w:right="1138" w:firstLine="0"/>
        <w:rPr>
          <w:lang w:eastAsia="fr-FR"/>
        </w:rPr>
      </w:pPr>
      <w:r w:rsidRPr="00BE7CAA">
        <w:rPr>
          <w:color w:val="000000"/>
          <w:lang w:eastAsia="fr-FR"/>
        </w:rPr>
        <w:t>Lors d’</w:t>
      </w:r>
      <w:r w:rsidR="00A83434" w:rsidRPr="00BE7CAA">
        <w:rPr>
          <w:color w:val="000000"/>
          <w:lang w:eastAsia="fr-FR"/>
        </w:rPr>
        <w:t>opérations</w:t>
      </w:r>
      <w:r w:rsidR="002D5D63">
        <w:rPr>
          <w:color w:val="000000"/>
          <w:lang w:eastAsia="fr-FR"/>
        </w:rPr>
        <w:t xml:space="preserve"> de traque</w:t>
      </w:r>
      <w:r w:rsidRPr="00BE7CAA">
        <w:rPr>
          <w:color w:val="000000"/>
          <w:lang w:eastAsia="fr-FR"/>
        </w:rPr>
        <w:t xml:space="preserve"> des miliciens Kamuina Nsapu, les FARDC ont également commis de nombreuses exactions contre la population civile dans les villages environnant la ville de Tshikapa. Par exemple dans le village de Tshibritika, à 5 kilomètres de Tshikapa, les FARDC ont tué un homme et ses trois filles âgées de 6 mois, 6 ans et 8 ans. Sa quatrième fille de 15 ans a été violée par trois FARDC</w:t>
      </w:r>
      <w:r w:rsidRPr="007F1170">
        <w:rPr>
          <w:rStyle w:val="FootnoteReference"/>
        </w:rPr>
        <w:footnoteReference w:id="463"/>
      </w:r>
      <w:r w:rsidRPr="00BE7CAA">
        <w:rPr>
          <w:color w:val="000000"/>
          <w:lang w:eastAsia="fr-FR"/>
        </w:rPr>
        <w:t xml:space="preserve">. Deux </w:t>
      </w:r>
      <w:r w:rsidR="002D5D63">
        <w:rPr>
          <w:color w:val="000000"/>
          <w:lang w:eastAsia="fr-FR"/>
        </w:rPr>
        <w:t>femme</w:t>
      </w:r>
      <w:r w:rsidRPr="00BE7CAA">
        <w:rPr>
          <w:color w:val="000000"/>
          <w:lang w:eastAsia="fr-FR"/>
        </w:rPr>
        <w:t xml:space="preserve">s racontent comment, en se rendant de Tshikapa au village de Milumbo en avril 2017, elles ont été violées, alors qu’elles se trouvaient avec </w:t>
      </w:r>
      <w:r w:rsidR="0065224A" w:rsidRPr="00BE7CAA">
        <w:rPr>
          <w:color w:val="000000"/>
          <w:lang w:eastAsia="fr-FR"/>
        </w:rPr>
        <w:t xml:space="preserve">d’autres </w:t>
      </w:r>
      <w:r w:rsidRPr="00BE7CAA">
        <w:rPr>
          <w:color w:val="000000"/>
          <w:lang w:eastAsia="fr-FR"/>
        </w:rPr>
        <w:t>femmes, par cinq éléments FARDC. L’une des</w:t>
      </w:r>
      <w:r w:rsidRPr="005D1C5E">
        <w:rPr>
          <w:lang w:eastAsia="fr-FR"/>
        </w:rPr>
        <w:t xml:space="preserve"> femmes a été tuée</w:t>
      </w:r>
      <w:r w:rsidRPr="007F1170">
        <w:rPr>
          <w:rStyle w:val="FootnoteReference"/>
        </w:rPr>
        <w:footnoteReference w:id="464"/>
      </w:r>
      <w:r w:rsidRPr="005D1C5E">
        <w:rPr>
          <w:lang w:eastAsia="fr-FR"/>
        </w:rPr>
        <w:t xml:space="preserve">. De manière similaire, </w:t>
      </w:r>
      <w:r>
        <w:rPr>
          <w:lang w:eastAsia="fr-FR"/>
        </w:rPr>
        <w:t xml:space="preserve">deux jeunes filles de 15 ans </w:t>
      </w:r>
      <w:r w:rsidRPr="005D1C5E">
        <w:rPr>
          <w:lang w:eastAsia="fr-FR"/>
        </w:rPr>
        <w:t>ont été violées par des éléments FARDC au niveau de la rivière Kabidumbi à 9 k</w:t>
      </w:r>
      <w:r>
        <w:rPr>
          <w:lang w:eastAsia="fr-FR"/>
        </w:rPr>
        <w:t>ilomètres</w:t>
      </w:r>
      <w:r w:rsidRPr="005D1C5E">
        <w:rPr>
          <w:lang w:eastAsia="fr-FR"/>
        </w:rPr>
        <w:t xml:space="preserve"> de la ville de Tshikapa, autour du 15 avril 2017. </w:t>
      </w:r>
      <w:r>
        <w:rPr>
          <w:lang w:eastAsia="fr-FR"/>
        </w:rPr>
        <w:t>L</w:t>
      </w:r>
      <w:r w:rsidRPr="005D1C5E">
        <w:rPr>
          <w:lang w:eastAsia="fr-FR"/>
        </w:rPr>
        <w:t>es deux jeunes filles ont été arrêté</w:t>
      </w:r>
      <w:r>
        <w:rPr>
          <w:lang w:eastAsia="fr-FR"/>
        </w:rPr>
        <w:t>es</w:t>
      </w:r>
      <w:r w:rsidRPr="005D1C5E">
        <w:rPr>
          <w:lang w:eastAsia="fr-FR"/>
        </w:rPr>
        <w:t xml:space="preserve"> à une barrière tenue par les FARDC</w:t>
      </w:r>
      <w:r>
        <w:rPr>
          <w:lang w:eastAsia="fr-FR"/>
        </w:rPr>
        <w:t xml:space="preserve"> et on</w:t>
      </w:r>
      <w:r w:rsidR="0065224A">
        <w:rPr>
          <w:lang w:eastAsia="fr-FR"/>
        </w:rPr>
        <w:t>t</w:t>
      </w:r>
      <w:r>
        <w:rPr>
          <w:lang w:eastAsia="fr-FR"/>
        </w:rPr>
        <w:t xml:space="preserve"> chacune été violée</w:t>
      </w:r>
      <w:r w:rsidR="0065224A">
        <w:rPr>
          <w:lang w:eastAsia="fr-FR"/>
        </w:rPr>
        <w:t>s</w:t>
      </w:r>
      <w:r>
        <w:rPr>
          <w:lang w:eastAsia="fr-FR"/>
        </w:rPr>
        <w:t xml:space="preserve"> par un FARDC</w:t>
      </w:r>
      <w:r w:rsidR="0065224A">
        <w:rPr>
          <w:lang w:eastAsia="fr-FR"/>
        </w:rPr>
        <w:t> ; toutes les deux souffrent de séquelles physiques</w:t>
      </w:r>
      <w:r w:rsidRPr="007F1170">
        <w:rPr>
          <w:rStyle w:val="FootnoteReference"/>
        </w:rPr>
        <w:footnoteReference w:id="465"/>
      </w:r>
      <w:r>
        <w:rPr>
          <w:lang w:eastAsia="fr-FR"/>
        </w:rPr>
        <w:t>.</w:t>
      </w:r>
    </w:p>
    <w:p w14:paraId="1E69950B" w14:textId="0BC255E8" w:rsidR="00D24636" w:rsidRPr="00FE5E8D" w:rsidRDefault="00B76E6A" w:rsidP="00E33BE6">
      <w:pPr>
        <w:pStyle w:val="Heading5"/>
        <w:tabs>
          <w:tab w:val="clear" w:pos="1984"/>
          <w:tab w:val="left" w:pos="2340"/>
        </w:tabs>
        <w:spacing w:before="120" w:after="120"/>
        <w:ind w:firstLine="1440"/>
        <w:contextualSpacing w:val="0"/>
        <w:rPr>
          <w:b w:val="0"/>
        </w:rPr>
      </w:pPr>
      <w:r w:rsidRPr="00FE5E8D">
        <w:rPr>
          <w:b w:val="0"/>
        </w:rPr>
        <w:t xml:space="preserve">Sud du territoire de Kamonia  </w:t>
      </w:r>
    </w:p>
    <w:p w14:paraId="6E0FC7FD" w14:textId="095CE919" w:rsidR="00AB33F7" w:rsidRDefault="00AB33F7" w:rsidP="00E33BE6">
      <w:pPr>
        <w:pStyle w:val="BodyText"/>
        <w:tabs>
          <w:tab w:val="left" w:pos="1559"/>
          <w:tab w:val="left" w:pos="1984"/>
          <w:tab w:val="left" w:leader="dot" w:pos="7654"/>
          <w:tab w:val="right" w:pos="8929"/>
        </w:tabs>
        <w:spacing w:line="240" w:lineRule="atLeast"/>
        <w:ind w:left="1138" w:right="1138" w:firstLine="0"/>
      </w:pPr>
      <w:r w:rsidRPr="00756353">
        <w:t xml:space="preserve">La milice Kamuina Nsapu est entrée dans la partie sud du territoire de Kamonia </w:t>
      </w:r>
      <w:r>
        <w:t>en provenance du</w:t>
      </w:r>
      <w:r w:rsidRPr="00756353">
        <w:t xml:space="preserve"> territoire de Kazumba, Kasaï Central</w:t>
      </w:r>
      <w:r w:rsidRPr="007F1170">
        <w:rPr>
          <w:rStyle w:val="FootnoteReference"/>
        </w:rPr>
        <w:footnoteReference w:id="466"/>
      </w:r>
      <w:r w:rsidRPr="00756353">
        <w:t xml:space="preserve">. Elle est devenue très active </w:t>
      </w:r>
      <w:r w:rsidR="00470E50">
        <w:t>dans</w:t>
      </w:r>
      <w:r w:rsidR="00470E50" w:rsidRPr="00756353">
        <w:t xml:space="preserve"> </w:t>
      </w:r>
      <w:r w:rsidRPr="00756353">
        <w:t>cette partie du territoire à partir de mars 2017, en particulier entre la cité de Mutena et celle de Kamako dans le secteur</w:t>
      </w:r>
      <w:r>
        <w:t xml:space="preserve"> de</w:t>
      </w:r>
      <w:r w:rsidRPr="00756353">
        <w:t xml:space="preserve"> Kasaï Lunyeka et dans la partie frontalière avec l’Angola du secteur de Lovua-Longat</w:t>
      </w:r>
      <w:r>
        <w:t>s</w:t>
      </w:r>
      <w:r w:rsidRPr="00756353">
        <w:t>himo</w:t>
      </w:r>
      <w:r>
        <w:t>.</w:t>
      </w:r>
      <w:r w:rsidRPr="00756353">
        <w:t xml:space="preserve"> </w:t>
      </w:r>
      <w:r w:rsidRPr="00226D39">
        <w:rPr>
          <w:noProof/>
        </w:rPr>
        <w:t xml:space="preserve">L’animosité des </w:t>
      </w:r>
      <w:r w:rsidRPr="00226D39">
        <w:rPr>
          <w:lang w:eastAsia="fr-FR"/>
        </w:rPr>
        <w:t>communautés</w:t>
      </w:r>
      <w:r w:rsidRPr="00226D39">
        <w:rPr>
          <w:noProof/>
        </w:rPr>
        <w:t xml:space="preserve"> </w:t>
      </w:r>
      <w:r w:rsidR="00651768">
        <w:rPr>
          <w:noProof/>
        </w:rPr>
        <w:t>chokwe</w:t>
      </w:r>
      <w:r w:rsidRPr="00226D39">
        <w:rPr>
          <w:noProof/>
        </w:rPr>
        <w:t xml:space="preserve"> et </w:t>
      </w:r>
      <w:r w:rsidR="0061479D">
        <w:rPr>
          <w:noProof/>
        </w:rPr>
        <w:t>p</w:t>
      </w:r>
      <w:r w:rsidRPr="00226D39">
        <w:rPr>
          <w:noProof/>
        </w:rPr>
        <w:t xml:space="preserve">ende </w:t>
      </w:r>
      <w:r w:rsidR="00470E50">
        <w:rPr>
          <w:noProof/>
        </w:rPr>
        <w:t>en raison de</w:t>
      </w:r>
      <w:r w:rsidR="00470E50" w:rsidRPr="00226D39">
        <w:rPr>
          <w:noProof/>
        </w:rPr>
        <w:t xml:space="preserve"> </w:t>
      </w:r>
      <w:r w:rsidRPr="00226D39">
        <w:rPr>
          <w:noProof/>
        </w:rPr>
        <w:t>la présence des Luba</w:t>
      </w:r>
      <w:r w:rsidR="0061479D">
        <w:rPr>
          <w:noProof/>
        </w:rPr>
        <w:t>s</w:t>
      </w:r>
      <w:r w:rsidRPr="00226D39">
        <w:rPr>
          <w:noProof/>
        </w:rPr>
        <w:t xml:space="preserve"> dans </w:t>
      </w:r>
      <w:r>
        <w:rPr>
          <w:noProof/>
        </w:rPr>
        <w:t>cette</w:t>
      </w:r>
      <w:r w:rsidRPr="00226D39">
        <w:rPr>
          <w:noProof/>
        </w:rPr>
        <w:t xml:space="preserve"> partie sud du terrioire de Kamonia est ancienne</w:t>
      </w:r>
      <w:r w:rsidR="00470E50">
        <w:rPr>
          <w:noProof/>
        </w:rPr>
        <w:t> ; néanmoins</w:t>
      </w:r>
      <w:r w:rsidRPr="00226D39">
        <w:rPr>
          <w:noProof/>
        </w:rPr>
        <w:t>, avant la crise</w:t>
      </w:r>
      <w:r w:rsidR="00470E50">
        <w:rPr>
          <w:noProof/>
        </w:rPr>
        <w:t>,</w:t>
      </w:r>
      <w:r w:rsidRPr="00226D39">
        <w:rPr>
          <w:noProof/>
        </w:rPr>
        <w:t xml:space="preserve"> les communautés cohabitaient pacifiquement et travaillaient ensemble </w:t>
      </w:r>
      <w:r>
        <w:rPr>
          <w:noProof/>
        </w:rPr>
        <w:t>surtout</w:t>
      </w:r>
      <w:r w:rsidRPr="00226D39">
        <w:rPr>
          <w:noProof/>
        </w:rPr>
        <w:t xml:space="preserve"> dans l’industrie du diamant.</w:t>
      </w:r>
      <w:r>
        <w:rPr>
          <w:noProof/>
        </w:rPr>
        <w:t xml:space="preserve"> </w:t>
      </w:r>
      <w:r w:rsidRPr="00226D39">
        <w:t xml:space="preserve">Avec l’arrivée de la milice Kamuina Nsapu, les relations entre les </w:t>
      </w:r>
      <w:r w:rsidR="008844A4">
        <w:t>Lubas</w:t>
      </w:r>
      <w:r w:rsidRPr="00226D39">
        <w:t xml:space="preserve">, </w:t>
      </w:r>
      <w:r w:rsidR="00651768">
        <w:t>Chokwe</w:t>
      </w:r>
      <w:r w:rsidR="008844A4">
        <w:t>s</w:t>
      </w:r>
      <w:r w:rsidRPr="00226D39">
        <w:t xml:space="preserve"> et </w:t>
      </w:r>
      <w:r w:rsidR="008844A4">
        <w:t>P</w:t>
      </w:r>
      <w:r w:rsidRPr="00226D39">
        <w:t>ende</w:t>
      </w:r>
      <w:r w:rsidR="008844A4">
        <w:t>s</w:t>
      </w:r>
      <w:r w:rsidRPr="00226D39">
        <w:t xml:space="preserve"> se sont détériorées</w:t>
      </w:r>
      <w:r w:rsidRPr="007F1170">
        <w:rPr>
          <w:rStyle w:val="FootnoteReference"/>
        </w:rPr>
        <w:footnoteReference w:id="467"/>
      </w:r>
      <w:r w:rsidRPr="00226D39">
        <w:t xml:space="preserve">. </w:t>
      </w:r>
      <w:r>
        <w:t xml:space="preserve">L’EEI a </w:t>
      </w:r>
      <w:r w:rsidR="002D5D63">
        <w:t>documenté les actes de violence</w:t>
      </w:r>
      <w:r>
        <w:t xml:space="preserve"> dans plusieurs localités où la milice Kamuina Nsapu s’était installée, à savoir : </w:t>
      </w:r>
      <w:r w:rsidRPr="00756353">
        <w:t>Mutshima, Diboko, Tshinota, Mudjadja, Sumbula</w:t>
      </w:r>
      <w:r>
        <w:t>, et Kamako</w:t>
      </w:r>
      <w:r w:rsidRPr="007F1170">
        <w:rPr>
          <w:rStyle w:val="FootnoteReference"/>
        </w:rPr>
        <w:footnoteReference w:id="468"/>
      </w:r>
      <w:r w:rsidRPr="00756353">
        <w:t xml:space="preserve">. </w:t>
      </w:r>
    </w:p>
    <w:p w14:paraId="4FDBBA95" w14:textId="385329BE" w:rsidR="0023702C" w:rsidRPr="0023702C" w:rsidRDefault="0023702C" w:rsidP="0023702C">
      <w:pPr>
        <w:pStyle w:val="BodyText"/>
        <w:numPr>
          <w:ilvl w:val="0"/>
          <w:numId w:val="0"/>
        </w:numPr>
        <w:tabs>
          <w:tab w:val="left" w:pos="1559"/>
          <w:tab w:val="left" w:pos="1984"/>
          <w:tab w:val="left" w:leader="dot" w:pos="7654"/>
          <w:tab w:val="right" w:pos="8929"/>
        </w:tabs>
        <w:spacing w:line="240" w:lineRule="atLeast"/>
        <w:ind w:left="2160" w:right="1138"/>
        <w:outlineLvl w:val="5"/>
        <w:rPr>
          <w:i/>
          <w:u w:val="single"/>
        </w:rPr>
      </w:pPr>
      <w:r w:rsidRPr="0023702C">
        <w:rPr>
          <w:i/>
          <w:u w:val="single"/>
        </w:rPr>
        <w:t>Cit</w:t>
      </w:r>
      <w:r w:rsidRPr="0023702C">
        <w:rPr>
          <w:i/>
          <w:color w:val="000000"/>
          <w:u w:val="single"/>
          <w:lang w:eastAsia="fr-FR"/>
        </w:rPr>
        <w:t>é</w:t>
      </w:r>
      <w:r w:rsidRPr="0023702C">
        <w:rPr>
          <w:i/>
          <w:u w:val="single"/>
        </w:rPr>
        <w:t xml:space="preserve"> de Kamako</w:t>
      </w:r>
    </w:p>
    <w:p w14:paraId="11BD6C30" w14:textId="4C670713" w:rsidR="00AB33F7" w:rsidRDefault="00AB33F7" w:rsidP="00E33BE6">
      <w:pPr>
        <w:pStyle w:val="BodyText"/>
        <w:tabs>
          <w:tab w:val="left" w:pos="1559"/>
          <w:tab w:val="left" w:pos="1984"/>
          <w:tab w:val="left" w:leader="dot" w:pos="7654"/>
          <w:tab w:val="right" w:pos="8929"/>
        </w:tabs>
        <w:spacing w:line="240" w:lineRule="atLeast"/>
        <w:ind w:left="1138" w:right="1138" w:firstLine="0"/>
      </w:pPr>
      <w:r w:rsidRPr="00F24DDB">
        <w:t>Le 6 mars 2017, la milice Kamuina Nsapu a fait une incursion dans la cité de Kamako. Un petit groupe de miliciens est arrivé dans la cité et a pris le contrôle de l’état-</w:t>
      </w:r>
      <w:r w:rsidRPr="00F24DDB">
        <w:rPr>
          <w:noProof/>
        </w:rPr>
        <w:t>major</w:t>
      </w:r>
      <w:r w:rsidRPr="00F24DDB">
        <w:t xml:space="preserve"> de la PNC détruisant le cachot et libérant les prisonniers. Ils ont battu un FARDC avant d’être repoussé</w:t>
      </w:r>
      <w:r w:rsidR="002D5D63">
        <w:t>s</w:t>
      </w:r>
      <w:r w:rsidRPr="00F24DDB">
        <w:t xml:space="preserve"> de la ville par les forces de défense et de sécurité</w:t>
      </w:r>
      <w:r w:rsidRPr="007F1170">
        <w:rPr>
          <w:rStyle w:val="FootnoteReference"/>
        </w:rPr>
        <w:footnoteReference w:id="469"/>
      </w:r>
      <w:r w:rsidRPr="00F24DDB">
        <w:t>. Un civil et plusieurs agents de la PNC ont été tués</w:t>
      </w:r>
      <w:r w:rsidRPr="007F1170">
        <w:rPr>
          <w:rStyle w:val="FootnoteReference"/>
        </w:rPr>
        <w:footnoteReference w:id="470"/>
      </w:r>
      <w:r w:rsidRPr="00F24DDB">
        <w:t>.</w:t>
      </w:r>
      <w:r w:rsidRPr="00DE08FA">
        <w:t xml:space="preserve"> </w:t>
      </w:r>
    </w:p>
    <w:p w14:paraId="2AEC2F9A" w14:textId="2C0330AB" w:rsidR="00AB33F7" w:rsidRDefault="00AB33F7" w:rsidP="00E33BE6">
      <w:pPr>
        <w:pStyle w:val="BodyText"/>
        <w:tabs>
          <w:tab w:val="left" w:pos="1559"/>
          <w:tab w:val="left" w:pos="1984"/>
          <w:tab w:val="left" w:leader="dot" w:pos="7654"/>
          <w:tab w:val="right" w:pos="8929"/>
        </w:tabs>
        <w:spacing w:line="240" w:lineRule="atLeast"/>
        <w:ind w:left="1138" w:right="1138" w:firstLine="0"/>
      </w:pPr>
      <w:r>
        <w:t>Après</w:t>
      </w:r>
      <w:r w:rsidRPr="00DE08FA">
        <w:t xml:space="preserve"> cette première incursion, la PNC a commencé à arrête</w:t>
      </w:r>
      <w:r>
        <w:t>r arbitrairement des civils en particulier des Luba</w:t>
      </w:r>
      <w:r w:rsidR="0061479D">
        <w:t>s</w:t>
      </w:r>
      <w:r>
        <w:t>,</w:t>
      </w:r>
      <w:r w:rsidRPr="00DE08FA">
        <w:t xml:space="preserve"> à</w:t>
      </w:r>
      <w:r>
        <w:t xml:space="preserve"> les</w:t>
      </w:r>
      <w:r w:rsidRPr="00DE08FA">
        <w:t xml:space="preserve"> </w:t>
      </w:r>
      <w:r w:rsidR="006820D0" w:rsidRPr="00DE08FA">
        <w:t>mal</w:t>
      </w:r>
      <w:r w:rsidRPr="00DE08FA">
        <w:t>trait</w:t>
      </w:r>
      <w:r>
        <w:t>er</w:t>
      </w:r>
      <w:r w:rsidRPr="00DE08FA">
        <w:t xml:space="preserve"> et parfois</w:t>
      </w:r>
      <w:r>
        <w:t xml:space="preserve"> à les exécuter</w:t>
      </w:r>
      <w:r w:rsidRPr="007F1170">
        <w:rPr>
          <w:rStyle w:val="FootnoteReference"/>
        </w:rPr>
        <w:footnoteReference w:id="471"/>
      </w:r>
      <w:r>
        <w:t xml:space="preserve">. Ainsi trois hommes </w:t>
      </w:r>
      <w:r w:rsidR="0061479D">
        <w:t>l</w:t>
      </w:r>
      <w:r>
        <w:t>uba</w:t>
      </w:r>
      <w:r w:rsidR="0061479D">
        <w:t>s</w:t>
      </w:r>
      <w:r>
        <w:t xml:space="preserve"> ont été arrêtés sous un prétexte fallacieux, </w:t>
      </w:r>
      <w:r w:rsidRPr="00DE08FA">
        <w:t xml:space="preserve">battus </w:t>
      </w:r>
      <w:r>
        <w:t>à</w:t>
      </w:r>
      <w:r w:rsidRPr="00DE08FA">
        <w:t xml:space="preserve"> coups de machette</w:t>
      </w:r>
      <w:r>
        <w:t>,</w:t>
      </w:r>
      <w:r w:rsidRPr="00DE08FA">
        <w:t xml:space="preserve"> </w:t>
      </w:r>
      <w:r>
        <w:t>puis</w:t>
      </w:r>
      <w:r w:rsidRPr="00DE08FA">
        <w:t xml:space="preserve"> exécutés par </w:t>
      </w:r>
      <w:r>
        <w:t>des PNC de</w:t>
      </w:r>
      <w:r w:rsidRPr="00DE08FA">
        <w:t> Kamako</w:t>
      </w:r>
      <w:r w:rsidRPr="007F1170">
        <w:rPr>
          <w:rStyle w:val="FootnoteReference"/>
        </w:rPr>
        <w:footnoteReference w:id="472"/>
      </w:r>
      <w:r w:rsidRPr="00DE08FA">
        <w:t>. D’autres person</w:t>
      </w:r>
      <w:r>
        <w:t>nes ont été arrêtées et ont subi</w:t>
      </w:r>
      <w:r w:rsidRPr="00DE08FA">
        <w:t xml:space="preserve"> des </w:t>
      </w:r>
      <w:r>
        <w:t>mauvais traitement</w:t>
      </w:r>
      <w:r w:rsidR="006820D0">
        <w:t>s</w:t>
      </w:r>
      <w:r>
        <w:t xml:space="preserve"> en détention conduisant parfois à des </w:t>
      </w:r>
      <w:r w:rsidRPr="00DE08FA">
        <w:t>invalidités permanente</w:t>
      </w:r>
      <w:r>
        <w:t>s,</w:t>
      </w:r>
      <w:r w:rsidRPr="00DE08FA">
        <w:t xml:space="preserve"> </w:t>
      </w:r>
      <w:r>
        <w:t>au prétexte</w:t>
      </w:r>
      <w:r w:rsidRPr="00DE08FA">
        <w:t xml:space="preserve"> qu’ils étaient des miliciens Kamuina Ns</w:t>
      </w:r>
      <w:r>
        <w:t>a</w:t>
      </w:r>
      <w:r w:rsidRPr="00DE08FA">
        <w:t>pu</w:t>
      </w:r>
      <w:r w:rsidRPr="007F1170">
        <w:rPr>
          <w:rStyle w:val="FootnoteReference"/>
        </w:rPr>
        <w:footnoteReference w:id="473"/>
      </w:r>
      <w:r w:rsidRPr="00DE08FA">
        <w:t>.</w:t>
      </w:r>
      <w:r>
        <w:t xml:space="preserve"> Ainsi le 10 avril 2017, six hommes lubaphones ont été arrêtés par 15 agents de la PNC. Les six hommes ont été battus à l’état-major de la PNC, y compris avec des coups de machette et </w:t>
      </w:r>
      <w:r w:rsidR="006820D0">
        <w:t xml:space="preserve">des coups </w:t>
      </w:r>
      <w:r>
        <w:t>de pied avant d’être libérés plusieurs jours plus tard</w:t>
      </w:r>
      <w:r w:rsidRPr="007F1170">
        <w:rPr>
          <w:rStyle w:val="FootnoteReference"/>
        </w:rPr>
        <w:footnoteReference w:id="474"/>
      </w:r>
      <w:r>
        <w:t>.</w:t>
      </w:r>
    </w:p>
    <w:p w14:paraId="41EAE955" w14:textId="09589F35" w:rsidR="00AB33F7" w:rsidRDefault="00AB33F7" w:rsidP="00E33BE6">
      <w:pPr>
        <w:pStyle w:val="BodyText"/>
        <w:tabs>
          <w:tab w:val="left" w:pos="1559"/>
          <w:tab w:val="left" w:pos="1984"/>
          <w:tab w:val="left" w:leader="dot" w:pos="7654"/>
          <w:tab w:val="right" w:pos="8929"/>
        </w:tabs>
        <w:spacing w:line="240" w:lineRule="atLeast"/>
        <w:ind w:left="1138" w:right="1138" w:firstLine="0"/>
      </w:pPr>
      <w:r>
        <w:t xml:space="preserve">Le 13 ou </w:t>
      </w:r>
      <w:r w:rsidRPr="00DE08FA">
        <w:t xml:space="preserve">14 avril 2017, les miliciens Kamuina Nsapu, dont de nombreux enfants, sont </w:t>
      </w:r>
      <w:r>
        <w:t>revenus</w:t>
      </w:r>
      <w:r w:rsidRPr="00DE08FA">
        <w:t xml:space="preserve"> en grand nombre </w:t>
      </w:r>
      <w:r>
        <w:t>et ont</w:t>
      </w:r>
      <w:r w:rsidRPr="00DE08FA">
        <w:t xml:space="preserve"> </w:t>
      </w:r>
      <w:r>
        <w:t>pris</w:t>
      </w:r>
      <w:r w:rsidRPr="00DE08FA">
        <w:t xml:space="preserve"> le contrôle de la cité de Kamako après un bref affrontement avec les forces de défense et de sécurité</w:t>
      </w:r>
      <w:r>
        <w:t>, au cours duquel des miliciens Kamuina Nsapu, dont une fille, ont été tués.</w:t>
      </w:r>
      <w:r w:rsidRPr="00DE08FA">
        <w:t xml:space="preserve"> </w:t>
      </w:r>
      <w:r>
        <w:t>Ils ont dir</w:t>
      </w:r>
      <w:r w:rsidRPr="00DE08FA">
        <w:t>igé la cité jusqu’au 30 avril 2017</w:t>
      </w:r>
      <w:r w:rsidRPr="007F1170">
        <w:rPr>
          <w:rStyle w:val="FootnoteReference"/>
        </w:rPr>
        <w:footnoteReference w:id="475"/>
      </w:r>
      <w:r w:rsidRPr="00DE08FA">
        <w:t xml:space="preserve">. </w:t>
      </w:r>
      <w:r>
        <w:t>Un t</w:t>
      </w:r>
      <w:r w:rsidRPr="00DE08FA">
        <w:t xml:space="preserve">shiota </w:t>
      </w:r>
      <w:r>
        <w:t xml:space="preserve">a été installé </w:t>
      </w:r>
      <w:r w:rsidRPr="00DE08FA">
        <w:t>à l’</w:t>
      </w:r>
      <w:r>
        <w:t>é</w:t>
      </w:r>
      <w:r w:rsidRPr="00DE08FA">
        <w:t>tat</w:t>
      </w:r>
      <w:r>
        <w:t>-major</w:t>
      </w:r>
      <w:r w:rsidRPr="00DE08FA">
        <w:t xml:space="preserve"> de la </w:t>
      </w:r>
      <w:r>
        <w:t>PNC</w:t>
      </w:r>
      <w:r w:rsidRPr="00DE08FA">
        <w:t xml:space="preserve"> où </w:t>
      </w:r>
      <w:r w:rsidR="006820D0">
        <w:t>les Kamuina Nsapu</w:t>
      </w:r>
      <w:r w:rsidR="006820D0" w:rsidRPr="00DE08FA">
        <w:t xml:space="preserve"> </w:t>
      </w:r>
      <w:r>
        <w:t>ont baptisé, parfois de force,</w:t>
      </w:r>
      <w:r w:rsidRPr="00DE08FA">
        <w:t xml:space="preserve"> les nouvelles recrues</w:t>
      </w:r>
      <w:r>
        <w:t xml:space="preserve"> </w:t>
      </w:r>
      <w:r w:rsidRPr="00DE08FA">
        <w:t xml:space="preserve">et </w:t>
      </w:r>
      <w:r>
        <w:t xml:space="preserve">où ils ont </w:t>
      </w:r>
      <w:r w:rsidR="006820D0">
        <w:t>« </w:t>
      </w:r>
      <w:r>
        <w:t>rendu</w:t>
      </w:r>
      <w:r w:rsidRPr="00DE08FA">
        <w:t xml:space="preserve"> la</w:t>
      </w:r>
      <w:r w:rsidR="006820D0">
        <w:t xml:space="preserve"> </w:t>
      </w:r>
      <w:r w:rsidRPr="00DE08FA">
        <w:t>justice »</w:t>
      </w:r>
      <w:r w:rsidRPr="007F1170">
        <w:rPr>
          <w:rStyle w:val="FootnoteReference"/>
        </w:rPr>
        <w:footnoteReference w:id="476"/>
      </w:r>
      <w:r w:rsidRPr="00DE08FA">
        <w:t xml:space="preserve">. Un témoin raconte </w:t>
      </w:r>
      <w:r>
        <w:t>qu’</w:t>
      </w:r>
      <w:r w:rsidRPr="00DE08FA">
        <w:t>un agen</w:t>
      </w:r>
      <w:r>
        <w:t>t de la PNC</w:t>
      </w:r>
      <w:r w:rsidR="006820D0">
        <w:t xml:space="preserve"> qui n’avait pas réussi à fui</w:t>
      </w:r>
      <w:r w:rsidR="002D5D63">
        <w:t>r</w:t>
      </w:r>
      <w:r w:rsidR="006820D0">
        <w:t>e</w:t>
      </w:r>
      <w:r>
        <w:t xml:space="preserve"> a été décapité au t</w:t>
      </w:r>
      <w:r w:rsidRPr="00DE08FA">
        <w:t>s</w:t>
      </w:r>
      <w:r>
        <w:t>h</w:t>
      </w:r>
      <w:r w:rsidRPr="00DE08FA">
        <w:t>iota ce jour-là</w:t>
      </w:r>
      <w:r w:rsidRPr="007F1170">
        <w:rPr>
          <w:rStyle w:val="FootnoteReference"/>
        </w:rPr>
        <w:footnoteReference w:id="477"/>
      </w:r>
      <w:r w:rsidRPr="00DE08FA">
        <w:t>.</w:t>
      </w:r>
    </w:p>
    <w:p w14:paraId="6C06392B" w14:textId="0E715792" w:rsidR="00AB33F7" w:rsidRDefault="00AB33F7" w:rsidP="00E33BE6">
      <w:pPr>
        <w:pStyle w:val="BodyText"/>
        <w:tabs>
          <w:tab w:val="left" w:pos="1559"/>
          <w:tab w:val="left" w:pos="1984"/>
          <w:tab w:val="left" w:leader="dot" w:pos="7654"/>
          <w:tab w:val="right" w:pos="8929"/>
        </w:tabs>
        <w:spacing w:line="240" w:lineRule="atLeast"/>
        <w:ind w:left="1138" w:right="1138" w:firstLine="0"/>
      </w:pPr>
      <w:r w:rsidRPr="00DE08FA">
        <w:t>Les miliciens Kamuina Nsapu ont recruté de nombreux enfants dans la cité de Kamako</w:t>
      </w:r>
      <w:r w:rsidRPr="007F1170">
        <w:rPr>
          <w:rStyle w:val="FootnoteReference"/>
        </w:rPr>
        <w:footnoteReference w:id="478"/>
      </w:r>
      <w:r w:rsidRPr="00DE08FA">
        <w:t xml:space="preserve">. </w:t>
      </w:r>
      <w:r w:rsidR="002D5D63" w:rsidRPr="003D75DA">
        <w:t>Après son baptême au village de Mutshima avec sept garçons et trois filles, u</w:t>
      </w:r>
      <w:r w:rsidRPr="003D75DA">
        <w:t xml:space="preserve">ne </w:t>
      </w:r>
      <w:r w:rsidR="006820D0" w:rsidRPr="003D75DA">
        <w:t xml:space="preserve">fille </w:t>
      </w:r>
      <w:r w:rsidRPr="003D75DA">
        <w:t xml:space="preserve">de 15 ans qui avait décidé de rejoindre le mouvement Kamuina Nsapu est devenue </w:t>
      </w:r>
      <w:r w:rsidR="00DB37FF" w:rsidRPr="003D75DA">
        <w:t>« </w:t>
      </w:r>
      <w:r w:rsidRPr="003D75DA">
        <w:t>ya mama</w:t>
      </w:r>
      <w:r w:rsidR="00DB37FF" w:rsidRPr="003D75DA">
        <w:t> »</w:t>
      </w:r>
      <w:r w:rsidRPr="003D75DA">
        <w:rPr>
          <w:rStyle w:val="FootnoteReference"/>
        </w:rPr>
        <w:footnoteReference w:id="479"/>
      </w:r>
      <w:r w:rsidRPr="003D75DA">
        <w:t>.</w:t>
      </w:r>
    </w:p>
    <w:p w14:paraId="45CC17EA" w14:textId="383C0623" w:rsidR="00AB33F7" w:rsidRDefault="00AB33F7" w:rsidP="00E33BE6">
      <w:pPr>
        <w:pStyle w:val="BodyText"/>
        <w:tabs>
          <w:tab w:val="left" w:pos="1559"/>
          <w:tab w:val="left" w:pos="1984"/>
          <w:tab w:val="left" w:leader="dot" w:pos="7654"/>
          <w:tab w:val="right" w:pos="8929"/>
        </w:tabs>
        <w:spacing w:line="240" w:lineRule="atLeast"/>
        <w:ind w:left="1138" w:right="1138" w:firstLine="0"/>
      </w:pPr>
      <w:r>
        <w:t>Pendant la période où les miliciens Kamuina Nsapu avaient le contrôle de la cité de Kamako, ils ont procédé à de nombreuses décapitations</w:t>
      </w:r>
      <w:r w:rsidR="005C4E0C">
        <w:t> ;</w:t>
      </w:r>
      <w:r>
        <w:t xml:space="preserve"> 41 au moins selon un témoin. Le capitaine de la PNC de Kamako, des agents de la PNC, le </w:t>
      </w:r>
      <w:r w:rsidRPr="00DE08FA">
        <w:t>chef du service des transports et voies de communication</w:t>
      </w:r>
      <w:r>
        <w:t xml:space="preserve">, un garçon de 14 ans accusé d’être un sorcier, des hommes soupçonnés de complicité avec les militaires ou représentants de l’Etat, un </w:t>
      </w:r>
      <w:r w:rsidRPr="00DE08FA">
        <w:t>chef de village accusé de sorcellerie, un agent de la Direction Général de Recette du Kasaï</w:t>
      </w:r>
      <w:r>
        <w:t>, ainsi que d’autres</w:t>
      </w:r>
      <w:r w:rsidRPr="00DE08FA">
        <w:t xml:space="preserve"> personnes accusées d’</w:t>
      </w:r>
      <w:r>
        <w:t>être des voleurs ou des sorciers, ont été publiquement décapités par la milice Kamuina Nsapu</w:t>
      </w:r>
      <w:r w:rsidRPr="007F1170">
        <w:rPr>
          <w:rStyle w:val="FootnoteReference"/>
        </w:rPr>
        <w:footnoteReference w:id="480"/>
      </w:r>
      <w:r w:rsidRPr="00DE08FA">
        <w:t xml:space="preserve">. </w:t>
      </w:r>
      <w:r>
        <w:t>Il</w:t>
      </w:r>
      <w:r w:rsidRPr="00DE08FA">
        <w:t xml:space="preserve"> y avait des décapitations presque tous les jours</w:t>
      </w:r>
      <w:r w:rsidR="005C4E0C">
        <w:t xml:space="preserve"> raconte un témoin</w:t>
      </w:r>
      <w:r w:rsidRPr="007F1170">
        <w:rPr>
          <w:rStyle w:val="FootnoteReference"/>
        </w:rPr>
        <w:footnoteReference w:id="481"/>
      </w:r>
      <w:r>
        <w:t>. Un témoin raconte que</w:t>
      </w:r>
      <w:r w:rsidRPr="00DE08FA">
        <w:t xml:space="preserve"> les miliciens ont voulu installer un second tshiota dans la ville</w:t>
      </w:r>
      <w:r>
        <w:t>.</w:t>
      </w:r>
      <w:r w:rsidRPr="00DE08FA">
        <w:t xml:space="preserve"> </w:t>
      </w:r>
      <w:r>
        <w:t>Ils</w:t>
      </w:r>
      <w:r w:rsidRPr="00DE08FA">
        <w:t xml:space="preserve"> avaient</w:t>
      </w:r>
      <w:r>
        <w:t xml:space="preserve"> alors besoin de têtes</w:t>
      </w:r>
      <w:r w:rsidR="005C4E0C">
        <w:t xml:space="preserve"> pour nourrir le </w:t>
      </w:r>
      <w:r w:rsidR="00DF202E">
        <w:t>t</w:t>
      </w:r>
      <w:r w:rsidR="005C4E0C">
        <w:t>shiota</w:t>
      </w:r>
      <w:r>
        <w:t xml:space="preserve"> et sont passés dans plusieurs</w:t>
      </w:r>
      <w:r w:rsidRPr="00DE08FA">
        <w:t xml:space="preserve"> maisons pour enlever des habitants</w:t>
      </w:r>
      <w:r w:rsidRPr="007F1170">
        <w:rPr>
          <w:rStyle w:val="FootnoteReference"/>
        </w:rPr>
        <w:footnoteReference w:id="482"/>
      </w:r>
      <w:r w:rsidRPr="00DE08FA">
        <w:t xml:space="preserve">. </w:t>
      </w:r>
      <w:r>
        <w:t xml:space="preserve">Deux jours après l’arrivée des miliciens Kamuina Nsapu dans la cité, 15 </w:t>
      </w:r>
      <w:r w:rsidR="005C4E0C">
        <w:t>d’entre eux</w:t>
      </w:r>
      <w:r>
        <w:t xml:space="preserve"> se sont introduits dans une maison recherchant des hommes et ont décapité un homme et un garçon de 11 ans</w:t>
      </w:r>
      <w:r w:rsidRPr="007F1170">
        <w:rPr>
          <w:rStyle w:val="FootnoteReference"/>
        </w:rPr>
        <w:footnoteReference w:id="483"/>
      </w:r>
      <w:r>
        <w:t xml:space="preserve">. </w:t>
      </w:r>
      <w:r w:rsidRPr="00DE08FA">
        <w:t xml:space="preserve">Une jeune femme raconte comment ses deux parents ont été décapités </w:t>
      </w:r>
      <w:r>
        <w:t xml:space="preserve">et sa mère éventrée par des enfants miliciens âgés de 12 à </w:t>
      </w:r>
      <w:r w:rsidRPr="00DE08FA">
        <w:t xml:space="preserve">14 ans lors de l’arrivée des miliciens Kamuina Nsapu dans la cité de Kamako avant que la maison familiale </w:t>
      </w:r>
      <w:r w:rsidR="005C4E0C">
        <w:t xml:space="preserve">ne </w:t>
      </w:r>
      <w:r w:rsidRPr="00DE08FA">
        <w:t>soit incendiée</w:t>
      </w:r>
      <w:r w:rsidRPr="007F1170">
        <w:rPr>
          <w:rStyle w:val="FootnoteReference"/>
        </w:rPr>
        <w:footnoteReference w:id="484"/>
      </w:r>
      <w:r w:rsidRPr="00DE08FA">
        <w:t>.</w:t>
      </w:r>
      <w:r>
        <w:t xml:space="preserve"> Une autre victime raconte que son mari a été décapité à Kamako à l’arrivée des miliciens et que son ami</w:t>
      </w:r>
      <w:r w:rsidR="002D5D63">
        <w:t xml:space="preserve"> qui</w:t>
      </w:r>
      <w:r>
        <w:t xml:space="preserve"> a été blessé partout sur le corps à coups de machette, n’avait survécu que parce qu’il parlait tshiluba</w:t>
      </w:r>
      <w:r w:rsidRPr="007F1170">
        <w:rPr>
          <w:rStyle w:val="FootnoteReference"/>
        </w:rPr>
        <w:footnoteReference w:id="485"/>
      </w:r>
      <w:r>
        <w:t xml:space="preserve">. </w:t>
      </w:r>
      <w:r w:rsidRPr="00DE08FA">
        <w:t xml:space="preserve">Un </w:t>
      </w:r>
      <w:r w:rsidR="002D5D63">
        <w:t>homme</w:t>
      </w:r>
      <w:r>
        <w:t xml:space="preserve"> raconte qu’ayant appris la décapitation de sa femme </w:t>
      </w:r>
      <w:r w:rsidRPr="00DE08FA">
        <w:t xml:space="preserve">dans la cité de Kamako, </w:t>
      </w:r>
      <w:r>
        <w:t xml:space="preserve">il </w:t>
      </w:r>
      <w:r w:rsidRPr="00DE08FA">
        <w:t xml:space="preserve">avait demandé des explications à </w:t>
      </w:r>
      <w:r>
        <w:t>des</w:t>
      </w:r>
      <w:r w:rsidRPr="00DE08FA">
        <w:t xml:space="preserve"> miliciens Kamuina Nsapu</w:t>
      </w:r>
      <w:r>
        <w:t>. Ces derniers</w:t>
      </w:r>
      <w:r w:rsidRPr="00DE08FA">
        <w:t xml:space="preserve"> l’ont battu et lui ont cassé la jambe</w:t>
      </w:r>
      <w:r w:rsidRPr="007F1170">
        <w:rPr>
          <w:rStyle w:val="FootnoteReference"/>
        </w:rPr>
        <w:footnoteReference w:id="486"/>
      </w:r>
      <w:r>
        <w:t xml:space="preserve">. </w:t>
      </w:r>
    </w:p>
    <w:p w14:paraId="41BE380F" w14:textId="1E3D8109" w:rsidR="00AB33F7" w:rsidRPr="00DE08FA" w:rsidRDefault="00AB33F7" w:rsidP="00E33BE6">
      <w:pPr>
        <w:pStyle w:val="BodyText"/>
        <w:tabs>
          <w:tab w:val="left" w:pos="1559"/>
          <w:tab w:val="left" w:pos="1984"/>
          <w:tab w:val="left" w:leader="dot" w:pos="7654"/>
          <w:tab w:val="right" w:pos="8929"/>
        </w:tabs>
        <w:spacing w:line="240" w:lineRule="atLeast"/>
        <w:ind w:left="1138" w:right="1138" w:firstLine="0"/>
      </w:pPr>
      <w:r w:rsidRPr="00DE08FA">
        <w:t>Un témoin raconte qu’un chef Kamuina Nsapu venu de l’extérieur</w:t>
      </w:r>
      <w:r>
        <w:t xml:space="preserve"> de la cité</w:t>
      </w:r>
      <w:r w:rsidRPr="00DE08FA">
        <w:t xml:space="preserve"> avec une délégation a</w:t>
      </w:r>
      <w:r>
        <w:t>vait</w:t>
      </w:r>
      <w:r w:rsidRPr="00DE08FA">
        <w:t xml:space="preserve"> invité la population à dénoncer les </w:t>
      </w:r>
      <w:r>
        <w:t>miliciens</w:t>
      </w:r>
      <w:r w:rsidRPr="00DE08FA">
        <w:t xml:space="preserve"> qui auraient commis des pillages</w:t>
      </w:r>
      <w:r>
        <w:t xml:space="preserve">. </w:t>
      </w:r>
      <w:r w:rsidR="005C4E0C">
        <w:t xml:space="preserve">Cette délégation a </w:t>
      </w:r>
      <w:r w:rsidRPr="00DE08FA">
        <w:t>décapité un milicien Kamuina Nsapu identifié comme violeur.</w:t>
      </w:r>
      <w:r>
        <w:t xml:space="preserve"> Néanmoins,</w:t>
      </w:r>
      <w:r w:rsidRPr="00DE08FA">
        <w:t xml:space="preserve"> </w:t>
      </w:r>
      <w:r>
        <w:t>l</w:t>
      </w:r>
      <w:r w:rsidRPr="00DE08FA">
        <w:t>es autres miliciens Kamuina Nsapu</w:t>
      </w:r>
      <w:r>
        <w:t xml:space="preserve"> de la cité se sont</w:t>
      </w:r>
      <w:r w:rsidRPr="00DE08FA">
        <w:t xml:space="preserve"> retourné</w:t>
      </w:r>
      <w:r>
        <w:t>s</w:t>
      </w:r>
      <w:r w:rsidRPr="00DE08FA">
        <w:t xml:space="preserve"> contre </w:t>
      </w:r>
      <w:r>
        <w:t xml:space="preserve">la </w:t>
      </w:r>
      <w:r w:rsidRPr="00DE08FA">
        <w:t xml:space="preserve">délégation et </w:t>
      </w:r>
      <w:r>
        <w:t>le chef Kamuina Nsapu ainsi que les membres de la délégation</w:t>
      </w:r>
      <w:r w:rsidRPr="00DE08FA">
        <w:t xml:space="preserve"> ont </w:t>
      </w:r>
      <w:r>
        <w:t xml:space="preserve">été </w:t>
      </w:r>
      <w:r w:rsidRPr="00DE08FA">
        <w:t>décapité</w:t>
      </w:r>
      <w:r>
        <w:t xml:space="preserve">s, démembrés, </w:t>
      </w:r>
      <w:r w:rsidRPr="00DE08FA">
        <w:t xml:space="preserve">et </w:t>
      </w:r>
      <w:r>
        <w:t>leurs</w:t>
      </w:r>
      <w:r w:rsidRPr="00DE08FA">
        <w:t xml:space="preserve"> corps</w:t>
      </w:r>
      <w:r>
        <w:t xml:space="preserve"> ont été publiquement exposés</w:t>
      </w:r>
      <w:r w:rsidRPr="00DE08FA">
        <w:t xml:space="preserve"> dans la cité</w:t>
      </w:r>
      <w:r w:rsidRPr="007F1170">
        <w:rPr>
          <w:rStyle w:val="FootnoteReference"/>
        </w:rPr>
        <w:footnoteReference w:id="487"/>
      </w:r>
      <w:r>
        <w:t>.</w:t>
      </w:r>
    </w:p>
    <w:p w14:paraId="39797F4D" w14:textId="78D9BD7A" w:rsidR="00AB33F7" w:rsidRDefault="00AB33F7" w:rsidP="00E33BE6">
      <w:pPr>
        <w:pStyle w:val="BodyText"/>
        <w:tabs>
          <w:tab w:val="left" w:pos="1559"/>
          <w:tab w:val="left" w:pos="1984"/>
          <w:tab w:val="left" w:leader="dot" w:pos="7654"/>
          <w:tab w:val="right" w:pos="8929"/>
        </w:tabs>
        <w:spacing w:line="240" w:lineRule="atLeast"/>
        <w:ind w:left="1138" w:right="1138" w:firstLine="0"/>
      </w:pPr>
      <w:r>
        <w:t xml:space="preserve">A cette période, </w:t>
      </w:r>
      <w:r w:rsidR="005C4E0C">
        <w:t xml:space="preserve">alors qu’elles fuyaient les violences, </w:t>
      </w:r>
      <w:r>
        <w:t>une jeune femme</w:t>
      </w:r>
      <w:r w:rsidR="005C4E0C">
        <w:t>,</w:t>
      </w:r>
      <w:r>
        <w:t xml:space="preserve"> </w:t>
      </w:r>
      <w:r w:rsidR="005C4E0C">
        <w:t xml:space="preserve">sa sœur </w:t>
      </w:r>
      <w:r w:rsidRPr="00DE08FA">
        <w:t>de 17 ans</w:t>
      </w:r>
      <w:r w:rsidR="005C4E0C">
        <w:t xml:space="preserve"> et </w:t>
      </w:r>
      <w:r w:rsidR="00686B07">
        <w:t>son</w:t>
      </w:r>
      <w:r w:rsidR="005C4E0C">
        <w:t xml:space="preserve"> petit frère de 10 ans</w:t>
      </w:r>
      <w:r w:rsidRPr="00DE08FA">
        <w:t xml:space="preserve"> ont été stoppés par </w:t>
      </w:r>
      <w:r w:rsidR="005C4E0C">
        <w:t xml:space="preserve">des agents de </w:t>
      </w:r>
      <w:r w:rsidR="00686B07">
        <w:t>la</w:t>
      </w:r>
      <w:r w:rsidR="00686B07" w:rsidRPr="00DE08FA">
        <w:t xml:space="preserve"> </w:t>
      </w:r>
      <w:r w:rsidRPr="00DE08FA">
        <w:t>PNC</w:t>
      </w:r>
      <w:r>
        <w:t xml:space="preserve"> alors qu’</w:t>
      </w:r>
      <w:r w:rsidR="005C4E0C">
        <w:t>ils</w:t>
      </w:r>
      <w:r>
        <w:t xml:space="preserve"> fuyaient l’arrivée des miliciens dans la cité. Deux PNC </w:t>
      </w:r>
      <w:r w:rsidRPr="00DE08FA">
        <w:t>ont trainé</w:t>
      </w:r>
      <w:r>
        <w:t xml:space="preserve"> la jeune femme</w:t>
      </w:r>
      <w:r w:rsidRPr="00DE08FA">
        <w:t xml:space="preserve"> à l’écart dans la forêt, ont arraché ses vêtements et </w:t>
      </w:r>
      <w:r>
        <w:t>l’ont violée</w:t>
      </w:r>
      <w:r w:rsidRPr="00DE08FA">
        <w:t xml:space="preserve">. </w:t>
      </w:r>
      <w:r w:rsidR="005C4E0C">
        <w:t xml:space="preserve">Sa sœur </w:t>
      </w:r>
      <w:r>
        <w:t>de 17 ans</w:t>
      </w:r>
      <w:r w:rsidRPr="00DE08FA">
        <w:t xml:space="preserve"> a également été violée par deux autres PNC</w:t>
      </w:r>
      <w:r w:rsidRPr="007F1170">
        <w:rPr>
          <w:rStyle w:val="FootnoteReference"/>
        </w:rPr>
        <w:footnoteReference w:id="488"/>
      </w:r>
      <w:r w:rsidRPr="00DE08FA">
        <w:t xml:space="preserve">. </w:t>
      </w:r>
    </w:p>
    <w:p w14:paraId="05157D60" w14:textId="68A787AA" w:rsidR="00AB33F7" w:rsidRDefault="00AB33F7" w:rsidP="00E33BE6">
      <w:pPr>
        <w:pStyle w:val="BodyText"/>
        <w:tabs>
          <w:tab w:val="left" w:pos="1559"/>
          <w:tab w:val="left" w:pos="1984"/>
          <w:tab w:val="left" w:leader="dot" w:pos="7654"/>
          <w:tab w:val="right" w:pos="8929"/>
        </w:tabs>
        <w:spacing w:line="240" w:lineRule="atLeast"/>
        <w:ind w:left="1138" w:right="1138" w:firstLine="0"/>
      </w:pPr>
      <w:r w:rsidRPr="00DE08FA">
        <w:t>Le 1</w:t>
      </w:r>
      <w:r w:rsidRPr="005C14DA">
        <w:rPr>
          <w:vertAlign w:val="superscript"/>
        </w:rPr>
        <w:t>er</w:t>
      </w:r>
      <w:r w:rsidRPr="00DE08FA">
        <w:t xml:space="preserve"> mai 2017, les FARDC ont repris</w:t>
      </w:r>
      <w:r>
        <w:t xml:space="preserve"> par la force le contrôle de</w:t>
      </w:r>
      <w:r w:rsidRPr="00DE08FA">
        <w:t xml:space="preserve"> la cité de Kamako. </w:t>
      </w:r>
      <w:r>
        <w:t xml:space="preserve">Les FARDC ont tiré sur les miliciens Kamuina Nsapu, </w:t>
      </w:r>
      <w:r w:rsidR="002D5D63">
        <w:t>incluant</w:t>
      </w:r>
      <w:r>
        <w:t xml:space="preserve"> de nombreux enfants, garçons et filles, non-armés ou munis de bâtons. Plusieurs témoins indiquent que les FARDC ont tiré même sur les enfants qui n’avaient pas d’armes et qui fuyaient</w:t>
      </w:r>
      <w:r w:rsidRPr="007F1170">
        <w:rPr>
          <w:rStyle w:val="FootnoteReference"/>
        </w:rPr>
        <w:footnoteReference w:id="489"/>
      </w:r>
      <w:r>
        <w:t xml:space="preserve">. </w:t>
      </w:r>
      <w:r w:rsidRPr="00DE08FA">
        <w:t xml:space="preserve">Il y </w:t>
      </w:r>
      <w:r>
        <w:t>a également eu de nombreux miliciens</w:t>
      </w:r>
      <w:r w:rsidRPr="00DE08FA">
        <w:t xml:space="preserve"> blessés, plusieurs dizaines, au moins 15</w:t>
      </w:r>
      <w:r>
        <w:t>,</w:t>
      </w:r>
      <w:r w:rsidRPr="00DE08FA">
        <w:t xml:space="preserve"> dont trois filles</w:t>
      </w:r>
      <w:r w:rsidRPr="007F1170">
        <w:rPr>
          <w:rStyle w:val="FootnoteReference"/>
        </w:rPr>
        <w:footnoteReference w:id="490"/>
      </w:r>
      <w:r>
        <w:t xml:space="preserve">. Une </w:t>
      </w:r>
      <w:r w:rsidR="00DB37FF">
        <w:t>« </w:t>
      </w:r>
      <w:r w:rsidRPr="00DB37FF">
        <w:t>ya mama</w:t>
      </w:r>
      <w:r w:rsidR="00DB37FF">
        <w:t> »</w:t>
      </w:r>
      <w:r w:rsidRPr="00DE08FA">
        <w:t xml:space="preserve"> qui avait été </w:t>
      </w:r>
      <w:r>
        <w:t xml:space="preserve">placée </w:t>
      </w:r>
      <w:r w:rsidR="006021F1">
        <w:t>en première ligne</w:t>
      </w:r>
      <w:r>
        <w:t xml:space="preserve"> des affrontements par les miliciens pour arrêter les</w:t>
      </w:r>
      <w:r w:rsidRPr="00DE08FA">
        <w:t xml:space="preserve"> balles </w:t>
      </w:r>
      <w:r w:rsidR="006021F1">
        <w:t xml:space="preserve">selon les croyances magiques </w:t>
      </w:r>
      <w:r w:rsidRPr="00DE08FA">
        <w:t xml:space="preserve">a été blessée </w:t>
      </w:r>
      <w:r w:rsidR="002D5D63" w:rsidRPr="00DE08FA">
        <w:t>à l’œil</w:t>
      </w:r>
      <w:r w:rsidR="002D5D63">
        <w:t> </w:t>
      </w:r>
      <w:r w:rsidRPr="00DE08FA">
        <w:t xml:space="preserve">par les éclats d’une grenade </w:t>
      </w:r>
      <w:r>
        <w:t>de</w:t>
      </w:r>
      <w:r w:rsidRPr="00DE08FA">
        <w:t xml:space="preserve"> lance-roquette</w:t>
      </w:r>
      <w:r w:rsidR="002D5D63">
        <w:t xml:space="preserve"> </w:t>
      </w:r>
      <w:r w:rsidR="006021F1">
        <w:t xml:space="preserve">; elle </w:t>
      </w:r>
      <w:r>
        <w:t xml:space="preserve">a </w:t>
      </w:r>
      <w:r w:rsidR="006021F1">
        <w:t xml:space="preserve">également </w:t>
      </w:r>
      <w:r w:rsidRPr="00DE08FA">
        <w:t>reçu quatre balles</w:t>
      </w:r>
      <w:r>
        <w:t xml:space="preserve"> dans le corps</w:t>
      </w:r>
      <w:r w:rsidRPr="007F1170">
        <w:rPr>
          <w:rStyle w:val="FootnoteReference"/>
        </w:rPr>
        <w:footnoteReference w:id="491"/>
      </w:r>
      <w:r>
        <w:t>.</w:t>
      </w:r>
      <w:r w:rsidRPr="00DE08FA">
        <w:t xml:space="preserve"> </w:t>
      </w:r>
      <w:r>
        <w:t>L</w:t>
      </w:r>
      <w:r w:rsidRPr="00DE08FA">
        <w:t>es FARDC ramassaient les corps des miliciens tués au fur et à mesure dans deux camions</w:t>
      </w:r>
      <w:r w:rsidRPr="007F1170">
        <w:rPr>
          <w:rStyle w:val="FootnoteReference"/>
        </w:rPr>
        <w:footnoteReference w:id="492"/>
      </w:r>
      <w:r>
        <w:t xml:space="preserve">. </w:t>
      </w:r>
    </w:p>
    <w:p w14:paraId="24777B88" w14:textId="00E4D9AE" w:rsidR="00AB33F7" w:rsidRDefault="00AB33F7" w:rsidP="00E33BE6">
      <w:pPr>
        <w:pStyle w:val="BodyText"/>
        <w:tabs>
          <w:tab w:val="left" w:pos="1559"/>
          <w:tab w:val="left" w:pos="1984"/>
          <w:tab w:val="left" w:leader="dot" w:pos="7654"/>
          <w:tab w:val="right" w:pos="8929"/>
        </w:tabs>
        <w:spacing w:line="240" w:lineRule="atLeast"/>
        <w:ind w:left="1138" w:right="1138" w:firstLine="0"/>
      </w:pPr>
      <w:r w:rsidRPr="00DE08FA">
        <w:t xml:space="preserve">Des corps </w:t>
      </w:r>
      <w:r>
        <w:t xml:space="preserve">de miliciens </w:t>
      </w:r>
      <w:r w:rsidRPr="00DE08FA">
        <w:t xml:space="preserve">ont été </w:t>
      </w:r>
      <w:r w:rsidR="005E3246">
        <w:t xml:space="preserve">déchargés </w:t>
      </w:r>
      <w:r w:rsidR="005E3246" w:rsidRPr="00DE08FA">
        <w:t>pa</w:t>
      </w:r>
      <w:r w:rsidR="005E3246">
        <w:t>r les FARDC lors de plusieurs rotations de camions</w:t>
      </w:r>
      <w:r w:rsidR="005E3246" w:rsidRPr="00DE08FA">
        <w:t xml:space="preserve"> </w:t>
      </w:r>
      <w:r w:rsidRPr="00DE08FA">
        <w:t>au cimetière de Kamako</w:t>
      </w:r>
      <w:r w:rsidR="005E3246">
        <w:t xml:space="preserve"> ; </w:t>
      </w:r>
      <w:r w:rsidRPr="00DE08FA">
        <w:t xml:space="preserve">la Croix-Rouge </w:t>
      </w:r>
      <w:r w:rsidR="00FA2F05">
        <w:t xml:space="preserve">congolaise </w:t>
      </w:r>
      <w:r w:rsidRPr="00DE08FA">
        <w:t xml:space="preserve">a </w:t>
      </w:r>
      <w:r w:rsidR="005E3246">
        <w:t xml:space="preserve">ensuite </w:t>
      </w:r>
      <w:r w:rsidRPr="00DE08FA">
        <w:t>enterré 37 corps</w:t>
      </w:r>
      <w:r w:rsidRPr="007F1170">
        <w:rPr>
          <w:rStyle w:val="FootnoteReference"/>
        </w:rPr>
        <w:footnoteReference w:id="493"/>
      </w:r>
      <w:r>
        <w:t>. T</w:t>
      </w:r>
      <w:r w:rsidRPr="00DE08FA">
        <w:t>rois autres fosses communes</w:t>
      </w:r>
      <w:r>
        <w:t xml:space="preserve"> ont été mentionnées :</w:t>
      </w:r>
      <w:r w:rsidRPr="00DE08FA">
        <w:t xml:space="preserve"> une derrière le nouveau bâtiment de </w:t>
      </w:r>
      <w:r w:rsidRPr="00686B07">
        <w:t xml:space="preserve">la </w:t>
      </w:r>
      <w:r w:rsidRPr="00FE5E8D">
        <w:t>DGM</w:t>
      </w:r>
      <w:r w:rsidRPr="00686B07">
        <w:t xml:space="preserve"> au poste-frontière de Kamako </w:t>
      </w:r>
      <w:r w:rsidRPr="00D13C1C">
        <w:t>qui compterait 67 corps et deux autres en face de la maison du chef de groupement et derrière</w:t>
      </w:r>
      <w:r w:rsidRPr="00DE08FA">
        <w:t xml:space="preserve"> l’école </w:t>
      </w:r>
      <w:r>
        <w:t>dans lesquelles se trouverait environ</w:t>
      </w:r>
      <w:r w:rsidRPr="00DE08FA">
        <w:t xml:space="preserve"> 30 corps</w:t>
      </w:r>
      <w:r w:rsidRPr="007F1170">
        <w:rPr>
          <w:rStyle w:val="FootnoteReference"/>
        </w:rPr>
        <w:footnoteReference w:id="494"/>
      </w:r>
      <w:r w:rsidRPr="00484D5D">
        <w:t>.</w:t>
      </w:r>
      <w:r w:rsidRPr="00DE08FA">
        <w:t xml:space="preserve"> Un témoin parle de 37 miliciens</w:t>
      </w:r>
      <w:r>
        <w:t>,</w:t>
      </w:r>
      <w:r w:rsidRPr="00DE08FA">
        <w:t xml:space="preserve"> en majorité des enfants et des jeunes</w:t>
      </w:r>
      <w:r>
        <w:t xml:space="preserve"> adultes</w:t>
      </w:r>
      <w:r w:rsidRPr="00DE08FA">
        <w:t>, tués le 1</w:t>
      </w:r>
      <w:r w:rsidRPr="00484D5D">
        <w:rPr>
          <w:vertAlign w:val="superscript"/>
        </w:rPr>
        <w:t>er</w:t>
      </w:r>
      <w:r w:rsidRPr="00DE08FA">
        <w:t xml:space="preserve"> mai 2017 et </w:t>
      </w:r>
      <w:r>
        <w:t>de 36 autres tués le 2 mai 2017</w:t>
      </w:r>
      <w:r w:rsidRPr="007F1170">
        <w:rPr>
          <w:rStyle w:val="FootnoteReference"/>
        </w:rPr>
        <w:footnoteReference w:id="495"/>
      </w:r>
      <w:r>
        <w:t>.</w:t>
      </w:r>
    </w:p>
    <w:p w14:paraId="16CAD7F7" w14:textId="48AF2049" w:rsidR="00AB33F7" w:rsidRDefault="00AB33F7" w:rsidP="00E33BE6">
      <w:pPr>
        <w:pStyle w:val="BodyText"/>
        <w:tabs>
          <w:tab w:val="left" w:pos="1559"/>
          <w:tab w:val="left" w:pos="1984"/>
          <w:tab w:val="left" w:leader="dot" w:pos="7654"/>
          <w:tab w:val="right" w:pos="8929"/>
        </w:tabs>
        <w:spacing w:line="240" w:lineRule="atLeast"/>
        <w:ind w:left="1138" w:right="1138" w:firstLine="0"/>
      </w:pPr>
      <w:r w:rsidRPr="00DE08FA">
        <w:t>Un témoin indique que le colonel des FARDC avait donné l’ordre de ne tirer que sur les miliciens</w:t>
      </w:r>
      <w:r w:rsidRPr="007F1170">
        <w:rPr>
          <w:rStyle w:val="FootnoteReference"/>
        </w:rPr>
        <w:footnoteReference w:id="496"/>
      </w:r>
      <w:r w:rsidRPr="00DE08FA">
        <w:t>.</w:t>
      </w:r>
      <w:r>
        <w:t xml:space="preserve"> Par ailleurs, l</w:t>
      </w:r>
      <w:r w:rsidRPr="00DE08FA">
        <w:t xml:space="preserve">es FARDC </w:t>
      </w:r>
      <w:r>
        <w:t xml:space="preserve">ont </w:t>
      </w:r>
      <w:r w:rsidRPr="00DE08FA">
        <w:t xml:space="preserve">demandé à la population de ne pas fuir et de s’enfermer dans </w:t>
      </w:r>
      <w:r>
        <w:t>les habitations. Ils ont</w:t>
      </w:r>
      <w:r w:rsidRPr="00DE08FA">
        <w:t xml:space="preserve"> également </w:t>
      </w:r>
      <w:r>
        <w:t xml:space="preserve">indiqué qu’ils </w:t>
      </w:r>
      <w:r w:rsidRPr="00DE08FA">
        <w:t>allaient fouille</w:t>
      </w:r>
      <w:r>
        <w:t>r</w:t>
      </w:r>
      <w:r w:rsidRPr="00DE08FA">
        <w:t xml:space="preserve"> les maisons les unes après les autres </w:t>
      </w:r>
      <w:r>
        <w:t>à la recherche de vêtements de couleur</w:t>
      </w:r>
      <w:r w:rsidRPr="00DE08FA">
        <w:t xml:space="preserve"> r</w:t>
      </w:r>
      <w:r>
        <w:t>ouge</w:t>
      </w:r>
      <w:r w:rsidRPr="00DE08FA">
        <w:t>, incitant les habitants à fuir</w:t>
      </w:r>
      <w:r w:rsidRPr="007F1170">
        <w:rPr>
          <w:rStyle w:val="FootnoteReference"/>
        </w:rPr>
        <w:footnoteReference w:id="497"/>
      </w:r>
      <w:r w:rsidRPr="00DE08FA">
        <w:t xml:space="preserve">. Des très nombreux habitants </w:t>
      </w:r>
      <w:r>
        <w:t xml:space="preserve">de la cité </w:t>
      </w:r>
      <w:r w:rsidRPr="00DE08FA">
        <w:t>ont fui</w:t>
      </w:r>
      <w:r>
        <w:t xml:space="preserve"> à l’arrivée des FARDC</w:t>
      </w:r>
      <w:r w:rsidRPr="007F1170">
        <w:rPr>
          <w:rStyle w:val="FootnoteReference"/>
        </w:rPr>
        <w:footnoteReference w:id="498"/>
      </w:r>
      <w:r>
        <w:t xml:space="preserve">. </w:t>
      </w:r>
      <w:r w:rsidR="008B6B38">
        <w:t>Malgré les instructions données de ne tirer que sur les miliciens, l</w:t>
      </w:r>
      <w:r w:rsidRPr="00DE08FA">
        <w:t xml:space="preserve">es FARDC ne faisaient pas de distinction entre les miliciens Kamuina Nsapu et la population civile </w:t>
      </w:r>
      <w:r>
        <w:t xml:space="preserve">et </w:t>
      </w:r>
      <w:r w:rsidRPr="00DE08FA">
        <w:t>des habitants</w:t>
      </w:r>
      <w:r>
        <w:t xml:space="preserve"> qui fuyaient</w:t>
      </w:r>
      <w:r w:rsidRPr="00DE08FA">
        <w:t xml:space="preserve"> ont été tués par balles</w:t>
      </w:r>
      <w:r w:rsidRPr="007F1170">
        <w:rPr>
          <w:rStyle w:val="FootnoteReference"/>
        </w:rPr>
        <w:footnoteReference w:id="499"/>
      </w:r>
      <w:r>
        <w:t>. Un témoin raconte que sa femme a été tuée par balle au moment de l’arrivée des FARDC dans la cité de Kamako</w:t>
      </w:r>
      <w:r w:rsidRPr="007F1170">
        <w:rPr>
          <w:rStyle w:val="FootnoteReference"/>
        </w:rPr>
        <w:footnoteReference w:id="500"/>
      </w:r>
      <w:r>
        <w:t>.</w:t>
      </w:r>
      <w:r w:rsidRPr="00DE08FA">
        <w:t xml:space="preserve"> Un </w:t>
      </w:r>
      <w:r>
        <w:t xml:space="preserve">autre </w:t>
      </w:r>
      <w:r w:rsidRPr="00DE08FA">
        <w:t xml:space="preserve">témoin </w:t>
      </w:r>
      <w:r>
        <w:t xml:space="preserve">indique </w:t>
      </w:r>
      <w:r w:rsidRPr="00DE08FA">
        <w:t>que deux de ses enfants sont mo</w:t>
      </w:r>
      <w:r>
        <w:t>rts noyés dans la rivière en fuyant la cité de K</w:t>
      </w:r>
      <w:r w:rsidRPr="00DE08FA">
        <w:t>amako suite aux affrontements entre les miliciens et les FARDC</w:t>
      </w:r>
      <w:r w:rsidRPr="007F1170">
        <w:rPr>
          <w:rStyle w:val="FootnoteReference"/>
        </w:rPr>
        <w:footnoteReference w:id="501"/>
      </w:r>
      <w:r w:rsidRPr="00DE08FA">
        <w:t xml:space="preserve">. </w:t>
      </w:r>
      <w:r>
        <w:t xml:space="preserve">Une femme a aussi été violée devant deux de ses enfants par deux éléments FARDC </w:t>
      </w:r>
      <w:r w:rsidRPr="00DE08FA">
        <w:t>en fuyant Kamako</w:t>
      </w:r>
      <w:r w:rsidRPr="007F1170">
        <w:rPr>
          <w:rStyle w:val="FootnoteReference"/>
        </w:rPr>
        <w:footnoteReference w:id="502"/>
      </w:r>
      <w:r w:rsidRPr="00DE08FA">
        <w:t xml:space="preserve">. </w:t>
      </w:r>
    </w:p>
    <w:p w14:paraId="7ECBE41C" w14:textId="77777777" w:rsidR="00AB33F7" w:rsidRPr="0023702C" w:rsidRDefault="00AB33F7" w:rsidP="0023702C">
      <w:pPr>
        <w:pStyle w:val="BodyText"/>
        <w:numPr>
          <w:ilvl w:val="0"/>
          <w:numId w:val="0"/>
        </w:numPr>
        <w:tabs>
          <w:tab w:val="left" w:pos="1559"/>
          <w:tab w:val="left" w:pos="1984"/>
          <w:tab w:val="left" w:leader="dot" w:pos="7654"/>
          <w:tab w:val="right" w:pos="8929"/>
        </w:tabs>
        <w:spacing w:line="240" w:lineRule="atLeast"/>
        <w:ind w:left="2160" w:right="1138"/>
        <w:outlineLvl w:val="5"/>
        <w:rPr>
          <w:b/>
          <w:i/>
          <w:u w:val="single"/>
        </w:rPr>
      </w:pPr>
      <w:r w:rsidRPr="0023702C">
        <w:rPr>
          <w:i/>
          <w:u w:val="single"/>
        </w:rPr>
        <w:t>Alentours de Kamako et partie frontalière avec l’Angola</w:t>
      </w:r>
    </w:p>
    <w:p w14:paraId="6EFB0E04" w14:textId="68E4B0FD" w:rsidR="00AB33F7" w:rsidRDefault="00832AD7" w:rsidP="00E33BE6">
      <w:pPr>
        <w:pStyle w:val="BodyText"/>
        <w:tabs>
          <w:tab w:val="left" w:pos="1559"/>
          <w:tab w:val="left" w:pos="1984"/>
          <w:tab w:val="left" w:leader="dot" w:pos="7654"/>
          <w:tab w:val="right" w:pos="8929"/>
        </w:tabs>
        <w:spacing w:line="240" w:lineRule="atLeast"/>
        <w:ind w:left="1138" w:right="1138" w:firstLine="0"/>
      </w:pPr>
      <w:r>
        <w:t>Près</w:t>
      </w:r>
      <w:r w:rsidR="00AB33F7">
        <w:t xml:space="preserve"> de Kamako et dans</w:t>
      </w:r>
      <w:r w:rsidR="00AB33F7" w:rsidRPr="00171BD9">
        <w:t xml:space="preserve"> </w:t>
      </w:r>
      <w:r w:rsidR="00AB33F7">
        <w:t>la partie frontalière avec l’Angola, de nombreux actes de violence ont été commis par les miliciens Kamuina Nsapu, non seulement contre les représentants de l’Etat ou personnes assimilées</w:t>
      </w:r>
      <w:r w:rsidR="00AB33F7" w:rsidRPr="007F1170">
        <w:rPr>
          <w:rStyle w:val="FootnoteReference"/>
        </w:rPr>
        <w:footnoteReference w:id="503"/>
      </w:r>
      <w:r w:rsidR="00AB33F7">
        <w:t xml:space="preserve">, mais surtout contre la population civile. Plusieurs chefs de villages de cette zone qui s’étaient opposés à l’arrivée de la milice et à l’installation de moustiquaires supposées, selon la croyance, collecter les fétiches, ont été </w:t>
      </w:r>
      <w:r w:rsidR="00AB33F7" w:rsidRPr="00090F87">
        <w:t>décapités</w:t>
      </w:r>
      <w:r w:rsidR="00AB33F7" w:rsidRPr="007F1170">
        <w:rPr>
          <w:rStyle w:val="FootnoteReference"/>
        </w:rPr>
        <w:footnoteReference w:id="504"/>
      </w:r>
      <w:r w:rsidR="00AB33F7">
        <w:t>. Dans les villages où les miliciens avaient installé des tshiota, de très nombreux cas de meurtres, surtout des décapitations, souvent plusieurs dizaines par village, sont rapportés. Ces exactions visaient parfois des représentants de l’Etat mais, dans la majorité des cas, des membres de la population</w:t>
      </w:r>
      <w:r w:rsidR="00AB33F7" w:rsidRPr="007F1170">
        <w:rPr>
          <w:rStyle w:val="FootnoteReference"/>
        </w:rPr>
        <w:footnoteReference w:id="505"/>
      </w:r>
      <w:r w:rsidR="00AB33F7">
        <w:t xml:space="preserve">. Par exemple, dans </w:t>
      </w:r>
      <w:r w:rsidR="00AB33F7" w:rsidRPr="00777732">
        <w:rPr>
          <w:szCs w:val="18"/>
        </w:rPr>
        <w:t>village de Lubami-Monga, les miliciens Kamuina Nsapu faisaient des allers</w:t>
      </w:r>
      <w:r>
        <w:rPr>
          <w:szCs w:val="18"/>
        </w:rPr>
        <w:t>-</w:t>
      </w:r>
      <w:r w:rsidR="00AB33F7" w:rsidRPr="00777732">
        <w:rPr>
          <w:szCs w:val="18"/>
        </w:rPr>
        <w:t>retours entre la cité de Kamako et le village et rapportaient de nombreuses têtes décapitées au tshiota du village. Un témoin raconte avoir vu au moins six têtes de militaires, deux têtes de</w:t>
      </w:r>
      <w:r w:rsidR="00AB33F7">
        <w:rPr>
          <w:szCs w:val="18"/>
        </w:rPr>
        <w:t xml:space="preserve"> civils</w:t>
      </w:r>
      <w:r w:rsidR="00AB33F7" w:rsidRPr="00777732">
        <w:rPr>
          <w:szCs w:val="18"/>
        </w:rPr>
        <w:t xml:space="preserve"> </w:t>
      </w:r>
      <w:r w:rsidR="00366883">
        <w:rPr>
          <w:szCs w:val="18"/>
        </w:rPr>
        <w:t>p</w:t>
      </w:r>
      <w:r w:rsidR="00AB33F7" w:rsidRPr="00777732">
        <w:rPr>
          <w:szCs w:val="18"/>
        </w:rPr>
        <w:t>ende</w:t>
      </w:r>
      <w:r w:rsidR="00366883">
        <w:rPr>
          <w:szCs w:val="18"/>
        </w:rPr>
        <w:t>s</w:t>
      </w:r>
      <w:r w:rsidR="00AB33F7" w:rsidRPr="00777732">
        <w:rPr>
          <w:szCs w:val="18"/>
        </w:rPr>
        <w:t xml:space="preserve">, cinq têtes venant de Kamako et d’autres têtes </w:t>
      </w:r>
      <w:r w:rsidR="00AB33F7">
        <w:rPr>
          <w:szCs w:val="18"/>
        </w:rPr>
        <w:t xml:space="preserve">venant </w:t>
      </w:r>
      <w:r w:rsidR="00AB33F7" w:rsidRPr="00777732">
        <w:rPr>
          <w:szCs w:val="18"/>
        </w:rPr>
        <w:t>du village de Senge</w:t>
      </w:r>
      <w:r w:rsidR="00006825">
        <w:rPr>
          <w:szCs w:val="18"/>
        </w:rPr>
        <w:t xml:space="preserve"> (ou Cinq)</w:t>
      </w:r>
      <w:r w:rsidR="00AB33F7" w:rsidRPr="007F1170">
        <w:rPr>
          <w:rStyle w:val="FootnoteReference"/>
        </w:rPr>
        <w:footnoteReference w:id="506"/>
      </w:r>
      <w:r w:rsidR="00AB33F7">
        <w:t xml:space="preserve">. De manière similaire, dans le village de Tshinota, les miliciens Kamuina Nsapu ont décapité en public au tshiota au moins deux agents de l’ANR, deux de la DGM, une personne travaillant dans l’hygiène, un militaire, un jeune </w:t>
      </w:r>
      <w:r w:rsidR="00011314">
        <w:t>P</w:t>
      </w:r>
      <w:r w:rsidR="00AB33F7">
        <w:t xml:space="preserve">ende, deux </w:t>
      </w:r>
      <w:r w:rsidR="00651768">
        <w:t>Chokwe</w:t>
      </w:r>
      <w:r w:rsidR="004A163E">
        <w:t>s</w:t>
      </w:r>
      <w:r w:rsidR="00AB33F7">
        <w:t xml:space="preserve">, le nouveau chef du village, une personne suspectée de contacts avec les autorités, le chef d’un village voisin et 10 </w:t>
      </w:r>
      <w:r w:rsidR="00651768">
        <w:t>Chokwe</w:t>
      </w:r>
      <w:r w:rsidR="004A163E">
        <w:t>s</w:t>
      </w:r>
      <w:r w:rsidR="00AB33F7">
        <w:t xml:space="preserve"> des villages environnants</w:t>
      </w:r>
      <w:r w:rsidR="00AB33F7" w:rsidRPr="007F1170">
        <w:rPr>
          <w:rStyle w:val="FootnoteReference"/>
        </w:rPr>
        <w:footnoteReference w:id="507"/>
      </w:r>
      <w:r w:rsidR="00AB33F7">
        <w:t>. Un témoin raconte avoir dénombré environ 65 têtes autour du tshiota</w:t>
      </w:r>
      <w:r w:rsidR="00AB33F7" w:rsidRPr="007F1170">
        <w:rPr>
          <w:rStyle w:val="FootnoteReference"/>
        </w:rPr>
        <w:footnoteReference w:id="508"/>
      </w:r>
      <w:r w:rsidR="00AB33F7">
        <w:t>. De nombreux habitants ont également été battu</w:t>
      </w:r>
      <w:r>
        <w:t>s</w:t>
      </w:r>
      <w:r w:rsidR="00AB33F7">
        <w:t>, maltraité</w:t>
      </w:r>
      <w:r>
        <w:t>s</w:t>
      </w:r>
      <w:r w:rsidR="00AB33F7">
        <w:t xml:space="preserve"> et mutilé</w:t>
      </w:r>
      <w:r>
        <w:t>s</w:t>
      </w:r>
      <w:r w:rsidR="00AB33F7">
        <w:t xml:space="preserve"> par les miliciens Kamuina Nsapu, notamment en cas de non-respect des règles de vie imposées par la milice. Par exemple, une nuit, des miliciens Kamuina Nsapu sont entrés dans la maison d’un homme. Ils l’ont battu à coups de machette avant </w:t>
      </w:r>
      <w:r>
        <w:t xml:space="preserve">de lier </w:t>
      </w:r>
      <w:r w:rsidR="00AB33F7">
        <w:t xml:space="preserve">un fil </w:t>
      </w:r>
      <w:r>
        <w:t>dans son</w:t>
      </w:r>
      <w:r w:rsidR="00AB33F7">
        <w:t xml:space="preserve"> pénis</w:t>
      </w:r>
      <w:r w:rsidR="00103A13">
        <w:t> ; il a de graves séquelles physiques depuis</w:t>
      </w:r>
      <w:r w:rsidR="00AB33F7" w:rsidRPr="007F1170">
        <w:rPr>
          <w:rStyle w:val="FootnoteReference"/>
        </w:rPr>
        <w:footnoteReference w:id="509"/>
      </w:r>
      <w:r w:rsidR="00AB33F7">
        <w:t>.</w:t>
      </w:r>
    </w:p>
    <w:p w14:paraId="5E527F0A" w14:textId="60003BAB" w:rsidR="00AB33F7" w:rsidRDefault="00AB33F7" w:rsidP="00E33BE6">
      <w:pPr>
        <w:pStyle w:val="BodyText"/>
        <w:tabs>
          <w:tab w:val="left" w:pos="1559"/>
          <w:tab w:val="left" w:pos="1984"/>
          <w:tab w:val="left" w:leader="dot" w:pos="7654"/>
          <w:tab w:val="right" w:pos="8929"/>
        </w:tabs>
        <w:spacing w:line="240" w:lineRule="atLeast"/>
        <w:ind w:left="1138" w:right="1138" w:firstLine="0"/>
      </w:pPr>
      <w:r>
        <w:t xml:space="preserve">Les miliciens Kamuina Nsapu ont </w:t>
      </w:r>
      <w:r w:rsidR="003C7570">
        <w:t>également</w:t>
      </w:r>
      <w:r>
        <w:t xml:space="preserve"> commis de nombreux actes de violence</w:t>
      </w:r>
      <w:r w:rsidR="00011314">
        <w:t xml:space="preserve"> au cours d’incursions et d’attaques </w:t>
      </w:r>
      <w:r>
        <w:t>dans les villages de cette zone dans lesqu</w:t>
      </w:r>
      <w:r w:rsidR="00011314">
        <w:t>els ils n’étaient pas installés</w:t>
      </w:r>
      <w:r w:rsidRPr="007F1170">
        <w:rPr>
          <w:rStyle w:val="FootnoteReference"/>
        </w:rPr>
        <w:footnoteReference w:id="510"/>
      </w:r>
      <w:r>
        <w:t xml:space="preserve">. Dans le village de Kilolo, situé à la frontière avec l’Angola, un témoin raconte avoir vu un garçon de l’ethnie </w:t>
      </w:r>
      <w:r w:rsidR="00686B07">
        <w:t>b</w:t>
      </w:r>
      <w:r>
        <w:t>indi accourir vers lui grièvement blessé à coups de machette au</w:t>
      </w:r>
      <w:r w:rsidRPr="008B6B38">
        <w:rPr>
          <w:rStyle w:val="BodyTextChar"/>
        </w:rPr>
        <w:t xml:space="preserve"> </w:t>
      </w:r>
      <w:r w:rsidR="00011314">
        <w:t>niveau du cou ; l</w:t>
      </w:r>
      <w:r>
        <w:t>’enfant est mort. L’école du village avait été attaquée par des miliciens Kamuina Nsapu. Après l’attaque, le témoin est retourné au village dont les rues étaient jonchées de cadavres, dont ceux de ses enfants âgés de 12, 15 et 17 ans. Deux de ses enfants avaient été décapités</w:t>
      </w:r>
      <w:r w:rsidRPr="007F1170">
        <w:rPr>
          <w:rStyle w:val="FootnoteReference"/>
        </w:rPr>
        <w:footnoteReference w:id="511"/>
      </w:r>
      <w:r>
        <w:t>. Les personnes travaillant dans l’industrie du diamant ont été spécialement visé</w:t>
      </w:r>
      <w:r w:rsidR="00011314">
        <w:t>e</w:t>
      </w:r>
      <w:r>
        <w:t>s par les attaques des miliciens</w:t>
      </w:r>
      <w:r w:rsidRPr="007F1170">
        <w:rPr>
          <w:rStyle w:val="FootnoteReference"/>
        </w:rPr>
        <w:footnoteReference w:id="512"/>
      </w:r>
      <w:r>
        <w:t>. Ainsi, le 7 mars 2017, un groupe de creuseurs de diamant qui travaillait près de</w:t>
      </w:r>
      <w:r w:rsidRPr="00325526">
        <w:t xml:space="preserve"> Kamako</w:t>
      </w:r>
      <w:r>
        <w:t xml:space="preserve"> à l’embouchure des </w:t>
      </w:r>
      <w:r w:rsidRPr="00325526">
        <w:t xml:space="preserve">rivière Mwali et </w:t>
      </w:r>
      <w:r>
        <w:t>L</w:t>
      </w:r>
      <w:r w:rsidRPr="00325526">
        <w:t>uanga Nsthima</w:t>
      </w:r>
      <w:r>
        <w:t>,</w:t>
      </w:r>
      <w:r w:rsidRPr="00325526">
        <w:t xml:space="preserve"> </w:t>
      </w:r>
      <w:r>
        <w:t xml:space="preserve">a été accosté par cinq miliciens Kamuina Nsapu, </w:t>
      </w:r>
      <w:r w:rsidR="00686B07">
        <w:t>âgés</w:t>
      </w:r>
      <w:r>
        <w:t xml:space="preserve"> de 14 à 16 ans. Les enfants miliciens ont coupé le tendon d’Achille d’un des creuseurs de diamant avec une machette avant de le décapiter. Puis ils ont décapité cinq autres creuseurs de diamant et ordonné au seul survivant de ramasser les têtes </w:t>
      </w:r>
      <w:r w:rsidR="003C7570">
        <w:t xml:space="preserve">et de les mettre </w:t>
      </w:r>
      <w:r>
        <w:t>dans un sac. Ils ont ensuite coupé le sexe d’un des cadavres et bu le sang</w:t>
      </w:r>
      <w:r w:rsidR="00011314">
        <w:t xml:space="preserve"> qui s’en échappait</w:t>
      </w:r>
      <w:r>
        <w:t xml:space="preserve">. Les miliciens Kamuina Nsapu ont </w:t>
      </w:r>
      <w:r w:rsidR="003C7570">
        <w:t xml:space="preserve">alors </w:t>
      </w:r>
      <w:r>
        <w:t>br</w:t>
      </w:r>
      <w:r w:rsidR="00FA2F05">
        <w:t>û</w:t>
      </w:r>
      <w:r>
        <w:t xml:space="preserve">lé </w:t>
      </w:r>
      <w:r w:rsidR="003C7570">
        <w:t>la main droite et le pied gauche du</w:t>
      </w:r>
      <w:r>
        <w:t xml:space="preserve"> seul survivant avant de l’abandonner sur place</w:t>
      </w:r>
      <w:r w:rsidRPr="007F1170">
        <w:rPr>
          <w:rStyle w:val="FootnoteReference"/>
        </w:rPr>
        <w:footnoteReference w:id="513"/>
      </w:r>
      <w:r>
        <w:t>. Toujours près de Kamako, dans le village de Tshijinde, une vingtaine de miliciens Kamuina Nsapu se sont introduits dans la maison d’une famille travaillant dans l’industrie du diamant. Dans la maison, les miliciens ont décapité à la machette</w:t>
      </w:r>
      <w:r w:rsidR="000F0FC3">
        <w:t xml:space="preserve"> un ami de la famille, le mari et le fils du témoin. </w:t>
      </w:r>
      <w:r w:rsidR="001E2715">
        <w:t xml:space="preserve">Les miliciens Kamuina Nsapu ont ensuite </w:t>
      </w:r>
      <w:r>
        <w:t>rassembl</w:t>
      </w:r>
      <w:r w:rsidR="001E2715">
        <w:t>és</w:t>
      </w:r>
      <w:r>
        <w:t xml:space="preserve"> les têtes dans un sac et </w:t>
      </w:r>
      <w:r w:rsidR="00E90C08">
        <w:t xml:space="preserve">demandé </w:t>
      </w:r>
      <w:r w:rsidR="001E2715">
        <w:t>au témoin</w:t>
      </w:r>
      <w:r>
        <w:t xml:space="preserve"> </w:t>
      </w:r>
      <w:r w:rsidR="001E2715">
        <w:t xml:space="preserve">de « partir transmettre le message », menaçant de le tuer </w:t>
      </w:r>
      <w:r w:rsidR="00686B07">
        <w:t>s’il les jetait</w:t>
      </w:r>
      <w:r w:rsidRPr="007F1170">
        <w:rPr>
          <w:rStyle w:val="FootnoteReference"/>
        </w:rPr>
        <w:footnoteReference w:id="514"/>
      </w:r>
      <w:r>
        <w:t>.</w:t>
      </w:r>
      <w:r w:rsidR="00011314">
        <w:t xml:space="preserve"> </w:t>
      </w:r>
      <w:r>
        <w:t>De multiples cas de viols commis par l</w:t>
      </w:r>
      <w:r w:rsidR="00011314">
        <w:t>es</w:t>
      </w:r>
      <w:r>
        <w:t xml:space="preserve"> milic</w:t>
      </w:r>
      <w:r w:rsidR="00011314">
        <w:t>i</w:t>
      </w:r>
      <w:r>
        <w:t>e</w:t>
      </w:r>
      <w:r w:rsidR="00011314">
        <w:t>ns</w:t>
      </w:r>
      <w:r>
        <w:t xml:space="preserve"> Kamuina Nsapu ont également été rapportés dans cette partie du territoire de Kamonia</w:t>
      </w:r>
      <w:r w:rsidRPr="007F1170">
        <w:rPr>
          <w:rStyle w:val="FootnoteReference"/>
        </w:rPr>
        <w:footnoteReference w:id="515"/>
      </w:r>
      <w:r>
        <w:t xml:space="preserve">. </w:t>
      </w:r>
      <w:r w:rsidR="000F0FC3">
        <w:t>Par exemple</w:t>
      </w:r>
      <w:r>
        <w:t xml:space="preserve">, autour du 17 mars 2017, sept femmes et leurs enfants, </w:t>
      </w:r>
      <w:r w:rsidR="00011314">
        <w:t>dont des filles, ont été stoppé</w:t>
      </w:r>
      <w:r>
        <w:t>s par un groupe d’une dizaine de miliciens Kamuina Nsapu en fuyant le village de Lubami-Monga. Les femmes ont été séparées de leurs enfants et amenées dans une petite maison dans la savane Kassa. Une fille de 12 ans et une femme enceinte ont été violé</w:t>
      </w:r>
      <w:r w:rsidR="004F6A0C">
        <w:t>e</w:t>
      </w:r>
      <w:r>
        <w:t xml:space="preserve">s par les miliciens Kamuina Nsapu et toutes deux sont mortes </w:t>
      </w:r>
      <w:r w:rsidR="00E90C08">
        <w:t>en conséquence de leur</w:t>
      </w:r>
      <w:r w:rsidR="000F2C44">
        <w:t>s</w:t>
      </w:r>
      <w:r>
        <w:t xml:space="preserve"> viols. Toutes les autres femmes du groupe ont également été violées à plusieurs reprises par les miliciens Kamuina Nsapu ce jour-là</w:t>
      </w:r>
      <w:r w:rsidRPr="007F1170">
        <w:rPr>
          <w:rStyle w:val="FootnoteReference"/>
        </w:rPr>
        <w:footnoteReference w:id="516"/>
      </w:r>
      <w:r>
        <w:t>.</w:t>
      </w:r>
    </w:p>
    <w:p w14:paraId="1DE099EC" w14:textId="03FDF52D" w:rsidR="00AB33F7" w:rsidRDefault="00AB33F7" w:rsidP="00E33BE6">
      <w:pPr>
        <w:pStyle w:val="BodyText"/>
        <w:tabs>
          <w:tab w:val="left" w:pos="1559"/>
          <w:tab w:val="left" w:pos="1984"/>
          <w:tab w:val="left" w:leader="dot" w:pos="7654"/>
          <w:tab w:val="right" w:pos="8929"/>
        </w:tabs>
        <w:spacing w:line="240" w:lineRule="atLeast"/>
        <w:ind w:left="1138" w:right="1138" w:firstLine="0"/>
      </w:pPr>
      <w:r>
        <w:t>Les FARDC ont conduit des opérations militaires, notamment en mars et en juin</w:t>
      </w:r>
      <w:r w:rsidR="000F2C44">
        <w:t xml:space="preserve"> 2017</w:t>
      </w:r>
      <w:r>
        <w:t xml:space="preserve">, visant à déloger les miliciens Kamuina Nsapu </w:t>
      </w:r>
      <w:r w:rsidR="00CA0246">
        <w:t xml:space="preserve">de la zone de </w:t>
      </w:r>
      <w:r>
        <w:t>Kamako et d</w:t>
      </w:r>
      <w:r w:rsidR="00CA0246">
        <w:t xml:space="preserve">e </w:t>
      </w:r>
      <w:r>
        <w:t>la partie frontalière avec l’Angola. L’EEI a reçu des allégations crédibles d’affrontements violents entre les FARDC et les miliciens dans le village de Lubami-Monga au cours desquels de nombreux miliciens Kamuina Nsapu auraient perdu la vie</w:t>
      </w:r>
      <w:r w:rsidRPr="007F1170">
        <w:rPr>
          <w:rStyle w:val="FootnoteReference"/>
        </w:rPr>
        <w:footnoteReference w:id="517"/>
      </w:r>
      <w:r>
        <w:t>. Par ailleurs, en juin 2017, les FARDC, accompagnés d’environ 70 miliciens Bana Mura, sont entrés à pied dans le village de Tshinota</w:t>
      </w:r>
      <w:r w:rsidRPr="007F1170">
        <w:rPr>
          <w:rStyle w:val="FootnoteReference"/>
        </w:rPr>
        <w:footnoteReference w:id="518"/>
      </w:r>
      <w:r>
        <w:t xml:space="preserve">. Les miliciens Bana Mura étaient habillés en civil, parlaient la langue </w:t>
      </w:r>
      <w:r w:rsidR="00651768">
        <w:t>chokwe</w:t>
      </w:r>
      <w:r>
        <w:t xml:space="preserve"> et possédaient des armes de chasse sur lesquels était inscrit « RDC » ainsi que bâtons avec des clous</w:t>
      </w:r>
      <w:r w:rsidRPr="007F1170">
        <w:rPr>
          <w:rStyle w:val="FootnoteReference"/>
        </w:rPr>
        <w:footnoteReference w:id="519"/>
      </w:r>
      <w:r>
        <w:t>. Ils ont commencé à tirer sur la population qui a alors pris la fuite</w:t>
      </w:r>
      <w:r w:rsidR="000F0FC3">
        <w:t xml:space="preserve"> et</w:t>
      </w:r>
      <w:r w:rsidR="00686B07">
        <w:t xml:space="preserve"> </w:t>
      </w:r>
      <w:r w:rsidR="000F0FC3">
        <w:t>u</w:t>
      </w:r>
      <w:r>
        <w:t xml:space="preserve">n témoin explique avoir vu plusieurs personnes </w:t>
      </w:r>
      <w:r w:rsidR="00536F35">
        <w:t xml:space="preserve">tomber </w:t>
      </w:r>
      <w:r>
        <w:t>mortes</w:t>
      </w:r>
      <w:r w:rsidRPr="007F1170">
        <w:rPr>
          <w:rStyle w:val="FootnoteReference"/>
        </w:rPr>
        <w:footnoteReference w:id="520"/>
      </w:r>
      <w:r>
        <w:t xml:space="preserve">. Un autre habitant, de retour après deux semaines de fuite, a pu constater une cinquantaine de morts dans le village dont au moins une femme et un enfant de 3 mois. Les personnes avaient été tuées par </w:t>
      </w:r>
      <w:r w:rsidR="00817C86">
        <w:t>arme à feu</w:t>
      </w:r>
      <w:r>
        <w:t>, bâton, couteau, et machette</w:t>
      </w:r>
      <w:r w:rsidRPr="007F1170">
        <w:rPr>
          <w:rStyle w:val="FootnoteReference"/>
        </w:rPr>
        <w:footnoteReference w:id="521"/>
      </w:r>
      <w:r>
        <w:t>. De nombreuses habitations ont aussi été pillées ou détruites</w:t>
      </w:r>
      <w:r w:rsidRPr="007F1170">
        <w:rPr>
          <w:rStyle w:val="FootnoteReference"/>
        </w:rPr>
        <w:footnoteReference w:id="522"/>
      </w:r>
      <w:r>
        <w:t>. Par ailleurs, des affrontements violents entre les FARDC et les miliciens Kamuina Nsapu ont eu lieu en mars 2017 dans le village de Sumbula. Le bilan de ces affrontements est inconnu mais la MONUSCO a localisé six fosses communes dans le village</w:t>
      </w:r>
      <w:r w:rsidRPr="007F1170">
        <w:rPr>
          <w:rStyle w:val="FootnoteReference"/>
        </w:rPr>
        <w:footnoteReference w:id="523"/>
      </w:r>
      <w:r>
        <w:t xml:space="preserve">. </w:t>
      </w:r>
    </w:p>
    <w:p w14:paraId="4C7DACCE" w14:textId="40B381F6" w:rsidR="00AB33F7" w:rsidRDefault="00AB33F7" w:rsidP="00E33BE6">
      <w:pPr>
        <w:pStyle w:val="BodyText"/>
        <w:tabs>
          <w:tab w:val="left" w:pos="1559"/>
          <w:tab w:val="left" w:pos="1984"/>
          <w:tab w:val="left" w:leader="dot" w:pos="7654"/>
          <w:tab w:val="right" w:pos="8929"/>
        </w:tabs>
        <w:spacing w:line="240" w:lineRule="atLeast"/>
        <w:ind w:left="1138" w:right="1138" w:firstLine="0"/>
      </w:pPr>
      <w:r>
        <w:t xml:space="preserve">L’EEI considère que les éléments de preuve qu’elle a collectés ne donnent pas la mesure, ni de la violence, ni du nombre d’affrontements qui ont eu lieu entre les miliciens Kamuina Nsapu et les FARDC dans cette partie du territoire de Kamonia, </w:t>
      </w:r>
      <w:r w:rsidR="000F2C44">
        <w:t xml:space="preserve">et </w:t>
      </w:r>
      <w:r>
        <w:t xml:space="preserve">encore moins </w:t>
      </w:r>
      <w:r w:rsidR="00817C86">
        <w:t xml:space="preserve">du </w:t>
      </w:r>
      <w:r>
        <w:t xml:space="preserve">nombre de civils qui auraient perdu la vie. Par ailleurs, les milices Bana Mura ont été actives sur cette partie du territoire et ont mené des opérations conjointes avec les FARDC, par exemple dans le village de Tshinota. Le rôle exact joué par les milices Bana Mura sur cette partie du territoire reste néanmoins à clarifier. L’EEI est d’avis que des enquêtes complémentaires sont nécessaires. </w:t>
      </w:r>
    </w:p>
    <w:p w14:paraId="0C5B2BE9" w14:textId="77777777" w:rsidR="00AB33F7" w:rsidRPr="0023702C" w:rsidRDefault="00AB33F7" w:rsidP="0023702C">
      <w:pPr>
        <w:pStyle w:val="BodyText"/>
        <w:numPr>
          <w:ilvl w:val="0"/>
          <w:numId w:val="0"/>
        </w:numPr>
        <w:tabs>
          <w:tab w:val="left" w:pos="1559"/>
          <w:tab w:val="left" w:pos="1984"/>
          <w:tab w:val="left" w:leader="dot" w:pos="7654"/>
          <w:tab w:val="right" w:pos="8929"/>
        </w:tabs>
        <w:spacing w:line="240" w:lineRule="atLeast"/>
        <w:ind w:left="2160" w:right="1138"/>
        <w:outlineLvl w:val="5"/>
        <w:rPr>
          <w:b/>
          <w:i/>
          <w:u w:val="single"/>
        </w:rPr>
      </w:pPr>
      <w:r w:rsidRPr="0023702C">
        <w:rPr>
          <w:i/>
          <w:u w:val="single"/>
        </w:rPr>
        <w:t>Axe au sud de la cité de Mutena</w:t>
      </w:r>
    </w:p>
    <w:p w14:paraId="20B051A7" w14:textId="6CD1E2A5" w:rsidR="00AB33F7" w:rsidRDefault="000F2C44" w:rsidP="00E33BE6">
      <w:pPr>
        <w:pStyle w:val="BodyText"/>
        <w:tabs>
          <w:tab w:val="left" w:pos="1559"/>
          <w:tab w:val="left" w:pos="1984"/>
          <w:tab w:val="left" w:leader="dot" w:pos="7654"/>
          <w:tab w:val="right" w:pos="8929"/>
        </w:tabs>
        <w:spacing w:line="240" w:lineRule="atLeast"/>
        <w:ind w:left="1138" w:right="1138" w:firstLine="0"/>
      </w:pPr>
      <w:r>
        <w:t>L’EEI a</w:t>
      </w:r>
      <w:r w:rsidR="00AB33F7">
        <w:t xml:space="preserve"> </w:t>
      </w:r>
      <w:r>
        <w:t>documenté des actes de violence</w:t>
      </w:r>
      <w:r w:rsidR="00AB33F7">
        <w:t xml:space="preserve"> commis par la milice Kamuina Nsapu et les forces de défense et de sécurité dans les villages de Mudjadja, Diboko et Mutshima, tous situés au sud de la cité de Mutena, dans une zone où la population est majoritairement </w:t>
      </w:r>
      <w:r w:rsidR="0061479D">
        <w:t>l</w:t>
      </w:r>
      <w:r w:rsidR="00AB33F7">
        <w:t xml:space="preserve">uba. </w:t>
      </w:r>
    </w:p>
    <w:p w14:paraId="27393C80" w14:textId="577DC95F" w:rsidR="00AB33F7" w:rsidRDefault="00AB33F7" w:rsidP="00E33BE6">
      <w:pPr>
        <w:pStyle w:val="BodyText"/>
        <w:tabs>
          <w:tab w:val="left" w:pos="1559"/>
          <w:tab w:val="left" w:pos="1984"/>
          <w:tab w:val="left" w:leader="dot" w:pos="7654"/>
          <w:tab w:val="right" w:pos="8929"/>
        </w:tabs>
        <w:spacing w:line="240" w:lineRule="atLeast"/>
        <w:ind w:left="1138" w:right="1138" w:firstLine="0"/>
      </w:pPr>
      <w:r>
        <w:rPr>
          <w:lang w:eastAsia="fr-FR"/>
        </w:rPr>
        <w:t xml:space="preserve">La milice </w:t>
      </w:r>
      <w:r w:rsidRPr="007E6082">
        <w:rPr>
          <w:lang w:eastAsia="fr-FR"/>
        </w:rPr>
        <w:t>Kamuina Nsapu</w:t>
      </w:r>
      <w:r>
        <w:rPr>
          <w:lang w:eastAsia="fr-FR"/>
        </w:rPr>
        <w:t xml:space="preserve">, </w:t>
      </w:r>
      <w:r w:rsidR="00817C86">
        <w:rPr>
          <w:lang w:eastAsia="fr-FR"/>
        </w:rPr>
        <w:t xml:space="preserve">composée </w:t>
      </w:r>
      <w:r>
        <w:rPr>
          <w:lang w:eastAsia="fr-FR"/>
        </w:rPr>
        <w:t>d</w:t>
      </w:r>
      <w:r w:rsidR="00817C86">
        <w:rPr>
          <w:lang w:eastAsia="fr-FR"/>
        </w:rPr>
        <w:t>’</w:t>
      </w:r>
      <w:r>
        <w:rPr>
          <w:lang w:eastAsia="fr-FR"/>
        </w:rPr>
        <w:t>hommes, de femmes et de nombreux enfants, est arrivée dans le village de Diboko autour du 20 mars 2017.</w:t>
      </w:r>
      <w:r w:rsidRPr="007E6082">
        <w:rPr>
          <w:lang w:eastAsia="fr-FR"/>
        </w:rPr>
        <w:t xml:space="preserve"> </w:t>
      </w:r>
      <w:r w:rsidR="00817C86">
        <w:rPr>
          <w:lang w:eastAsia="fr-FR"/>
        </w:rPr>
        <w:t>Ils ont</w:t>
      </w:r>
      <w:r>
        <w:rPr>
          <w:lang w:eastAsia="fr-FR"/>
        </w:rPr>
        <w:t xml:space="preserve"> pris le contrôle du village et y </w:t>
      </w:r>
      <w:r w:rsidR="00817C86">
        <w:rPr>
          <w:lang w:eastAsia="fr-FR"/>
        </w:rPr>
        <w:t xml:space="preserve">ont </w:t>
      </w:r>
      <w:r>
        <w:rPr>
          <w:lang w:eastAsia="fr-FR"/>
        </w:rPr>
        <w:t>installé un tshiota</w:t>
      </w:r>
      <w:r w:rsidRPr="007F1170">
        <w:rPr>
          <w:rStyle w:val="FootnoteReference"/>
        </w:rPr>
        <w:footnoteReference w:id="524"/>
      </w:r>
      <w:r>
        <w:rPr>
          <w:lang w:eastAsia="fr-FR"/>
        </w:rPr>
        <w:t>. Un témoin explique que le tshiota de Diboko était l’état-major des miliciens Kamuina Nsapu où ils se réunissaient tous les lundi matin, et qu’ils avaient d’autres postes de contrôle dans les alentours du village</w:t>
      </w:r>
      <w:r w:rsidRPr="007F1170">
        <w:rPr>
          <w:rStyle w:val="FootnoteReference"/>
        </w:rPr>
        <w:footnoteReference w:id="525"/>
      </w:r>
      <w:r>
        <w:rPr>
          <w:lang w:eastAsia="fr-FR"/>
        </w:rPr>
        <w:t>. La milice a massivement recruté au sein de la population, majoritairement des enfants</w:t>
      </w:r>
      <w:r w:rsidRPr="007F1170">
        <w:rPr>
          <w:rStyle w:val="FootnoteReference"/>
        </w:rPr>
        <w:footnoteReference w:id="526"/>
      </w:r>
      <w:r>
        <w:rPr>
          <w:lang w:eastAsia="fr-FR"/>
        </w:rPr>
        <w:t xml:space="preserve">. Comme partout ailleurs au Kasaï, la milice Kamuina </w:t>
      </w:r>
      <w:r>
        <w:t xml:space="preserve">Nsapu s’est attaquée aux personnes représentants l’autorité étatique, ainsi qu’à toutes autres personnes perçues comme traitre ou proche des autorités étatiques. « Justice » était rendue au niveau du tshiota, </w:t>
      </w:r>
      <w:r w:rsidR="00817C86">
        <w:t>et</w:t>
      </w:r>
      <w:r>
        <w:t xml:space="preserve"> le plus souvent la sentence était la décapitation. De nombreux cas de décapitation ont été documentés</w:t>
      </w:r>
      <w:r w:rsidRPr="007F1170">
        <w:rPr>
          <w:rStyle w:val="FootnoteReference"/>
        </w:rPr>
        <w:footnoteReference w:id="527"/>
      </w:r>
      <w:r>
        <w:t xml:space="preserve">. Pendant la période </w:t>
      </w:r>
      <w:r w:rsidR="00817C86">
        <w:t xml:space="preserve">où </w:t>
      </w:r>
      <w:r>
        <w:t>la milice contrôlait le village, les miliciens ont par exemple tué au tshiota une femme d’une vingtaine d’années qu’ils accusaient de téléphoner aux autorités ainsi que son père venu plaider la cause sa fille. Leurs têtes ont ensuite été ramenées à leur famille</w:t>
      </w:r>
      <w:r w:rsidRPr="007F1170">
        <w:rPr>
          <w:rStyle w:val="FootnoteReference"/>
        </w:rPr>
        <w:footnoteReference w:id="528"/>
      </w:r>
      <w:r>
        <w:t xml:space="preserve">. Les miliciens Kamuina Nsapu ont également </w:t>
      </w:r>
      <w:r w:rsidR="000F2C44">
        <w:t xml:space="preserve">tué une femme agent de la PNC, </w:t>
      </w:r>
      <w:r>
        <w:t xml:space="preserve">coupé </w:t>
      </w:r>
      <w:r w:rsidR="000F2C44">
        <w:t>s</w:t>
      </w:r>
      <w:r>
        <w:t xml:space="preserve">es deux seins et </w:t>
      </w:r>
      <w:r w:rsidR="000F2C44">
        <w:t>son</w:t>
      </w:r>
      <w:r>
        <w:t xml:space="preserve"> vagin avant de la décapiter</w:t>
      </w:r>
      <w:r w:rsidRPr="007F1170">
        <w:rPr>
          <w:rStyle w:val="FootnoteReference"/>
        </w:rPr>
        <w:footnoteReference w:id="529"/>
      </w:r>
      <w:r>
        <w:t>. Un témoin estime qu’au moins trente personnes ont perdu la vie pendant l’occupation du village par les miliciens</w:t>
      </w:r>
      <w:r w:rsidRPr="007F1170">
        <w:rPr>
          <w:rStyle w:val="FootnoteReference"/>
        </w:rPr>
        <w:footnoteReference w:id="530"/>
      </w:r>
      <w:r>
        <w:t xml:space="preserve"> et au moins une vingtaine de corps ont été enterrés entre fin avril et fin mai</w:t>
      </w:r>
      <w:r w:rsidRPr="007F1170">
        <w:rPr>
          <w:rStyle w:val="FootnoteReference"/>
        </w:rPr>
        <w:footnoteReference w:id="531"/>
      </w:r>
      <w:r>
        <w:t>. Les miliciens Kamuina Nsapu ont également détruit les biens et les maisons des personnes qu’ils avaient décapitées</w:t>
      </w:r>
      <w:r w:rsidRPr="007F1170">
        <w:rPr>
          <w:rStyle w:val="FootnoteReference"/>
        </w:rPr>
        <w:footnoteReference w:id="532"/>
      </w:r>
      <w:r w:rsidR="000F2C44">
        <w:t>,</w:t>
      </w:r>
      <w:r>
        <w:t xml:space="preserve"> saccagé </w:t>
      </w:r>
      <w:r w:rsidR="00C1461B">
        <w:t>l’</w:t>
      </w:r>
      <w:r w:rsidR="009C4DA1">
        <w:t>E</w:t>
      </w:r>
      <w:r w:rsidR="00C1461B">
        <w:t xml:space="preserve">glise </w:t>
      </w:r>
      <w:r>
        <w:t>catholique de Diboko et menacé de mort le prêtre à plusieurs reprises</w:t>
      </w:r>
      <w:r w:rsidRPr="007F1170">
        <w:rPr>
          <w:rStyle w:val="FootnoteReference"/>
        </w:rPr>
        <w:footnoteReference w:id="533"/>
      </w:r>
      <w:r>
        <w:t>.</w:t>
      </w:r>
    </w:p>
    <w:p w14:paraId="59D2C341" w14:textId="08B76E5F" w:rsidR="00AB33F7" w:rsidRDefault="00AB33F7" w:rsidP="00E33BE6">
      <w:pPr>
        <w:pStyle w:val="BodyText"/>
        <w:tabs>
          <w:tab w:val="left" w:pos="1559"/>
          <w:tab w:val="left" w:pos="1984"/>
          <w:tab w:val="left" w:leader="dot" w:pos="7654"/>
          <w:tab w:val="right" w:pos="8929"/>
        </w:tabs>
        <w:spacing w:line="240" w:lineRule="atLeast"/>
        <w:ind w:left="1138" w:right="1138" w:firstLine="0"/>
      </w:pPr>
      <w:r>
        <w:t xml:space="preserve">Le 10 juin 2017, les FARDC sont intervenus à Diboko. Les </w:t>
      </w:r>
      <w:r w:rsidR="00C1461B">
        <w:t xml:space="preserve">affrontements </w:t>
      </w:r>
      <w:r>
        <w:t xml:space="preserve">entre les miliciens Kamuina Nsapu, dont de nombreux enfants munis de bâtons ou parfois de machettes, et les FARDC ont duré deux ou trois jours. Il y a eu de nombreux morts lors de ces </w:t>
      </w:r>
      <w:r w:rsidR="00C1461B">
        <w:t>affrontements</w:t>
      </w:r>
      <w:r>
        <w:t>, majoritairement des miliciens mais aussi plusieurs habitants, au moins trois d’après les informations collectées</w:t>
      </w:r>
      <w:r w:rsidRPr="007F1170">
        <w:rPr>
          <w:rStyle w:val="FootnoteReference"/>
        </w:rPr>
        <w:footnoteReference w:id="534"/>
      </w:r>
      <w:r>
        <w:t>. 43 corps ont été enterrés suite aux affrontements</w:t>
      </w:r>
      <w:r w:rsidRPr="007F1170">
        <w:rPr>
          <w:rStyle w:val="FootnoteReference"/>
        </w:rPr>
        <w:footnoteReference w:id="535"/>
      </w:r>
      <w:r>
        <w:t xml:space="preserve">. Les FARDC, accompagnés de personnes habillées en civil, ont ensuite pillé de </w:t>
      </w:r>
      <w:r w:rsidR="00C1461B">
        <w:t xml:space="preserve">nombreuses </w:t>
      </w:r>
      <w:r>
        <w:t>habitations du village de Diboko</w:t>
      </w:r>
      <w:r w:rsidRPr="007F1170">
        <w:rPr>
          <w:rStyle w:val="FootnoteReference"/>
        </w:rPr>
        <w:footnoteReference w:id="536"/>
      </w:r>
      <w:r>
        <w:t>. Lors d’une mission d’enquête conduite en Angola en juin 2017, le HCDH a par ailleurs documenté que le 10 juin 2017, entre 60 et 90 hommes, femmes et enfants, ont été tués dans une église pentecôtiste par le tir, de ce que le</w:t>
      </w:r>
      <w:r w:rsidR="000F2C44">
        <w:t>s témoins interrogés ont décrit</w:t>
      </w:r>
      <w:r>
        <w:t xml:space="preserve"> </w:t>
      </w:r>
      <w:r w:rsidR="000F2C44">
        <w:t>comme un</w:t>
      </w:r>
      <w:r w:rsidR="00C1461B">
        <w:t xml:space="preserve"> lance-</w:t>
      </w:r>
      <w:r>
        <w:t>roquette, dans les alentours de Diboko</w:t>
      </w:r>
      <w:r w:rsidRPr="007F1170">
        <w:rPr>
          <w:rStyle w:val="FootnoteReference"/>
        </w:rPr>
        <w:footnoteReference w:id="537"/>
      </w:r>
      <w:r>
        <w:t>.</w:t>
      </w:r>
    </w:p>
    <w:p w14:paraId="05997CC4" w14:textId="101C8C11" w:rsidR="00AB33F7" w:rsidRDefault="00AB33F7" w:rsidP="00E33BE6">
      <w:pPr>
        <w:pStyle w:val="BodyText"/>
        <w:tabs>
          <w:tab w:val="left" w:pos="1559"/>
          <w:tab w:val="left" w:pos="1984"/>
          <w:tab w:val="left" w:leader="dot" w:pos="7654"/>
          <w:tab w:val="right" w:pos="8929"/>
        </w:tabs>
        <w:spacing w:line="240" w:lineRule="atLeast"/>
        <w:ind w:left="1138" w:right="1138" w:firstLine="0"/>
      </w:pPr>
      <w:r>
        <w:t xml:space="preserve">En mai 2017, des </w:t>
      </w:r>
      <w:r w:rsidR="005B1D1D">
        <w:t xml:space="preserve">affrontements </w:t>
      </w:r>
      <w:r>
        <w:t xml:space="preserve">ont eu lieu dans le village de Mudjadja entre des FARDC et des miliciens Kamuina Nsapu. Au cours de ces affrontements de </w:t>
      </w:r>
      <w:r w:rsidR="00A214E4">
        <w:t xml:space="preserve">nombreux </w:t>
      </w:r>
      <w:r>
        <w:t>miliciens ont perdu la vie</w:t>
      </w:r>
      <w:r w:rsidRPr="007F1170">
        <w:rPr>
          <w:rStyle w:val="FootnoteReference"/>
        </w:rPr>
        <w:footnoteReference w:id="538"/>
      </w:r>
      <w:r>
        <w:t>. Plus tard</w:t>
      </w:r>
      <w:r w:rsidR="000F2C44">
        <w:t>,</w:t>
      </w:r>
      <w:r>
        <w:t xml:space="preserve"> </w:t>
      </w:r>
      <w:r w:rsidR="00A214E4">
        <w:t>au</w:t>
      </w:r>
      <w:r>
        <w:t xml:space="preserve"> mois de mai 2017, au milieu de la nuit, des miliciens Kamuina Nsapu</w:t>
      </w:r>
      <w:r w:rsidRPr="007F1170">
        <w:rPr>
          <w:rStyle w:val="FootnoteReference"/>
        </w:rPr>
        <w:footnoteReference w:id="539"/>
      </w:r>
      <w:r>
        <w:t xml:space="preserve"> sont passés de maison en maison </w:t>
      </w:r>
      <w:r w:rsidR="000F0FC3">
        <w:t>emmenant les</w:t>
      </w:r>
      <w:r>
        <w:t xml:space="preserve"> hommes du village au prétexte </w:t>
      </w:r>
      <w:r w:rsidR="000F0FC3">
        <w:t xml:space="preserve">de devoir </w:t>
      </w:r>
      <w:r w:rsidR="000F2C44">
        <w:t>les</w:t>
      </w:r>
      <w:r w:rsidR="000F0FC3">
        <w:t xml:space="preserve"> faire</w:t>
      </w:r>
      <w:r w:rsidR="00A214E4">
        <w:t xml:space="preserve"> </w:t>
      </w:r>
      <w:r>
        <w:t>baptis</w:t>
      </w:r>
      <w:r w:rsidR="00A214E4">
        <w:t>er</w:t>
      </w:r>
      <w:r w:rsidRPr="007F1170">
        <w:rPr>
          <w:rStyle w:val="FootnoteReference"/>
        </w:rPr>
        <w:footnoteReference w:id="540"/>
      </w:r>
      <w:r>
        <w:t xml:space="preserve">. De nombreuses personnes </w:t>
      </w:r>
      <w:r w:rsidR="00A214E4">
        <w:t xml:space="preserve">qui </w:t>
      </w:r>
      <w:r>
        <w:t xml:space="preserve">avaient fui les violences </w:t>
      </w:r>
      <w:r w:rsidR="00A214E4">
        <w:t xml:space="preserve">dans </w:t>
      </w:r>
      <w:r>
        <w:t>le territoire de Kamonia avaient trouvé refuge où s’étaient retrouvé</w:t>
      </w:r>
      <w:r w:rsidR="00A214E4">
        <w:t>e</w:t>
      </w:r>
      <w:r>
        <w:t>s bloqué</w:t>
      </w:r>
      <w:r w:rsidR="00A214E4">
        <w:t>e</w:t>
      </w:r>
      <w:r>
        <w:t>s dans le village de Mudjadja et plusieurs d’entre-elles faisaient partie des hommes arrêtés cette nuit-là</w:t>
      </w:r>
      <w:r w:rsidRPr="007F1170">
        <w:rPr>
          <w:rStyle w:val="FootnoteReference"/>
        </w:rPr>
        <w:footnoteReference w:id="541"/>
      </w:r>
      <w:r>
        <w:t>. Au moins 186 hommes du village de Mudjadja ont été amenés par les miliciens Kamuina Nsapu au tshiota du village de Diboko</w:t>
      </w:r>
      <w:r w:rsidRPr="007F1170">
        <w:rPr>
          <w:rStyle w:val="FootnoteReference"/>
        </w:rPr>
        <w:footnoteReference w:id="542"/>
      </w:r>
      <w:r>
        <w:t xml:space="preserve">. Là, </w:t>
      </w:r>
      <w:r w:rsidR="00D555E0">
        <w:t xml:space="preserve">accusés d’être des « petits cochons », </w:t>
      </w:r>
      <w:r>
        <w:t>ils tous été décapités devant une partie de la population. Des corps ont aussi été coupés en morceaux</w:t>
      </w:r>
      <w:r w:rsidRPr="007F1170">
        <w:rPr>
          <w:rStyle w:val="FootnoteReference"/>
        </w:rPr>
        <w:footnoteReference w:id="543"/>
      </w:r>
      <w:r>
        <w:t xml:space="preserve">. </w:t>
      </w:r>
      <w:r w:rsidR="00A214E4">
        <w:t xml:space="preserve">Un témoin raconte avoir vu un </w:t>
      </w:r>
      <w:r>
        <w:t xml:space="preserve">peu plus tard dans la journée, les miliciens se promener avec </w:t>
      </w:r>
      <w:r w:rsidR="000F2C44">
        <w:t>d</w:t>
      </w:r>
      <w:r>
        <w:t>es têtes et des morceaux de corps humains dans le village</w:t>
      </w:r>
      <w:r w:rsidRPr="007F1170">
        <w:rPr>
          <w:rStyle w:val="FootnoteReference"/>
        </w:rPr>
        <w:footnoteReference w:id="544"/>
      </w:r>
      <w:r>
        <w:t>. Certains corps ont été enterrés</w:t>
      </w:r>
      <w:r w:rsidR="00A214E4">
        <w:t>,</w:t>
      </w:r>
      <w:r>
        <w:t xml:space="preserve"> d’autres jetés dans des latrines</w:t>
      </w:r>
      <w:r w:rsidRPr="007F1170">
        <w:rPr>
          <w:rStyle w:val="FootnoteReference"/>
        </w:rPr>
        <w:footnoteReference w:id="545"/>
      </w:r>
      <w:r>
        <w:t>. Le lendemain soir, les femmes du village de Mudjadja ont été informées par le chef du village de Mudjadja que tous les hommes amenés la veille avaient été tués au tshiota de Diboko</w:t>
      </w:r>
      <w:r w:rsidRPr="007F1170">
        <w:rPr>
          <w:rStyle w:val="FootnoteReference"/>
        </w:rPr>
        <w:footnoteReference w:id="546"/>
      </w:r>
      <w:r>
        <w:t xml:space="preserve">. D’après un témoin, les hommes du village de Mudjadja auraient été attaqués car les miliciens Kamuina Nsapu les pensaient complice des FARDC lors des </w:t>
      </w:r>
      <w:r w:rsidR="00A214E4">
        <w:t xml:space="preserve">affrontements </w:t>
      </w:r>
      <w:r>
        <w:t>qui avaient eu lieu début mai 2017 dans le village de Mudjadja entre des FARDC et des miliciens Kamuina Nsapu</w:t>
      </w:r>
      <w:r w:rsidRPr="007F1170">
        <w:rPr>
          <w:rStyle w:val="FootnoteReference"/>
        </w:rPr>
        <w:footnoteReference w:id="547"/>
      </w:r>
      <w:r>
        <w:t>.</w:t>
      </w:r>
    </w:p>
    <w:p w14:paraId="6C54311C" w14:textId="54AE07D4" w:rsidR="00AB33F7" w:rsidRPr="006D6E2A" w:rsidRDefault="00AB33F7" w:rsidP="00E33BE6">
      <w:pPr>
        <w:pStyle w:val="BodyText"/>
        <w:tabs>
          <w:tab w:val="left" w:pos="1559"/>
          <w:tab w:val="left" w:pos="1984"/>
          <w:tab w:val="left" w:leader="dot" w:pos="7654"/>
          <w:tab w:val="right" w:pos="8929"/>
        </w:tabs>
        <w:spacing w:line="240" w:lineRule="atLeast"/>
        <w:ind w:left="1138" w:right="1138" w:firstLine="0"/>
      </w:pPr>
      <w:r>
        <w:t xml:space="preserve">Une victime explique qu’elle a entendu dire que les miliciens Kamuina Nsapu comptaient revenir chercher les femmes du village de Mudjadja mais que cela </w:t>
      </w:r>
      <w:r w:rsidR="00A214E4">
        <w:t xml:space="preserve">ne s’est pas produit </w:t>
      </w:r>
      <w:r>
        <w:t>car les FARDC sont intervenus dans le village de Diboko</w:t>
      </w:r>
      <w:r w:rsidRPr="007F1170">
        <w:rPr>
          <w:rStyle w:val="FootnoteReference"/>
        </w:rPr>
        <w:footnoteReference w:id="548"/>
      </w:r>
      <w:r>
        <w:t>. Un autre témoin explique que lorsque l’information de la mort des hommes a été donnée aux femmes du village, il leur a été demandé de se répartir entre les hommes encore présents dans le village, y compris avec des habitants qui n’étaient pas des miliciens Kamuina Nsapu. Certaines femmes ont accepté cette proposition et d’autres ont refusé</w:t>
      </w:r>
      <w:r w:rsidRPr="007F1170">
        <w:rPr>
          <w:rStyle w:val="FootnoteReference"/>
        </w:rPr>
        <w:footnoteReference w:id="549"/>
      </w:r>
      <w:r>
        <w:t>.</w:t>
      </w:r>
    </w:p>
    <w:p w14:paraId="74ECEB11" w14:textId="7544D03D" w:rsidR="00AB33F7" w:rsidRPr="00EE7100" w:rsidRDefault="00AB33F7" w:rsidP="00E33BE6">
      <w:pPr>
        <w:pStyle w:val="BodyText"/>
        <w:tabs>
          <w:tab w:val="left" w:pos="1559"/>
          <w:tab w:val="left" w:pos="1984"/>
          <w:tab w:val="left" w:leader="dot" w:pos="7654"/>
          <w:tab w:val="right" w:pos="8929"/>
        </w:tabs>
        <w:spacing w:line="240" w:lineRule="atLeast"/>
        <w:ind w:left="1138" w:right="1138" w:firstLine="0"/>
      </w:pPr>
      <w:r>
        <w:t>D</w:t>
      </w:r>
      <w:r w:rsidRPr="00EE7100">
        <w:t>ébut mars 2017</w:t>
      </w:r>
      <w:r>
        <w:t>, un petit groupe d’une dizaine de miliciens Kamuina Nsapu</w:t>
      </w:r>
      <w:r w:rsidRPr="00EE7100">
        <w:t xml:space="preserve"> est </w:t>
      </w:r>
      <w:r>
        <w:t xml:space="preserve">aussi </w:t>
      </w:r>
      <w:r w:rsidRPr="00EE7100">
        <w:t xml:space="preserve">arrivé </w:t>
      </w:r>
      <w:r>
        <w:t>d</w:t>
      </w:r>
      <w:r w:rsidRPr="00EE7100">
        <w:t>ans le village de Mutsh</w:t>
      </w:r>
      <w:r>
        <w:t>ima</w:t>
      </w:r>
      <w:r w:rsidRPr="00EE7100">
        <w:t xml:space="preserve">. Ils ont </w:t>
      </w:r>
      <w:r>
        <w:t xml:space="preserve">alors </w:t>
      </w:r>
      <w:r w:rsidRPr="00EE7100">
        <w:t xml:space="preserve">procédé à la destruction des bâtiments </w:t>
      </w:r>
      <w:r w:rsidR="002560E3">
        <w:t>de</w:t>
      </w:r>
      <w:r w:rsidRPr="00EE7100">
        <w:t xml:space="preserve"> l’administration publique, c’est-à-dire les bureaux de la PNC, le parquet, le ministère provincial des mines, l</w:t>
      </w:r>
      <w:r w:rsidR="000F2C44">
        <w:t>es</w:t>
      </w:r>
      <w:r w:rsidRPr="00EE7100">
        <w:t xml:space="preserve"> résidence</w:t>
      </w:r>
      <w:r w:rsidR="000F2C44">
        <w:t>s</w:t>
      </w:r>
      <w:r w:rsidRPr="00EE7100">
        <w:t xml:space="preserve"> du capitaine de la PNC et la DGM</w:t>
      </w:r>
      <w:r w:rsidRPr="007F1170">
        <w:rPr>
          <w:rStyle w:val="FootnoteReference"/>
        </w:rPr>
        <w:footnoteReference w:id="550"/>
      </w:r>
      <w:r w:rsidRPr="00EE7100">
        <w:t xml:space="preserve">. </w:t>
      </w:r>
      <w:r>
        <w:t>Le jour de leur arrivée, il y a eu des</w:t>
      </w:r>
      <w:r w:rsidRPr="00EE7100">
        <w:t xml:space="preserve"> affrontements entre </w:t>
      </w:r>
      <w:r>
        <w:t xml:space="preserve">les miliciens et </w:t>
      </w:r>
      <w:r w:rsidRPr="00EE7100">
        <w:t>des FARDC venus de Tshikapa</w:t>
      </w:r>
      <w:r>
        <w:t>. U</w:t>
      </w:r>
      <w:r w:rsidRPr="00EE7100">
        <w:t xml:space="preserve">n </w:t>
      </w:r>
      <w:r>
        <w:t>FARDC</w:t>
      </w:r>
      <w:r w:rsidRPr="00EE7100">
        <w:t xml:space="preserve"> a été tué et décapité causant la fuite des militaires</w:t>
      </w:r>
      <w:r w:rsidRPr="007F1170">
        <w:rPr>
          <w:rStyle w:val="FootnoteReference"/>
        </w:rPr>
        <w:footnoteReference w:id="551"/>
      </w:r>
      <w:r w:rsidRPr="00EE7100">
        <w:t xml:space="preserve">. </w:t>
      </w:r>
      <w:r>
        <w:t xml:space="preserve">Dans les jours suivants, </w:t>
      </w:r>
      <w:r w:rsidRPr="00EE7100">
        <w:t>d’autres miliciens Kamuina Nsapu</w:t>
      </w:r>
      <w:r w:rsidR="002560E3">
        <w:t>,</w:t>
      </w:r>
      <w:r w:rsidRPr="00EE7100">
        <w:t xml:space="preserve"> </w:t>
      </w:r>
      <w:r w:rsidR="002560E3">
        <w:t xml:space="preserve">y compris des enfants, </w:t>
      </w:r>
      <w:r w:rsidRPr="00EE7100">
        <w:t xml:space="preserve">sont arrivés </w:t>
      </w:r>
      <w:r>
        <w:t xml:space="preserve">en grand nombre </w:t>
      </w:r>
      <w:r w:rsidRPr="00EE7100">
        <w:t>et ont installé un tshiota</w:t>
      </w:r>
      <w:r w:rsidRPr="007F1170">
        <w:rPr>
          <w:rStyle w:val="FootnoteReference"/>
        </w:rPr>
        <w:footnoteReference w:id="552"/>
      </w:r>
      <w:r w:rsidRPr="00EE7100">
        <w:t xml:space="preserve">. Ils ont invité ou contraint les villageois à venir se faire baptiser au tshiota et </w:t>
      </w:r>
      <w:r w:rsidR="002560E3">
        <w:t xml:space="preserve">ont </w:t>
      </w:r>
      <w:r w:rsidRPr="00EE7100">
        <w:t>enrôlé dans la milice des habitants dont des filles et des garçons</w:t>
      </w:r>
      <w:r w:rsidRPr="007F1170">
        <w:rPr>
          <w:rStyle w:val="FootnoteReference"/>
        </w:rPr>
        <w:footnoteReference w:id="553"/>
      </w:r>
      <w:r w:rsidRPr="00EE7100">
        <w:t>.</w:t>
      </w:r>
      <w:r>
        <w:t xml:space="preserve"> </w:t>
      </w:r>
      <w:r w:rsidRPr="00EE7100">
        <w:t>A leur arrivé</w:t>
      </w:r>
      <w:r>
        <w:t>e,</w:t>
      </w:r>
      <w:r w:rsidRPr="00EE7100">
        <w:t xml:space="preserve"> ils ont tué quatre agents de la PNC et un agent de l’ANR</w:t>
      </w:r>
      <w:r w:rsidRPr="007F1170">
        <w:rPr>
          <w:rStyle w:val="FootnoteReference"/>
        </w:rPr>
        <w:footnoteReference w:id="554"/>
      </w:r>
      <w:r w:rsidRPr="00EE7100">
        <w:t xml:space="preserve">. </w:t>
      </w:r>
      <w:r w:rsidR="002560E3">
        <w:t>I</w:t>
      </w:r>
      <w:r w:rsidRPr="00EE7100">
        <w:t>ls se sont</w:t>
      </w:r>
      <w:r w:rsidR="002560E3">
        <w:t xml:space="preserve"> ensuite</w:t>
      </w:r>
      <w:r w:rsidRPr="00EE7100">
        <w:t xml:space="preserve"> </w:t>
      </w:r>
      <w:r w:rsidR="000F0FC3" w:rsidRPr="00EE7100">
        <w:t>attaqués</w:t>
      </w:r>
      <w:r w:rsidRPr="00EE7100">
        <w:t xml:space="preserve"> à la population civile tuant et </w:t>
      </w:r>
      <w:r>
        <w:t>décapitant</w:t>
      </w:r>
      <w:r w:rsidRPr="00EE7100">
        <w:t xml:space="preserve"> des habitants pendant toute la période où ils ont occupé le village</w:t>
      </w:r>
      <w:r w:rsidRPr="007F1170">
        <w:rPr>
          <w:rStyle w:val="FootnoteReference"/>
        </w:rPr>
        <w:footnoteReference w:id="555"/>
      </w:r>
      <w:r w:rsidRPr="00EE7100">
        <w:t>. Ils ont également brûlé des maisons et détruits des biens de la population civile</w:t>
      </w:r>
      <w:r w:rsidRPr="007F1170">
        <w:rPr>
          <w:rStyle w:val="FootnoteReference"/>
        </w:rPr>
        <w:footnoteReference w:id="556"/>
      </w:r>
      <w:r w:rsidRPr="00EE7100">
        <w:t xml:space="preserve">. </w:t>
      </w:r>
    </w:p>
    <w:p w14:paraId="4002DA98" w14:textId="4B742CC6" w:rsidR="00AB33F7" w:rsidRPr="00EE7100" w:rsidRDefault="00AB33F7" w:rsidP="00E33BE6">
      <w:pPr>
        <w:pStyle w:val="BodyText"/>
        <w:tabs>
          <w:tab w:val="left" w:pos="1559"/>
          <w:tab w:val="left" w:pos="1984"/>
          <w:tab w:val="left" w:leader="dot" w:pos="7654"/>
          <w:tab w:val="right" w:pos="8929"/>
        </w:tabs>
        <w:spacing w:line="240" w:lineRule="atLeast"/>
        <w:ind w:left="1138" w:right="1138" w:firstLine="0"/>
      </w:pPr>
      <w:r>
        <w:t xml:space="preserve">A l’arrivée des FARDC </w:t>
      </w:r>
      <w:r w:rsidR="009F7C54">
        <w:t>su</w:t>
      </w:r>
      <w:r w:rsidR="00D13C1C">
        <w:t>r</w:t>
      </w:r>
      <w:r w:rsidR="009F7C54">
        <w:t xml:space="preserve"> l’a</w:t>
      </w:r>
      <w:r w:rsidR="009F7C54" w:rsidRPr="00435B1A">
        <w:t>xe au sud de la cité de Mutena</w:t>
      </w:r>
      <w:r w:rsidR="009F7C54" w:rsidDel="009F7C54">
        <w:t xml:space="preserve"> </w:t>
      </w:r>
      <w:r>
        <w:t>en</w:t>
      </w:r>
      <w:r w:rsidRPr="00EE7100">
        <w:t xml:space="preserve"> juin 2017, les populations de Diboko et d’autres villages du territoire de Kamonia se sont réfugié</w:t>
      </w:r>
      <w:r w:rsidR="002560E3">
        <w:t>e</w:t>
      </w:r>
      <w:r w:rsidRPr="00EE7100">
        <w:t>s à Mutshima</w:t>
      </w:r>
      <w:r w:rsidRPr="007F1170">
        <w:rPr>
          <w:rStyle w:val="FootnoteReference"/>
        </w:rPr>
        <w:footnoteReference w:id="557"/>
      </w:r>
      <w:r w:rsidRPr="00EE7100">
        <w:t xml:space="preserve">, et </w:t>
      </w:r>
      <w:r>
        <w:t xml:space="preserve">un commandant </w:t>
      </w:r>
      <w:r w:rsidRPr="00EE7100">
        <w:t xml:space="preserve">Kamuina Nsapu a demandé à la population de se rendre dans la brousse à cause des affrontements. </w:t>
      </w:r>
      <w:r w:rsidR="002560E3">
        <w:t>L</w:t>
      </w:r>
      <w:r w:rsidRPr="00EE7100">
        <w:t>es jours suivants</w:t>
      </w:r>
      <w:r w:rsidR="002560E3">
        <w:t>,</w:t>
      </w:r>
      <w:r w:rsidRPr="00EE7100">
        <w:t xml:space="preserve"> les miliciens Kamuina</w:t>
      </w:r>
      <w:r>
        <w:t xml:space="preserve"> Nsapu</w:t>
      </w:r>
      <w:r w:rsidRPr="00EE7100">
        <w:t xml:space="preserve"> ont systématiquement pillé</w:t>
      </w:r>
      <w:r w:rsidR="002560E3">
        <w:t xml:space="preserve"> les </w:t>
      </w:r>
      <w:r w:rsidRPr="00EE7100">
        <w:t>maisons ainsi que les églises</w:t>
      </w:r>
      <w:r w:rsidRPr="007F1170">
        <w:rPr>
          <w:rStyle w:val="FootnoteReference"/>
        </w:rPr>
        <w:footnoteReference w:id="558"/>
      </w:r>
      <w:r>
        <w:t xml:space="preserve">. Les FARDC sont entrés dans le village de Mutshima le 15 juin 2017. Ils </w:t>
      </w:r>
      <w:r w:rsidRPr="00EE7100">
        <w:t xml:space="preserve">ont tiré trois coups de feu en l’air et </w:t>
      </w:r>
      <w:r w:rsidR="002560E3">
        <w:t>tiré</w:t>
      </w:r>
      <w:r w:rsidR="002560E3" w:rsidRPr="00EE7100">
        <w:t xml:space="preserve"> </w:t>
      </w:r>
      <w:r w:rsidRPr="00EE7100">
        <w:t>une roquette. Toute la population était presque déjà dans la brousse mais trois personnes d’une même famille ont été tuées par des balles perdues</w:t>
      </w:r>
      <w:r w:rsidRPr="007F1170">
        <w:rPr>
          <w:rStyle w:val="FootnoteReference"/>
        </w:rPr>
        <w:footnoteReference w:id="559"/>
      </w:r>
      <w:r w:rsidRPr="00EE7100">
        <w:t>. Ils ont également pillé les maisons</w:t>
      </w:r>
      <w:r w:rsidRPr="007F1170">
        <w:rPr>
          <w:rStyle w:val="FootnoteReference"/>
        </w:rPr>
        <w:footnoteReference w:id="560"/>
      </w:r>
      <w:r w:rsidRPr="00EE7100">
        <w:t xml:space="preserve">. Des enfants mais aussi des adultes sont morts dans la </w:t>
      </w:r>
      <w:r w:rsidRPr="003A0DC8">
        <w:t>brousse</w:t>
      </w:r>
      <w:r w:rsidRPr="007F1170">
        <w:rPr>
          <w:rStyle w:val="FootnoteReference"/>
        </w:rPr>
        <w:footnoteReference w:id="561"/>
      </w:r>
      <w:r w:rsidRPr="00EE7100">
        <w:t>. Un témoin explique q</w:t>
      </w:r>
      <w:r>
        <w:t>u’</w:t>
      </w:r>
      <w:r w:rsidRPr="00EE7100">
        <w:t xml:space="preserve">à son retour de la brousse </w:t>
      </w:r>
      <w:r>
        <w:t xml:space="preserve">il </w:t>
      </w:r>
      <w:r w:rsidRPr="00EE7100">
        <w:t>a vu</w:t>
      </w:r>
      <w:r>
        <w:t xml:space="preserve"> </w:t>
      </w:r>
      <w:r w:rsidRPr="00EE7100">
        <w:t>dans le village les corps de miliciens, dont des filles et des garçons</w:t>
      </w:r>
      <w:r>
        <w:t>,</w:t>
      </w:r>
      <w:r w:rsidRPr="00EE7100">
        <w:t xml:space="preserve"> en état de décomposition</w:t>
      </w:r>
      <w:r w:rsidRPr="007F1170">
        <w:rPr>
          <w:rStyle w:val="FootnoteReference"/>
        </w:rPr>
        <w:footnoteReference w:id="562"/>
      </w:r>
      <w:r w:rsidRPr="00EE7100">
        <w:t>. Quatre fosses communes ont été signalées à Mutshima</w:t>
      </w:r>
      <w:r w:rsidRPr="007F1170">
        <w:rPr>
          <w:rStyle w:val="FootnoteReference"/>
        </w:rPr>
        <w:footnoteReference w:id="563"/>
      </w:r>
      <w:r w:rsidRPr="00EE7100">
        <w:t>.</w:t>
      </w:r>
    </w:p>
    <w:p w14:paraId="4888D6F4" w14:textId="77777777" w:rsidR="00AB33F7" w:rsidRPr="0023702C" w:rsidRDefault="00AB33F7" w:rsidP="0023702C">
      <w:pPr>
        <w:pStyle w:val="BodyText"/>
        <w:numPr>
          <w:ilvl w:val="0"/>
          <w:numId w:val="0"/>
        </w:numPr>
        <w:tabs>
          <w:tab w:val="left" w:pos="1559"/>
          <w:tab w:val="left" w:pos="1984"/>
          <w:tab w:val="left" w:leader="dot" w:pos="7654"/>
          <w:tab w:val="right" w:pos="8929"/>
        </w:tabs>
        <w:spacing w:line="240" w:lineRule="atLeast"/>
        <w:ind w:left="2160" w:right="1138"/>
        <w:outlineLvl w:val="5"/>
        <w:rPr>
          <w:b/>
          <w:i/>
          <w:u w:val="single"/>
        </w:rPr>
      </w:pPr>
      <w:r w:rsidRPr="0023702C">
        <w:rPr>
          <w:i/>
          <w:u w:val="single"/>
        </w:rPr>
        <w:t xml:space="preserve">Cité de Kamonia et villages alentours </w:t>
      </w:r>
    </w:p>
    <w:p w14:paraId="44AB3165" w14:textId="42E688F6" w:rsidR="00AB33F7" w:rsidRDefault="00AB33F7" w:rsidP="00E33BE6">
      <w:pPr>
        <w:pStyle w:val="BodyText"/>
        <w:tabs>
          <w:tab w:val="left" w:pos="1559"/>
          <w:tab w:val="left" w:pos="1984"/>
          <w:tab w:val="left" w:leader="dot" w:pos="7654"/>
          <w:tab w:val="right" w:pos="8929"/>
        </w:tabs>
        <w:spacing w:line="240" w:lineRule="atLeast"/>
        <w:ind w:left="1138" w:right="1138" w:firstLine="0"/>
        <w:rPr>
          <w:lang w:eastAsia="fr-FR"/>
        </w:rPr>
      </w:pPr>
      <w:r w:rsidRPr="00FF37A0">
        <w:rPr>
          <w:lang w:eastAsia="fr-FR"/>
        </w:rPr>
        <w:t xml:space="preserve">La milice Kamuina Nsapu est arrivée dans les environs de la cité de Kamonia fin mars ou début avril 2017. Comme ailleurs, </w:t>
      </w:r>
      <w:r>
        <w:rPr>
          <w:lang w:eastAsia="fr-FR"/>
        </w:rPr>
        <w:t>elle</w:t>
      </w:r>
      <w:r w:rsidRPr="00FF37A0">
        <w:rPr>
          <w:lang w:eastAsia="fr-FR"/>
        </w:rPr>
        <w:t xml:space="preserve"> a conduit des attaques contre les personnes </w:t>
      </w:r>
      <w:r>
        <w:rPr>
          <w:lang w:eastAsia="fr-FR"/>
        </w:rPr>
        <w:t>qui représentaient</w:t>
      </w:r>
      <w:r w:rsidRPr="00FF37A0">
        <w:rPr>
          <w:lang w:eastAsia="fr-FR"/>
        </w:rPr>
        <w:t xml:space="preserve"> l’autorité étatique ou </w:t>
      </w:r>
      <w:r w:rsidR="00EF45E1">
        <w:rPr>
          <w:lang w:eastAsia="fr-FR"/>
        </w:rPr>
        <w:t>considérées comme telle</w:t>
      </w:r>
      <w:r w:rsidRPr="00FF37A0">
        <w:rPr>
          <w:lang w:eastAsia="fr-FR"/>
        </w:rPr>
        <w:t xml:space="preserve">. </w:t>
      </w:r>
      <w:r>
        <w:rPr>
          <w:lang w:eastAsia="fr-FR"/>
        </w:rPr>
        <w:t>Par exemple, l</w:t>
      </w:r>
      <w:r w:rsidRPr="00FF37A0">
        <w:rPr>
          <w:lang w:eastAsia="fr-FR"/>
        </w:rPr>
        <w:t>es miliciens Kamuina Nsapu ont</w:t>
      </w:r>
      <w:r>
        <w:rPr>
          <w:lang w:eastAsia="fr-FR"/>
        </w:rPr>
        <w:t xml:space="preserve"> </w:t>
      </w:r>
      <w:r w:rsidRPr="00FF37A0">
        <w:rPr>
          <w:lang w:eastAsia="fr-FR"/>
        </w:rPr>
        <w:t>décapité au moins</w:t>
      </w:r>
      <w:r>
        <w:rPr>
          <w:lang w:eastAsia="fr-FR"/>
        </w:rPr>
        <w:t xml:space="preserve"> un</w:t>
      </w:r>
      <w:r w:rsidR="00EF45E1">
        <w:rPr>
          <w:lang w:eastAsia="fr-FR"/>
        </w:rPr>
        <w:t xml:space="preserve"> agent de la</w:t>
      </w:r>
      <w:r>
        <w:rPr>
          <w:lang w:eastAsia="fr-FR"/>
        </w:rPr>
        <w:t xml:space="preserve"> PNC,</w:t>
      </w:r>
      <w:r w:rsidRPr="00FF37A0">
        <w:rPr>
          <w:lang w:eastAsia="fr-FR"/>
        </w:rPr>
        <w:t xml:space="preserve"> un chef coutumier</w:t>
      </w:r>
      <w:r>
        <w:rPr>
          <w:lang w:eastAsia="fr-FR"/>
        </w:rPr>
        <w:t xml:space="preserve">, le </w:t>
      </w:r>
      <w:r>
        <w:t>fils</w:t>
      </w:r>
      <w:r>
        <w:rPr>
          <w:lang w:eastAsia="fr-FR"/>
        </w:rPr>
        <w:t xml:space="preserve"> d’un</w:t>
      </w:r>
      <w:r w:rsidRPr="00FF37A0">
        <w:rPr>
          <w:lang w:eastAsia="fr-FR"/>
        </w:rPr>
        <w:t xml:space="preserve"> chef de </w:t>
      </w:r>
      <w:r w:rsidRPr="00D13C1C">
        <w:rPr>
          <w:lang w:eastAsia="fr-FR"/>
        </w:rPr>
        <w:t xml:space="preserve">groupement ainsi que d’autres habitants pour collaboration avec les militaires ou appartenance supposée au </w:t>
      </w:r>
      <w:r w:rsidRPr="00FE5E8D">
        <w:rPr>
          <w:lang w:eastAsia="fr-FR"/>
        </w:rPr>
        <w:t>PPRD</w:t>
      </w:r>
      <w:r w:rsidRPr="007F1170">
        <w:rPr>
          <w:rStyle w:val="FootnoteReference"/>
        </w:rPr>
        <w:footnoteReference w:id="564"/>
      </w:r>
      <w:r w:rsidRPr="00FF37A0">
        <w:rPr>
          <w:lang w:eastAsia="fr-FR"/>
        </w:rPr>
        <w:t>. Une femme raconte que son époux, un agent de l’ANR, a été décapité par des miliciens dans le village de Tshinota où il s’était rendu pour une réunion. Le lendemain, une dizaine de miliciens Kamuina Nsapu ont frappé à la porte de sa maison à Kamonia et lui ont présenté la tête de son mari. Sept miliciens Kamuina Nsapu l’ont ensuite violé</w:t>
      </w:r>
      <w:r w:rsidR="00EF45E1">
        <w:rPr>
          <w:lang w:eastAsia="fr-FR"/>
        </w:rPr>
        <w:t>e</w:t>
      </w:r>
      <w:r w:rsidRPr="00FF37A0">
        <w:rPr>
          <w:lang w:eastAsia="fr-FR"/>
        </w:rPr>
        <w:t>. Ses deux filles de 17 et 20 ans ont également été violées, chacune par trois miliciens</w:t>
      </w:r>
      <w:r w:rsidRPr="007F1170">
        <w:rPr>
          <w:rStyle w:val="FootnoteReference"/>
        </w:rPr>
        <w:footnoteReference w:id="565"/>
      </w:r>
      <w:r w:rsidRPr="00FF37A0">
        <w:rPr>
          <w:lang w:eastAsia="fr-FR"/>
        </w:rPr>
        <w:t xml:space="preserve">. Une </w:t>
      </w:r>
      <w:r w:rsidR="00EF45E1">
        <w:rPr>
          <w:lang w:eastAsia="fr-FR"/>
        </w:rPr>
        <w:t>fille</w:t>
      </w:r>
      <w:r w:rsidRPr="00FF37A0">
        <w:rPr>
          <w:lang w:eastAsia="fr-FR"/>
        </w:rPr>
        <w:t xml:space="preserve"> de 16 ans au moment des faits explique qu’elle a été enlevé</w:t>
      </w:r>
      <w:r w:rsidR="00EF45E1">
        <w:rPr>
          <w:lang w:eastAsia="fr-FR"/>
        </w:rPr>
        <w:t>e</w:t>
      </w:r>
      <w:r w:rsidRPr="00FF37A0">
        <w:rPr>
          <w:lang w:eastAsia="fr-FR"/>
        </w:rPr>
        <w:t xml:space="preserve"> par des miliciens Kamuina Nsapu dans la cité de Kamonia avant d’être conduite à un tshiota non loin du village. Pendant trois jours, elle a dû travailler pour les miliciens mais a surtout dû, sous peine d’être battue, décapiter par trois fois des personnes capturées par les miliciens</w:t>
      </w:r>
      <w:r w:rsidRPr="007F1170">
        <w:rPr>
          <w:rStyle w:val="FootnoteReference"/>
        </w:rPr>
        <w:footnoteReference w:id="566"/>
      </w:r>
      <w:r w:rsidRPr="00FF37A0">
        <w:rPr>
          <w:lang w:eastAsia="fr-FR"/>
        </w:rPr>
        <w:t>. Elle déclare avoir assisté à la décapitation au tshiota de deux femmes, deux hommes et un garçon de 17 ans</w:t>
      </w:r>
      <w:r w:rsidRPr="007F1170">
        <w:rPr>
          <w:rStyle w:val="FootnoteReference"/>
        </w:rPr>
        <w:footnoteReference w:id="567"/>
      </w:r>
      <w:r w:rsidRPr="00FF37A0">
        <w:rPr>
          <w:lang w:eastAsia="fr-FR"/>
        </w:rPr>
        <w:t>.</w:t>
      </w:r>
      <w:r>
        <w:rPr>
          <w:lang w:eastAsia="fr-FR"/>
        </w:rPr>
        <w:t xml:space="preserve"> Dans le village de Kata Mossola, un témoin affirme avoir vu ses cinq enfants et un homme </w:t>
      </w:r>
      <w:r w:rsidR="00651768">
        <w:rPr>
          <w:lang w:eastAsia="fr-FR"/>
        </w:rPr>
        <w:t>chokwe</w:t>
      </w:r>
      <w:r>
        <w:rPr>
          <w:lang w:eastAsia="fr-FR"/>
        </w:rPr>
        <w:t xml:space="preserve"> être décapité</w:t>
      </w:r>
      <w:r w:rsidR="00EF45E1">
        <w:rPr>
          <w:lang w:eastAsia="fr-FR"/>
        </w:rPr>
        <w:t>s</w:t>
      </w:r>
      <w:r>
        <w:rPr>
          <w:lang w:eastAsia="fr-FR"/>
        </w:rPr>
        <w:t xml:space="preserve"> par des miliciens Kamuina Nsapu parce qu’ils ne parlaient </w:t>
      </w:r>
      <w:r w:rsidR="004347AC">
        <w:rPr>
          <w:lang w:eastAsia="fr-FR"/>
        </w:rPr>
        <w:t xml:space="preserve">pas </w:t>
      </w:r>
      <w:r>
        <w:rPr>
          <w:lang w:eastAsia="fr-FR"/>
        </w:rPr>
        <w:t>tshiluba. En revanche, les deux Luba</w:t>
      </w:r>
      <w:r w:rsidR="0061479D">
        <w:rPr>
          <w:lang w:eastAsia="fr-FR"/>
        </w:rPr>
        <w:t>s</w:t>
      </w:r>
      <w:r>
        <w:rPr>
          <w:lang w:eastAsia="fr-FR"/>
        </w:rPr>
        <w:t xml:space="preserve"> qui se trouvaient avec eux ont eu la vie sauve et se sont vu remettre des vêtements rouges</w:t>
      </w:r>
      <w:r w:rsidRPr="007F1170">
        <w:rPr>
          <w:rStyle w:val="FootnoteReference"/>
        </w:rPr>
        <w:footnoteReference w:id="568"/>
      </w:r>
      <w:r w:rsidR="00EF45E1">
        <w:rPr>
          <w:lang w:eastAsia="fr-FR"/>
        </w:rPr>
        <w:t>.</w:t>
      </w:r>
    </w:p>
    <w:p w14:paraId="7692D8F6" w14:textId="280CBFEA" w:rsidR="00AB33F7" w:rsidRDefault="00AB33F7" w:rsidP="00E33BE6">
      <w:pPr>
        <w:pStyle w:val="BodyText"/>
        <w:tabs>
          <w:tab w:val="left" w:pos="1559"/>
          <w:tab w:val="left" w:pos="1984"/>
          <w:tab w:val="left" w:leader="dot" w:pos="7654"/>
          <w:tab w:val="right" w:pos="8929"/>
        </w:tabs>
        <w:spacing w:line="240" w:lineRule="atLeast"/>
        <w:ind w:left="1138" w:right="1138" w:firstLine="0"/>
      </w:pPr>
      <w:r w:rsidRPr="00096EF1">
        <w:rPr>
          <w:lang w:eastAsia="fr-FR"/>
        </w:rPr>
        <w:t xml:space="preserve">L’arrivée de la milice </w:t>
      </w:r>
      <w:r w:rsidR="003A7BBD">
        <w:rPr>
          <w:lang w:eastAsia="fr-FR"/>
        </w:rPr>
        <w:t>à proximité</w:t>
      </w:r>
      <w:r w:rsidR="003A7BBD" w:rsidRPr="00096EF1">
        <w:rPr>
          <w:lang w:eastAsia="fr-FR"/>
        </w:rPr>
        <w:t xml:space="preserve"> </w:t>
      </w:r>
      <w:r w:rsidRPr="00096EF1">
        <w:rPr>
          <w:lang w:eastAsia="fr-FR"/>
        </w:rPr>
        <w:t xml:space="preserve">de la cité de Kamonia a conduit des habitants </w:t>
      </w:r>
      <w:r w:rsidR="00651768">
        <w:rPr>
          <w:lang w:eastAsia="fr-FR"/>
        </w:rPr>
        <w:t>Chokwe</w:t>
      </w:r>
      <w:r w:rsidRPr="00096EF1">
        <w:rPr>
          <w:lang w:eastAsia="fr-FR"/>
        </w:rPr>
        <w:t>, ainsi que quelques Pende</w:t>
      </w:r>
      <w:r w:rsidR="00366883">
        <w:rPr>
          <w:lang w:eastAsia="fr-FR"/>
        </w:rPr>
        <w:t>s</w:t>
      </w:r>
      <w:r w:rsidRPr="00096EF1">
        <w:rPr>
          <w:lang w:eastAsia="fr-FR"/>
        </w:rPr>
        <w:t xml:space="preserve"> et Tet</w:t>
      </w:r>
      <w:r w:rsidR="00A00A7A">
        <w:rPr>
          <w:lang w:eastAsia="fr-FR"/>
        </w:rPr>
        <w:t>e</w:t>
      </w:r>
      <w:r w:rsidRPr="00096EF1">
        <w:rPr>
          <w:lang w:eastAsia="fr-FR"/>
        </w:rPr>
        <w:t>la</w:t>
      </w:r>
      <w:r w:rsidR="00366883">
        <w:rPr>
          <w:lang w:eastAsia="fr-FR"/>
        </w:rPr>
        <w:t>s</w:t>
      </w:r>
      <w:r w:rsidRPr="00096EF1">
        <w:rPr>
          <w:lang w:eastAsia="fr-FR"/>
        </w:rPr>
        <w:t xml:space="preserve"> de la cité et des environs, à s’organiser en milices Bana Mura. Les milices Bana Mura se sont formées à Kamonia sous l’impulsion de plusieurs chefs locaux </w:t>
      </w:r>
      <w:r w:rsidR="00651768">
        <w:rPr>
          <w:lang w:eastAsia="fr-FR"/>
        </w:rPr>
        <w:t>chokwe</w:t>
      </w:r>
      <w:r w:rsidR="004A163E">
        <w:rPr>
          <w:lang w:eastAsia="fr-FR"/>
        </w:rPr>
        <w:t>s</w:t>
      </w:r>
      <w:r w:rsidRPr="00096EF1">
        <w:rPr>
          <w:lang w:eastAsia="fr-FR"/>
        </w:rPr>
        <w:t>, dont un ancien député national</w:t>
      </w:r>
      <w:r w:rsidRPr="007F1170">
        <w:rPr>
          <w:rStyle w:val="FootnoteReference"/>
        </w:rPr>
        <w:footnoteReference w:id="569"/>
      </w:r>
      <w:r w:rsidRPr="00096EF1">
        <w:rPr>
          <w:lang w:eastAsia="fr-FR"/>
        </w:rPr>
        <w:t>. Les miliciens Bana Mura de Kamonia étaient de jeune</w:t>
      </w:r>
      <w:r w:rsidR="00E90C08">
        <w:rPr>
          <w:lang w:eastAsia="fr-FR"/>
        </w:rPr>
        <w:t>s</w:t>
      </w:r>
      <w:r w:rsidRPr="00096EF1">
        <w:rPr>
          <w:lang w:eastAsia="fr-FR"/>
        </w:rPr>
        <w:t xml:space="preserve"> hommes de l’ethnie </w:t>
      </w:r>
      <w:r w:rsidR="00651768">
        <w:rPr>
          <w:lang w:eastAsia="fr-FR"/>
        </w:rPr>
        <w:t>chokwe</w:t>
      </w:r>
      <w:r w:rsidRPr="00096EF1">
        <w:rPr>
          <w:lang w:eastAsia="fr-FR"/>
        </w:rPr>
        <w:t xml:space="preserve">, parfois </w:t>
      </w:r>
      <w:r w:rsidR="004A163E">
        <w:rPr>
          <w:lang w:eastAsia="fr-FR"/>
        </w:rPr>
        <w:t>p</w:t>
      </w:r>
      <w:r w:rsidRPr="00096EF1">
        <w:rPr>
          <w:lang w:eastAsia="fr-FR"/>
        </w:rPr>
        <w:t>ende, habillés en civils et armés de fusils de chasse souvent décrits comme neufs</w:t>
      </w:r>
      <w:r w:rsidRPr="007F1170">
        <w:rPr>
          <w:rStyle w:val="FootnoteReference"/>
        </w:rPr>
        <w:footnoteReference w:id="570"/>
      </w:r>
      <w:r w:rsidRPr="00096EF1">
        <w:rPr>
          <w:lang w:eastAsia="fr-FR"/>
        </w:rPr>
        <w:t>. Ils ont commencé à s’organiser fin mars ou début avril 2017 encouragé</w:t>
      </w:r>
      <w:r w:rsidR="003A7BBD">
        <w:rPr>
          <w:lang w:eastAsia="fr-FR"/>
        </w:rPr>
        <w:t>s</w:t>
      </w:r>
      <w:r w:rsidRPr="00096EF1">
        <w:rPr>
          <w:lang w:eastAsia="fr-FR"/>
        </w:rPr>
        <w:t xml:space="preserve"> par un Colonel de la PNC basé à Kamonia</w:t>
      </w:r>
      <w:r w:rsidRPr="007F1170">
        <w:rPr>
          <w:rStyle w:val="FootnoteReference"/>
        </w:rPr>
        <w:footnoteReference w:id="571"/>
      </w:r>
      <w:r w:rsidRPr="00096EF1">
        <w:rPr>
          <w:lang w:eastAsia="fr-FR"/>
        </w:rPr>
        <w:t xml:space="preserve">. Plusieurs témoins mentionnent la tenue de réunions entre les miliciens Bana Mura et </w:t>
      </w:r>
      <w:r w:rsidR="003A7BBD">
        <w:rPr>
          <w:lang w:eastAsia="fr-FR"/>
        </w:rPr>
        <w:t>c</w:t>
      </w:r>
      <w:r w:rsidR="003A7BBD" w:rsidRPr="00096EF1">
        <w:rPr>
          <w:lang w:eastAsia="fr-FR"/>
        </w:rPr>
        <w:t xml:space="preserve">e </w:t>
      </w:r>
      <w:r w:rsidRPr="00096EF1">
        <w:rPr>
          <w:lang w:eastAsia="fr-FR"/>
        </w:rPr>
        <w:t>colonel de la PNC</w:t>
      </w:r>
      <w:r w:rsidRPr="007F1170">
        <w:rPr>
          <w:rStyle w:val="FootnoteReference"/>
        </w:rPr>
        <w:footnoteReference w:id="572"/>
      </w:r>
      <w:r w:rsidRPr="00096EF1">
        <w:rPr>
          <w:lang w:eastAsia="fr-FR"/>
        </w:rPr>
        <w:t xml:space="preserve">. </w:t>
      </w:r>
      <w:r w:rsidRPr="004347AC">
        <w:rPr>
          <w:lang w:eastAsia="fr-FR"/>
        </w:rPr>
        <w:t>Un témoin affirme que les armes des miliciens Bana Mura ont été distribué</w:t>
      </w:r>
      <w:r w:rsidR="003A7BBD" w:rsidRPr="004347AC">
        <w:rPr>
          <w:lang w:eastAsia="fr-FR"/>
        </w:rPr>
        <w:t>es</w:t>
      </w:r>
      <w:r w:rsidRPr="004347AC">
        <w:rPr>
          <w:lang w:eastAsia="fr-FR"/>
        </w:rPr>
        <w:t xml:space="preserve"> par </w:t>
      </w:r>
      <w:r w:rsidR="003A7BBD" w:rsidRPr="004347AC">
        <w:rPr>
          <w:lang w:eastAsia="fr-FR"/>
        </w:rPr>
        <w:t xml:space="preserve">ce </w:t>
      </w:r>
      <w:r w:rsidRPr="004347AC">
        <w:rPr>
          <w:lang w:eastAsia="fr-FR"/>
        </w:rPr>
        <w:t>colonel, information confirmée par d’autres sources secondaires</w:t>
      </w:r>
      <w:r w:rsidRPr="007F1170">
        <w:rPr>
          <w:rStyle w:val="FootnoteReference"/>
        </w:rPr>
        <w:footnoteReference w:id="573"/>
      </w:r>
      <w:r w:rsidRPr="004347AC">
        <w:rPr>
          <w:lang w:eastAsia="fr-FR"/>
        </w:rPr>
        <w:t>.</w:t>
      </w:r>
      <w:r w:rsidRPr="00096EF1">
        <w:rPr>
          <w:lang w:eastAsia="fr-FR"/>
        </w:rPr>
        <w:t xml:space="preserve"> De plus, u</w:t>
      </w:r>
      <w:r w:rsidRPr="00096EF1">
        <w:t xml:space="preserve">n témoin explique avoir vu le Colonel de la PNC remettre des </w:t>
      </w:r>
      <w:r w:rsidR="000F2C44">
        <w:t>munitions</w:t>
      </w:r>
      <w:r w:rsidRPr="00096EF1">
        <w:t xml:space="preserve"> de calibre 12 au </w:t>
      </w:r>
      <w:r w:rsidRPr="00096EF1">
        <w:rPr>
          <w:lang w:eastAsia="fr-FR"/>
        </w:rPr>
        <w:t>chef du groupement de Mpumpu. Le même soir de nombreux Luba</w:t>
      </w:r>
      <w:r w:rsidR="0061479D">
        <w:rPr>
          <w:lang w:eastAsia="fr-FR"/>
        </w:rPr>
        <w:t>s</w:t>
      </w:r>
      <w:r w:rsidRPr="00096EF1">
        <w:rPr>
          <w:lang w:eastAsia="fr-FR"/>
        </w:rPr>
        <w:t xml:space="preserve"> sont arrivés à Kamonia suite à des attaques dans le groupement</w:t>
      </w:r>
      <w:r w:rsidRPr="007F1170">
        <w:rPr>
          <w:rStyle w:val="FootnoteReference"/>
        </w:rPr>
        <w:footnoteReference w:id="574"/>
      </w:r>
      <w:r w:rsidRPr="00096EF1">
        <w:rPr>
          <w:lang w:eastAsia="fr-FR"/>
        </w:rPr>
        <w:t xml:space="preserve">. </w:t>
      </w:r>
      <w:r w:rsidR="003A7BBD">
        <w:rPr>
          <w:lang w:eastAsia="fr-FR"/>
        </w:rPr>
        <w:t>L</w:t>
      </w:r>
      <w:r w:rsidRPr="00096EF1">
        <w:rPr>
          <w:lang w:eastAsia="fr-FR"/>
        </w:rPr>
        <w:t xml:space="preserve">orsque les miliciens Kamuina Nsapu ont fait des incursions dans la cité de Kamonia, les miliciens Bana Mura étaient associés </w:t>
      </w:r>
      <w:r w:rsidR="003A7BBD">
        <w:rPr>
          <w:lang w:eastAsia="fr-FR"/>
        </w:rPr>
        <w:t xml:space="preserve">aux </w:t>
      </w:r>
      <w:r w:rsidR="003A7BBD" w:rsidRPr="00096EF1">
        <w:rPr>
          <w:lang w:eastAsia="fr-FR"/>
        </w:rPr>
        <w:t xml:space="preserve">forces de défense et de sécurité </w:t>
      </w:r>
      <w:r w:rsidR="003A7BBD">
        <w:rPr>
          <w:lang w:eastAsia="fr-FR"/>
        </w:rPr>
        <w:t xml:space="preserve">et </w:t>
      </w:r>
      <w:r w:rsidRPr="00096EF1">
        <w:rPr>
          <w:lang w:eastAsia="fr-FR"/>
        </w:rPr>
        <w:t xml:space="preserve">ont combattu avec </w:t>
      </w:r>
      <w:r w:rsidR="003A7BBD">
        <w:rPr>
          <w:lang w:eastAsia="fr-FR"/>
        </w:rPr>
        <w:t>elles</w:t>
      </w:r>
      <w:r w:rsidRPr="00096EF1">
        <w:rPr>
          <w:lang w:eastAsia="fr-FR"/>
        </w:rPr>
        <w:t xml:space="preserve">. Un milicien Bana Mura explique qu’au moment des affrontements entre d’un côté les miliciens Kamuina Nsapu et les forces de défense et de sécurité et les milices Bana Mura de l’autre, le Colonel de la PNC de Kamonia a réuni les miliciens Bana Mura et les forces de défense et de sécurité au bureau des FARDC </w:t>
      </w:r>
      <w:r>
        <w:rPr>
          <w:lang w:eastAsia="fr-FR"/>
        </w:rPr>
        <w:t>pour accomplir</w:t>
      </w:r>
      <w:r w:rsidRPr="00096EF1">
        <w:rPr>
          <w:lang w:eastAsia="fr-FR"/>
        </w:rPr>
        <w:t xml:space="preserve"> un rituel avant d’aller affronter ensemble les miliciens Kamuina Nsapu</w:t>
      </w:r>
      <w:r w:rsidRPr="007F1170">
        <w:rPr>
          <w:rStyle w:val="FootnoteReference"/>
        </w:rPr>
        <w:footnoteReference w:id="575"/>
      </w:r>
      <w:r w:rsidRPr="00096EF1">
        <w:rPr>
          <w:lang w:eastAsia="fr-FR"/>
        </w:rPr>
        <w:t>.</w:t>
      </w:r>
    </w:p>
    <w:p w14:paraId="7A9A5D6F" w14:textId="16E7E4C2" w:rsidR="00AB33F7" w:rsidRPr="00726A5D" w:rsidRDefault="00AB33F7" w:rsidP="00E33BE6">
      <w:pPr>
        <w:pStyle w:val="BodyText"/>
        <w:tabs>
          <w:tab w:val="left" w:pos="1559"/>
          <w:tab w:val="left" w:pos="1984"/>
          <w:tab w:val="left" w:leader="dot" w:pos="7654"/>
          <w:tab w:val="right" w:pos="8929"/>
        </w:tabs>
        <w:spacing w:line="240" w:lineRule="atLeast"/>
        <w:ind w:left="1138" w:right="1138" w:firstLine="0"/>
        <w:rPr>
          <w:lang w:eastAsia="fr-FR"/>
        </w:rPr>
      </w:pPr>
      <w:r w:rsidRPr="00096EF1">
        <w:rPr>
          <w:lang w:eastAsia="fr-FR"/>
        </w:rPr>
        <w:t>Les miliciens Kamuina Nsapu ont fait leur première incursion dans la cité de Kamonia autour du 10-11 avril 2017</w:t>
      </w:r>
      <w:r w:rsidR="003A7BBD">
        <w:rPr>
          <w:lang w:eastAsia="fr-FR"/>
        </w:rPr>
        <w:t> ; d’autres</w:t>
      </w:r>
      <w:r w:rsidRPr="00096EF1">
        <w:rPr>
          <w:lang w:eastAsia="fr-FR"/>
        </w:rPr>
        <w:t xml:space="preserve"> incursions </w:t>
      </w:r>
      <w:r w:rsidR="003A7BBD">
        <w:rPr>
          <w:lang w:eastAsia="fr-FR"/>
        </w:rPr>
        <w:t xml:space="preserve">ont eu lieu </w:t>
      </w:r>
      <w:r w:rsidRPr="00096EF1">
        <w:rPr>
          <w:lang w:eastAsia="fr-FR"/>
        </w:rPr>
        <w:t>les jours suivants. Plusieurs affrontements ont eu lieu dans la cité de Kamonia entre d’un côté les miliciens Kamuina Nsapu, y compris des enfants non-armés ou en possession de bâtons, et de l’autre, les forces de défense et de sécurité et des miliciens Bana Mura</w:t>
      </w:r>
      <w:r w:rsidRPr="007F1170">
        <w:rPr>
          <w:rStyle w:val="FootnoteReference"/>
        </w:rPr>
        <w:footnoteReference w:id="576"/>
      </w:r>
      <w:r w:rsidRPr="00096EF1">
        <w:rPr>
          <w:lang w:eastAsia="fr-FR"/>
        </w:rPr>
        <w:t>. Le 11 avril 2017, huit ou neuf miliciens Kamui</w:t>
      </w:r>
      <w:r>
        <w:rPr>
          <w:lang w:eastAsia="fr-FR"/>
        </w:rPr>
        <w:t>na Nsapu, y compris des enfants</w:t>
      </w:r>
      <w:r w:rsidRPr="00096EF1">
        <w:rPr>
          <w:lang w:eastAsia="fr-FR"/>
        </w:rPr>
        <w:t xml:space="preserve"> en possession de bâtons</w:t>
      </w:r>
      <w:r>
        <w:rPr>
          <w:lang w:eastAsia="fr-FR"/>
        </w:rPr>
        <w:t>,</w:t>
      </w:r>
      <w:r w:rsidRPr="00096EF1">
        <w:rPr>
          <w:lang w:eastAsia="fr-FR"/>
        </w:rPr>
        <w:t xml:space="preserve"> qui venaient d’entrer dans la cité</w:t>
      </w:r>
      <w:r>
        <w:rPr>
          <w:lang w:eastAsia="fr-FR"/>
        </w:rPr>
        <w:t>,</w:t>
      </w:r>
      <w:r w:rsidRPr="00096EF1">
        <w:rPr>
          <w:lang w:eastAsia="fr-FR"/>
        </w:rPr>
        <w:t xml:space="preserve"> ont été tué</w:t>
      </w:r>
      <w:r w:rsidR="003A7BBD">
        <w:rPr>
          <w:lang w:eastAsia="fr-FR"/>
        </w:rPr>
        <w:t>s</w:t>
      </w:r>
      <w:r w:rsidRPr="00096EF1">
        <w:rPr>
          <w:lang w:eastAsia="fr-FR"/>
        </w:rPr>
        <w:t xml:space="preserve"> par arme à feu par les forces de défense et de sécurité et des miliciens Bana Mur</w:t>
      </w:r>
      <w:r w:rsidR="000F2C44">
        <w:rPr>
          <w:lang w:eastAsia="fr-FR"/>
        </w:rPr>
        <w:t>a en face d’un comptoir d’achat</w:t>
      </w:r>
      <w:r w:rsidRPr="00096EF1">
        <w:rPr>
          <w:lang w:eastAsia="fr-FR"/>
        </w:rPr>
        <w:t xml:space="preserve"> de diamants</w:t>
      </w:r>
      <w:r w:rsidRPr="007F1170">
        <w:rPr>
          <w:rStyle w:val="FootnoteReference"/>
        </w:rPr>
        <w:footnoteReference w:id="577"/>
      </w:r>
      <w:r w:rsidRPr="00096EF1">
        <w:rPr>
          <w:lang w:eastAsia="fr-FR"/>
        </w:rPr>
        <w:t xml:space="preserve">. Quelques jours plus tard, des </w:t>
      </w:r>
      <w:r w:rsidR="003A7BBD">
        <w:rPr>
          <w:lang w:eastAsia="fr-FR"/>
        </w:rPr>
        <w:t>affrontements</w:t>
      </w:r>
      <w:r w:rsidR="003A7BBD" w:rsidRPr="00096EF1">
        <w:rPr>
          <w:lang w:eastAsia="fr-FR"/>
        </w:rPr>
        <w:t xml:space="preserve"> </w:t>
      </w:r>
      <w:r w:rsidRPr="00096EF1">
        <w:rPr>
          <w:lang w:eastAsia="fr-FR"/>
        </w:rPr>
        <w:t>d</w:t>
      </w:r>
      <w:r w:rsidR="003A7BBD">
        <w:rPr>
          <w:lang w:eastAsia="fr-FR"/>
        </w:rPr>
        <w:t>’une</w:t>
      </w:r>
      <w:r w:rsidRPr="00096EF1">
        <w:rPr>
          <w:lang w:eastAsia="fr-FR"/>
        </w:rPr>
        <w:t xml:space="preserve"> plus grande ampleur</w:t>
      </w:r>
      <w:r>
        <w:rPr>
          <w:lang w:eastAsia="fr-FR"/>
        </w:rPr>
        <w:t>,</w:t>
      </w:r>
      <w:r w:rsidRPr="00096EF1">
        <w:rPr>
          <w:lang w:eastAsia="fr-FR"/>
        </w:rPr>
        <w:t xml:space="preserve"> qui ont duré trois jours</w:t>
      </w:r>
      <w:r>
        <w:rPr>
          <w:lang w:eastAsia="fr-FR"/>
        </w:rPr>
        <w:t>,</w:t>
      </w:r>
      <w:r w:rsidRPr="00096EF1">
        <w:rPr>
          <w:lang w:eastAsia="fr-FR"/>
        </w:rPr>
        <w:t xml:space="preserve"> ont eu lieu dans la cité. Un témoin a vu les cadavres de 35 miliciens tués dont des femmes</w:t>
      </w:r>
      <w:r>
        <w:rPr>
          <w:lang w:eastAsia="fr-FR"/>
        </w:rPr>
        <w:t xml:space="preserve"> et des enfants</w:t>
      </w:r>
      <w:r w:rsidRPr="00096EF1">
        <w:rPr>
          <w:lang w:eastAsia="fr-FR"/>
        </w:rPr>
        <w:t>. Il ajoute qu’il y avait également des victimes dans la population, y compris des enfants, surpris par les affrontements</w:t>
      </w:r>
      <w:r w:rsidRPr="007F1170">
        <w:rPr>
          <w:rStyle w:val="FootnoteReference"/>
        </w:rPr>
        <w:footnoteReference w:id="578"/>
      </w:r>
      <w:r w:rsidRPr="00096EF1">
        <w:rPr>
          <w:lang w:eastAsia="fr-FR"/>
        </w:rPr>
        <w:t xml:space="preserve">. </w:t>
      </w:r>
      <w:r>
        <w:rPr>
          <w:lang w:eastAsia="fr-FR"/>
        </w:rPr>
        <w:t>Cette estimation</w:t>
      </w:r>
      <w:r w:rsidRPr="00096EF1">
        <w:rPr>
          <w:lang w:eastAsia="fr-FR"/>
        </w:rPr>
        <w:t xml:space="preserve"> est confirmé</w:t>
      </w:r>
      <w:r>
        <w:rPr>
          <w:lang w:eastAsia="fr-FR"/>
        </w:rPr>
        <w:t>e</w:t>
      </w:r>
      <w:r w:rsidRPr="00096EF1">
        <w:rPr>
          <w:lang w:eastAsia="fr-FR"/>
        </w:rPr>
        <w:t xml:space="preserve"> par trois témoins</w:t>
      </w:r>
      <w:r w:rsidRPr="007F1170">
        <w:rPr>
          <w:rStyle w:val="FootnoteReference"/>
        </w:rPr>
        <w:footnoteReference w:id="579"/>
      </w:r>
      <w:r>
        <w:rPr>
          <w:lang w:eastAsia="fr-FR"/>
        </w:rPr>
        <w:t>.</w:t>
      </w:r>
      <w:r w:rsidRPr="00096EF1">
        <w:rPr>
          <w:lang w:eastAsia="fr-FR"/>
        </w:rPr>
        <w:t xml:space="preserve"> Un autre témoin indique avoir vu le corps de 28 miliciens Kamuina Nsapu tués ce jour-là</w:t>
      </w:r>
      <w:r w:rsidRPr="007F1170">
        <w:rPr>
          <w:rStyle w:val="FootnoteReference"/>
        </w:rPr>
        <w:footnoteReference w:id="580"/>
      </w:r>
      <w:r w:rsidRPr="00096EF1">
        <w:rPr>
          <w:lang w:eastAsia="fr-FR"/>
        </w:rPr>
        <w:t xml:space="preserve">. </w:t>
      </w:r>
      <w:r>
        <w:rPr>
          <w:lang w:eastAsia="fr-FR"/>
        </w:rPr>
        <w:t>Selon un autre témoin,</w:t>
      </w:r>
      <w:r w:rsidRPr="00096EF1">
        <w:rPr>
          <w:lang w:eastAsia="fr-FR"/>
        </w:rPr>
        <w:t xml:space="preserve"> 18 corps de miliciens Kamuina Nsapu ont été comptabilisés devant la Direction générale des impôts de Kamonia </w:t>
      </w:r>
      <w:r>
        <w:rPr>
          <w:lang w:eastAsia="fr-FR"/>
        </w:rPr>
        <w:t xml:space="preserve">mais il indique que </w:t>
      </w:r>
      <w:r w:rsidRPr="00096EF1">
        <w:rPr>
          <w:lang w:eastAsia="fr-FR"/>
        </w:rPr>
        <w:t>d’autres</w:t>
      </w:r>
      <w:r>
        <w:rPr>
          <w:lang w:eastAsia="fr-FR"/>
        </w:rPr>
        <w:t xml:space="preserve"> </w:t>
      </w:r>
      <w:r w:rsidR="005B1D1D">
        <w:rPr>
          <w:lang w:eastAsia="fr-FR"/>
        </w:rPr>
        <w:t xml:space="preserve">affrontements </w:t>
      </w:r>
      <w:r w:rsidR="003A7BBD">
        <w:rPr>
          <w:lang w:eastAsia="fr-FR"/>
        </w:rPr>
        <w:t xml:space="preserve">ont </w:t>
      </w:r>
      <w:r>
        <w:rPr>
          <w:lang w:eastAsia="fr-FR"/>
        </w:rPr>
        <w:t>eu lieu dans d’autres</w:t>
      </w:r>
      <w:r w:rsidRPr="00096EF1">
        <w:rPr>
          <w:lang w:eastAsia="fr-FR"/>
        </w:rPr>
        <w:t xml:space="preserve"> </w:t>
      </w:r>
      <w:r>
        <w:rPr>
          <w:lang w:eastAsia="fr-FR"/>
        </w:rPr>
        <w:t xml:space="preserve">quartiers </w:t>
      </w:r>
      <w:r w:rsidRPr="00096EF1">
        <w:rPr>
          <w:lang w:eastAsia="fr-FR"/>
        </w:rPr>
        <w:t>de la cité</w:t>
      </w:r>
      <w:r w:rsidRPr="007F1170">
        <w:rPr>
          <w:rStyle w:val="FootnoteReference"/>
        </w:rPr>
        <w:footnoteReference w:id="581"/>
      </w:r>
      <w:r w:rsidRPr="00096EF1">
        <w:rPr>
          <w:lang w:eastAsia="fr-FR"/>
        </w:rPr>
        <w:t xml:space="preserve">. Un témoin </w:t>
      </w:r>
      <w:r>
        <w:rPr>
          <w:lang w:eastAsia="fr-FR"/>
        </w:rPr>
        <w:t>décrit</w:t>
      </w:r>
      <w:r w:rsidRPr="00096EF1">
        <w:rPr>
          <w:lang w:eastAsia="fr-FR"/>
        </w:rPr>
        <w:t xml:space="preserve"> avoir vu un</w:t>
      </w:r>
      <w:r w:rsidR="003A7BBD">
        <w:rPr>
          <w:lang w:eastAsia="fr-FR"/>
        </w:rPr>
        <w:t>e</w:t>
      </w:r>
      <w:r w:rsidRPr="00096EF1">
        <w:rPr>
          <w:lang w:eastAsia="fr-FR"/>
        </w:rPr>
        <w:t xml:space="preserve"> trentaine de miliciens Kamuina Nsapu affronter les forces de défense et de sécurité et avoir vu au moins 15 cadavres, pour la plupart des miliciens Kamuina Nsapu, y compris des enfants </w:t>
      </w:r>
      <w:r w:rsidR="009F4962">
        <w:rPr>
          <w:lang w:eastAsia="fr-FR"/>
        </w:rPr>
        <w:t xml:space="preserve">âgés </w:t>
      </w:r>
      <w:r w:rsidRPr="00096EF1">
        <w:rPr>
          <w:lang w:eastAsia="fr-FR"/>
        </w:rPr>
        <w:t>de 10 ans</w:t>
      </w:r>
      <w:r w:rsidRPr="007F1170">
        <w:rPr>
          <w:rStyle w:val="FootnoteReference"/>
        </w:rPr>
        <w:footnoteReference w:id="582"/>
      </w:r>
      <w:r w:rsidRPr="00096EF1">
        <w:rPr>
          <w:lang w:eastAsia="fr-FR"/>
        </w:rPr>
        <w:t>. Les corps</w:t>
      </w:r>
      <w:r>
        <w:rPr>
          <w:lang w:eastAsia="fr-FR"/>
        </w:rPr>
        <w:t xml:space="preserve"> des victimes des affrontements</w:t>
      </w:r>
      <w:r w:rsidRPr="00096EF1">
        <w:rPr>
          <w:lang w:eastAsia="fr-FR"/>
        </w:rPr>
        <w:t xml:space="preserve"> ont été enterrés par la Croix-Rouge</w:t>
      </w:r>
      <w:r w:rsidR="00FA2F05">
        <w:rPr>
          <w:lang w:eastAsia="fr-FR"/>
        </w:rPr>
        <w:t xml:space="preserve"> congolaise</w:t>
      </w:r>
      <w:r w:rsidRPr="00096EF1">
        <w:rPr>
          <w:lang w:eastAsia="fr-FR"/>
        </w:rPr>
        <w:t xml:space="preserve"> dans des fosses communes</w:t>
      </w:r>
      <w:r w:rsidRPr="007F1170">
        <w:rPr>
          <w:rStyle w:val="FootnoteReference"/>
        </w:rPr>
        <w:footnoteReference w:id="583"/>
      </w:r>
      <w:r w:rsidRPr="00096EF1">
        <w:rPr>
          <w:lang w:eastAsia="fr-FR"/>
        </w:rPr>
        <w:t>.</w:t>
      </w:r>
      <w:r>
        <w:rPr>
          <w:lang w:eastAsia="fr-FR"/>
        </w:rPr>
        <w:t xml:space="preserve"> </w:t>
      </w:r>
      <w:r w:rsidRPr="00096EF1">
        <w:rPr>
          <w:lang w:eastAsia="fr-FR"/>
        </w:rPr>
        <w:t xml:space="preserve">Des éléments des forces de défense et de sécurité ont également trouvé la mort </w:t>
      </w:r>
      <w:r w:rsidR="004740DC">
        <w:rPr>
          <w:lang w:eastAsia="fr-FR"/>
        </w:rPr>
        <w:t>lors de</w:t>
      </w:r>
      <w:r w:rsidR="004740DC" w:rsidRPr="00096EF1">
        <w:rPr>
          <w:lang w:eastAsia="fr-FR"/>
        </w:rPr>
        <w:t xml:space="preserve"> </w:t>
      </w:r>
      <w:r w:rsidRPr="00096EF1">
        <w:rPr>
          <w:lang w:eastAsia="fr-FR"/>
        </w:rPr>
        <w:t xml:space="preserve">ces </w:t>
      </w:r>
      <w:r w:rsidR="004740DC">
        <w:rPr>
          <w:lang w:eastAsia="fr-FR"/>
        </w:rPr>
        <w:t>affrontements</w:t>
      </w:r>
      <w:r w:rsidRPr="007F1170">
        <w:rPr>
          <w:rStyle w:val="FootnoteReference"/>
        </w:rPr>
        <w:footnoteReference w:id="584"/>
      </w:r>
      <w:r w:rsidRPr="00096EF1">
        <w:rPr>
          <w:lang w:eastAsia="fr-FR"/>
        </w:rPr>
        <w:t>.</w:t>
      </w:r>
    </w:p>
    <w:p w14:paraId="0EFF6623" w14:textId="4E597E0C" w:rsidR="00AB33F7" w:rsidRDefault="00AB33F7" w:rsidP="00E33BE6">
      <w:pPr>
        <w:pStyle w:val="BodyText"/>
        <w:tabs>
          <w:tab w:val="left" w:pos="1559"/>
          <w:tab w:val="left" w:pos="1984"/>
          <w:tab w:val="left" w:leader="dot" w:pos="7654"/>
          <w:tab w:val="right" w:pos="8929"/>
        </w:tabs>
        <w:spacing w:line="240" w:lineRule="atLeast"/>
        <w:ind w:left="1138" w:right="1138" w:firstLine="0"/>
        <w:rPr>
          <w:lang w:eastAsia="fr-FR"/>
        </w:rPr>
      </w:pPr>
      <w:r w:rsidRPr="00726A5D">
        <w:rPr>
          <w:lang w:eastAsia="fr-FR"/>
        </w:rPr>
        <w:t xml:space="preserve">A la même période, les miliciens Bana Mura ont commencé à s’attaquer </w:t>
      </w:r>
      <w:r w:rsidR="00092EA1">
        <w:rPr>
          <w:lang w:eastAsia="fr-FR"/>
        </w:rPr>
        <w:t>aux</w:t>
      </w:r>
      <w:r w:rsidRPr="00726A5D">
        <w:rPr>
          <w:lang w:eastAsia="fr-FR"/>
        </w:rPr>
        <w:t xml:space="preserve"> population</w:t>
      </w:r>
      <w:r w:rsidR="00092EA1">
        <w:rPr>
          <w:lang w:eastAsia="fr-FR"/>
        </w:rPr>
        <w:t>s</w:t>
      </w:r>
      <w:r w:rsidRPr="00726A5D">
        <w:rPr>
          <w:lang w:eastAsia="fr-FR"/>
        </w:rPr>
        <w:t xml:space="preserve"> </w:t>
      </w:r>
      <w:r w:rsidR="0061479D">
        <w:rPr>
          <w:lang w:eastAsia="fr-FR"/>
        </w:rPr>
        <w:t>l</w:t>
      </w:r>
      <w:r w:rsidRPr="00726A5D">
        <w:rPr>
          <w:lang w:eastAsia="fr-FR"/>
        </w:rPr>
        <w:t>uba</w:t>
      </w:r>
      <w:r w:rsidR="008844A4">
        <w:rPr>
          <w:lang w:eastAsia="fr-FR"/>
        </w:rPr>
        <w:t>s</w:t>
      </w:r>
      <w:r w:rsidRPr="00726A5D">
        <w:rPr>
          <w:lang w:eastAsia="fr-FR"/>
        </w:rPr>
        <w:t xml:space="preserve"> et </w:t>
      </w:r>
      <w:r w:rsidR="0061479D">
        <w:rPr>
          <w:lang w:eastAsia="fr-FR"/>
        </w:rPr>
        <w:t>b</w:t>
      </w:r>
      <w:r w:rsidR="0061479D" w:rsidRPr="00726A5D">
        <w:rPr>
          <w:lang w:eastAsia="fr-FR"/>
        </w:rPr>
        <w:t>indi</w:t>
      </w:r>
      <w:r w:rsidR="008844A4">
        <w:rPr>
          <w:lang w:eastAsia="fr-FR"/>
        </w:rPr>
        <w:t>s</w:t>
      </w:r>
      <w:r w:rsidR="0061479D" w:rsidRPr="00726A5D">
        <w:rPr>
          <w:lang w:eastAsia="fr-FR"/>
        </w:rPr>
        <w:t xml:space="preserve"> </w:t>
      </w:r>
      <w:r w:rsidRPr="00726A5D">
        <w:rPr>
          <w:lang w:eastAsia="fr-FR"/>
        </w:rPr>
        <w:t>de la cité de Kamonia et à commettre des exactions à leur encontre</w:t>
      </w:r>
      <w:r w:rsidRPr="007F1170">
        <w:rPr>
          <w:rStyle w:val="FootnoteReference"/>
        </w:rPr>
        <w:footnoteReference w:id="585"/>
      </w:r>
      <w:r w:rsidRPr="00726A5D">
        <w:rPr>
          <w:lang w:eastAsia="fr-FR"/>
        </w:rPr>
        <w:t xml:space="preserve">. D’après les témoignages </w:t>
      </w:r>
      <w:r w:rsidR="00092EA1">
        <w:rPr>
          <w:lang w:eastAsia="fr-FR"/>
        </w:rPr>
        <w:t>collectés</w:t>
      </w:r>
      <w:r w:rsidR="00092EA1" w:rsidRPr="00726A5D">
        <w:rPr>
          <w:lang w:eastAsia="fr-FR"/>
        </w:rPr>
        <w:t xml:space="preserve"> </w:t>
      </w:r>
      <w:r w:rsidRPr="00726A5D">
        <w:rPr>
          <w:lang w:eastAsia="fr-FR"/>
        </w:rPr>
        <w:t>plusieurs dizaines de personnes</w:t>
      </w:r>
      <w:r>
        <w:rPr>
          <w:lang w:eastAsia="fr-FR"/>
        </w:rPr>
        <w:t>, dont des enfants,</w:t>
      </w:r>
      <w:r w:rsidR="00137490">
        <w:rPr>
          <w:lang w:eastAsia="fr-FR"/>
        </w:rPr>
        <w:t xml:space="preserve"> auraient été tué</w:t>
      </w:r>
      <w:r w:rsidRPr="00726A5D">
        <w:rPr>
          <w:lang w:eastAsia="fr-FR"/>
        </w:rPr>
        <w:t xml:space="preserve">s par arme à feu ou arme blanche </w:t>
      </w:r>
      <w:r w:rsidR="00092EA1">
        <w:rPr>
          <w:lang w:eastAsia="fr-FR"/>
        </w:rPr>
        <w:t>lors</w:t>
      </w:r>
      <w:r w:rsidRPr="00726A5D">
        <w:rPr>
          <w:lang w:eastAsia="fr-FR"/>
        </w:rPr>
        <w:t xml:space="preserve"> de ces attaques</w:t>
      </w:r>
      <w:r w:rsidRPr="007F1170">
        <w:rPr>
          <w:rStyle w:val="FootnoteReference"/>
        </w:rPr>
        <w:footnoteReference w:id="586"/>
      </w:r>
      <w:r w:rsidRPr="00726A5D">
        <w:rPr>
          <w:lang w:eastAsia="fr-FR"/>
        </w:rPr>
        <w:t xml:space="preserve">. Un témoin explique </w:t>
      </w:r>
      <w:r w:rsidR="009F4962">
        <w:rPr>
          <w:lang w:eastAsia="fr-FR"/>
        </w:rPr>
        <w:t>que dans la cité de Kamonia, le 26 avril 2017</w:t>
      </w:r>
      <w:r w:rsidRPr="00726A5D">
        <w:rPr>
          <w:lang w:eastAsia="fr-FR"/>
        </w:rPr>
        <w:t>, son père</w:t>
      </w:r>
      <w:r w:rsidR="00137490">
        <w:rPr>
          <w:lang w:eastAsia="fr-FR"/>
        </w:rPr>
        <w:t>, un Luba</w:t>
      </w:r>
      <w:r w:rsidRPr="00726A5D">
        <w:rPr>
          <w:lang w:eastAsia="fr-FR"/>
        </w:rPr>
        <w:t xml:space="preserve"> âgé de 75 an</w:t>
      </w:r>
      <w:r w:rsidR="00137490">
        <w:rPr>
          <w:lang w:eastAsia="fr-FR"/>
        </w:rPr>
        <w:t>s,</w:t>
      </w:r>
      <w:r w:rsidRPr="00726A5D">
        <w:rPr>
          <w:lang w:eastAsia="fr-FR"/>
        </w:rPr>
        <w:t xml:space="preserve"> a été poignardé dans le dos puis dans le cou avant d’être tué à coup</w:t>
      </w:r>
      <w:r w:rsidR="009F4962">
        <w:rPr>
          <w:lang w:eastAsia="fr-FR"/>
        </w:rPr>
        <w:t>s</w:t>
      </w:r>
      <w:r w:rsidRPr="00726A5D">
        <w:rPr>
          <w:lang w:eastAsia="fr-FR"/>
        </w:rPr>
        <w:t xml:space="preserve"> de machette par des miliciens Bana Mura qui l’accusai</w:t>
      </w:r>
      <w:r w:rsidR="009F4962">
        <w:rPr>
          <w:lang w:eastAsia="fr-FR"/>
        </w:rPr>
        <w:t>en</w:t>
      </w:r>
      <w:r w:rsidRPr="00726A5D">
        <w:rPr>
          <w:lang w:eastAsia="fr-FR"/>
        </w:rPr>
        <w:t>t d’être de connivence avec la milice Kamuina Nsapu</w:t>
      </w:r>
      <w:r w:rsidRPr="007F1170">
        <w:rPr>
          <w:rStyle w:val="FootnoteReference"/>
        </w:rPr>
        <w:footnoteReference w:id="587"/>
      </w:r>
      <w:r w:rsidRPr="00726A5D">
        <w:rPr>
          <w:lang w:eastAsia="fr-FR"/>
        </w:rPr>
        <w:t xml:space="preserve">. Un autre </w:t>
      </w:r>
      <w:r w:rsidR="009F4962">
        <w:rPr>
          <w:lang w:eastAsia="fr-FR"/>
        </w:rPr>
        <w:t xml:space="preserve">témoin </w:t>
      </w:r>
      <w:r w:rsidRPr="00726A5D">
        <w:rPr>
          <w:lang w:eastAsia="fr-FR"/>
        </w:rPr>
        <w:t>indique avoir vu</w:t>
      </w:r>
      <w:r w:rsidR="009F4962">
        <w:rPr>
          <w:lang w:eastAsia="fr-FR"/>
        </w:rPr>
        <w:t xml:space="preserve"> le</w:t>
      </w:r>
      <w:r w:rsidRPr="00726A5D">
        <w:rPr>
          <w:lang w:eastAsia="fr-FR"/>
        </w:rPr>
        <w:t xml:space="preserve"> cadavre</w:t>
      </w:r>
      <w:r w:rsidR="009F4962">
        <w:rPr>
          <w:lang w:eastAsia="fr-FR"/>
        </w:rPr>
        <w:t xml:space="preserve"> </w:t>
      </w:r>
      <w:r>
        <w:rPr>
          <w:lang w:eastAsia="fr-FR"/>
        </w:rPr>
        <w:t>d</w:t>
      </w:r>
      <w:r w:rsidR="009F4962">
        <w:rPr>
          <w:lang w:eastAsia="fr-FR"/>
        </w:rPr>
        <w:t xml:space="preserve">e 20 </w:t>
      </w:r>
      <w:r>
        <w:rPr>
          <w:lang w:eastAsia="fr-FR"/>
        </w:rPr>
        <w:t xml:space="preserve">habitants </w:t>
      </w:r>
      <w:r w:rsidR="004A7428">
        <w:rPr>
          <w:lang w:eastAsia="fr-FR"/>
        </w:rPr>
        <w:t>l</w:t>
      </w:r>
      <w:r>
        <w:rPr>
          <w:lang w:eastAsia="fr-FR"/>
        </w:rPr>
        <w:t>uba</w:t>
      </w:r>
      <w:r w:rsidR="004A7428">
        <w:rPr>
          <w:lang w:eastAsia="fr-FR"/>
        </w:rPr>
        <w:t>s</w:t>
      </w:r>
      <w:r w:rsidRPr="00726A5D">
        <w:rPr>
          <w:lang w:eastAsia="fr-FR"/>
        </w:rPr>
        <w:t xml:space="preserve"> et </w:t>
      </w:r>
      <w:r w:rsidR="004A7428">
        <w:rPr>
          <w:lang w:eastAsia="fr-FR"/>
        </w:rPr>
        <w:t>b</w:t>
      </w:r>
      <w:r w:rsidRPr="00726A5D">
        <w:rPr>
          <w:lang w:eastAsia="fr-FR"/>
        </w:rPr>
        <w:t>indi</w:t>
      </w:r>
      <w:r w:rsidR="004A7428">
        <w:rPr>
          <w:lang w:eastAsia="fr-FR"/>
        </w:rPr>
        <w:t>s</w:t>
      </w:r>
      <w:r w:rsidRPr="00726A5D">
        <w:rPr>
          <w:lang w:eastAsia="fr-FR"/>
        </w:rPr>
        <w:t xml:space="preserve"> dans la cité tués par les miliciens Bana Mura en dehors de toute présence Kamuina Nsapu</w:t>
      </w:r>
      <w:r w:rsidRPr="007F1170">
        <w:rPr>
          <w:rStyle w:val="FootnoteReference"/>
        </w:rPr>
        <w:footnoteReference w:id="588"/>
      </w:r>
      <w:r w:rsidRPr="00726A5D">
        <w:rPr>
          <w:lang w:eastAsia="fr-FR"/>
        </w:rPr>
        <w:t xml:space="preserve">. Un témoin raconte qu’après les incursions des miliciens Kamuina Nsapu, les miliciens Bana Mura « se sont mis à aller dans toutes les directions et à tuer indistinctement </w:t>
      </w:r>
      <w:r>
        <w:rPr>
          <w:lang w:eastAsia="fr-FR"/>
        </w:rPr>
        <w:t>l</w:t>
      </w:r>
      <w:r w:rsidRPr="00726A5D">
        <w:rPr>
          <w:lang w:eastAsia="fr-FR"/>
        </w:rPr>
        <w:t>es lubaphones. Cela a créé la débandade dans les rangs des lubaphones. L’attaque a commencé à partir du quartier Vatican à droite sur la route qui traverse Kamonia et conduisant à Kamako pour s’étendre ensuite aux autres quartiers. Arrivés au quartier</w:t>
      </w:r>
      <w:r w:rsidR="00137490">
        <w:rPr>
          <w:lang w:eastAsia="fr-FR"/>
        </w:rPr>
        <w:t xml:space="preserve"> du</w:t>
      </w:r>
      <w:r w:rsidRPr="00726A5D">
        <w:rPr>
          <w:lang w:eastAsia="fr-FR"/>
        </w:rPr>
        <w:t xml:space="preserve"> marché, les militaires accompagnés des Bana Mura et sur leurs indications</w:t>
      </w:r>
      <w:r w:rsidR="009F4962">
        <w:rPr>
          <w:lang w:eastAsia="fr-FR"/>
        </w:rPr>
        <w:t>,</w:t>
      </w:r>
      <w:r w:rsidRPr="00726A5D">
        <w:rPr>
          <w:lang w:eastAsia="fr-FR"/>
        </w:rPr>
        <w:t xml:space="preserve"> ont tué par balle une fille de 17 ans et sa maman d’environ 47 ans. Elles étaient lubaphones. Ce jour-là, </w:t>
      </w:r>
      <w:r w:rsidR="00137490">
        <w:rPr>
          <w:lang w:eastAsia="fr-FR"/>
        </w:rPr>
        <w:t>j’ai</w:t>
      </w:r>
      <w:r w:rsidR="009F4962" w:rsidRPr="00726A5D">
        <w:rPr>
          <w:lang w:eastAsia="fr-FR"/>
        </w:rPr>
        <w:t xml:space="preserve"> </w:t>
      </w:r>
      <w:r w:rsidRPr="00726A5D">
        <w:rPr>
          <w:lang w:eastAsia="fr-FR"/>
        </w:rPr>
        <w:t xml:space="preserve">vu au total </w:t>
      </w:r>
      <w:r w:rsidR="00137490">
        <w:rPr>
          <w:lang w:eastAsia="fr-FR"/>
        </w:rPr>
        <w:t>six</w:t>
      </w:r>
      <w:r w:rsidRPr="00726A5D">
        <w:rPr>
          <w:lang w:eastAsia="fr-FR"/>
        </w:rPr>
        <w:t xml:space="preserve"> corps de civils qu’ils avaient ainsi tués, dont </w:t>
      </w:r>
      <w:r w:rsidR="00137490">
        <w:rPr>
          <w:lang w:eastAsia="fr-FR"/>
        </w:rPr>
        <w:t>deux</w:t>
      </w:r>
      <w:r w:rsidRPr="00726A5D">
        <w:rPr>
          <w:lang w:eastAsia="fr-FR"/>
        </w:rPr>
        <w:t xml:space="preserve"> femmes et au moins </w:t>
      </w:r>
      <w:r w:rsidR="00137490">
        <w:rPr>
          <w:lang w:eastAsia="fr-FR"/>
        </w:rPr>
        <w:t>deux</w:t>
      </w:r>
      <w:r w:rsidRPr="00726A5D">
        <w:rPr>
          <w:lang w:eastAsia="fr-FR"/>
        </w:rPr>
        <w:t xml:space="preserve"> enfants dont un garçon et une fille »</w:t>
      </w:r>
      <w:r w:rsidRPr="007F1170">
        <w:rPr>
          <w:rStyle w:val="FootnoteReference"/>
        </w:rPr>
        <w:footnoteReference w:id="589"/>
      </w:r>
      <w:r w:rsidRPr="00726A5D">
        <w:rPr>
          <w:lang w:eastAsia="fr-FR"/>
        </w:rPr>
        <w:t xml:space="preserve">. </w:t>
      </w:r>
    </w:p>
    <w:p w14:paraId="76FDF519" w14:textId="5CF99A32" w:rsidR="00AB33F7" w:rsidRPr="008C715E" w:rsidRDefault="00AB33F7" w:rsidP="00E33BE6">
      <w:pPr>
        <w:pStyle w:val="BodyText"/>
        <w:tabs>
          <w:tab w:val="left" w:pos="1559"/>
          <w:tab w:val="left" w:pos="1984"/>
          <w:tab w:val="left" w:leader="dot" w:pos="7654"/>
          <w:tab w:val="right" w:pos="8929"/>
        </w:tabs>
        <w:spacing w:line="240" w:lineRule="atLeast"/>
        <w:ind w:left="1138" w:right="1138" w:firstLine="0"/>
        <w:rPr>
          <w:lang w:eastAsia="fr-FR"/>
        </w:rPr>
      </w:pPr>
      <w:r w:rsidRPr="00AE27DF">
        <w:rPr>
          <w:lang w:eastAsia="fr-FR"/>
        </w:rPr>
        <w:t xml:space="preserve">Les miliciens Bana Mura ont également pillé les biens et les habitations des lubaphones </w:t>
      </w:r>
      <w:r w:rsidR="009F4962">
        <w:rPr>
          <w:lang w:eastAsia="fr-FR"/>
        </w:rPr>
        <w:t>et</w:t>
      </w:r>
      <w:r w:rsidR="009F4962" w:rsidRPr="00AE27DF">
        <w:rPr>
          <w:lang w:eastAsia="fr-FR"/>
        </w:rPr>
        <w:t xml:space="preserve"> </w:t>
      </w:r>
      <w:r w:rsidRPr="00AE27DF">
        <w:rPr>
          <w:lang w:eastAsia="fr-FR"/>
        </w:rPr>
        <w:t>des Bindi</w:t>
      </w:r>
      <w:r w:rsidR="004637BD">
        <w:rPr>
          <w:lang w:eastAsia="fr-FR"/>
        </w:rPr>
        <w:t>s</w:t>
      </w:r>
      <w:r w:rsidR="001D24C7">
        <w:rPr>
          <w:lang w:eastAsia="fr-FR"/>
        </w:rPr>
        <w:t xml:space="preserve"> et incendié</w:t>
      </w:r>
      <w:r w:rsidRPr="00AE27DF">
        <w:rPr>
          <w:lang w:eastAsia="fr-FR"/>
        </w:rPr>
        <w:t xml:space="preserve"> nombre de leurs habitations</w:t>
      </w:r>
      <w:r w:rsidRPr="007F1170">
        <w:rPr>
          <w:rStyle w:val="FootnoteReference"/>
        </w:rPr>
        <w:footnoteReference w:id="590"/>
      </w:r>
      <w:r w:rsidRPr="00AE27DF">
        <w:rPr>
          <w:lang w:eastAsia="fr-FR"/>
        </w:rPr>
        <w:t>. Un soir des miliciens Bana Mura ont attaqué le quartier du marché, habité majoritairement par des Luba</w:t>
      </w:r>
      <w:r w:rsidR="004A7428">
        <w:rPr>
          <w:lang w:eastAsia="fr-FR"/>
        </w:rPr>
        <w:t>s</w:t>
      </w:r>
      <w:r w:rsidRPr="00AE27DF">
        <w:rPr>
          <w:lang w:eastAsia="fr-FR"/>
        </w:rPr>
        <w:t xml:space="preserve">. Ils ont incendié des maisons après avoir verrouillé certaines portes, laissant brûler vifs </w:t>
      </w:r>
      <w:r w:rsidR="009F4962">
        <w:rPr>
          <w:lang w:eastAsia="fr-FR"/>
        </w:rPr>
        <w:t>leurs</w:t>
      </w:r>
      <w:r w:rsidR="009F4962" w:rsidRPr="00AE27DF">
        <w:rPr>
          <w:lang w:eastAsia="fr-FR"/>
        </w:rPr>
        <w:t xml:space="preserve"> </w:t>
      </w:r>
      <w:r w:rsidRPr="00AE27DF">
        <w:rPr>
          <w:lang w:eastAsia="fr-FR"/>
        </w:rPr>
        <w:t>occupants</w:t>
      </w:r>
      <w:r w:rsidRPr="007F1170">
        <w:rPr>
          <w:rStyle w:val="FootnoteReference"/>
        </w:rPr>
        <w:footnoteReference w:id="591"/>
      </w:r>
      <w:r w:rsidRPr="00AE27DF">
        <w:rPr>
          <w:lang w:eastAsia="fr-FR"/>
        </w:rPr>
        <w:t>. De nombreuses fosses communes ont été identifiées dans la cité</w:t>
      </w:r>
      <w:r w:rsidRPr="007F1170">
        <w:rPr>
          <w:rStyle w:val="FootnoteReference"/>
        </w:rPr>
        <w:footnoteReference w:id="592"/>
      </w:r>
      <w:r w:rsidRPr="00E33BE6">
        <w:rPr>
          <w:lang w:eastAsia="fr-FR"/>
        </w:rPr>
        <w:t xml:space="preserve">. </w:t>
      </w:r>
      <w:r w:rsidRPr="00AE27DF">
        <w:rPr>
          <w:lang w:eastAsia="fr-FR"/>
        </w:rPr>
        <w:t xml:space="preserve">Pendant ces attaques des miliciens Bana Mura contre les populations </w:t>
      </w:r>
      <w:r w:rsidR="004A7428">
        <w:rPr>
          <w:lang w:eastAsia="fr-FR"/>
        </w:rPr>
        <w:t>l</w:t>
      </w:r>
      <w:r w:rsidRPr="00AE27DF">
        <w:rPr>
          <w:lang w:eastAsia="fr-FR"/>
        </w:rPr>
        <w:t>uba</w:t>
      </w:r>
      <w:r w:rsidR="004A7428">
        <w:rPr>
          <w:lang w:eastAsia="fr-FR"/>
        </w:rPr>
        <w:t>s</w:t>
      </w:r>
      <w:r w:rsidRPr="00AE27DF">
        <w:rPr>
          <w:lang w:eastAsia="fr-FR"/>
        </w:rPr>
        <w:t xml:space="preserve"> et </w:t>
      </w:r>
      <w:r w:rsidR="004A7428">
        <w:rPr>
          <w:lang w:eastAsia="fr-FR"/>
        </w:rPr>
        <w:t>b</w:t>
      </w:r>
      <w:r w:rsidRPr="00AE27DF">
        <w:rPr>
          <w:lang w:eastAsia="fr-FR"/>
        </w:rPr>
        <w:t>indi</w:t>
      </w:r>
      <w:r w:rsidR="004A7428">
        <w:rPr>
          <w:lang w:eastAsia="fr-FR"/>
        </w:rPr>
        <w:t>s</w:t>
      </w:r>
      <w:r w:rsidRPr="00AE27DF">
        <w:rPr>
          <w:lang w:eastAsia="fr-FR"/>
        </w:rPr>
        <w:t>, les forces de défense et de sécurité étaient présentes dans la cité de Kamonia</w:t>
      </w:r>
      <w:r w:rsidR="009F7C54">
        <w:rPr>
          <w:lang w:eastAsia="fr-FR"/>
        </w:rPr>
        <w:t>.</w:t>
      </w:r>
      <w:r w:rsidRPr="00AE27DF">
        <w:rPr>
          <w:lang w:eastAsia="fr-FR"/>
        </w:rPr>
        <w:t xml:space="preserve"> </w:t>
      </w:r>
      <w:r w:rsidR="009F7C54">
        <w:rPr>
          <w:lang w:eastAsia="fr-FR"/>
        </w:rPr>
        <w:t xml:space="preserve">Aucun témoin ne rapporte qu’elles sont intervenues pour stopper les miliciens Bana Mura. </w:t>
      </w:r>
    </w:p>
    <w:p w14:paraId="07B0BC9E" w14:textId="269F5255" w:rsidR="00AB33F7" w:rsidRPr="008C715E" w:rsidRDefault="00AB33F7" w:rsidP="00E33BE6">
      <w:pPr>
        <w:pStyle w:val="BodyText"/>
        <w:tabs>
          <w:tab w:val="left" w:pos="1559"/>
          <w:tab w:val="left" w:pos="1984"/>
          <w:tab w:val="left" w:leader="dot" w:pos="7654"/>
          <w:tab w:val="right" w:pos="8929"/>
        </w:tabs>
        <w:spacing w:line="240" w:lineRule="atLeast"/>
        <w:ind w:left="1138" w:right="1138" w:firstLine="0"/>
        <w:rPr>
          <w:lang w:eastAsia="fr-FR"/>
        </w:rPr>
      </w:pPr>
      <w:r w:rsidRPr="008C715E">
        <w:rPr>
          <w:lang w:eastAsia="fr-FR"/>
        </w:rPr>
        <w:t>Des éléments FARDC sont eux-aussi accusés d’avoir commis des exécutions sommaires, d</w:t>
      </w:r>
      <w:r>
        <w:rPr>
          <w:lang w:eastAsia="fr-FR"/>
        </w:rPr>
        <w:t xml:space="preserve">es </w:t>
      </w:r>
      <w:r w:rsidRPr="008C715E">
        <w:rPr>
          <w:lang w:eastAsia="fr-FR"/>
        </w:rPr>
        <w:t>enlèvements d</w:t>
      </w:r>
      <w:r w:rsidR="007303C8">
        <w:rPr>
          <w:lang w:eastAsia="fr-FR"/>
        </w:rPr>
        <w:t>’enfants</w:t>
      </w:r>
      <w:r w:rsidRPr="008C715E">
        <w:rPr>
          <w:lang w:eastAsia="fr-FR"/>
        </w:rPr>
        <w:t xml:space="preserve"> et de</w:t>
      </w:r>
      <w:r>
        <w:rPr>
          <w:lang w:eastAsia="fr-FR"/>
        </w:rPr>
        <w:t>s</w:t>
      </w:r>
      <w:r w:rsidRPr="008C715E">
        <w:rPr>
          <w:lang w:eastAsia="fr-FR"/>
        </w:rPr>
        <w:t xml:space="preserve"> viols </w:t>
      </w:r>
      <w:r>
        <w:rPr>
          <w:lang w:eastAsia="fr-FR"/>
        </w:rPr>
        <w:t xml:space="preserve">dans la cité de Kamonia, </w:t>
      </w:r>
      <w:r w:rsidRPr="008C715E">
        <w:rPr>
          <w:lang w:eastAsia="fr-FR"/>
        </w:rPr>
        <w:t xml:space="preserve">en </w:t>
      </w:r>
      <w:r>
        <w:rPr>
          <w:lang w:eastAsia="fr-FR"/>
        </w:rPr>
        <w:t>avril-</w:t>
      </w:r>
      <w:r w:rsidRPr="008C715E">
        <w:rPr>
          <w:lang w:eastAsia="fr-FR"/>
        </w:rPr>
        <w:t>mai 2017</w:t>
      </w:r>
      <w:r>
        <w:rPr>
          <w:lang w:eastAsia="fr-FR"/>
        </w:rPr>
        <w:t>.</w:t>
      </w:r>
      <w:r w:rsidRPr="008C715E">
        <w:rPr>
          <w:lang w:eastAsia="fr-FR"/>
        </w:rPr>
        <w:t xml:space="preserve"> </w:t>
      </w:r>
      <w:r>
        <w:rPr>
          <w:lang w:eastAsia="fr-FR"/>
        </w:rPr>
        <w:t>A</w:t>
      </w:r>
      <w:r w:rsidRPr="008C715E">
        <w:rPr>
          <w:lang w:eastAsia="fr-FR"/>
        </w:rPr>
        <w:t>lors qu’elle</w:t>
      </w:r>
      <w:r w:rsidR="007303C8">
        <w:rPr>
          <w:lang w:eastAsia="fr-FR"/>
        </w:rPr>
        <w:t>s</w:t>
      </w:r>
      <w:r w:rsidRPr="008C715E">
        <w:rPr>
          <w:lang w:eastAsia="fr-FR"/>
        </w:rPr>
        <w:t xml:space="preserve"> tentai</w:t>
      </w:r>
      <w:r w:rsidR="007303C8">
        <w:rPr>
          <w:lang w:eastAsia="fr-FR"/>
        </w:rPr>
        <w:t>en</w:t>
      </w:r>
      <w:r w:rsidRPr="008C715E">
        <w:rPr>
          <w:lang w:eastAsia="fr-FR"/>
        </w:rPr>
        <w:t>t de fuir,</w:t>
      </w:r>
      <w:r>
        <w:rPr>
          <w:lang w:eastAsia="fr-FR"/>
        </w:rPr>
        <w:t xml:space="preserve"> cinq </w:t>
      </w:r>
      <w:r w:rsidR="007303C8">
        <w:rPr>
          <w:lang w:eastAsia="fr-FR"/>
        </w:rPr>
        <w:t>filles</w:t>
      </w:r>
      <w:r>
        <w:rPr>
          <w:lang w:eastAsia="fr-FR"/>
        </w:rPr>
        <w:t xml:space="preserve"> ont été arrêtées par cinq</w:t>
      </w:r>
      <w:r w:rsidRPr="008C715E">
        <w:rPr>
          <w:lang w:eastAsia="fr-FR"/>
        </w:rPr>
        <w:t xml:space="preserve"> </w:t>
      </w:r>
      <w:r>
        <w:rPr>
          <w:lang w:eastAsia="fr-FR"/>
        </w:rPr>
        <w:t>FARDC</w:t>
      </w:r>
      <w:r w:rsidRPr="008C715E">
        <w:rPr>
          <w:lang w:eastAsia="fr-FR"/>
        </w:rPr>
        <w:t>. Elles ont toutes été jetées par terre et déshabillé</w:t>
      </w:r>
      <w:r>
        <w:rPr>
          <w:lang w:eastAsia="fr-FR"/>
        </w:rPr>
        <w:t>e</w:t>
      </w:r>
      <w:r w:rsidR="007303C8">
        <w:rPr>
          <w:lang w:eastAsia="fr-FR"/>
        </w:rPr>
        <w:t>s</w:t>
      </w:r>
      <w:r>
        <w:rPr>
          <w:lang w:eastAsia="fr-FR"/>
        </w:rPr>
        <w:t>. Au moins l’une d’entre elle</w:t>
      </w:r>
      <w:r w:rsidR="007303C8">
        <w:rPr>
          <w:lang w:eastAsia="fr-FR"/>
        </w:rPr>
        <w:t>s</w:t>
      </w:r>
      <w:r w:rsidRPr="008C715E">
        <w:rPr>
          <w:lang w:eastAsia="fr-FR"/>
        </w:rPr>
        <w:t xml:space="preserve"> a été violée par trois </w:t>
      </w:r>
      <w:r>
        <w:rPr>
          <w:lang w:eastAsia="fr-FR"/>
        </w:rPr>
        <w:t>FARDC</w:t>
      </w:r>
      <w:r w:rsidRPr="007F1170">
        <w:rPr>
          <w:rStyle w:val="FootnoteReference"/>
        </w:rPr>
        <w:footnoteReference w:id="593"/>
      </w:r>
      <w:r w:rsidRPr="008C715E">
        <w:rPr>
          <w:lang w:eastAsia="fr-FR"/>
        </w:rPr>
        <w:t xml:space="preserve">. </w:t>
      </w:r>
      <w:r>
        <w:rPr>
          <w:lang w:eastAsia="fr-FR"/>
        </w:rPr>
        <w:t>Un</w:t>
      </w:r>
      <w:r w:rsidR="0050163C">
        <w:rPr>
          <w:lang w:eastAsia="fr-FR"/>
        </w:rPr>
        <w:t>e femme</w:t>
      </w:r>
      <w:r w:rsidRPr="008C715E">
        <w:rPr>
          <w:lang w:eastAsia="fr-FR"/>
        </w:rPr>
        <w:t xml:space="preserve"> raconte que pendant la période où les miliciens Kamuina Nsapu approchaient, elle a été violée par cinq éléments FARDC</w:t>
      </w:r>
      <w:r w:rsidR="0050163C">
        <w:rPr>
          <w:lang w:eastAsia="fr-FR"/>
        </w:rPr>
        <w:t xml:space="preserve"> alors qu’elle faisait sa toilette à la rivière</w:t>
      </w:r>
      <w:r w:rsidRPr="007F1170">
        <w:rPr>
          <w:rStyle w:val="FootnoteReference"/>
        </w:rPr>
        <w:footnoteReference w:id="594"/>
      </w:r>
      <w:r w:rsidRPr="008C715E">
        <w:rPr>
          <w:lang w:eastAsia="fr-FR"/>
        </w:rPr>
        <w:t xml:space="preserve">. A la même période, </w:t>
      </w:r>
      <w:r>
        <w:rPr>
          <w:lang w:eastAsia="fr-FR"/>
        </w:rPr>
        <w:t>une victime qui</w:t>
      </w:r>
      <w:r w:rsidRPr="008C715E">
        <w:rPr>
          <w:lang w:eastAsia="fr-FR"/>
        </w:rPr>
        <w:t xml:space="preserve"> allait chercher du bois </w:t>
      </w:r>
      <w:r>
        <w:rPr>
          <w:lang w:eastAsia="fr-FR"/>
        </w:rPr>
        <w:t xml:space="preserve">avec une autre femme du village </w:t>
      </w:r>
      <w:r w:rsidRPr="008C715E">
        <w:rPr>
          <w:lang w:eastAsia="fr-FR"/>
        </w:rPr>
        <w:t xml:space="preserve">a été entourée par cinq éléments FARDC. Elle </w:t>
      </w:r>
      <w:r w:rsidR="0050163C">
        <w:rPr>
          <w:lang w:eastAsia="fr-FR"/>
        </w:rPr>
        <w:t xml:space="preserve">raconte : </w:t>
      </w:r>
      <w:r w:rsidRPr="008C715E">
        <w:rPr>
          <w:lang w:eastAsia="fr-FR"/>
        </w:rPr>
        <w:t>« un soldat m’a mis du linge dans la bouche. Ils m’ont maintenue debout en écartant mes bras, deux soldats m’ont écarté et maintenu les jambes en arrachant mes vêtements. Un soldat a arraché mes sous-vêtements et deux ont continué à maintenir mes bras. Quatre soldats m’ont pénétrée avec leur sexe tour à tour. Un des quatre a frott</w:t>
      </w:r>
      <w:r w:rsidR="0050163C">
        <w:rPr>
          <w:lang w:eastAsia="fr-FR"/>
        </w:rPr>
        <w:t>é</w:t>
      </w:r>
      <w:r w:rsidRPr="008C715E">
        <w:rPr>
          <w:lang w:eastAsia="fr-FR"/>
        </w:rPr>
        <w:t>e son doigt par terre avant de pénétrer mon vagin avec. Je suis tombée par terre et j’ai perdu connaissance</w:t>
      </w:r>
      <w:r w:rsidR="0050163C">
        <w:rPr>
          <w:lang w:eastAsia="fr-FR"/>
        </w:rPr>
        <w:t xml:space="preserve"> </w:t>
      </w:r>
      <w:r w:rsidR="0050163C" w:rsidRPr="008C715E">
        <w:rPr>
          <w:lang w:eastAsia="fr-FR"/>
        </w:rPr>
        <w:t>»</w:t>
      </w:r>
      <w:r w:rsidR="0050163C">
        <w:rPr>
          <w:lang w:eastAsia="fr-FR"/>
        </w:rPr>
        <w:t>. Elle a toujours des séquelles physiques</w:t>
      </w:r>
      <w:r w:rsidR="0050163C" w:rsidRPr="007F1170">
        <w:rPr>
          <w:rStyle w:val="FootnoteReference"/>
        </w:rPr>
        <w:footnoteReference w:id="595"/>
      </w:r>
      <w:r w:rsidRPr="008C715E">
        <w:rPr>
          <w:lang w:eastAsia="fr-FR"/>
        </w:rPr>
        <w:t xml:space="preserve">. Des </w:t>
      </w:r>
      <w:r>
        <w:rPr>
          <w:lang w:eastAsia="fr-FR"/>
        </w:rPr>
        <w:t xml:space="preserve">éléments </w:t>
      </w:r>
      <w:r w:rsidRPr="008C715E">
        <w:rPr>
          <w:lang w:eastAsia="fr-FR"/>
        </w:rPr>
        <w:t xml:space="preserve">FARDC </w:t>
      </w:r>
      <w:r>
        <w:rPr>
          <w:lang w:eastAsia="fr-FR"/>
        </w:rPr>
        <w:t>se sont aussi introduits</w:t>
      </w:r>
      <w:r w:rsidRPr="008C715E">
        <w:rPr>
          <w:lang w:eastAsia="fr-FR"/>
        </w:rPr>
        <w:t xml:space="preserve"> dans la maison d’une femme en pleine nuit. Après l’avoir déshabillé</w:t>
      </w:r>
      <w:r>
        <w:rPr>
          <w:lang w:eastAsia="fr-FR"/>
        </w:rPr>
        <w:t>e,</w:t>
      </w:r>
      <w:r w:rsidRPr="008C715E">
        <w:rPr>
          <w:lang w:eastAsia="fr-FR"/>
        </w:rPr>
        <w:t xml:space="preserve"> les</w:t>
      </w:r>
      <w:r>
        <w:rPr>
          <w:lang w:eastAsia="fr-FR"/>
        </w:rPr>
        <w:t xml:space="preserve"> éléments</w:t>
      </w:r>
      <w:r w:rsidRPr="008C715E">
        <w:rPr>
          <w:lang w:eastAsia="fr-FR"/>
        </w:rPr>
        <w:t xml:space="preserve"> FARDC ont demandé à son fils de 18 ans d’avoir des relations sexuelles </w:t>
      </w:r>
      <w:r w:rsidR="0050163C">
        <w:rPr>
          <w:lang w:eastAsia="fr-FR"/>
        </w:rPr>
        <w:t>elle</w:t>
      </w:r>
      <w:r w:rsidRPr="008C715E">
        <w:rPr>
          <w:lang w:eastAsia="fr-FR"/>
        </w:rPr>
        <w:t>. Devant le refus du fils, les FARDC l’ont tué</w:t>
      </w:r>
      <w:r w:rsidR="0050163C">
        <w:rPr>
          <w:lang w:eastAsia="fr-FR"/>
        </w:rPr>
        <w:t xml:space="preserve">, lui enfonçant une </w:t>
      </w:r>
      <w:r w:rsidR="00D13C1C">
        <w:rPr>
          <w:lang w:eastAsia="fr-FR"/>
        </w:rPr>
        <w:t>baïonnette</w:t>
      </w:r>
      <w:r w:rsidR="0050163C">
        <w:rPr>
          <w:lang w:eastAsia="fr-FR"/>
        </w:rPr>
        <w:t xml:space="preserve"> dans le cœur. </w:t>
      </w:r>
      <w:r w:rsidRPr="008C715E">
        <w:rPr>
          <w:lang w:eastAsia="fr-FR"/>
        </w:rPr>
        <w:t xml:space="preserve">Trois FARDC </w:t>
      </w:r>
      <w:r w:rsidR="0050163C">
        <w:rPr>
          <w:lang w:eastAsia="fr-FR"/>
        </w:rPr>
        <w:t>l’</w:t>
      </w:r>
      <w:r w:rsidRPr="008C715E">
        <w:rPr>
          <w:lang w:eastAsia="fr-FR"/>
        </w:rPr>
        <w:t>ont ensuite violé</w:t>
      </w:r>
      <w:r w:rsidR="0073290E">
        <w:rPr>
          <w:lang w:eastAsia="fr-FR"/>
        </w:rPr>
        <w:t xml:space="preserve">e </w:t>
      </w:r>
      <w:r w:rsidRPr="008C715E">
        <w:rPr>
          <w:lang w:eastAsia="fr-FR"/>
        </w:rPr>
        <w:t>avant de partir avec</w:t>
      </w:r>
      <w:r w:rsidR="0073290E">
        <w:rPr>
          <w:lang w:eastAsia="fr-FR"/>
        </w:rPr>
        <w:t xml:space="preserve"> ses trois autres garçons</w:t>
      </w:r>
      <w:r w:rsidRPr="008C715E">
        <w:rPr>
          <w:lang w:eastAsia="fr-FR"/>
        </w:rPr>
        <w:t xml:space="preserve"> âgés de 12, 14 et 16 qui </w:t>
      </w:r>
      <w:r>
        <w:rPr>
          <w:lang w:eastAsia="fr-FR"/>
        </w:rPr>
        <w:t>sont toujours portés disparus</w:t>
      </w:r>
      <w:r w:rsidRPr="007F1170">
        <w:rPr>
          <w:rStyle w:val="FootnoteReference"/>
        </w:rPr>
        <w:footnoteReference w:id="596"/>
      </w:r>
      <w:r>
        <w:rPr>
          <w:lang w:eastAsia="fr-FR"/>
        </w:rPr>
        <w:t>.</w:t>
      </w:r>
    </w:p>
    <w:p w14:paraId="2240A8AE" w14:textId="32AA0A22" w:rsidR="00AB33F7" w:rsidRPr="00117278" w:rsidRDefault="00AB33F7" w:rsidP="00E33BE6">
      <w:pPr>
        <w:pStyle w:val="BodyText"/>
        <w:tabs>
          <w:tab w:val="left" w:pos="1559"/>
          <w:tab w:val="left" w:pos="1984"/>
          <w:tab w:val="left" w:leader="dot" w:pos="7654"/>
          <w:tab w:val="right" w:pos="8929"/>
        </w:tabs>
        <w:spacing w:line="240" w:lineRule="atLeast"/>
        <w:ind w:left="1138" w:right="1138" w:firstLine="0"/>
        <w:rPr>
          <w:lang w:eastAsia="fr-FR"/>
        </w:rPr>
      </w:pPr>
      <w:r w:rsidRPr="00AE27DF">
        <w:rPr>
          <w:lang w:eastAsia="fr-FR"/>
        </w:rPr>
        <w:t>Dans le village voisin de Tshimunde, au début du mois d’avril 2017, des dizaines de personnes ont été tuées par des miliciens Bana Mura, accompagnés des forces de défense et de sécurité</w:t>
      </w:r>
      <w:r w:rsidRPr="007F1170">
        <w:rPr>
          <w:rStyle w:val="FootnoteReference"/>
        </w:rPr>
        <w:footnoteReference w:id="597"/>
      </w:r>
      <w:r w:rsidRPr="00AE27DF">
        <w:rPr>
          <w:lang w:eastAsia="fr-FR"/>
        </w:rPr>
        <w:t>. Un témoin explique que 30 personnes ont été enterré</w:t>
      </w:r>
      <w:r w:rsidR="00614B9A">
        <w:rPr>
          <w:lang w:eastAsia="fr-FR"/>
        </w:rPr>
        <w:t>e</w:t>
      </w:r>
      <w:r w:rsidRPr="00AE27DF">
        <w:rPr>
          <w:lang w:eastAsia="fr-FR"/>
        </w:rPr>
        <w:t xml:space="preserve">s </w:t>
      </w:r>
      <w:r>
        <w:rPr>
          <w:lang w:eastAsia="fr-FR"/>
        </w:rPr>
        <w:t>après l’incident</w:t>
      </w:r>
      <w:r w:rsidRPr="00AE27DF">
        <w:rPr>
          <w:lang w:eastAsia="fr-FR"/>
        </w:rPr>
        <w:t xml:space="preserve"> dans le village, dont de nombreuses femmes </w:t>
      </w:r>
      <w:r w:rsidR="004A7428">
        <w:rPr>
          <w:lang w:eastAsia="fr-FR"/>
        </w:rPr>
        <w:t>l</w:t>
      </w:r>
      <w:r w:rsidRPr="00AE27DF">
        <w:rPr>
          <w:lang w:eastAsia="fr-FR"/>
        </w:rPr>
        <w:t>uba</w:t>
      </w:r>
      <w:r w:rsidR="004A7428">
        <w:rPr>
          <w:lang w:eastAsia="fr-FR"/>
        </w:rPr>
        <w:t>s</w:t>
      </w:r>
      <w:r w:rsidRPr="007F1170">
        <w:rPr>
          <w:rStyle w:val="FootnoteReference"/>
        </w:rPr>
        <w:footnoteReference w:id="598"/>
      </w:r>
      <w:r w:rsidRPr="00AE27DF">
        <w:rPr>
          <w:lang w:eastAsia="fr-FR"/>
        </w:rPr>
        <w:t xml:space="preserve">. Un témoin raconte que </w:t>
      </w:r>
      <w:r>
        <w:rPr>
          <w:lang w:eastAsia="fr-FR"/>
        </w:rPr>
        <w:t>des</w:t>
      </w:r>
      <w:r w:rsidRPr="00AE27DF">
        <w:rPr>
          <w:lang w:eastAsia="fr-FR"/>
        </w:rPr>
        <w:t xml:space="preserve"> personnes ont été tuées parce qu’elles ne </w:t>
      </w:r>
      <w:r w:rsidR="00614B9A">
        <w:rPr>
          <w:lang w:eastAsia="fr-FR"/>
        </w:rPr>
        <w:t>savaient</w:t>
      </w:r>
      <w:r w:rsidR="00614B9A" w:rsidRPr="00AE27DF">
        <w:rPr>
          <w:lang w:eastAsia="fr-FR"/>
        </w:rPr>
        <w:t xml:space="preserve"> </w:t>
      </w:r>
      <w:r w:rsidRPr="00AE27DF">
        <w:rPr>
          <w:lang w:eastAsia="fr-FR"/>
        </w:rPr>
        <w:t xml:space="preserve">pas parler </w:t>
      </w:r>
      <w:r w:rsidR="00651768">
        <w:rPr>
          <w:lang w:eastAsia="fr-FR"/>
        </w:rPr>
        <w:t>chokwe</w:t>
      </w:r>
      <w:r w:rsidRPr="007F1170">
        <w:rPr>
          <w:rStyle w:val="FootnoteReference"/>
        </w:rPr>
        <w:footnoteReference w:id="599"/>
      </w:r>
      <w:r w:rsidRPr="00AE27DF">
        <w:rPr>
          <w:lang w:eastAsia="fr-FR"/>
        </w:rPr>
        <w:t xml:space="preserve">. </w:t>
      </w:r>
      <w:r>
        <w:rPr>
          <w:lang w:eastAsia="fr-FR"/>
        </w:rPr>
        <w:t xml:space="preserve">Cette attaque a probablement eu lieu en réaction à l’arrivée des miliciens Kamuina Nsapu dans le village de Tshimunde qui auraient ciblés les populations </w:t>
      </w:r>
      <w:r w:rsidR="00651768">
        <w:rPr>
          <w:lang w:eastAsia="fr-FR"/>
        </w:rPr>
        <w:t>chokwe</w:t>
      </w:r>
      <w:r w:rsidR="004A163E">
        <w:rPr>
          <w:lang w:eastAsia="fr-FR"/>
        </w:rPr>
        <w:t>s</w:t>
      </w:r>
      <w:r w:rsidRPr="008C43D7">
        <w:rPr>
          <w:lang w:eastAsia="fr-FR"/>
        </w:rPr>
        <w:t xml:space="preserve"> et </w:t>
      </w:r>
      <w:r w:rsidR="004A163E">
        <w:rPr>
          <w:lang w:eastAsia="fr-FR"/>
        </w:rPr>
        <w:t>p</w:t>
      </w:r>
      <w:r w:rsidRPr="008C43D7">
        <w:rPr>
          <w:lang w:eastAsia="fr-FR"/>
        </w:rPr>
        <w:t>ende</w:t>
      </w:r>
      <w:r w:rsidR="004A163E">
        <w:rPr>
          <w:lang w:eastAsia="fr-FR"/>
        </w:rPr>
        <w:t>s</w:t>
      </w:r>
      <w:r w:rsidRPr="008C43D7">
        <w:rPr>
          <w:lang w:eastAsia="fr-FR"/>
        </w:rPr>
        <w:t xml:space="preserve"> du village</w:t>
      </w:r>
      <w:r w:rsidRPr="007F1170">
        <w:rPr>
          <w:rStyle w:val="FootnoteReference"/>
        </w:rPr>
        <w:footnoteReference w:id="600"/>
      </w:r>
      <w:r w:rsidRPr="00E33BE6">
        <w:rPr>
          <w:lang w:eastAsia="fr-FR"/>
        </w:rPr>
        <w:t xml:space="preserve">. </w:t>
      </w:r>
      <w:r w:rsidRPr="008C43D7">
        <w:rPr>
          <w:lang w:eastAsia="fr-FR"/>
        </w:rPr>
        <w:t xml:space="preserve">Les </w:t>
      </w:r>
      <w:r>
        <w:rPr>
          <w:lang w:eastAsia="fr-FR"/>
        </w:rPr>
        <w:t xml:space="preserve">miliciens Bana Mura sont intervenus avec </w:t>
      </w:r>
      <w:r w:rsidR="00A62F91">
        <w:rPr>
          <w:lang w:eastAsia="fr-FR"/>
        </w:rPr>
        <w:t>et sous le</w:t>
      </w:r>
      <w:r w:rsidR="004E172A">
        <w:rPr>
          <w:lang w:eastAsia="fr-FR"/>
        </w:rPr>
        <w:t xml:space="preserve"> commandement </w:t>
      </w:r>
      <w:r w:rsidR="00A62F91">
        <w:rPr>
          <w:lang w:eastAsia="fr-FR"/>
        </w:rPr>
        <w:t>d</w:t>
      </w:r>
      <w:r w:rsidR="004E172A">
        <w:rPr>
          <w:lang w:eastAsia="fr-FR"/>
        </w:rPr>
        <w:t xml:space="preserve">es </w:t>
      </w:r>
      <w:r>
        <w:rPr>
          <w:lang w:eastAsia="fr-FR"/>
        </w:rPr>
        <w:t>forces de défense et de sécurité pour déloger les miliciens Kamuina Nsapu du village de Passu. Les forces de défense et de sécurité et les miliciens Bana Mura ont encerclé</w:t>
      </w:r>
      <w:r w:rsidR="004E172A">
        <w:rPr>
          <w:lang w:eastAsia="fr-FR"/>
        </w:rPr>
        <w:t xml:space="preserve"> discrètement </w:t>
      </w:r>
      <w:r>
        <w:rPr>
          <w:lang w:eastAsia="fr-FR"/>
        </w:rPr>
        <w:t>le tshiota autour duquel se trouvai</w:t>
      </w:r>
      <w:r w:rsidR="004E172A">
        <w:rPr>
          <w:lang w:eastAsia="fr-FR"/>
        </w:rPr>
        <w:t>en</w:t>
      </w:r>
      <w:r>
        <w:rPr>
          <w:lang w:eastAsia="fr-FR"/>
        </w:rPr>
        <w:t xml:space="preserve">t une centaine de miliciens Kamuina Nsapu. </w:t>
      </w:r>
      <w:r w:rsidR="004E172A">
        <w:rPr>
          <w:lang w:eastAsia="fr-FR"/>
        </w:rPr>
        <w:t>Les forces de défense et de sécurité et les miliciens Bana Mura</w:t>
      </w:r>
      <w:r w:rsidR="004E172A" w:rsidDel="004E172A">
        <w:rPr>
          <w:lang w:eastAsia="fr-FR"/>
        </w:rPr>
        <w:t xml:space="preserve"> </w:t>
      </w:r>
      <w:r>
        <w:rPr>
          <w:lang w:eastAsia="fr-FR"/>
        </w:rPr>
        <w:t xml:space="preserve">ont </w:t>
      </w:r>
      <w:r w:rsidR="004E172A">
        <w:rPr>
          <w:lang w:eastAsia="fr-FR"/>
        </w:rPr>
        <w:t xml:space="preserve">alors </w:t>
      </w:r>
      <w:r>
        <w:rPr>
          <w:lang w:eastAsia="fr-FR"/>
        </w:rPr>
        <w:t>tiré sur les miliciens Kamuina Nsapu qui, paniqué</w:t>
      </w:r>
      <w:r w:rsidR="004E172A">
        <w:rPr>
          <w:lang w:eastAsia="fr-FR"/>
        </w:rPr>
        <w:t>s</w:t>
      </w:r>
      <w:r>
        <w:rPr>
          <w:lang w:eastAsia="fr-FR"/>
        </w:rPr>
        <w:t xml:space="preserve">, ont fui. Les miliciens Bana Mura les achevaient alors avec des </w:t>
      </w:r>
      <w:r w:rsidR="004E172A">
        <w:rPr>
          <w:lang w:eastAsia="fr-FR"/>
        </w:rPr>
        <w:t>lances</w:t>
      </w:r>
      <w:r>
        <w:rPr>
          <w:lang w:eastAsia="fr-FR"/>
        </w:rPr>
        <w:t>. De multiples miliciens Kamuina Nsapu ont perdu la vie dans cette attaque</w:t>
      </w:r>
      <w:r w:rsidRPr="007F1170">
        <w:rPr>
          <w:rStyle w:val="FootnoteReference"/>
        </w:rPr>
        <w:footnoteReference w:id="601"/>
      </w:r>
      <w:r>
        <w:rPr>
          <w:lang w:eastAsia="fr-FR"/>
        </w:rPr>
        <w:t xml:space="preserve">. </w:t>
      </w:r>
    </w:p>
    <w:p w14:paraId="2593E64B" w14:textId="7F1E5404" w:rsidR="00AB33F7" w:rsidRPr="007E411C" w:rsidRDefault="00AB33F7" w:rsidP="00E33BE6">
      <w:pPr>
        <w:pStyle w:val="BodyText"/>
        <w:tabs>
          <w:tab w:val="left" w:pos="1559"/>
          <w:tab w:val="left" w:pos="1984"/>
          <w:tab w:val="left" w:leader="dot" w:pos="7654"/>
          <w:tab w:val="right" w:pos="8929"/>
        </w:tabs>
        <w:spacing w:line="240" w:lineRule="atLeast"/>
        <w:ind w:left="1138" w:right="1138" w:firstLine="0"/>
        <w:rPr>
          <w:lang w:eastAsia="fr-FR"/>
        </w:rPr>
      </w:pPr>
      <w:r w:rsidRPr="007E411C">
        <w:rPr>
          <w:lang w:eastAsia="fr-FR"/>
        </w:rPr>
        <w:t xml:space="preserve">En dehors de de la cité de Kamonia, l’EEI a collecté d’autres allégations d’attaques commises contre la population civile </w:t>
      </w:r>
      <w:r w:rsidR="004A7428">
        <w:rPr>
          <w:lang w:eastAsia="fr-FR"/>
        </w:rPr>
        <w:t>l</w:t>
      </w:r>
      <w:r>
        <w:rPr>
          <w:lang w:eastAsia="fr-FR"/>
        </w:rPr>
        <w:t>uba</w:t>
      </w:r>
      <w:r w:rsidRPr="007E411C">
        <w:rPr>
          <w:lang w:eastAsia="fr-FR"/>
        </w:rPr>
        <w:t xml:space="preserve"> par les milices Bana Mura entre avril et mai 2017, agissant seules ou parfois de concert avec les forces de défense et de sécurité, qui requièrent des enquêtes supplémentaires. Ces allégations concernent des cas de meurtres d’hommes, de femmes et d’enfants, de viols et de destructions d’habitations par le feu parfois avec les habitants à l’intérieur dans les villages de Tshisenga, Mpasso, Mukuandjanga</w:t>
      </w:r>
      <w:r w:rsidRPr="007F1170">
        <w:rPr>
          <w:rStyle w:val="FootnoteReference"/>
        </w:rPr>
        <w:footnoteReference w:id="602"/>
      </w:r>
      <w:r w:rsidRPr="007E411C">
        <w:rPr>
          <w:lang w:eastAsia="fr-FR"/>
        </w:rPr>
        <w:t xml:space="preserve">. </w:t>
      </w:r>
      <w:r>
        <w:rPr>
          <w:lang w:eastAsia="fr-FR"/>
        </w:rPr>
        <w:t>L’EEI a également reçu une allégation crédible d’affrontements entre les FARDC et les miliciens Kamuina Nsapu dans le village de Kamondele au cours desquels de nombreuses personnes auraient perdu la vie</w:t>
      </w:r>
      <w:r w:rsidRPr="007F1170">
        <w:rPr>
          <w:rStyle w:val="FootnoteReference"/>
        </w:rPr>
        <w:footnoteReference w:id="603"/>
      </w:r>
      <w:r>
        <w:rPr>
          <w:lang w:eastAsia="fr-FR"/>
        </w:rPr>
        <w:t>.</w:t>
      </w:r>
    </w:p>
    <w:p w14:paraId="35F67EDF" w14:textId="498A1CC2" w:rsidR="00AB33F7" w:rsidRDefault="00AB33F7" w:rsidP="00E33BE6">
      <w:pPr>
        <w:pStyle w:val="BodyText"/>
        <w:tabs>
          <w:tab w:val="left" w:pos="1559"/>
          <w:tab w:val="left" w:pos="1984"/>
          <w:tab w:val="left" w:leader="dot" w:pos="7654"/>
          <w:tab w:val="right" w:pos="8929"/>
        </w:tabs>
        <w:spacing w:line="240" w:lineRule="atLeast"/>
        <w:ind w:left="1138" w:right="1138" w:firstLine="0"/>
        <w:rPr>
          <w:lang w:eastAsia="fr-FR"/>
        </w:rPr>
      </w:pPr>
      <w:r w:rsidRPr="00807EF5">
        <w:rPr>
          <w:lang w:eastAsia="fr-FR"/>
        </w:rPr>
        <w:t xml:space="preserve">Suite aux attaques et meurtres ciblés </w:t>
      </w:r>
      <w:r>
        <w:rPr>
          <w:lang w:eastAsia="fr-FR"/>
        </w:rPr>
        <w:t xml:space="preserve">des miliciens Bana Mura, la population </w:t>
      </w:r>
      <w:r w:rsidR="004A7428">
        <w:rPr>
          <w:lang w:eastAsia="fr-FR"/>
        </w:rPr>
        <w:t>l</w:t>
      </w:r>
      <w:r>
        <w:rPr>
          <w:lang w:eastAsia="fr-FR"/>
        </w:rPr>
        <w:t xml:space="preserve">uba </w:t>
      </w:r>
      <w:r w:rsidRPr="00807EF5">
        <w:rPr>
          <w:lang w:eastAsia="fr-FR"/>
        </w:rPr>
        <w:t xml:space="preserve">de la cité de Kamonia a quitté en masse la cité. </w:t>
      </w:r>
      <w:r>
        <w:rPr>
          <w:lang w:eastAsia="fr-FR"/>
        </w:rPr>
        <w:t>Un groupe d’une centaine de Luba</w:t>
      </w:r>
      <w:r w:rsidR="004A7428">
        <w:rPr>
          <w:lang w:eastAsia="fr-FR"/>
        </w:rPr>
        <w:t>s</w:t>
      </w:r>
      <w:r>
        <w:rPr>
          <w:lang w:eastAsia="fr-FR"/>
        </w:rPr>
        <w:t xml:space="preserve"> essayant de fuir la cité de Kamonia a été stoppé à une barrière tenue par des miliciens Bana Mura avant même la sortie de la cité de Kamonia empêchant les Luba</w:t>
      </w:r>
      <w:r w:rsidR="004A7428">
        <w:rPr>
          <w:lang w:eastAsia="fr-FR"/>
        </w:rPr>
        <w:t>s</w:t>
      </w:r>
      <w:r>
        <w:rPr>
          <w:lang w:eastAsia="fr-FR"/>
        </w:rPr>
        <w:t xml:space="preserve"> de partir</w:t>
      </w:r>
      <w:r w:rsidRPr="007F1170">
        <w:rPr>
          <w:rStyle w:val="FootnoteReference"/>
        </w:rPr>
        <w:footnoteReference w:id="604"/>
      </w:r>
      <w:r>
        <w:rPr>
          <w:lang w:eastAsia="fr-FR"/>
        </w:rPr>
        <w:t>. Un témoin raconte que les Luba</w:t>
      </w:r>
      <w:r w:rsidR="004A7428">
        <w:rPr>
          <w:lang w:eastAsia="fr-FR"/>
        </w:rPr>
        <w:t>s</w:t>
      </w:r>
      <w:r>
        <w:rPr>
          <w:lang w:eastAsia="fr-FR"/>
        </w:rPr>
        <w:t xml:space="preserve"> auraient réclamé le droit le quitter la cité et des membres des forces de défense et de sécurité auraient alors tiré en l’air pour les disperser avant </w:t>
      </w:r>
      <w:r w:rsidR="004E172A">
        <w:rPr>
          <w:lang w:eastAsia="fr-FR"/>
        </w:rPr>
        <w:t>d’effectuer</w:t>
      </w:r>
      <w:r>
        <w:rPr>
          <w:lang w:eastAsia="fr-FR"/>
        </w:rPr>
        <w:t xml:space="preserve"> des tirs ciblés</w:t>
      </w:r>
      <w:r w:rsidRPr="007F1170">
        <w:rPr>
          <w:rStyle w:val="FootnoteReference"/>
        </w:rPr>
        <w:footnoteReference w:id="605"/>
      </w:r>
      <w:r>
        <w:rPr>
          <w:lang w:eastAsia="fr-FR"/>
        </w:rPr>
        <w:t xml:space="preserve">. </w:t>
      </w:r>
    </w:p>
    <w:p w14:paraId="4C6E109F" w14:textId="6FDECC30" w:rsidR="00AB33F7" w:rsidRDefault="00AB33F7" w:rsidP="00E33BE6">
      <w:pPr>
        <w:pStyle w:val="BodyText"/>
        <w:tabs>
          <w:tab w:val="left" w:pos="1559"/>
          <w:tab w:val="left" w:pos="1984"/>
          <w:tab w:val="left" w:leader="dot" w:pos="7654"/>
          <w:tab w:val="right" w:pos="8929"/>
        </w:tabs>
        <w:spacing w:line="240" w:lineRule="atLeast"/>
        <w:ind w:left="1138" w:right="1138" w:firstLine="0"/>
        <w:rPr>
          <w:lang w:eastAsia="fr-FR"/>
        </w:rPr>
      </w:pPr>
      <w:r w:rsidRPr="00501F82">
        <w:rPr>
          <w:lang w:eastAsia="fr-FR"/>
        </w:rPr>
        <w:t xml:space="preserve">L’EEI a reçu de nombreux témoignages concernant des incidents qui se seraient produits </w:t>
      </w:r>
      <w:r w:rsidR="004E172A">
        <w:rPr>
          <w:lang w:eastAsia="fr-FR"/>
        </w:rPr>
        <w:t>lors de</w:t>
      </w:r>
      <w:r w:rsidR="004E172A" w:rsidRPr="00501F82">
        <w:rPr>
          <w:lang w:eastAsia="fr-FR"/>
        </w:rPr>
        <w:t xml:space="preserve"> </w:t>
      </w:r>
      <w:r w:rsidRPr="00501F82">
        <w:rPr>
          <w:lang w:eastAsia="fr-FR"/>
        </w:rPr>
        <w:t xml:space="preserve">la fuite des civils </w:t>
      </w:r>
      <w:r w:rsidR="004A7428">
        <w:rPr>
          <w:lang w:eastAsia="fr-FR"/>
        </w:rPr>
        <w:t>l</w:t>
      </w:r>
      <w:r w:rsidRPr="00501F82">
        <w:rPr>
          <w:lang w:eastAsia="fr-FR"/>
        </w:rPr>
        <w:t>uba</w:t>
      </w:r>
      <w:r w:rsidR="004A7428">
        <w:rPr>
          <w:lang w:eastAsia="fr-FR"/>
        </w:rPr>
        <w:t>s</w:t>
      </w:r>
      <w:r w:rsidRPr="00501F82">
        <w:rPr>
          <w:lang w:eastAsia="fr-FR"/>
        </w:rPr>
        <w:t xml:space="preserve"> sur l’axe </w:t>
      </w:r>
      <w:r w:rsidR="00A62F91">
        <w:rPr>
          <w:lang w:eastAsia="fr-FR"/>
        </w:rPr>
        <w:t>reliant</w:t>
      </w:r>
      <w:r w:rsidRPr="00501F82">
        <w:rPr>
          <w:lang w:eastAsia="fr-FR"/>
        </w:rPr>
        <w:t xml:space="preserve"> la cité de Kamonia à la ville de Tshikapa. Des cas de viol, d’exécution</w:t>
      </w:r>
      <w:r w:rsidR="004E172A">
        <w:rPr>
          <w:lang w:eastAsia="fr-FR"/>
        </w:rPr>
        <w:t xml:space="preserve"> </w:t>
      </w:r>
      <w:r w:rsidRPr="00501F82">
        <w:rPr>
          <w:lang w:eastAsia="fr-FR"/>
        </w:rPr>
        <w:t xml:space="preserve">sommaire par arme blanche, et de mauvais traitement commis par un groupe Bana Mura ont été rapportés. Des éléments FARDC auraient extorqué, battu et violé des civils fuyant les violences. Des barrières avaient été érigées sur la route et étaient tenues soit par des </w:t>
      </w:r>
      <w:r>
        <w:rPr>
          <w:lang w:eastAsia="fr-FR"/>
        </w:rPr>
        <w:t xml:space="preserve">miliciens </w:t>
      </w:r>
      <w:r w:rsidRPr="00501F82">
        <w:rPr>
          <w:lang w:eastAsia="fr-FR"/>
        </w:rPr>
        <w:t xml:space="preserve">Bana Mura, soit par les forces de défense et de sécurité soit conjointement, notamment au moment des incidents entre les miliciens Kamuina Nsapu d’une part et les forces de défense et de sécurité et les Bana Mura d’autre part en avril 2017. </w:t>
      </w:r>
      <w:r>
        <w:rPr>
          <w:lang w:eastAsia="fr-FR"/>
        </w:rPr>
        <w:t>Plusieurs cas documentés sont résumés ci-dessous</w:t>
      </w:r>
      <w:r w:rsidRPr="007F1170">
        <w:rPr>
          <w:rStyle w:val="FootnoteReference"/>
        </w:rPr>
        <w:footnoteReference w:id="606"/>
      </w:r>
      <w:r>
        <w:rPr>
          <w:lang w:eastAsia="fr-FR"/>
        </w:rPr>
        <w:t>.</w:t>
      </w:r>
    </w:p>
    <w:p w14:paraId="358074E9" w14:textId="462D4326" w:rsidR="00AB33F7" w:rsidRDefault="00AB33F7" w:rsidP="00E33BE6">
      <w:pPr>
        <w:pStyle w:val="BodyText"/>
        <w:tabs>
          <w:tab w:val="left" w:pos="1559"/>
          <w:tab w:val="left" w:pos="1984"/>
          <w:tab w:val="left" w:leader="dot" w:pos="7654"/>
          <w:tab w:val="right" w:pos="8929"/>
        </w:tabs>
        <w:spacing w:line="240" w:lineRule="atLeast"/>
        <w:ind w:left="1138" w:right="1138" w:firstLine="0"/>
        <w:rPr>
          <w:lang w:eastAsia="fr-FR"/>
        </w:rPr>
      </w:pPr>
      <w:r w:rsidRPr="00452746">
        <w:rPr>
          <w:lang w:eastAsia="fr-FR"/>
        </w:rPr>
        <w:t xml:space="preserve">Fuyant </w:t>
      </w:r>
      <w:r w:rsidRPr="003A0DC8">
        <w:rPr>
          <w:lang w:eastAsia="fr-FR"/>
        </w:rPr>
        <w:t>Kamonia</w:t>
      </w:r>
      <w:r w:rsidRPr="00452746">
        <w:rPr>
          <w:lang w:eastAsia="fr-FR"/>
        </w:rPr>
        <w:t>, un</w:t>
      </w:r>
      <w:r w:rsidR="004E172A">
        <w:rPr>
          <w:lang w:eastAsia="fr-FR"/>
        </w:rPr>
        <w:t xml:space="preserve">e femme rapporte qu’elle a </w:t>
      </w:r>
      <w:r w:rsidRPr="00452746">
        <w:rPr>
          <w:lang w:eastAsia="fr-FR"/>
        </w:rPr>
        <w:t>été arrêté</w:t>
      </w:r>
      <w:r w:rsidR="004E172A">
        <w:rPr>
          <w:lang w:eastAsia="fr-FR"/>
        </w:rPr>
        <w:t>e</w:t>
      </w:r>
      <w:r w:rsidRPr="00452746">
        <w:rPr>
          <w:lang w:eastAsia="fr-FR"/>
        </w:rPr>
        <w:t xml:space="preserve"> par des miliciens Bana Mura qui ont tué sa mère à coups de poignard. Son bébé </w:t>
      </w:r>
      <w:r>
        <w:rPr>
          <w:lang w:eastAsia="fr-FR"/>
        </w:rPr>
        <w:t xml:space="preserve">âgé </w:t>
      </w:r>
      <w:r w:rsidRPr="00452746">
        <w:rPr>
          <w:lang w:eastAsia="fr-FR"/>
        </w:rPr>
        <w:t>de 4 mois s’est ensuite noyé dans rivière Kapopa alors qu</w:t>
      </w:r>
      <w:r w:rsidR="004E172A">
        <w:rPr>
          <w:lang w:eastAsia="fr-FR"/>
        </w:rPr>
        <w:t>’elle tentait de la traverser à la nage</w:t>
      </w:r>
      <w:r w:rsidRPr="00452746">
        <w:rPr>
          <w:lang w:eastAsia="fr-FR"/>
        </w:rPr>
        <w:t xml:space="preserve">. Au niveau de Mugamba, </w:t>
      </w:r>
      <w:r w:rsidR="004E172A">
        <w:rPr>
          <w:lang w:eastAsia="fr-FR"/>
        </w:rPr>
        <w:t>elle</w:t>
      </w:r>
      <w:r w:rsidRPr="00452746">
        <w:rPr>
          <w:lang w:eastAsia="fr-FR"/>
        </w:rPr>
        <w:t xml:space="preserve"> a croisé des FARDC qui ont proposé de les accompagner. Comme le témoin n’avait pas d’argent un FARDC a décidé de la violer en guise de rémunération</w:t>
      </w:r>
      <w:r w:rsidR="00A62F91">
        <w:rPr>
          <w:lang w:eastAsia="fr-FR"/>
        </w:rPr>
        <w:t> ; cela s’est pass</w:t>
      </w:r>
      <w:r w:rsidR="00A62F91" w:rsidRPr="00452746">
        <w:rPr>
          <w:lang w:eastAsia="fr-FR"/>
        </w:rPr>
        <w:t>é</w:t>
      </w:r>
      <w:r w:rsidRPr="00452746">
        <w:rPr>
          <w:lang w:eastAsia="fr-FR"/>
        </w:rPr>
        <w:t xml:space="preserve"> devant d’autres personnes. Une autre jeune fille aurait également été violée à cet </w:t>
      </w:r>
      <w:r w:rsidRPr="003A0DC8">
        <w:rPr>
          <w:lang w:eastAsia="fr-FR"/>
        </w:rPr>
        <w:t>endroit</w:t>
      </w:r>
      <w:r w:rsidRPr="007F1170">
        <w:rPr>
          <w:rStyle w:val="FootnoteReference"/>
        </w:rPr>
        <w:footnoteReference w:id="607"/>
      </w:r>
      <w:r w:rsidRPr="00452746">
        <w:rPr>
          <w:lang w:eastAsia="fr-FR"/>
        </w:rPr>
        <w:t xml:space="preserve">. </w:t>
      </w:r>
    </w:p>
    <w:p w14:paraId="1C11DD9F" w14:textId="31E3ACDB" w:rsidR="00AB33F7" w:rsidRDefault="00AB33F7" w:rsidP="00E33BE6">
      <w:pPr>
        <w:pStyle w:val="BodyText"/>
        <w:tabs>
          <w:tab w:val="left" w:pos="1559"/>
          <w:tab w:val="left" w:pos="1984"/>
          <w:tab w:val="left" w:leader="dot" w:pos="7654"/>
          <w:tab w:val="right" w:pos="8929"/>
        </w:tabs>
        <w:spacing w:line="240" w:lineRule="atLeast"/>
        <w:ind w:left="1138" w:right="1138" w:firstLine="0"/>
        <w:rPr>
          <w:lang w:eastAsia="fr-FR"/>
        </w:rPr>
      </w:pPr>
      <w:r>
        <w:rPr>
          <w:lang w:eastAsia="fr-FR"/>
        </w:rPr>
        <w:t xml:space="preserve">Une </w:t>
      </w:r>
      <w:r w:rsidR="00F66995">
        <w:rPr>
          <w:lang w:eastAsia="fr-FR"/>
        </w:rPr>
        <w:t>femme</w:t>
      </w:r>
      <w:r w:rsidR="00F66995" w:rsidRPr="00452746">
        <w:rPr>
          <w:lang w:eastAsia="fr-FR"/>
        </w:rPr>
        <w:t xml:space="preserve"> </w:t>
      </w:r>
      <w:r w:rsidRPr="00452746">
        <w:rPr>
          <w:lang w:eastAsia="fr-FR"/>
        </w:rPr>
        <w:t>explique avoir été attaquée et brutalisée par un groupe de miliciens Bana Mura fin mai 2017</w:t>
      </w:r>
      <w:r w:rsidR="004347AC">
        <w:rPr>
          <w:lang w:eastAsia="fr-FR"/>
        </w:rPr>
        <w:t xml:space="preserve"> alors qu’elle fuyait</w:t>
      </w:r>
      <w:r w:rsidRPr="00452746">
        <w:rPr>
          <w:lang w:eastAsia="fr-FR"/>
        </w:rPr>
        <w:t xml:space="preserve">. </w:t>
      </w:r>
      <w:r w:rsidR="00F66995">
        <w:rPr>
          <w:lang w:eastAsia="fr-FR"/>
        </w:rPr>
        <w:t>D</w:t>
      </w:r>
      <w:r w:rsidRPr="00452746">
        <w:rPr>
          <w:lang w:eastAsia="fr-FR"/>
        </w:rPr>
        <w:t xml:space="preserve">eux miliciens Bana Mura l’ont </w:t>
      </w:r>
      <w:r w:rsidR="00F66995">
        <w:rPr>
          <w:lang w:eastAsia="fr-FR"/>
        </w:rPr>
        <w:t xml:space="preserve">ensuite </w:t>
      </w:r>
      <w:r w:rsidRPr="00452746">
        <w:rPr>
          <w:lang w:eastAsia="fr-FR"/>
        </w:rPr>
        <w:t>maintenu</w:t>
      </w:r>
      <w:r w:rsidR="00F66995">
        <w:rPr>
          <w:lang w:eastAsia="fr-FR"/>
        </w:rPr>
        <w:t>e</w:t>
      </w:r>
      <w:r w:rsidRPr="00452746">
        <w:rPr>
          <w:lang w:eastAsia="fr-FR"/>
        </w:rPr>
        <w:t xml:space="preserve"> pendant qu’un autre l’a déshabillé</w:t>
      </w:r>
      <w:r w:rsidR="00A62F91">
        <w:rPr>
          <w:lang w:eastAsia="fr-FR"/>
        </w:rPr>
        <w:t>e</w:t>
      </w:r>
      <w:r w:rsidRPr="00452746">
        <w:rPr>
          <w:lang w:eastAsia="fr-FR"/>
        </w:rPr>
        <w:t xml:space="preserve"> et pénétré</w:t>
      </w:r>
      <w:r w:rsidR="00A62F91">
        <w:rPr>
          <w:lang w:eastAsia="fr-FR"/>
        </w:rPr>
        <w:t>e</w:t>
      </w:r>
      <w:r w:rsidRPr="00452746">
        <w:rPr>
          <w:lang w:eastAsia="fr-FR"/>
        </w:rPr>
        <w:t xml:space="preserve"> de force. Selon le témoin une trentaine de femmes auraient été violées par les miliciens Bana Mura</w:t>
      </w:r>
      <w:r w:rsidRPr="007F1170">
        <w:rPr>
          <w:rStyle w:val="FootnoteReference"/>
        </w:rPr>
        <w:footnoteReference w:id="608"/>
      </w:r>
      <w:r>
        <w:rPr>
          <w:lang w:eastAsia="fr-FR"/>
        </w:rPr>
        <w:t>. A</w:t>
      </w:r>
      <w:r w:rsidRPr="00452746">
        <w:rPr>
          <w:lang w:eastAsia="fr-FR"/>
        </w:rPr>
        <w:t xml:space="preserve">u niveau de Lunyanya, à 15 km de Kamonia, </w:t>
      </w:r>
      <w:r w:rsidR="00F66995">
        <w:rPr>
          <w:lang w:eastAsia="fr-FR"/>
        </w:rPr>
        <w:t>à</w:t>
      </w:r>
      <w:r w:rsidR="00F66995" w:rsidRPr="00452746">
        <w:rPr>
          <w:lang w:eastAsia="fr-FR"/>
        </w:rPr>
        <w:t xml:space="preserve"> </w:t>
      </w:r>
      <w:r w:rsidRPr="00452746">
        <w:rPr>
          <w:lang w:eastAsia="fr-FR"/>
        </w:rPr>
        <w:t>une barrière de</w:t>
      </w:r>
      <w:r>
        <w:rPr>
          <w:lang w:eastAsia="fr-FR"/>
        </w:rPr>
        <w:t>s</w:t>
      </w:r>
      <w:r w:rsidRPr="00452746">
        <w:rPr>
          <w:lang w:eastAsia="fr-FR"/>
        </w:rPr>
        <w:t xml:space="preserve"> miliciens Bana Mura </w:t>
      </w:r>
      <w:r>
        <w:rPr>
          <w:lang w:eastAsia="fr-FR"/>
        </w:rPr>
        <w:t>demandaient leur ethnie aux gens qui fuyaient</w:t>
      </w:r>
      <w:r w:rsidRPr="00452746">
        <w:rPr>
          <w:lang w:eastAsia="fr-FR"/>
        </w:rPr>
        <w:t xml:space="preserve">. </w:t>
      </w:r>
      <w:r>
        <w:rPr>
          <w:lang w:eastAsia="fr-FR"/>
        </w:rPr>
        <w:t xml:space="preserve">Lorsque deux personnes ont répondu </w:t>
      </w:r>
      <w:r w:rsidR="004637BD">
        <w:rPr>
          <w:lang w:eastAsia="fr-FR"/>
        </w:rPr>
        <w:t>b</w:t>
      </w:r>
      <w:r>
        <w:rPr>
          <w:lang w:eastAsia="fr-FR"/>
        </w:rPr>
        <w:t>indi, les miliciens Bana Mura les ont emmené</w:t>
      </w:r>
      <w:r w:rsidR="00F66995">
        <w:rPr>
          <w:lang w:eastAsia="fr-FR"/>
        </w:rPr>
        <w:t>e</w:t>
      </w:r>
      <w:r>
        <w:rPr>
          <w:lang w:eastAsia="fr-FR"/>
        </w:rPr>
        <w:t>s dans la brousse et les ont tué</w:t>
      </w:r>
      <w:r w:rsidR="00F66995">
        <w:rPr>
          <w:lang w:eastAsia="fr-FR"/>
        </w:rPr>
        <w:t>es</w:t>
      </w:r>
      <w:r>
        <w:rPr>
          <w:lang w:eastAsia="fr-FR"/>
        </w:rPr>
        <w:t xml:space="preserve"> à coup de fusil</w:t>
      </w:r>
      <w:r w:rsidRPr="007F1170">
        <w:rPr>
          <w:rStyle w:val="FootnoteReference"/>
        </w:rPr>
        <w:footnoteReference w:id="609"/>
      </w:r>
      <w:r w:rsidRPr="00452746">
        <w:rPr>
          <w:lang w:eastAsia="fr-FR"/>
        </w:rPr>
        <w:t>. Une famille en fuite vers Tshikapa a été arrêté</w:t>
      </w:r>
      <w:r w:rsidR="00F66995">
        <w:rPr>
          <w:lang w:eastAsia="fr-FR"/>
        </w:rPr>
        <w:t>e</w:t>
      </w:r>
      <w:r w:rsidRPr="00452746">
        <w:rPr>
          <w:lang w:eastAsia="fr-FR"/>
        </w:rPr>
        <w:t xml:space="preserve"> par huit miliciens Bana Mura en sortant du village de Shamutoma. Ayant compris que le père de famille était </w:t>
      </w:r>
      <w:r w:rsidR="004A7428">
        <w:rPr>
          <w:lang w:eastAsia="fr-FR"/>
        </w:rPr>
        <w:t>l</w:t>
      </w:r>
      <w:r w:rsidRPr="00452746">
        <w:rPr>
          <w:lang w:eastAsia="fr-FR"/>
        </w:rPr>
        <w:t xml:space="preserve">uba, </w:t>
      </w:r>
      <w:r>
        <w:rPr>
          <w:lang w:eastAsia="fr-FR"/>
        </w:rPr>
        <w:t>les miliciens Bana Mura</w:t>
      </w:r>
      <w:r w:rsidRPr="00452746">
        <w:rPr>
          <w:lang w:eastAsia="fr-FR"/>
        </w:rPr>
        <w:t xml:space="preserve"> lui ont intimé l’ordre d’avoir des relations sexuelles avec ses filles. Devant son refus, les miliciens Bana l’ont battu avec des bouts de bois et des machettes avant de l’égorger. La mère de famille a alors vu son enfant de quatre mois</w:t>
      </w:r>
      <w:r w:rsidR="000E0DA5">
        <w:rPr>
          <w:lang w:eastAsia="fr-FR"/>
        </w:rPr>
        <w:t>,</w:t>
      </w:r>
      <w:r w:rsidRPr="00452746">
        <w:rPr>
          <w:lang w:eastAsia="fr-FR"/>
        </w:rPr>
        <w:t xml:space="preserve"> tenu par la gorge, être frappé contre un arbre, puis jeté par terre.</w:t>
      </w:r>
      <w:r w:rsidR="000B5E0C">
        <w:rPr>
          <w:lang w:eastAsia="fr-FR"/>
        </w:rPr>
        <w:t xml:space="preserve"> </w:t>
      </w:r>
      <w:r w:rsidR="001F11E7">
        <w:rPr>
          <w:lang w:eastAsia="fr-FR"/>
        </w:rPr>
        <w:t>Elle</w:t>
      </w:r>
      <w:r w:rsidRPr="00452746">
        <w:rPr>
          <w:lang w:eastAsia="fr-FR"/>
        </w:rPr>
        <w:t xml:space="preserve"> a ensuite été poignardé</w:t>
      </w:r>
      <w:r>
        <w:rPr>
          <w:lang w:eastAsia="fr-FR"/>
        </w:rPr>
        <w:t>e</w:t>
      </w:r>
      <w:r w:rsidRPr="00452746">
        <w:rPr>
          <w:lang w:eastAsia="fr-FR"/>
        </w:rPr>
        <w:t xml:space="preserve"> à plusieurs endroits </w:t>
      </w:r>
      <w:r w:rsidR="000B5E0C">
        <w:rPr>
          <w:lang w:eastAsia="fr-FR"/>
        </w:rPr>
        <w:t xml:space="preserve">alors qu’elle tentait de protéger son bébé. L’un des miliciens </w:t>
      </w:r>
      <w:r w:rsidR="000B5E0C" w:rsidRPr="00452746">
        <w:rPr>
          <w:lang w:eastAsia="fr-FR"/>
        </w:rPr>
        <w:t>Bana Mura</w:t>
      </w:r>
      <w:r w:rsidR="000B5E0C">
        <w:rPr>
          <w:lang w:eastAsia="fr-FR"/>
        </w:rPr>
        <w:t xml:space="preserve"> l’a</w:t>
      </w:r>
      <w:r w:rsidRPr="00452746">
        <w:rPr>
          <w:lang w:eastAsia="fr-FR"/>
        </w:rPr>
        <w:t xml:space="preserve"> </w:t>
      </w:r>
      <w:r w:rsidR="000B5E0C">
        <w:rPr>
          <w:lang w:eastAsia="fr-FR"/>
        </w:rPr>
        <w:t>alors</w:t>
      </w:r>
      <w:r w:rsidRPr="00452746">
        <w:rPr>
          <w:lang w:eastAsia="fr-FR"/>
        </w:rPr>
        <w:t xml:space="preserve"> violé</w:t>
      </w:r>
      <w:r>
        <w:rPr>
          <w:lang w:eastAsia="fr-FR"/>
        </w:rPr>
        <w:t>e</w:t>
      </w:r>
      <w:r w:rsidRPr="007F1170">
        <w:rPr>
          <w:rStyle w:val="FootnoteReference"/>
        </w:rPr>
        <w:footnoteReference w:id="610"/>
      </w:r>
      <w:r w:rsidRPr="00452746">
        <w:rPr>
          <w:lang w:eastAsia="fr-FR"/>
        </w:rPr>
        <w:t>.</w:t>
      </w:r>
    </w:p>
    <w:p w14:paraId="746FE178" w14:textId="57D90577" w:rsidR="00AB33F7" w:rsidRPr="00452746" w:rsidRDefault="00AB33F7" w:rsidP="00E33BE6">
      <w:pPr>
        <w:pStyle w:val="BodyText"/>
        <w:tabs>
          <w:tab w:val="left" w:pos="1559"/>
          <w:tab w:val="left" w:pos="1984"/>
          <w:tab w:val="left" w:leader="dot" w:pos="7654"/>
          <w:tab w:val="right" w:pos="8929"/>
        </w:tabs>
        <w:spacing w:line="240" w:lineRule="atLeast"/>
        <w:ind w:left="1138" w:right="1138" w:firstLine="0"/>
        <w:rPr>
          <w:lang w:eastAsia="fr-FR"/>
        </w:rPr>
      </w:pPr>
      <w:r w:rsidRPr="00452746">
        <w:rPr>
          <w:lang w:eastAsia="fr-FR"/>
        </w:rPr>
        <w:t xml:space="preserve">Au niveau de la forêt de Tshiakafuti, un village à environ 10km de Kamonia, un groupe de personnes fuyant les violences a été arrêté par un groupe d’une dizaine </w:t>
      </w:r>
      <w:r>
        <w:rPr>
          <w:lang w:eastAsia="fr-FR"/>
        </w:rPr>
        <w:t>des FARDC.</w:t>
      </w:r>
      <w:r w:rsidRPr="00452746">
        <w:rPr>
          <w:lang w:eastAsia="fr-FR"/>
        </w:rPr>
        <w:t xml:space="preserve"> </w:t>
      </w:r>
      <w:r>
        <w:rPr>
          <w:lang w:eastAsia="fr-FR"/>
        </w:rPr>
        <w:t>Les membres du groupe ont été</w:t>
      </w:r>
      <w:r w:rsidRPr="00452746">
        <w:rPr>
          <w:lang w:eastAsia="fr-FR"/>
        </w:rPr>
        <w:t xml:space="preserve"> battu</w:t>
      </w:r>
      <w:r w:rsidR="000B5E0C">
        <w:rPr>
          <w:lang w:eastAsia="fr-FR"/>
        </w:rPr>
        <w:t>s</w:t>
      </w:r>
      <w:r w:rsidRPr="00452746">
        <w:rPr>
          <w:lang w:eastAsia="fr-FR"/>
        </w:rPr>
        <w:t xml:space="preserve"> et </w:t>
      </w:r>
      <w:r>
        <w:rPr>
          <w:lang w:eastAsia="fr-FR"/>
        </w:rPr>
        <w:t xml:space="preserve">se sont fait </w:t>
      </w:r>
      <w:r w:rsidR="00A62F91">
        <w:rPr>
          <w:lang w:eastAsia="fr-FR"/>
        </w:rPr>
        <w:t>vol</w:t>
      </w:r>
      <w:r>
        <w:rPr>
          <w:lang w:eastAsia="fr-FR"/>
        </w:rPr>
        <w:t>er</w:t>
      </w:r>
      <w:r w:rsidRPr="00452746">
        <w:rPr>
          <w:lang w:eastAsia="fr-FR"/>
        </w:rPr>
        <w:t xml:space="preserve"> </w:t>
      </w:r>
      <w:r>
        <w:rPr>
          <w:lang w:eastAsia="fr-FR"/>
        </w:rPr>
        <w:t>leur argent</w:t>
      </w:r>
      <w:r w:rsidRPr="00452746">
        <w:rPr>
          <w:lang w:eastAsia="fr-FR"/>
        </w:rPr>
        <w:t>. Une majorité</w:t>
      </w:r>
      <w:r>
        <w:rPr>
          <w:lang w:eastAsia="fr-FR"/>
        </w:rPr>
        <w:t xml:space="preserve"> de personnes</w:t>
      </w:r>
      <w:r w:rsidRPr="00452746">
        <w:rPr>
          <w:lang w:eastAsia="fr-FR"/>
        </w:rPr>
        <w:t xml:space="preserve"> n’avai</w:t>
      </w:r>
      <w:r>
        <w:rPr>
          <w:lang w:eastAsia="fr-FR"/>
        </w:rPr>
        <w:t>en</w:t>
      </w:r>
      <w:r w:rsidRPr="00452746">
        <w:rPr>
          <w:lang w:eastAsia="fr-FR"/>
        </w:rPr>
        <w:t xml:space="preserve">t </w:t>
      </w:r>
      <w:r>
        <w:rPr>
          <w:lang w:eastAsia="fr-FR"/>
        </w:rPr>
        <w:t xml:space="preserve">cependant pas </w:t>
      </w:r>
      <w:r w:rsidRPr="00452746">
        <w:rPr>
          <w:lang w:eastAsia="fr-FR"/>
        </w:rPr>
        <w:t>d’argent pour payer les FARDC</w:t>
      </w:r>
      <w:r>
        <w:rPr>
          <w:lang w:eastAsia="fr-FR"/>
        </w:rPr>
        <w:t xml:space="preserve">. Ces derniers </w:t>
      </w:r>
      <w:r w:rsidRPr="00452746">
        <w:rPr>
          <w:lang w:eastAsia="fr-FR"/>
        </w:rPr>
        <w:t>ont</w:t>
      </w:r>
      <w:r>
        <w:rPr>
          <w:lang w:eastAsia="fr-FR"/>
        </w:rPr>
        <w:t xml:space="preserve"> alors</w:t>
      </w:r>
      <w:r w:rsidRPr="00452746">
        <w:rPr>
          <w:lang w:eastAsia="fr-FR"/>
        </w:rPr>
        <w:t xml:space="preserve"> choisi au hasard des femmes qu’ils</w:t>
      </w:r>
      <w:r>
        <w:rPr>
          <w:lang w:eastAsia="fr-FR"/>
        </w:rPr>
        <w:t xml:space="preserve"> ont violé</w:t>
      </w:r>
      <w:r w:rsidR="000B5E0C">
        <w:rPr>
          <w:lang w:eastAsia="fr-FR"/>
        </w:rPr>
        <w:t>es</w:t>
      </w:r>
      <w:r w:rsidRPr="00452746">
        <w:rPr>
          <w:lang w:eastAsia="fr-FR"/>
        </w:rPr>
        <w:t xml:space="preserve"> pendant que</w:t>
      </w:r>
      <w:r>
        <w:rPr>
          <w:lang w:eastAsia="fr-FR"/>
        </w:rPr>
        <w:t xml:space="preserve"> </w:t>
      </w:r>
      <w:r w:rsidRPr="00452746">
        <w:rPr>
          <w:lang w:eastAsia="fr-FR"/>
        </w:rPr>
        <w:t>deux militaires maintenaient le</w:t>
      </w:r>
      <w:r>
        <w:rPr>
          <w:lang w:eastAsia="fr-FR"/>
        </w:rPr>
        <w:t xml:space="preserve"> reste du</w:t>
      </w:r>
      <w:r w:rsidRPr="00452746">
        <w:rPr>
          <w:lang w:eastAsia="fr-FR"/>
        </w:rPr>
        <w:t xml:space="preserve"> g</w:t>
      </w:r>
      <w:r>
        <w:rPr>
          <w:lang w:eastAsia="fr-FR"/>
        </w:rPr>
        <w:t>roupe sous la menace d’une arme</w:t>
      </w:r>
      <w:r w:rsidRPr="007F1170">
        <w:rPr>
          <w:rStyle w:val="FootnoteReference"/>
        </w:rPr>
        <w:footnoteReference w:id="611"/>
      </w:r>
      <w:r w:rsidRPr="00452746">
        <w:rPr>
          <w:lang w:eastAsia="fr-FR"/>
        </w:rPr>
        <w:t xml:space="preserve">. </w:t>
      </w:r>
      <w:r w:rsidR="000B5E0C">
        <w:rPr>
          <w:lang w:eastAsia="fr-FR"/>
        </w:rPr>
        <w:t>Dans un autre cas, u</w:t>
      </w:r>
      <w:r w:rsidRPr="00452746">
        <w:rPr>
          <w:lang w:eastAsia="fr-FR"/>
        </w:rPr>
        <w:t xml:space="preserve">ne femme enceinte de sept mois </w:t>
      </w:r>
      <w:r w:rsidR="000B5E0C">
        <w:rPr>
          <w:lang w:eastAsia="fr-FR"/>
        </w:rPr>
        <w:t xml:space="preserve">qui </w:t>
      </w:r>
      <w:r w:rsidRPr="00452746">
        <w:rPr>
          <w:lang w:eastAsia="fr-FR"/>
        </w:rPr>
        <w:t>fuya</w:t>
      </w:r>
      <w:r w:rsidR="000B5E0C">
        <w:rPr>
          <w:lang w:eastAsia="fr-FR"/>
        </w:rPr>
        <w:t>i</w:t>
      </w:r>
      <w:r w:rsidRPr="00452746">
        <w:rPr>
          <w:lang w:eastAsia="fr-FR"/>
        </w:rPr>
        <w:t xml:space="preserve">t avec quatre autres femmes vers Tshikapa a croisé un groupe de FARDC. Les autres femmes se sont enfuient mais </w:t>
      </w:r>
      <w:r w:rsidR="000B5E0C">
        <w:rPr>
          <w:lang w:eastAsia="fr-FR"/>
        </w:rPr>
        <w:t xml:space="preserve">en raison de sa grossesse elle </w:t>
      </w:r>
      <w:r>
        <w:rPr>
          <w:lang w:eastAsia="fr-FR"/>
        </w:rPr>
        <w:t>n’a pas réussi à s’enfuir</w:t>
      </w:r>
      <w:r w:rsidRPr="00452746">
        <w:rPr>
          <w:lang w:eastAsia="fr-FR"/>
        </w:rPr>
        <w:t>. Un élément FARDC l’a alors attrapé</w:t>
      </w:r>
      <w:r w:rsidR="000B5E0C">
        <w:rPr>
          <w:lang w:eastAsia="fr-FR"/>
        </w:rPr>
        <w:t>e</w:t>
      </w:r>
      <w:r w:rsidRPr="00452746">
        <w:rPr>
          <w:lang w:eastAsia="fr-FR"/>
        </w:rPr>
        <w:t xml:space="preserve"> et violé</w:t>
      </w:r>
      <w:r w:rsidR="000B5E0C">
        <w:rPr>
          <w:lang w:eastAsia="fr-FR"/>
        </w:rPr>
        <w:t>e</w:t>
      </w:r>
      <w:r w:rsidRPr="00452746">
        <w:rPr>
          <w:lang w:eastAsia="fr-FR"/>
        </w:rPr>
        <w:t xml:space="preserve"> pendant que les autres FARDC pourchassaient les autres femmes du groupe. </w:t>
      </w:r>
      <w:r w:rsidR="000B5E0C">
        <w:rPr>
          <w:lang w:eastAsia="fr-FR"/>
        </w:rPr>
        <w:t>Elle</w:t>
      </w:r>
      <w:r w:rsidRPr="00452746">
        <w:rPr>
          <w:lang w:eastAsia="fr-FR"/>
        </w:rPr>
        <w:t xml:space="preserve"> a ensuite repris la route et est tombée un peu plus loin</w:t>
      </w:r>
      <w:r>
        <w:rPr>
          <w:lang w:eastAsia="fr-FR"/>
        </w:rPr>
        <w:t>,</w:t>
      </w:r>
      <w:r w:rsidRPr="00452746">
        <w:rPr>
          <w:lang w:eastAsia="fr-FR"/>
        </w:rPr>
        <w:t xml:space="preserve"> sur des miliciens Bana Mura </w:t>
      </w:r>
      <w:r w:rsidRPr="00E33BE6">
        <w:rPr>
          <w:lang w:eastAsia="fr-FR"/>
        </w:rPr>
        <w:t>armés de fusils et de machettes</w:t>
      </w:r>
      <w:r w:rsidR="000B5E0C" w:rsidRPr="00E33BE6">
        <w:rPr>
          <w:lang w:eastAsia="fr-FR"/>
        </w:rPr>
        <w:t xml:space="preserve"> et elle</w:t>
      </w:r>
      <w:r w:rsidRPr="00E33BE6">
        <w:rPr>
          <w:lang w:eastAsia="fr-FR"/>
        </w:rPr>
        <w:t xml:space="preserve"> a alors été violée une seconde fois par un milicien Bana Mura</w:t>
      </w:r>
      <w:r w:rsidRPr="007F1170">
        <w:rPr>
          <w:rStyle w:val="FootnoteReference"/>
        </w:rPr>
        <w:footnoteReference w:id="612"/>
      </w:r>
      <w:r w:rsidRPr="00E33BE6">
        <w:rPr>
          <w:lang w:eastAsia="fr-FR"/>
        </w:rPr>
        <w:t xml:space="preserve">. </w:t>
      </w:r>
    </w:p>
    <w:p w14:paraId="0329A817" w14:textId="38C754A1" w:rsidR="00AB33F7" w:rsidRDefault="00AB33F7" w:rsidP="00E33BE6">
      <w:pPr>
        <w:pStyle w:val="BodyText"/>
        <w:tabs>
          <w:tab w:val="left" w:pos="1559"/>
          <w:tab w:val="left" w:pos="1984"/>
          <w:tab w:val="left" w:leader="dot" w:pos="7654"/>
          <w:tab w:val="right" w:pos="8929"/>
        </w:tabs>
        <w:spacing w:line="240" w:lineRule="atLeast"/>
        <w:ind w:left="1138" w:right="1138" w:firstLine="0"/>
        <w:rPr>
          <w:lang w:eastAsia="fr-FR"/>
        </w:rPr>
      </w:pPr>
      <w:r w:rsidRPr="008C4B75">
        <w:rPr>
          <w:lang w:eastAsia="fr-FR"/>
        </w:rPr>
        <w:t>Des témoins ont décrit avoir traversé des villages désertés, d’autres brûlés et vu de nombreux cadavres, notamment de femmes et d’enfants</w:t>
      </w:r>
      <w:r w:rsidRPr="007F1170">
        <w:rPr>
          <w:rStyle w:val="FootnoteReference"/>
        </w:rPr>
        <w:footnoteReference w:id="613"/>
      </w:r>
      <w:r w:rsidRPr="008C4B75">
        <w:rPr>
          <w:lang w:eastAsia="fr-FR"/>
        </w:rPr>
        <w:t>.</w:t>
      </w:r>
      <w:r>
        <w:rPr>
          <w:lang w:eastAsia="fr-FR"/>
        </w:rPr>
        <w:t xml:space="preserve"> Un témoin explique qu’en fuyant, il a traversé des villages vidés de leurs habitants et vu de nombreux cadavres le long de la route et des rivières</w:t>
      </w:r>
      <w:r w:rsidRPr="007F1170">
        <w:rPr>
          <w:rStyle w:val="FootnoteReference"/>
        </w:rPr>
        <w:footnoteReference w:id="614"/>
      </w:r>
      <w:r>
        <w:rPr>
          <w:lang w:eastAsia="fr-FR"/>
        </w:rPr>
        <w:t>. Entre Kamonia et le village de</w:t>
      </w:r>
      <w:r w:rsidRPr="00E33BE6">
        <w:rPr>
          <w:lang w:eastAsia="fr-FR"/>
        </w:rPr>
        <w:t xml:space="preserve"> </w:t>
      </w:r>
      <w:r w:rsidRPr="00524AA2">
        <w:rPr>
          <w:lang w:eastAsia="fr-FR"/>
        </w:rPr>
        <w:t>Shakafusthi</w:t>
      </w:r>
      <w:r>
        <w:rPr>
          <w:lang w:eastAsia="fr-FR"/>
        </w:rPr>
        <w:t>, des cadavres jonchaient la route. Un témoin indique avoir une cinquantaine de cadavres en majorité des hommes mais aussi des femmes et des enfants dont un garçon de 6 ans et deux filles de quatre et deux ans</w:t>
      </w:r>
      <w:r w:rsidRPr="007F1170">
        <w:rPr>
          <w:rStyle w:val="FootnoteReference"/>
        </w:rPr>
        <w:footnoteReference w:id="615"/>
      </w:r>
      <w:r>
        <w:rPr>
          <w:lang w:eastAsia="fr-FR"/>
        </w:rPr>
        <w:t>.</w:t>
      </w:r>
    </w:p>
    <w:p w14:paraId="7022389E" w14:textId="42DA466F" w:rsidR="00AB33F7" w:rsidRDefault="00AB33F7" w:rsidP="00E33BE6">
      <w:pPr>
        <w:pStyle w:val="BodyText"/>
        <w:tabs>
          <w:tab w:val="left" w:pos="1559"/>
          <w:tab w:val="left" w:pos="1984"/>
          <w:tab w:val="left" w:leader="dot" w:pos="7654"/>
          <w:tab w:val="right" w:pos="8929"/>
        </w:tabs>
        <w:spacing w:line="240" w:lineRule="atLeast"/>
        <w:ind w:left="1138" w:right="1138" w:firstLine="0"/>
        <w:rPr>
          <w:lang w:eastAsia="fr-FR"/>
        </w:rPr>
      </w:pPr>
      <w:r>
        <w:rPr>
          <w:lang w:eastAsia="fr-FR"/>
        </w:rPr>
        <w:t>Un témoin explique qu’un jour un Général des FARDC est venu en visite à Kamonia et que les habitants l’ont informé de la présence de miliciens Bana Mura sur la route entre Kamonia et Tshikapa. Une semaine après sa visite, le témoin a pris la route de Kamonia pour Tshikapa avec de nombreuses autres personnes et les miliciens Bana Mura n’étaient plus en place sur cet axe au moment de leur passage</w:t>
      </w:r>
      <w:r w:rsidRPr="007F1170">
        <w:rPr>
          <w:rStyle w:val="FootnoteReference"/>
        </w:rPr>
        <w:footnoteReference w:id="616"/>
      </w:r>
      <w:r>
        <w:rPr>
          <w:lang w:eastAsia="fr-FR"/>
        </w:rPr>
        <w:t>.</w:t>
      </w:r>
    </w:p>
    <w:p w14:paraId="3EEAB0E7" w14:textId="2128B760" w:rsidR="008264D5" w:rsidRDefault="00B46224" w:rsidP="00E33BE6">
      <w:pPr>
        <w:pStyle w:val="BodyText"/>
        <w:tabs>
          <w:tab w:val="left" w:pos="1559"/>
          <w:tab w:val="left" w:pos="1984"/>
          <w:tab w:val="left" w:leader="dot" w:pos="7654"/>
          <w:tab w:val="right" w:pos="8929"/>
        </w:tabs>
        <w:spacing w:line="240" w:lineRule="atLeast"/>
        <w:ind w:left="1138" w:right="1138" w:firstLine="0"/>
        <w:rPr>
          <w:lang w:eastAsia="fr-FR"/>
        </w:rPr>
      </w:pPr>
      <w:r>
        <w:rPr>
          <w:lang w:eastAsia="fr-FR"/>
        </w:rPr>
        <w:t>L</w:t>
      </w:r>
      <w:r w:rsidR="00AB33F7">
        <w:rPr>
          <w:lang w:eastAsia="fr-FR"/>
        </w:rPr>
        <w:t xml:space="preserve">’EEI est particulièrement choquée par le nombre d’actes de violence commis par tous les </w:t>
      </w:r>
      <w:r>
        <w:rPr>
          <w:lang w:eastAsia="fr-FR"/>
        </w:rPr>
        <w:t xml:space="preserve">acteurs du </w:t>
      </w:r>
      <w:r w:rsidR="00AB33F7">
        <w:rPr>
          <w:lang w:eastAsia="fr-FR"/>
        </w:rPr>
        <w:t>conflit contre les populations civiles démunies qui fuyaient les violences et ceci dans toutes les zones documentées. Par exemple, e</w:t>
      </w:r>
      <w:r w:rsidR="00AB33F7" w:rsidRPr="008C4B75">
        <w:rPr>
          <w:lang w:eastAsia="fr-FR"/>
        </w:rPr>
        <w:t xml:space="preserve">n fuyant de </w:t>
      </w:r>
      <w:r w:rsidR="00AB33F7">
        <w:rPr>
          <w:lang w:eastAsia="fr-FR"/>
        </w:rPr>
        <w:t xml:space="preserve">Tshinota à Kamonia, </w:t>
      </w:r>
      <w:r>
        <w:rPr>
          <w:lang w:eastAsia="fr-FR"/>
        </w:rPr>
        <w:t>une femme rapporte</w:t>
      </w:r>
      <w:r w:rsidR="00AB33F7">
        <w:rPr>
          <w:lang w:eastAsia="fr-FR"/>
        </w:rPr>
        <w:t xml:space="preserve"> que son mari a été arrêté et décapité par les miliciens Kamuina Nsapu qui tenaient une barrière</w:t>
      </w:r>
      <w:r w:rsidR="00AB33F7" w:rsidRPr="007F1170">
        <w:rPr>
          <w:rStyle w:val="FootnoteReference"/>
        </w:rPr>
        <w:footnoteReference w:id="617"/>
      </w:r>
      <w:r w:rsidR="00AB33F7">
        <w:rPr>
          <w:lang w:eastAsia="fr-FR"/>
        </w:rPr>
        <w:t xml:space="preserve">. </w:t>
      </w:r>
      <w:r w:rsidR="00AB33F7" w:rsidRPr="00E33BE6">
        <w:rPr>
          <w:lang w:eastAsia="fr-FR"/>
        </w:rPr>
        <w:t>Un</w:t>
      </w:r>
      <w:r w:rsidRPr="00E33BE6">
        <w:rPr>
          <w:lang w:eastAsia="fr-FR"/>
        </w:rPr>
        <w:t xml:space="preserve">e autre femme </w:t>
      </w:r>
      <w:r w:rsidR="00AB33F7" w:rsidRPr="00E33BE6">
        <w:rPr>
          <w:lang w:eastAsia="fr-FR"/>
        </w:rPr>
        <w:t>raconte qu’elle a été violée par trois miliciens Kamuina Nsapu en fuyant Tshikapa</w:t>
      </w:r>
      <w:r w:rsidR="00AB33F7" w:rsidRPr="007F1170">
        <w:rPr>
          <w:rStyle w:val="FootnoteReference"/>
        </w:rPr>
        <w:footnoteReference w:id="618"/>
      </w:r>
      <w:r w:rsidR="00AB33F7" w:rsidRPr="00E33BE6">
        <w:rPr>
          <w:lang w:eastAsia="fr-FR"/>
        </w:rPr>
        <w:t xml:space="preserve">. </w:t>
      </w:r>
      <w:r w:rsidR="00AB33F7">
        <w:rPr>
          <w:lang w:eastAsia="fr-FR"/>
        </w:rPr>
        <w:t xml:space="preserve">Une </w:t>
      </w:r>
      <w:r>
        <w:rPr>
          <w:lang w:eastAsia="fr-FR"/>
        </w:rPr>
        <w:t xml:space="preserve">femme </w:t>
      </w:r>
      <w:r w:rsidR="00AB33F7">
        <w:rPr>
          <w:lang w:eastAsia="fr-FR"/>
        </w:rPr>
        <w:t>décrit sa fuite du village de Kabeya-Kamwanga vers la ville de Kikwit : « </w:t>
      </w:r>
      <w:r w:rsidR="00AB33F7" w:rsidRPr="00AB33F7">
        <w:rPr>
          <w:lang w:eastAsia="fr-FR"/>
        </w:rPr>
        <w:t>[m]</w:t>
      </w:r>
      <w:r w:rsidR="00AB33F7" w:rsidRPr="00107978">
        <w:rPr>
          <w:lang w:eastAsia="fr-FR"/>
        </w:rPr>
        <w:t>on mari,</w:t>
      </w:r>
      <w:r w:rsidR="00A62F91">
        <w:rPr>
          <w:lang w:eastAsia="fr-FR"/>
        </w:rPr>
        <w:t xml:space="preserve"> [ma famille est moi]</w:t>
      </w:r>
      <w:r w:rsidR="00AB33F7" w:rsidRPr="00107978">
        <w:rPr>
          <w:lang w:eastAsia="fr-FR"/>
        </w:rPr>
        <w:t xml:space="preserve"> avons alors pris la fuite. Dans la brousse, nous avons croisé un groupe de </w:t>
      </w:r>
      <w:r w:rsidR="00AB33F7" w:rsidRPr="00AB33F7">
        <w:rPr>
          <w:lang w:eastAsia="fr-FR"/>
        </w:rPr>
        <w:t>[miliciens Kamuina Nsapu]</w:t>
      </w:r>
      <w:r w:rsidR="00AB33F7" w:rsidRPr="00107978">
        <w:rPr>
          <w:lang w:eastAsia="fr-FR"/>
        </w:rPr>
        <w:t xml:space="preserve">. Deux </w:t>
      </w:r>
      <w:r w:rsidR="008264D5" w:rsidRPr="00AB33F7">
        <w:rPr>
          <w:lang w:eastAsia="fr-FR"/>
        </w:rPr>
        <w:t>[miliciens Kamuina Nsapu]</w:t>
      </w:r>
      <w:r w:rsidR="008264D5">
        <w:rPr>
          <w:lang w:eastAsia="fr-FR"/>
        </w:rPr>
        <w:t xml:space="preserve"> </w:t>
      </w:r>
      <w:r w:rsidR="00AB33F7" w:rsidRPr="00107978">
        <w:rPr>
          <w:lang w:eastAsia="fr-FR"/>
        </w:rPr>
        <w:t>sont resté</w:t>
      </w:r>
      <w:r w:rsidR="008264D5">
        <w:rPr>
          <w:lang w:eastAsia="fr-FR"/>
        </w:rPr>
        <w:t>s</w:t>
      </w:r>
      <w:r w:rsidR="00AB33F7" w:rsidRPr="00107978">
        <w:rPr>
          <w:lang w:eastAsia="fr-FR"/>
        </w:rPr>
        <w:t xml:space="preserve"> avec nous et les autres sont partis. Ils nous ont ensuite demandé de nous déshabiller afin de voir </w:t>
      </w:r>
      <w:r w:rsidR="00AB33F7">
        <w:rPr>
          <w:lang w:eastAsia="fr-FR"/>
        </w:rPr>
        <w:t>si personne ne portait de</w:t>
      </w:r>
      <w:r w:rsidR="00AB33F7" w:rsidRPr="00107978">
        <w:rPr>
          <w:lang w:eastAsia="fr-FR"/>
        </w:rPr>
        <w:t xml:space="preserve"> gris</w:t>
      </w:r>
      <w:r w:rsidR="00AB33F7">
        <w:rPr>
          <w:lang w:eastAsia="fr-FR"/>
        </w:rPr>
        <w:t>-</w:t>
      </w:r>
      <w:r w:rsidR="00AB33F7" w:rsidRPr="00107978">
        <w:rPr>
          <w:lang w:eastAsia="fr-FR"/>
        </w:rPr>
        <w:t>gris</w:t>
      </w:r>
      <w:r w:rsidR="00AB33F7">
        <w:rPr>
          <w:lang w:eastAsia="fr-FR"/>
        </w:rPr>
        <w:t xml:space="preserve">. Ma tante </w:t>
      </w:r>
      <w:r w:rsidR="00AB33F7" w:rsidRPr="00AB33F7">
        <w:rPr>
          <w:lang w:eastAsia="fr-FR"/>
        </w:rPr>
        <w:t xml:space="preserve">[…] </w:t>
      </w:r>
      <w:r w:rsidR="00AB33F7" w:rsidRPr="00107978">
        <w:rPr>
          <w:lang w:eastAsia="fr-FR"/>
        </w:rPr>
        <w:t xml:space="preserve">qui portrait une corde à la hanche fut aussitôt décapitée. Ceux qui n’avaient pas de </w:t>
      </w:r>
      <w:r w:rsidR="00AB33F7" w:rsidRPr="00AB33F7">
        <w:rPr>
          <w:lang w:eastAsia="fr-FR"/>
        </w:rPr>
        <w:t xml:space="preserve">[…] </w:t>
      </w:r>
      <w:r w:rsidR="00AB33F7" w:rsidRPr="00107978">
        <w:rPr>
          <w:lang w:eastAsia="fr-FR"/>
        </w:rPr>
        <w:t>fétiche</w:t>
      </w:r>
      <w:r w:rsidR="00AB33F7">
        <w:rPr>
          <w:lang w:eastAsia="fr-FR"/>
        </w:rPr>
        <w:t>s</w:t>
      </w:r>
      <w:r w:rsidR="00AB33F7" w:rsidRPr="00107978">
        <w:rPr>
          <w:lang w:eastAsia="fr-FR"/>
        </w:rPr>
        <w:t>, ont été libérés. Nous</w:t>
      </w:r>
      <w:r w:rsidR="00AB33F7">
        <w:rPr>
          <w:lang w:eastAsia="fr-FR"/>
        </w:rPr>
        <w:t xml:space="preserve"> </w:t>
      </w:r>
      <w:r w:rsidR="006A2DA0" w:rsidRPr="00AB33F7">
        <w:rPr>
          <w:lang w:eastAsia="fr-FR"/>
        </w:rPr>
        <w:t>[</w:t>
      </w:r>
      <w:r w:rsidR="006A2DA0">
        <w:rPr>
          <w:lang w:eastAsia="fr-FR"/>
        </w:rPr>
        <w:t>avons</w:t>
      </w:r>
      <w:r w:rsidR="006A2DA0" w:rsidRPr="00AB33F7">
        <w:rPr>
          <w:lang w:eastAsia="fr-FR"/>
        </w:rPr>
        <w:t>]</w:t>
      </w:r>
      <w:r w:rsidR="00AB33F7" w:rsidRPr="00107978">
        <w:rPr>
          <w:lang w:eastAsia="fr-FR"/>
        </w:rPr>
        <w:t xml:space="preserve"> continué jusqu</w:t>
      </w:r>
      <w:r w:rsidR="00AB33F7">
        <w:rPr>
          <w:lang w:eastAsia="fr-FR"/>
        </w:rPr>
        <w:t>’à</w:t>
      </w:r>
      <w:r w:rsidR="00AB33F7" w:rsidRPr="00107978">
        <w:rPr>
          <w:lang w:eastAsia="fr-FR"/>
        </w:rPr>
        <w:t xml:space="preserve"> la ville de Kananga, dans la </w:t>
      </w:r>
      <w:r w:rsidR="00AB33F7">
        <w:rPr>
          <w:lang w:eastAsia="fr-FR"/>
        </w:rPr>
        <w:t xml:space="preserve">province du Kasaï </w:t>
      </w:r>
      <w:r w:rsidR="00E442FD">
        <w:rPr>
          <w:lang w:eastAsia="fr-FR"/>
        </w:rPr>
        <w:t>C</w:t>
      </w:r>
      <w:r w:rsidR="00AB33F7">
        <w:rPr>
          <w:lang w:eastAsia="fr-FR"/>
        </w:rPr>
        <w:t>entral, </w:t>
      </w:r>
      <w:r w:rsidR="00AB33F7" w:rsidRPr="00107978">
        <w:rPr>
          <w:lang w:eastAsia="fr-FR"/>
        </w:rPr>
        <w:t>où nous nous sommes caché</w:t>
      </w:r>
      <w:r w:rsidR="00AB33F7">
        <w:rPr>
          <w:lang w:eastAsia="fr-FR"/>
        </w:rPr>
        <w:t>s</w:t>
      </w:r>
      <w:r w:rsidR="00AB33F7" w:rsidRPr="00107978">
        <w:rPr>
          <w:lang w:eastAsia="fr-FR"/>
        </w:rPr>
        <w:t xml:space="preserve"> dans une maison inhabitée. Le lendemain matin vers 8h30, cinq soldats FARDC</w:t>
      </w:r>
      <w:r w:rsidR="00AB33F7">
        <w:rPr>
          <w:lang w:eastAsia="fr-FR"/>
        </w:rPr>
        <w:t xml:space="preserve"> </w:t>
      </w:r>
      <w:r w:rsidR="00AB33F7" w:rsidRPr="00AB33F7">
        <w:rPr>
          <w:lang w:eastAsia="fr-FR"/>
        </w:rPr>
        <w:t xml:space="preserve">[…] </w:t>
      </w:r>
      <w:r w:rsidR="00AB33F7">
        <w:rPr>
          <w:lang w:eastAsia="fr-FR"/>
        </w:rPr>
        <w:t xml:space="preserve">nous ont </w:t>
      </w:r>
      <w:r w:rsidR="00AB33F7" w:rsidRPr="00107978">
        <w:rPr>
          <w:lang w:eastAsia="fr-FR"/>
        </w:rPr>
        <w:t xml:space="preserve">trouvé dans la maison. Sous la menace des armes, ils nous ont demandé notre identité. </w:t>
      </w:r>
      <w:r w:rsidR="00AB33F7">
        <w:rPr>
          <w:lang w:eastAsia="fr-FR"/>
        </w:rPr>
        <w:t>Ils ont ensuite enlevé mon mari</w:t>
      </w:r>
      <w:r w:rsidR="00AB33F7" w:rsidRPr="00107978">
        <w:rPr>
          <w:lang w:eastAsia="fr-FR"/>
        </w:rPr>
        <w:t xml:space="preserve"> </w:t>
      </w:r>
      <w:r w:rsidR="00AB33F7" w:rsidRPr="00AB33F7">
        <w:rPr>
          <w:lang w:eastAsia="fr-FR"/>
        </w:rPr>
        <w:t>[…]</w:t>
      </w:r>
      <w:r w:rsidR="00AB33F7" w:rsidRPr="00107978">
        <w:rPr>
          <w:lang w:eastAsia="fr-FR"/>
        </w:rPr>
        <w:t xml:space="preserve">. Après leur départ, j’ai fui avec mes enfants vers Tshikapa, province de Kasaï, en empruntant un véhicule. En chemin nous avons rencontré trois </w:t>
      </w:r>
      <w:r w:rsidR="00AB33F7" w:rsidRPr="00AB33F7">
        <w:rPr>
          <w:lang w:eastAsia="fr-FR"/>
        </w:rPr>
        <w:t>[miliciens Kamuina Nsapu]</w:t>
      </w:r>
      <w:r w:rsidR="00AB33F7" w:rsidRPr="00107978">
        <w:rPr>
          <w:lang w:eastAsia="fr-FR"/>
        </w:rPr>
        <w:t xml:space="preserve"> qui ont arrêté la voiture et procédé à une fouille de tous les passagers </w:t>
      </w:r>
      <w:r w:rsidR="00AB33F7" w:rsidRPr="00AB33F7">
        <w:rPr>
          <w:lang w:eastAsia="fr-FR"/>
        </w:rPr>
        <w:t>[…]</w:t>
      </w:r>
      <w:r w:rsidR="00AB33F7" w:rsidRPr="00107978">
        <w:rPr>
          <w:lang w:eastAsia="fr-FR"/>
        </w:rPr>
        <w:t>. Ils ont décapité un passager qui portait une corde à la hanche et nous ont laissé partir. Nous avons rencontré plusieurs cadavres de soldat FARDC. Au niveau d’une barrière vers Kikwit, à côté</w:t>
      </w:r>
      <w:r w:rsidR="00AB33F7">
        <w:rPr>
          <w:lang w:eastAsia="fr-FR"/>
        </w:rPr>
        <w:t xml:space="preserve"> du village Luanga Tshima, P</w:t>
      </w:r>
      <w:r w:rsidR="00AB33F7" w:rsidRPr="00107978">
        <w:rPr>
          <w:lang w:eastAsia="fr-FR"/>
        </w:rPr>
        <w:t>rovin</w:t>
      </w:r>
      <w:r w:rsidR="00D13C1C">
        <w:rPr>
          <w:lang w:eastAsia="fr-FR"/>
        </w:rPr>
        <w:t>c</w:t>
      </w:r>
      <w:r w:rsidR="00AB33F7" w:rsidRPr="00107978">
        <w:rPr>
          <w:lang w:eastAsia="fr-FR"/>
        </w:rPr>
        <w:t>e de Kwilu, entre quaran</w:t>
      </w:r>
      <w:r w:rsidR="00AB33F7">
        <w:rPr>
          <w:lang w:eastAsia="fr-FR"/>
        </w:rPr>
        <w:t>te et cinquante soldats ont arrê</w:t>
      </w:r>
      <w:r w:rsidR="00AB33F7" w:rsidRPr="00107978">
        <w:rPr>
          <w:lang w:eastAsia="fr-FR"/>
        </w:rPr>
        <w:t>té notre véhicule, nous ont fait descendre et</w:t>
      </w:r>
      <w:r w:rsidR="00AB33F7">
        <w:rPr>
          <w:lang w:eastAsia="fr-FR"/>
        </w:rPr>
        <w:t xml:space="preserve"> ont</w:t>
      </w:r>
      <w:r w:rsidR="00AB33F7" w:rsidRPr="00107978">
        <w:rPr>
          <w:lang w:eastAsia="fr-FR"/>
        </w:rPr>
        <w:t xml:space="preserve"> fouillé les passagers à la recherché de</w:t>
      </w:r>
      <w:r w:rsidR="00AB33F7">
        <w:rPr>
          <w:lang w:eastAsia="fr-FR"/>
        </w:rPr>
        <w:t> </w:t>
      </w:r>
      <w:r w:rsidR="00AB33F7" w:rsidRPr="00107978">
        <w:rPr>
          <w:lang w:eastAsia="fr-FR"/>
        </w:rPr>
        <w:t>gris</w:t>
      </w:r>
      <w:r w:rsidR="00AB33F7">
        <w:rPr>
          <w:lang w:eastAsia="fr-FR"/>
        </w:rPr>
        <w:t>-</w:t>
      </w:r>
      <w:r w:rsidR="00AB33F7" w:rsidRPr="00107978">
        <w:rPr>
          <w:lang w:eastAsia="fr-FR"/>
        </w:rPr>
        <w:t xml:space="preserve">gris. Certains soldats ont ensuite choisi des femmes qu’ils ont </w:t>
      </w:r>
      <w:r w:rsidR="00D13C1C" w:rsidRPr="00107978">
        <w:rPr>
          <w:lang w:eastAsia="fr-FR"/>
        </w:rPr>
        <w:t>retirées</w:t>
      </w:r>
      <w:r w:rsidR="00AB33F7" w:rsidRPr="00107978">
        <w:rPr>
          <w:lang w:eastAsia="fr-FR"/>
        </w:rPr>
        <w:t xml:space="preserve"> du groupe pour les violer. Deux parmi eux, m’ont conduite à </w:t>
      </w:r>
      <w:r w:rsidR="000D7155" w:rsidRPr="00107978">
        <w:rPr>
          <w:lang w:eastAsia="fr-FR"/>
        </w:rPr>
        <w:t>c</w:t>
      </w:r>
      <w:r w:rsidR="000D7155">
        <w:rPr>
          <w:lang w:eastAsia="fr-FR"/>
        </w:rPr>
        <w:t>ô</w:t>
      </w:r>
      <w:r w:rsidR="000D7155" w:rsidRPr="00107978">
        <w:rPr>
          <w:lang w:eastAsia="fr-FR"/>
        </w:rPr>
        <w:t xml:space="preserve">té </w:t>
      </w:r>
      <w:r w:rsidR="00AB33F7" w:rsidRPr="00107978">
        <w:rPr>
          <w:lang w:eastAsia="fr-FR"/>
        </w:rPr>
        <w:t>dans la brousse et m’ont violé</w:t>
      </w:r>
      <w:r w:rsidR="00A62F91">
        <w:rPr>
          <w:lang w:eastAsia="fr-FR"/>
        </w:rPr>
        <w:t>e</w:t>
      </w:r>
      <w:r w:rsidR="00AB33F7" w:rsidRPr="00107978">
        <w:rPr>
          <w:lang w:eastAsia="fr-FR"/>
        </w:rPr>
        <w:t xml:space="preserve"> chacun en m’intimant l’ord</w:t>
      </w:r>
      <w:r w:rsidR="00AB33F7">
        <w:rPr>
          <w:lang w:eastAsia="fr-FR"/>
        </w:rPr>
        <w:t>re de me laisser faire au risque</w:t>
      </w:r>
      <w:r w:rsidR="00AB33F7" w:rsidRPr="00107978">
        <w:rPr>
          <w:lang w:eastAsia="fr-FR"/>
        </w:rPr>
        <w:t xml:space="preserve"> de me tuer. Ils m’ont ensuite ramenée dans le véhicule et nous avons continué notre chemin jusqu’à Kikwit, province de Kwilu. Quinze femmes dont six mineures ont été violées ce jour</w:t>
      </w:r>
      <w:r w:rsidR="00AB33F7">
        <w:rPr>
          <w:lang w:eastAsia="fr-FR"/>
        </w:rPr>
        <w:t>-là</w:t>
      </w:r>
      <w:r w:rsidR="00E90C08">
        <w:rPr>
          <w:lang w:eastAsia="fr-FR"/>
        </w:rPr>
        <w:t> »</w:t>
      </w:r>
      <w:r w:rsidR="00AB33F7" w:rsidRPr="007F1170">
        <w:rPr>
          <w:rStyle w:val="FootnoteReference"/>
        </w:rPr>
        <w:footnoteReference w:id="619"/>
      </w:r>
      <w:r w:rsidR="00AB33F7" w:rsidRPr="00107978">
        <w:rPr>
          <w:lang w:eastAsia="fr-FR"/>
        </w:rPr>
        <w:t>.</w:t>
      </w:r>
      <w:r w:rsidR="00AB33F7">
        <w:rPr>
          <w:lang w:eastAsia="fr-FR"/>
        </w:rPr>
        <w:t> </w:t>
      </w:r>
    </w:p>
    <w:p w14:paraId="7F077171" w14:textId="4942216D" w:rsidR="00AB33F7" w:rsidRPr="007E411C" w:rsidRDefault="00AB33F7" w:rsidP="00E33BE6">
      <w:pPr>
        <w:pStyle w:val="BodyText"/>
        <w:tabs>
          <w:tab w:val="left" w:pos="1559"/>
          <w:tab w:val="left" w:pos="1984"/>
          <w:tab w:val="left" w:leader="dot" w:pos="7654"/>
          <w:tab w:val="right" w:pos="8929"/>
        </w:tabs>
        <w:spacing w:line="240" w:lineRule="atLeast"/>
        <w:ind w:left="1138" w:right="1138" w:firstLine="0"/>
      </w:pPr>
      <w:r>
        <w:rPr>
          <w:lang w:eastAsia="fr-FR"/>
        </w:rPr>
        <w:t xml:space="preserve">Une partie importante des viols documentés par l’EEI </w:t>
      </w:r>
      <w:r w:rsidR="00A62F91">
        <w:rPr>
          <w:lang w:eastAsia="fr-FR"/>
        </w:rPr>
        <w:t>a</w:t>
      </w:r>
      <w:r>
        <w:rPr>
          <w:lang w:eastAsia="fr-FR"/>
        </w:rPr>
        <w:t xml:space="preserve"> été commis</w:t>
      </w:r>
      <w:r w:rsidR="00A62F91">
        <w:rPr>
          <w:lang w:eastAsia="fr-FR"/>
        </w:rPr>
        <w:t>e</w:t>
      </w:r>
      <w:r>
        <w:rPr>
          <w:lang w:eastAsia="fr-FR"/>
        </w:rPr>
        <w:t xml:space="preserve"> par des éléments FARDC contre des femmes en fuite</w:t>
      </w:r>
      <w:r w:rsidR="00041581">
        <w:rPr>
          <w:lang w:eastAsia="fr-FR"/>
        </w:rPr>
        <w:t xml:space="preserve"> et donc particulièrement vulnérables</w:t>
      </w:r>
      <w:r>
        <w:rPr>
          <w:lang w:eastAsia="fr-FR"/>
        </w:rPr>
        <w:t xml:space="preserve"> alors même que </w:t>
      </w:r>
      <w:r w:rsidR="00E90C08">
        <w:rPr>
          <w:lang w:eastAsia="fr-FR"/>
        </w:rPr>
        <w:t>les FARDC</w:t>
      </w:r>
      <w:r>
        <w:rPr>
          <w:lang w:eastAsia="fr-FR"/>
        </w:rPr>
        <w:t xml:space="preserve"> se d</w:t>
      </w:r>
      <w:r w:rsidR="005955BD">
        <w:rPr>
          <w:lang w:eastAsia="fr-FR"/>
        </w:rPr>
        <w:t>oivent</w:t>
      </w:r>
      <w:r>
        <w:rPr>
          <w:lang w:eastAsia="fr-FR"/>
        </w:rPr>
        <w:t xml:space="preserve"> d’assister les populations</w:t>
      </w:r>
      <w:r w:rsidRPr="007F1170">
        <w:rPr>
          <w:rStyle w:val="FootnoteReference"/>
        </w:rPr>
        <w:footnoteReference w:id="620"/>
      </w:r>
      <w:r>
        <w:rPr>
          <w:lang w:eastAsia="fr-FR"/>
        </w:rPr>
        <w:t xml:space="preserve">. </w:t>
      </w:r>
      <w:r w:rsidR="005955BD">
        <w:rPr>
          <w:lang w:eastAsia="fr-FR"/>
        </w:rPr>
        <w:t>Ainsi, u</w:t>
      </w:r>
      <w:r>
        <w:rPr>
          <w:lang w:eastAsia="fr-FR"/>
        </w:rPr>
        <w:t xml:space="preserve">ne femme qui fuyait avec ses enfants et une </w:t>
      </w:r>
      <w:r w:rsidR="00A62F91">
        <w:rPr>
          <w:lang w:eastAsia="fr-FR"/>
        </w:rPr>
        <w:t>fill</w:t>
      </w:r>
      <w:r>
        <w:rPr>
          <w:lang w:eastAsia="fr-FR"/>
        </w:rPr>
        <w:t xml:space="preserve">e de 13 ans </w:t>
      </w:r>
      <w:r w:rsidR="005955BD">
        <w:rPr>
          <w:lang w:eastAsia="fr-FR"/>
        </w:rPr>
        <w:t>rapportent</w:t>
      </w:r>
      <w:r>
        <w:rPr>
          <w:lang w:eastAsia="fr-FR"/>
        </w:rPr>
        <w:t xml:space="preserve"> leur rencontre avec des éléments FARDC après une semaine de marche dans la forêt. La femme a été trainé</w:t>
      </w:r>
      <w:r w:rsidR="005955BD">
        <w:rPr>
          <w:lang w:eastAsia="fr-FR"/>
        </w:rPr>
        <w:t>e</w:t>
      </w:r>
      <w:r>
        <w:rPr>
          <w:lang w:eastAsia="fr-FR"/>
        </w:rPr>
        <w:t xml:space="preserve"> derrière un arbre et battu</w:t>
      </w:r>
      <w:r w:rsidR="005955BD">
        <w:rPr>
          <w:lang w:eastAsia="fr-FR"/>
        </w:rPr>
        <w:t>e</w:t>
      </w:r>
      <w:r>
        <w:rPr>
          <w:lang w:eastAsia="fr-FR"/>
        </w:rPr>
        <w:t xml:space="preserve"> à coups de crosse de fusil pendant qu’un FARDC menaçait ses enfants avec une arme pour ne pas qu’ils crient. Devant ses enfants, 10 éléments FARDC lui ont alors fait subir des attouchements et l’ont violé</w:t>
      </w:r>
      <w:r w:rsidR="005955BD">
        <w:rPr>
          <w:lang w:eastAsia="fr-FR"/>
        </w:rPr>
        <w:t>e</w:t>
      </w:r>
      <w:r>
        <w:rPr>
          <w:lang w:eastAsia="fr-FR"/>
        </w:rPr>
        <w:t xml:space="preserve"> avant de la laisser partir. La jeune fille de 13 ans a été violée par cinq éléments FARDC. Elle raconte que le premier a mis un doigt dans son vagin avant de la pénétrer et que les quatre autres FARDC l’ont ensuite violé</w:t>
      </w:r>
      <w:r w:rsidR="005955BD">
        <w:rPr>
          <w:lang w:eastAsia="fr-FR"/>
        </w:rPr>
        <w:t>e</w:t>
      </w:r>
      <w:r>
        <w:rPr>
          <w:lang w:eastAsia="fr-FR"/>
        </w:rPr>
        <w:t xml:space="preserve"> à tour de rôle</w:t>
      </w:r>
      <w:r w:rsidRPr="007F1170">
        <w:rPr>
          <w:rStyle w:val="FootnoteReference"/>
        </w:rPr>
        <w:footnoteReference w:id="621"/>
      </w:r>
      <w:r>
        <w:rPr>
          <w:lang w:eastAsia="fr-FR"/>
        </w:rPr>
        <w:t xml:space="preserve">. </w:t>
      </w:r>
      <w:r w:rsidR="005955BD">
        <w:rPr>
          <w:lang w:eastAsia="fr-FR"/>
        </w:rPr>
        <w:t>Dans un autre cas, a</w:t>
      </w:r>
      <w:r>
        <w:rPr>
          <w:lang w:eastAsia="fr-FR"/>
        </w:rPr>
        <w:t xml:space="preserve">près la décapitation de son mari par des miliciens Kamuina Nsapu en mars 2017, une femme fuyant </w:t>
      </w:r>
      <w:r w:rsidR="005955BD">
        <w:rPr>
          <w:lang w:eastAsia="fr-FR"/>
        </w:rPr>
        <w:t>le</w:t>
      </w:r>
      <w:r>
        <w:rPr>
          <w:lang w:eastAsia="fr-FR"/>
        </w:rPr>
        <w:t xml:space="preserve"> village d’Akele</w:t>
      </w:r>
      <w:r w:rsidR="000646C5">
        <w:rPr>
          <w:lang w:eastAsia="fr-FR"/>
        </w:rPr>
        <w:t>,</w:t>
      </w:r>
      <w:r>
        <w:rPr>
          <w:lang w:eastAsia="fr-FR"/>
        </w:rPr>
        <w:t xml:space="preserve"> a croisé 10 FARDC. Trois d’entre</w:t>
      </w:r>
      <w:r w:rsidR="00D13C1C">
        <w:rPr>
          <w:lang w:eastAsia="fr-FR"/>
        </w:rPr>
        <w:t xml:space="preserve"> </w:t>
      </w:r>
      <w:r>
        <w:rPr>
          <w:lang w:eastAsia="fr-FR"/>
        </w:rPr>
        <w:t xml:space="preserve">eux lui ont demandé de choisir entre la vie et la mort avant de la jeter à terre et de la déshabiller. </w:t>
      </w:r>
      <w:r w:rsidR="000646C5">
        <w:rPr>
          <w:lang w:eastAsia="fr-FR"/>
        </w:rPr>
        <w:t xml:space="preserve">Ils </w:t>
      </w:r>
      <w:r>
        <w:rPr>
          <w:lang w:eastAsia="fr-FR"/>
        </w:rPr>
        <w:t>l’ont ensuite violé</w:t>
      </w:r>
      <w:r w:rsidR="000646C5">
        <w:rPr>
          <w:lang w:eastAsia="fr-FR"/>
        </w:rPr>
        <w:t>e</w:t>
      </w:r>
      <w:r w:rsidRPr="007F1170">
        <w:rPr>
          <w:rStyle w:val="FootnoteReference"/>
        </w:rPr>
        <w:footnoteReference w:id="622"/>
      </w:r>
      <w:r>
        <w:rPr>
          <w:lang w:eastAsia="fr-FR"/>
        </w:rPr>
        <w:t xml:space="preserve">. </w:t>
      </w:r>
      <w:r w:rsidRPr="00AC19D2">
        <w:rPr>
          <w:lang w:eastAsia="fr-FR"/>
        </w:rPr>
        <w:t xml:space="preserve">Une </w:t>
      </w:r>
      <w:r w:rsidR="000646C5">
        <w:rPr>
          <w:lang w:eastAsia="fr-FR"/>
        </w:rPr>
        <w:t xml:space="preserve">autre </w:t>
      </w:r>
      <w:r w:rsidRPr="00AC19D2">
        <w:rPr>
          <w:lang w:eastAsia="fr-FR"/>
        </w:rPr>
        <w:t xml:space="preserve">femme fuyant les violences dans la province du Kasaï avait trouvé un camion de FARDC pour la transporter vers la ville de Kikwit. En chemin, le chauffeur s’est arrêté et lui a indiqué que si elle ne lui donnait pas d’argent, il </w:t>
      </w:r>
      <w:r w:rsidR="00A62F91">
        <w:rPr>
          <w:lang w:eastAsia="fr-FR"/>
        </w:rPr>
        <w:t>f</w:t>
      </w:r>
      <w:r w:rsidRPr="00AC19D2">
        <w:rPr>
          <w:lang w:eastAsia="fr-FR"/>
        </w:rPr>
        <w:t>erait ce qu’il voulait d’elle. Il l’a ensuite violé</w:t>
      </w:r>
      <w:r w:rsidR="000646C5">
        <w:rPr>
          <w:lang w:eastAsia="fr-FR"/>
        </w:rPr>
        <w:t>e</w:t>
      </w:r>
      <w:r w:rsidRPr="00AC19D2">
        <w:rPr>
          <w:lang w:eastAsia="fr-FR"/>
        </w:rPr>
        <w:t xml:space="preserve"> avant de l’abandonner au bord de la route</w:t>
      </w:r>
      <w:r w:rsidRPr="007F1170">
        <w:rPr>
          <w:rStyle w:val="FootnoteReference"/>
        </w:rPr>
        <w:footnoteReference w:id="623"/>
      </w:r>
      <w:r>
        <w:rPr>
          <w:lang w:eastAsia="fr-FR"/>
        </w:rPr>
        <w:t xml:space="preserve">. Une autre victime explique qu’en fuyant </w:t>
      </w:r>
      <w:r w:rsidR="000646C5">
        <w:rPr>
          <w:lang w:eastAsia="fr-FR"/>
        </w:rPr>
        <w:t xml:space="preserve">avec d’autres personnes </w:t>
      </w:r>
      <w:r>
        <w:rPr>
          <w:lang w:eastAsia="fr-FR"/>
        </w:rPr>
        <w:t xml:space="preserve">le village de Katsikalé et alors </w:t>
      </w:r>
      <w:r w:rsidR="000646C5">
        <w:rPr>
          <w:lang w:eastAsia="fr-FR"/>
        </w:rPr>
        <w:t xml:space="preserve">qu’elles </w:t>
      </w:r>
      <w:r>
        <w:rPr>
          <w:lang w:eastAsia="fr-FR"/>
        </w:rPr>
        <w:t>avai</w:t>
      </w:r>
      <w:r w:rsidR="000646C5">
        <w:rPr>
          <w:lang w:eastAsia="fr-FR"/>
        </w:rPr>
        <w:t>en</w:t>
      </w:r>
      <w:r>
        <w:rPr>
          <w:lang w:eastAsia="fr-FR"/>
        </w:rPr>
        <w:t xml:space="preserve">t trouvé refuge dans de petites huttes de cultivateur, des FARDC sont arrivés. Sept </w:t>
      </w:r>
      <w:r w:rsidR="000646C5">
        <w:rPr>
          <w:lang w:eastAsia="fr-FR"/>
        </w:rPr>
        <w:t xml:space="preserve">FARDC </w:t>
      </w:r>
      <w:r>
        <w:rPr>
          <w:lang w:eastAsia="fr-FR"/>
        </w:rPr>
        <w:t>ont violé sa nièce âgée de 19 ans</w:t>
      </w:r>
      <w:r w:rsidR="000646C5">
        <w:rPr>
          <w:lang w:eastAsia="fr-FR"/>
        </w:rPr>
        <w:t xml:space="preserve"> puis</w:t>
      </w:r>
      <w:r>
        <w:rPr>
          <w:lang w:eastAsia="fr-FR"/>
        </w:rPr>
        <w:t xml:space="preserve"> quatre</w:t>
      </w:r>
      <w:r w:rsidR="000646C5">
        <w:rPr>
          <w:lang w:eastAsia="fr-FR"/>
        </w:rPr>
        <w:t xml:space="preserve"> d’entre eux</w:t>
      </w:r>
      <w:r>
        <w:rPr>
          <w:lang w:eastAsia="fr-FR"/>
        </w:rPr>
        <w:t xml:space="preserve"> </w:t>
      </w:r>
      <w:r w:rsidR="000646C5">
        <w:rPr>
          <w:lang w:eastAsia="fr-FR"/>
        </w:rPr>
        <w:t>l’</w:t>
      </w:r>
      <w:r>
        <w:rPr>
          <w:lang w:eastAsia="fr-FR"/>
        </w:rPr>
        <w:t>ont violé</w:t>
      </w:r>
      <w:r w:rsidR="000646C5">
        <w:rPr>
          <w:lang w:eastAsia="fr-FR"/>
        </w:rPr>
        <w:t>e</w:t>
      </w:r>
      <w:r>
        <w:rPr>
          <w:lang w:eastAsia="fr-FR"/>
        </w:rPr>
        <w:t xml:space="preserve"> avant </w:t>
      </w:r>
      <w:r w:rsidR="000646C5">
        <w:rPr>
          <w:lang w:eastAsia="fr-FR"/>
        </w:rPr>
        <w:t xml:space="preserve">de faire subit le même sort à </w:t>
      </w:r>
      <w:r>
        <w:rPr>
          <w:lang w:eastAsia="fr-FR"/>
        </w:rPr>
        <w:t>une autre femme devant son mari qui avait été ligoté</w:t>
      </w:r>
      <w:r w:rsidRPr="007F1170">
        <w:rPr>
          <w:rStyle w:val="FootnoteReference"/>
        </w:rPr>
        <w:footnoteReference w:id="624"/>
      </w:r>
      <w:r>
        <w:rPr>
          <w:lang w:eastAsia="fr-FR"/>
        </w:rPr>
        <w:t>.</w:t>
      </w:r>
    </w:p>
    <w:p w14:paraId="4FFFB0A5" w14:textId="77777777" w:rsidR="00E9574D" w:rsidRPr="0023702C" w:rsidRDefault="00E9574D" w:rsidP="0023702C">
      <w:pPr>
        <w:pStyle w:val="BodyText"/>
        <w:numPr>
          <w:ilvl w:val="0"/>
          <w:numId w:val="0"/>
        </w:numPr>
        <w:tabs>
          <w:tab w:val="left" w:pos="1559"/>
          <w:tab w:val="left" w:pos="1984"/>
          <w:tab w:val="left" w:leader="dot" w:pos="7654"/>
          <w:tab w:val="right" w:pos="8929"/>
        </w:tabs>
        <w:spacing w:line="240" w:lineRule="atLeast"/>
        <w:ind w:left="2160" w:right="1138"/>
        <w:outlineLvl w:val="5"/>
        <w:rPr>
          <w:b/>
          <w:i/>
          <w:u w:val="single"/>
        </w:rPr>
      </w:pPr>
      <w:r w:rsidRPr="0023702C">
        <w:rPr>
          <w:i/>
          <w:u w:val="single"/>
        </w:rPr>
        <w:t>Secteur de Lovua-Longatshimo</w:t>
      </w:r>
    </w:p>
    <w:p w14:paraId="3D50BDE0" w14:textId="3DEF6DE6" w:rsidR="00E9574D" w:rsidRPr="005C02EF" w:rsidRDefault="00E9574D" w:rsidP="00E33BE6">
      <w:pPr>
        <w:pStyle w:val="BodyText"/>
        <w:tabs>
          <w:tab w:val="left" w:pos="1559"/>
          <w:tab w:val="left" w:pos="1984"/>
          <w:tab w:val="left" w:leader="dot" w:pos="7654"/>
          <w:tab w:val="right" w:pos="8929"/>
        </w:tabs>
        <w:spacing w:line="240" w:lineRule="atLeast"/>
        <w:ind w:left="1138" w:right="1138" w:firstLine="0"/>
      </w:pPr>
      <w:r w:rsidRPr="005C02EF">
        <w:t>En mars 2017, la milice Kamuina Nsapu a atteint le secteur de Lovua-L</w:t>
      </w:r>
      <w:r>
        <w:t xml:space="preserve">ongatshimo. Dans ce secteur, la population </w:t>
      </w:r>
      <w:r w:rsidR="00EB088A">
        <w:t xml:space="preserve">était composée </w:t>
      </w:r>
      <w:r>
        <w:t>majoritairement</w:t>
      </w:r>
      <w:r w:rsidR="00EB088A">
        <w:t xml:space="preserve"> de</w:t>
      </w:r>
      <w:r>
        <w:t xml:space="preserve"> </w:t>
      </w:r>
      <w:r w:rsidR="00651768">
        <w:t>Chokwe</w:t>
      </w:r>
      <w:r w:rsidR="004A163E">
        <w:t>s</w:t>
      </w:r>
      <w:r w:rsidRPr="005C02EF">
        <w:t xml:space="preserve"> </w:t>
      </w:r>
      <w:r w:rsidR="00EB088A">
        <w:t>ainsi que</w:t>
      </w:r>
      <w:r w:rsidR="00EB088A" w:rsidRPr="005C02EF">
        <w:t xml:space="preserve"> </w:t>
      </w:r>
      <w:r>
        <w:t xml:space="preserve">de nombreux </w:t>
      </w:r>
      <w:r w:rsidRPr="005C02EF">
        <w:t>Pende</w:t>
      </w:r>
      <w:r w:rsidR="004A163E">
        <w:t>s</w:t>
      </w:r>
      <w:r w:rsidRPr="005C02EF">
        <w:t xml:space="preserve">. Les miliciens Kamuina Nsapu ont </w:t>
      </w:r>
      <w:r w:rsidRPr="005C02EF">
        <w:rPr>
          <w:lang w:eastAsia="fr-FR"/>
        </w:rPr>
        <w:t>installé</w:t>
      </w:r>
      <w:r w:rsidRPr="005C02EF">
        <w:t xml:space="preserve"> des tshiota dans plusieurs villages et ont décapité de nombreuses personnes</w:t>
      </w:r>
      <w:r>
        <w:t>,</w:t>
      </w:r>
      <w:r w:rsidRPr="005C02EF">
        <w:t xml:space="preserve"> </w:t>
      </w:r>
      <w:r>
        <w:t>notamment</w:t>
      </w:r>
      <w:r w:rsidRPr="005C02EF">
        <w:t xml:space="preserve"> dans les villages de Senge (ou Cinq) et de Mvula-Milenge. Avant l’attaque par les miliciens Bana Mura du village de Senge le 24 avril 2017</w:t>
      </w:r>
      <w:r w:rsidRPr="007F1170">
        <w:rPr>
          <w:rStyle w:val="FootnoteReference"/>
        </w:rPr>
        <w:footnoteReference w:id="625"/>
      </w:r>
      <w:r w:rsidRPr="005C02EF">
        <w:t>, la milice Kamuina Nsapu s’y était installée</w:t>
      </w:r>
      <w:r w:rsidRPr="007F1170">
        <w:rPr>
          <w:rStyle w:val="FootnoteReference"/>
        </w:rPr>
        <w:footnoteReference w:id="626"/>
      </w:r>
      <w:r w:rsidRPr="005C02EF">
        <w:t xml:space="preserve">. Au moins un </w:t>
      </w:r>
      <w:r w:rsidR="00192143">
        <w:t xml:space="preserve">agent de la </w:t>
      </w:r>
      <w:r w:rsidRPr="005C02EF">
        <w:t>PNC et plusieurs chefs de villages ont été décapité</w:t>
      </w:r>
      <w:r>
        <w:t>s</w:t>
      </w:r>
      <w:r w:rsidRPr="005C02EF">
        <w:t xml:space="preserve"> par les miliciens et plusieurs têtes rapportées d’un village voisin</w:t>
      </w:r>
      <w:r w:rsidRPr="007F1170">
        <w:rPr>
          <w:rStyle w:val="FootnoteReference"/>
        </w:rPr>
        <w:footnoteReference w:id="627"/>
      </w:r>
      <w:r w:rsidRPr="005C02EF">
        <w:t xml:space="preserve">. La milice Kamuina Nsapu a </w:t>
      </w:r>
      <w:r>
        <w:t>tenté de rallier la population à son</w:t>
      </w:r>
      <w:r w:rsidRPr="005C02EF">
        <w:t xml:space="preserve"> mouvement insistant sur le fait qu’ils </w:t>
      </w:r>
      <w:r>
        <w:t>n’attaquaient que</w:t>
      </w:r>
      <w:r w:rsidRPr="005C02EF">
        <w:t xml:space="preserve"> les représentants de l’Etat. Néanmoins, un témoin rapporte qu’un jour les miliciens avaient réuni des habitants du village de Senge en leur demandant individuellement leur </w:t>
      </w:r>
      <w:r>
        <w:t>ethnie</w:t>
      </w:r>
      <w:r w:rsidRPr="005C02EF">
        <w:t>. Pour s’assurer que la population ne mentait pas, les miliciens pos</w:t>
      </w:r>
      <w:r>
        <w:t>aient des questions en tshiluba</w:t>
      </w:r>
      <w:r w:rsidRPr="005C02EF">
        <w:t>. Ceux qui n’arrivaient pas à répondre</w:t>
      </w:r>
      <w:r>
        <w:t xml:space="preserve"> dans la langue des Luba</w:t>
      </w:r>
      <w:r w:rsidR="0080302F">
        <w:t>s</w:t>
      </w:r>
      <w:r w:rsidRPr="005C02EF">
        <w:t xml:space="preserve"> étaient décapités</w:t>
      </w:r>
      <w:r>
        <w:t>.</w:t>
      </w:r>
      <w:r w:rsidRPr="005C02EF">
        <w:t xml:space="preserve"> </w:t>
      </w:r>
      <w:r>
        <w:t>H</w:t>
      </w:r>
      <w:r w:rsidRPr="005C02EF">
        <w:t xml:space="preserve">uit personnes ont </w:t>
      </w:r>
      <w:r w:rsidR="00EB088A">
        <w:t xml:space="preserve">ainsi </w:t>
      </w:r>
      <w:r w:rsidRPr="005C02EF">
        <w:t>été décapitées</w:t>
      </w:r>
      <w:r>
        <w:t xml:space="preserve"> lors de cet incident</w:t>
      </w:r>
      <w:r w:rsidRPr="007F1170">
        <w:rPr>
          <w:rStyle w:val="FootnoteReference"/>
        </w:rPr>
        <w:footnoteReference w:id="628"/>
      </w:r>
      <w:r>
        <w:t xml:space="preserve">. </w:t>
      </w:r>
      <w:r w:rsidRPr="005C02EF">
        <w:t>Les miliciens Kamuina Nsapu ont aussi attaqué le village de Mvula-Milenge au m</w:t>
      </w:r>
      <w:r>
        <w:t>ois de mars 2017. Les miliciens,</w:t>
      </w:r>
      <w:r w:rsidRPr="005C02EF">
        <w:t xml:space="preserve"> y compris des garçons et des filles entre 7 et 13 ans, </w:t>
      </w:r>
      <w:r>
        <w:t>avaient un slogan en tshiluba qui signifiait</w:t>
      </w:r>
      <w:r w:rsidRPr="005C02EF">
        <w:t xml:space="preserve"> </w:t>
      </w:r>
      <w:r w:rsidR="00EB088A">
        <w:t>« </w:t>
      </w:r>
      <w:r w:rsidRPr="005C02EF">
        <w:t>que cette terre soit la vôtre ; si c’est la nôtre, que vous soyez tous exterminés</w:t>
      </w:r>
      <w:r w:rsidR="00EB088A">
        <w:t> »</w:t>
      </w:r>
      <w:r w:rsidRPr="007F1170">
        <w:rPr>
          <w:rStyle w:val="FootnoteReference"/>
        </w:rPr>
        <w:footnoteReference w:id="629"/>
      </w:r>
      <w:r w:rsidRPr="005C02EF">
        <w:t xml:space="preserve">. </w:t>
      </w:r>
      <w:r>
        <w:t>Plusieurs personnes rapportent des cas de décapitatio</w:t>
      </w:r>
      <w:r w:rsidR="00A62F91">
        <w:t>ns ou de blessures par machette</w:t>
      </w:r>
      <w:r>
        <w:t xml:space="preserve"> commis par les miliciens Kamuina Nsapu dans le village de </w:t>
      </w:r>
      <w:r w:rsidRPr="005C02EF">
        <w:t>Mvula-Milenge</w:t>
      </w:r>
      <w:r w:rsidRPr="007F1170">
        <w:rPr>
          <w:rStyle w:val="FootnoteReference"/>
        </w:rPr>
        <w:footnoteReference w:id="630"/>
      </w:r>
      <w:r w:rsidRPr="005C02EF">
        <w:t>.</w:t>
      </w:r>
    </w:p>
    <w:p w14:paraId="5D91072D" w14:textId="415988FA" w:rsidR="00E9574D" w:rsidRPr="005C02EF" w:rsidRDefault="00E9574D" w:rsidP="00E33BE6">
      <w:pPr>
        <w:pStyle w:val="BodyText"/>
        <w:tabs>
          <w:tab w:val="left" w:pos="1559"/>
          <w:tab w:val="left" w:pos="1984"/>
          <w:tab w:val="left" w:leader="dot" w:pos="7654"/>
          <w:tab w:val="right" w:pos="8929"/>
        </w:tabs>
        <w:spacing w:line="240" w:lineRule="atLeast"/>
        <w:ind w:left="1138" w:right="1138" w:firstLine="0"/>
      </w:pPr>
      <w:r w:rsidRPr="005C02EF">
        <w:t xml:space="preserve">L’arrivée des miliciens Kamuina Nsapu dans le secteur de Lovua-Luthsima a créé un mouvement de </w:t>
      </w:r>
      <w:r w:rsidR="000D7155">
        <w:t>panique de</w:t>
      </w:r>
      <w:r w:rsidRPr="005C02EF">
        <w:t xml:space="preserve"> la population et ceux qui fuyaient étaient considérés par les miliciens comme hostiles au mouvement. </w:t>
      </w:r>
      <w:r>
        <w:t xml:space="preserve">Par exemple, </w:t>
      </w:r>
      <w:r w:rsidRPr="005C02EF">
        <w:t xml:space="preserve">en fuyant le village de Mvula-Milenge, </w:t>
      </w:r>
      <w:r>
        <w:t>un groupe de personnes</w:t>
      </w:r>
      <w:r w:rsidRPr="005C02EF">
        <w:t xml:space="preserve"> a été stoppé par dix miliciens Kamuina Nsapu</w:t>
      </w:r>
      <w:r>
        <w:t>. Ils</w:t>
      </w:r>
      <w:r w:rsidRPr="005C02EF">
        <w:t xml:space="preserve"> ont reproché à deux hommes de les avoir </w:t>
      </w:r>
      <w:r w:rsidR="000D7155" w:rsidRPr="005C02EF">
        <w:t>regardés</w:t>
      </w:r>
      <w:r w:rsidRPr="005C02EF">
        <w:t xml:space="preserve"> dans les yeux. Ils les ont alors enterrés </w:t>
      </w:r>
      <w:r w:rsidR="00A62F91">
        <w:t>ne laissant apparaitre que leur</w:t>
      </w:r>
      <w:r w:rsidRPr="005C02EF">
        <w:t xml:space="preserve"> tête avant de les décapiter. Ils ont ensuite violé les femmes</w:t>
      </w:r>
      <w:r w:rsidRPr="007F1170">
        <w:rPr>
          <w:rStyle w:val="FootnoteReference"/>
        </w:rPr>
        <w:footnoteReference w:id="631"/>
      </w:r>
      <w:r w:rsidRPr="005C02EF">
        <w:t>. Une femme raconte que dans sa fuite, elle a été arrêtée par des miliciens Kamuina Nsapu au niveau du village de Muyeji avant d’être conduit</w:t>
      </w:r>
      <w:r w:rsidR="00D13C1C">
        <w:t>e</w:t>
      </w:r>
      <w:r w:rsidRPr="005C02EF">
        <w:t xml:space="preserve"> dans une église</w:t>
      </w:r>
      <w:r w:rsidR="00D13C1C">
        <w:t>. D</w:t>
      </w:r>
      <w:r>
        <w:t>’après le témoin,</w:t>
      </w:r>
      <w:r w:rsidRPr="005C02EF">
        <w:t xml:space="preserve"> </w:t>
      </w:r>
      <w:r>
        <w:t>j</w:t>
      </w:r>
      <w:r w:rsidRPr="005C02EF">
        <w:t>us</w:t>
      </w:r>
      <w:r>
        <w:t>qu’à 45 femmes, certaines avec des</w:t>
      </w:r>
      <w:r w:rsidRPr="005C02EF">
        <w:t xml:space="preserve"> enfants ont été gardées dans cette église pendant plusieurs jours et y ont été violées</w:t>
      </w:r>
      <w:r w:rsidRPr="007F1170">
        <w:rPr>
          <w:rStyle w:val="FootnoteReference"/>
        </w:rPr>
        <w:footnoteReference w:id="632"/>
      </w:r>
      <w:r w:rsidRPr="005C02EF">
        <w:t xml:space="preserve">. </w:t>
      </w:r>
      <w:r>
        <w:t xml:space="preserve">En mars 2017, </w:t>
      </w:r>
      <w:r w:rsidRPr="005C02EF">
        <w:t xml:space="preserve">trois miliciens Kamuina Nsapu sont entrés dans </w:t>
      </w:r>
      <w:r>
        <w:t>l</w:t>
      </w:r>
      <w:r w:rsidRPr="005C02EF">
        <w:t>a maison</w:t>
      </w:r>
      <w:r>
        <w:t xml:space="preserve"> d’une famille</w:t>
      </w:r>
      <w:r w:rsidRPr="005C02EF">
        <w:t xml:space="preserve"> dans le village de Kilolo</w:t>
      </w:r>
      <w:r>
        <w:t xml:space="preserve">. Ils ont décapité les deux parents et l’un des miliciens a </w:t>
      </w:r>
      <w:r w:rsidRPr="005C02EF">
        <w:t>jeté à terre</w:t>
      </w:r>
      <w:r>
        <w:t>,</w:t>
      </w:r>
      <w:r w:rsidRPr="005C02EF">
        <w:t xml:space="preserve"> déshabillé violemment</w:t>
      </w:r>
      <w:r>
        <w:t>,</w:t>
      </w:r>
      <w:r w:rsidRPr="005C02EF">
        <w:t xml:space="preserve"> et violé</w:t>
      </w:r>
      <w:r>
        <w:t xml:space="preserve"> une femme à son neuvième mois de grossesse. </w:t>
      </w:r>
      <w:r w:rsidRPr="005C02EF">
        <w:t xml:space="preserve">Les deux autres miliciens ont ensuite introduit leurs doigts dans le vagin de la </w:t>
      </w:r>
      <w:r>
        <w:t xml:space="preserve">femme </w:t>
      </w:r>
      <w:r w:rsidR="000D7155">
        <w:t>en tirant</w:t>
      </w:r>
      <w:r w:rsidRPr="005C02EF">
        <w:t xml:space="preserve">. </w:t>
      </w:r>
      <w:r w:rsidR="000D7155">
        <w:t xml:space="preserve">Elle </w:t>
      </w:r>
      <w:r w:rsidRPr="005C02EF">
        <w:t xml:space="preserve">témoin a abondamment saigné et a accouché </w:t>
      </w:r>
      <w:r w:rsidR="000D7155">
        <w:t xml:space="preserve">quelques jours plus tard </w:t>
      </w:r>
      <w:r w:rsidRPr="005C02EF">
        <w:t>dans la brousse</w:t>
      </w:r>
      <w:r w:rsidRPr="007F1170">
        <w:rPr>
          <w:rStyle w:val="FootnoteReference"/>
        </w:rPr>
        <w:footnoteReference w:id="633"/>
      </w:r>
      <w:r w:rsidRPr="005C02EF">
        <w:t>.</w:t>
      </w:r>
    </w:p>
    <w:p w14:paraId="1FCD2A28" w14:textId="4215E0B5" w:rsidR="00E9574D" w:rsidRPr="005C02EF" w:rsidRDefault="00E9574D" w:rsidP="00E33BE6">
      <w:pPr>
        <w:pStyle w:val="BodyText"/>
        <w:tabs>
          <w:tab w:val="left" w:pos="1559"/>
          <w:tab w:val="left" w:pos="1984"/>
          <w:tab w:val="left" w:leader="dot" w:pos="7654"/>
          <w:tab w:val="right" w:pos="8929"/>
        </w:tabs>
        <w:spacing w:line="240" w:lineRule="atLeast"/>
        <w:ind w:left="1138" w:right="1138" w:firstLine="0"/>
      </w:pPr>
      <w:r w:rsidRPr="005C02EF">
        <w:t>Plusieurs cas de viols commis par les FARDC ont été rapporté</w:t>
      </w:r>
      <w:r w:rsidR="000D7155">
        <w:t>s</w:t>
      </w:r>
      <w:r w:rsidRPr="005C02EF">
        <w:t xml:space="preserve"> lors de ce premier mouvement de population. Un témoin raconte avoir fui</w:t>
      </w:r>
      <w:r w:rsidR="000D7155" w:rsidRPr="000D7155">
        <w:t xml:space="preserve"> </w:t>
      </w:r>
      <w:r w:rsidR="000D7155" w:rsidRPr="005C02EF">
        <w:t>le village de Senge</w:t>
      </w:r>
      <w:r w:rsidR="00192143">
        <w:t xml:space="preserve"> </w:t>
      </w:r>
      <w:r w:rsidR="00192143" w:rsidRPr="005C02EF">
        <w:t>pour rejoindre Tshikapa</w:t>
      </w:r>
      <w:r w:rsidRPr="005C02EF">
        <w:t xml:space="preserve"> avec un groupe</w:t>
      </w:r>
      <w:r w:rsidR="000D7155">
        <w:t xml:space="preserve"> de personnes</w:t>
      </w:r>
      <w:r w:rsidR="00192143">
        <w:t xml:space="preserve"> suite</w:t>
      </w:r>
      <w:r w:rsidRPr="005C02EF">
        <w:t xml:space="preserve"> à l’annonce de l’arrivée des miliciens Kamuina Nsapu. Entre Muyeji et Gombe, le groupe a été intercepté par une vingtaine de FARDC. Les FARDC ont</w:t>
      </w:r>
      <w:r w:rsidR="000D7155">
        <w:t>,</w:t>
      </w:r>
      <w:r w:rsidRPr="005C02EF">
        <w:t xml:space="preserve"> selon le témoin, trié les femmes selon leur âge ou préférence</w:t>
      </w:r>
      <w:r>
        <w:t>s</w:t>
      </w:r>
      <w:r w:rsidRPr="005C02EF">
        <w:t xml:space="preserve">. Ils choisissaient en particulier les femmes </w:t>
      </w:r>
      <w:r w:rsidR="0054507E">
        <w:t>accompagnées de leur mari</w:t>
      </w:r>
      <w:r w:rsidRPr="005C02EF">
        <w:t xml:space="preserve"> et certaines femmes ont été violées </w:t>
      </w:r>
      <w:r w:rsidR="000D7155">
        <w:t>devant</w:t>
      </w:r>
      <w:r w:rsidRPr="005C02EF">
        <w:t xml:space="preserve"> </w:t>
      </w:r>
      <w:r w:rsidR="0054507E">
        <w:t>eux</w:t>
      </w:r>
      <w:r w:rsidRPr="005C02EF">
        <w:t xml:space="preserve"> ou de leurs enfants. Le témoin explique avoir été</w:t>
      </w:r>
      <w:r>
        <w:t xml:space="preserve"> elle-même </w:t>
      </w:r>
      <w:r w:rsidRPr="005C02EF">
        <w:t>violé</w:t>
      </w:r>
      <w:r>
        <w:t>e</w:t>
      </w:r>
      <w:r w:rsidRPr="005C02EF">
        <w:t xml:space="preserve"> par deux FARDC sous la menace d’une arme</w:t>
      </w:r>
      <w:r w:rsidRPr="007F1170">
        <w:rPr>
          <w:rStyle w:val="FootnoteReference"/>
        </w:rPr>
        <w:footnoteReference w:id="634"/>
      </w:r>
      <w:r w:rsidRPr="005C02EF">
        <w:t xml:space="preserve">. Une </w:t>
      </w:r>
      <w:r>
        <w:t xml:space="preserve">autre </w:t>
      </w:r>
      <w:r w:rsidRPr="005C02EF">
        <w:t xml:space="preserve">femme </w:t>
      </w:r>
      <w:r>
        <w:t>explique</w:t>
      </w:r>
      <w:r w:rsidRPr="005C02EF">
        <w:t xml:space="preserve"> avoir été violée par deux hommes qu’elle décrit comme des militaires</w:t>
      </w:r>
      <w:r>
        <w:t>. Q</w:t>
      </w:r>
      <w:r w:rsidRPr="005C02EF">
        <w:t xml:space="preserve">uatre autres femmes auraient également été violées </w:t>
      </w:r>
      <w:r>
        <w:t>lors de cet incident</w:t>
      </w:r>
      <w:r w:rsidRPr="007F1170">
        <w:rPr>
          <w:rStyle w:val="FootnoteReference"/>
        </w:rPr>
        <w:footnoteReference w:id="635"/>
      </w:r>
      <w:r w:rsidRPr="005C02EF">
        <w:t>.</w:t>
      </w:r>
    </w:p>
    <w:p w14:paraId="44274383" w14:textId="18C186E9" w:rsidR="00E9574D" w:rsidRDefault="00E9574D" w:rsidP="00E33BE6">
      <w:pPr>
        <w:pStyle w:val="BodyText"/>
        <w:tabs>
          <w:tab w:val="left" w:pos="1559"/>
          <w:tab w:val="left" w:pos="1984"/>
          <w:tab w:val="left" w:leader="dot" w:pos="7654"/>
          <w:tab w:val="right" w:pos="8929"/>
        </w:tabs>
        <w:spacing w:line="240" w:lineRule="atLeast"/>
        <w:ind w:left="1138" w:right="1138" w:firstLine="0"/>
      </w:pPr>
      <w:r>
        <w:t>En mars 2017</w:t>
      </w:r>
      <w:r w:rsidRPr="005C02EF">
        <w:t>, des milices Bana Mura se sont constituées dans le secteur de Lovua-L</w:t>
      </w:r>
      <w:r>
        <w:t>ongatshimo</w:t>
      </w:r>
      <w:r w:rsidRPr="005C02EF">
        <w:t xml:space="preserve">, notamment dans le groupement de Muyeji. </w:t>
      </w:r>
      <w:r>
        <w:t xml:space="preserve">Si les milices Bana Mura ont été initialement créées en réaction à l’arrivée des miliciens Kamuina Nsapu dans le secteur, elles ont rapidement </w:t>
      </w:r>
      <w:r w:rsidR="0004105B">
        <w:t>étendu</w:t>
      </w:r>
      <w:r w:rsidR="0004105B" w:rsidRPr="005C02EF">
        <w:t xml:space="preserve"> </w:t>
      </w:r>
      <w:r w:rsidRPr="005C02EF">
        <w:t>leurs activités en avril 201</w:t>
      </w:r>
      <w:r w:rsidR="007A33E3">
        <w:t>7</w:t>
      </w:r>
      <w:r>
        <w:t xml:space="preserve">. Loin de se limiter à combattre la milice Kamuina Nsapu, </w:t>
      </w:r>
      <w:r w:rsidR="00192143">
        <w:t xml:space="preserve">les milices Bana Mura </w:t>
      </w:r>
      <w:r>
        <w:t>ont conduit des</w:t>
      </w:r>
      <w:r w:rsidRPr="005C02EF">
        <w:t xml:space="preserve"> attaques</w:t>
      </w:r>
      <w:r>
        <w:t xml:space="preserve"> </w:t>
      </w:r>
      <w:r w:rsidRPr="005C02EF">
        <w:t xml:space="preserve">meurtrières contre les populations civiles </w:t>
      </w:r>
      <w:r w:rsidR="0080302F">
        <w:t>l</w:t>
      </w:r>
      <w:r>
        <w:t>uba</w:t>
      </w:r>
      <w:r w:rsidR="0080302F">
        <w:t>s</w:t>
      </w:r>
      <w:r w:rsidRPr="005C02EF">
        <w:t xml:space="preserve"> dans de multiples localités du secteur de Lovua-L</w:t>
      </w:r>
      <w:r>
        <w:t>ongatshimo</w:t>
      </w:r>
      <w:r w:rsidRPr="007F1170">
        <w:rPr>
          <w:rStyle w:val="FootnoteReference"/>
        </w:rPr>
        <w:footnoteReference w:id="636"/>
      </w:r>
      <w:r w:rsidRPr="005C02EF">
        <w:t xml:space="preserve">. Par exemple, entre le 24 et </w:t>
      </w:r>
      <w:r w:rsidR="0004105B">
        <w:t xml:space="preserve">le </w:t>
      </w:r>
      <w:r w:rsidRPr="005C02EF">
        <w:t>26 avril 2017, de très nombreux</w:t>
      </w:r>
      <w:r>
        <w:t xml:space="preserve"> </w:t>
      </w:r>
      <w:r w:rsidRPr="005C02EF">
        <w:t xml:space="preserve">hommes, femmes et enfants lubaphones ont été blessés, mutilés </w:t>
      </w:r>
      <w:r w:rsidR="0004105B">
        <w:t>ou</w:t>
      </w:r>
      <w:r w:rsidRPr="005C02EF">
        <w:t xml:space="preserve"> tués par arme à feu ou machette lors d’attaques lancées par les miliciens Bana Mura dans</w:t>
      </w:r>
      <w:r>
        <w:t xml:space="preserve"> </w:t>
      </w:r>
      <w:r w:rsidRPr="005C02EF">
        <w:t xml:space="preserve">le groupement </w:t>
      </w:r>
      <w:r w:rsidR="00192143">
        <w:t xml:space="preserve">de </w:t>
      </w:r>
      <w:r w:rsidRPr="005C02EF">
        <w:t>Muyeji,</w:t>
      </w:r>
      <w:r>
        <w:t xml:space="preserve"> et en particulier dans</w:t>
      </w:r>
      <w:r w:rsidRPr="005C02EF">
        <w:t xml:space="preserve"> les villages de Senge, Camp Kwilu, Kakondo et Mvula</w:t>
      </w:r>
      <w:r w:rsidR="00FC5820">
        <w:t>-</w:t>
      </w:r>
      <w:r w:rsidRPr="005C02EF">
        <w:t xml:space="preserve">Milenge. Le nombre de victimes </w:t>
      </w:r>
      <w:r>
        <w:t>de ces attaques est assurément de</w:t>
      </w:r>
      <w:r w:rsidRPr="005C02EF">
        <w:t xml:space="preserve"> plusieurs centaines. </w:t>
      </w:r>
      <w:r>
        <w:t>L</w:t>
      </w:r>
      <w:r w:rsidRPr="005C02EF">
        <w:t>e niveau de violence</w:t>
      </w:r>
      <w:r>
        <w:t xml:space="preserve"> qui a été</w:t>
      </w:r>
      <w:r w:rsidRPr="005C02EF">
        <w:t xml:space="preserve"> utilisé par les milices Bana Mura contre les populations lubaphones est </w:t>
      </w:r>
      <w:r>
        <w:t>extrêmement</w:t>
      </w:r>
      <w:r w:rsidRPr="005C02EF">
        <w:t xml:space="preserve"> élevé. Au regard des éléments de preuve collectés, l’EEI est d’avis que ces attaques, qui ont toutes eu lieu au cours de la même semaine d’avril 2017, étaient planifiées. </w:t>
      </w:r>
      <w:r>
        <w:t xml:space="preserve">Des réunions au cours desquelles les attaques de la population </w:t>
      </w:r>
      <w:r w:rsidR="0080302F">
        <w:t>l</w:t>
      </w:r>
      <w:r>
        <w:t>uba du groupement ont été discutées ont eu lieu</w:t>
      </w:r>
      <w:r w:rsidRPr="007F1170">
        <w:rPr>
          <w:rStyle w:val="FootnoteReference"/>
        </w:rPr>
        <w:footnoteReference w:id="637"/>
      </w:r>
      <w:r>
        <w:t>. Plusieurs témoins mentionnent également des distributions d’armes, des fusils de chasse et des machettes, avant cette série d’attaque</w:t>
      </w:r>
      <w:r w:rsidRPr="007F1170">
        <w:rPr>
          <w:rStyle w:val="FootnoteReference"/>
        </w:rPr>
        <w:footnoteReference w:id="638"/>
      </w:r>
      <w:r>
        <w:t>.</w:t>
      </w:r>
    </w:p>
    <w:p w14:paraId="460345C9" w14:textId="0070C6F6" w:rsidR="00E9574D" w:rsidRPr="005C02EF" w:rsidRDefault="00E9574D" w:rsidP="00E33BE6">
      <w:pPr>
        <w:pStyle w:val="BodyText"/>
        <w:tabs>
          <w:tab w:val="left" w:pos="1559"/>
          <w:tab w:val="left" w:pos="1984"/>
          <w:tab w:val="left" w:leader="dot" w:pos="7654"/>
          <w:tab w:val="right" w:pos="8929"/>
        </w:tabs>
        <w:spacing w:line="240" w:lineRule="atLeast"/>
        <w:ind w:left="1138" w:right="1138" w:firstLine="0"/>
      </w:pPr>
      <w:r w:rsidRPr="005C02EF">
        <w:t xml:space="preserve">Le 24 avril 2017, des miliciens Bana Mura ont attaqué la population lubaphone du village de Senge. Le chef du village était issu de l’ethnie </w:t>
      </w:r>
      <w:r w:rsidR="00651768">
        <w:t>chokwe</w:t>
      </w:r>
      <w:r w:rsidRPr="005C02EF">
        <w:t xml:space="preserve"> et le village appartient au groupement de Muyeji dont le chef est également </w:t>
      </w:r>
      <w:r w:rsidR="00EC5C9A">
        <w:t xml:space="preserve">d’ethnie </w:t>
      </w:r>
      <w:r w:rsidR="00651768">
        <w:t>chokwe</w:t>
      </w:r>
      <w:r w:rsidRPr="005C02EF">
        <w:t xml:space="preserve"> et identifié comme le chef des miliciens Bana Mura dans le groupement</w:t>
      </w:r>
      <w:r w:rsidRPr="007F1170">
        <w:rPr>
          <w:rStyle w:val="FootnoteReference"/>
        </w:rPr>
        <w:footnoteReference w:id="639"/>
      </w:r>
      <w:r w:rsidRPr="005C02EF">
        <w:t xml:space="preserve">. Un témoin indique qu’avant l’attaque </w:t>
      </w:r>
      <w:r>
        <w:t>des</w:t>
      </w:r>
      <w:r w:rsidRPr="005C02EF">
        <w:t xml:space="preserve"> miliciens Bana Mura, il a vu le chef du village se réunir régulièrement avec le chef de l’ANR dans le village de Senge. Suite aux informations circulant </w:t>
      </w:r>
      <w:r w:rsidR="001A2F60">
        <w:t xml:space="preserve">à propos </w:t>
      </w:r>
      <w:r w:rsidRPr="005C02EF">
        <w:t xml:space="preserve">d’attaques dans d’autres villages, le chef du village a rassuré les habitants lubaphones en leur indiquant </w:t>
      </w:r>
      <w:r>
        <w:t>que les</w:t>
      </w:r>
      <w:r w:rsidRPr="005C02EF">
        <w:t xml:space="preserve"> miliciens Bana Mura n’attaqueraient pas le village. Le chef du village de Senge faisait néanmoins partie des assaillants</w:t>
      </w:r>
      <w:r>
        <w:t xml:space="preserve"> </w:t>
      </w:r>
      <w:r w:rsidRPr="005C02EF">
        <w:t>lors de l’attaque</w:t>
      </w:r>
      <w:r w:rsidRPr="007F1170">
        <w:rPr>
          <w:rStyle w:val="FootnoteReference"/>
        </w:rPr>
        <w:footnoteReference w:id="640"/>
      </w:r>
      <w:r w:rsidRPr="005C02EF">
        <w:t xml:space="preserve">. </w:t>
      </w:r>
      <w:r>
        <w:t>Le</w:t>
      </w:r>
      <w:r w:rsidRPr="005C02EF">
        <w:t xml:space="preserve"> chef du groupement</w:t>
      </w:r>
      <w:r>
        <w:t xml:space="preserve"> de</w:t>
      </w:r>
      <w:r w:rsidRPr="005C02EF">
        <w:t xml:space="preserve"> Muyeji serait venu dans le village</w:t>
      </w:r>
      <w:r>
        <w:t xml:space="preserve"> avant l’attaque</w:t>
      </w:r>
      <w:r w:rsidRPr="005C02EF">
        <w:t xml:space="preserve"> pour distribuer des armes et des </w:t>
      </w:r>
      <w:r w:rsidR="00871A84">
        <w:t>munition</w:t>
      </w:r>
      <w:r w:rsidRPr="005C02EF">
        <w:t>s</w:t>
      </w:r>
      <w:r w:rsidRPr="007F1170">
        <w:rPr>
          <w:rStyle w:val="FootnoteReference"/>
        </w:rPr>
        <w:footnoteReference w:id="641"/>
      </w:r>
      <w:r>
        <w:t xml:space="preserve"> </w:t>
      </w:r>
      <w:r w:rsidRPr="005C02EF">
        <w:t xml:space="preserve">et des barrières </w:t>
      </w:r>
      <w:r>
        <w:t>avaient</w:t>
      </w:r>
      <w:r w:rsidRPr="005C02EF">
        <w:t xml:space="preserve"> été érigées pour empêcher les lubaphones de quitter </w:t>
      </w:r>
      <w:r>
        <w:t>le village</w:t>
      </w:r>
      <w:r w:rsidRPr="007F1170">
        <w:rPr>
          <w:rStyle w:val="FootnoteReference"/>
        </w:rPr>
        <w:footnoteReference w:id="642"/>
      </w:r>
      <w:r w:rsidRPr="005C02EF">
        <w:t>.</w:t>
      </w:r>
      <w:r w:rsidR="001A2F60">
        <w:t xml:space="preserve"> </w:t>
      </w:r>
      <w:r w:rsidRPr="005C02EF">
        <w:t xml:space="preserve">L’attaque du village de Senge visait les habitants </w:t>
      </w:r>
      <w:r w:rsidR="0080302F">
        <w:t>l</w:t>
      </w:r>
      <w:r w:rsidRPr="005C02EF">
        <w:t>uba</w:t>
      </w:r>
      <w:r w:rsidR="008844A4">
        <w:t>s</w:t>
      </w:r>
      <w:r w:rsidRPr="005C02EF">
        <w:t xml:space="preserve"> du village. Les </w:t>
      </w:r>
      <w:r w:rsidR="00651768">
        <w:t>Chokwe</w:t>
      </w:r>
      <w:r w:rsidR="004A163E">
        <w:t>s</w:t>
      </w:r>
      <w:r w:rsidRPr="005C02EF">
        <w:t xml:space="preserve"> ou les personnes qui parlaient la langue </w:t>
      </w:r>
      <w:r w:rsidR="00651768">
        <w:t>chokwe</w:t>
      </w:r>
      <w:r w:rsidRPr="005C02EF">
        <w:t xml:space="preserve"> ont été épargnés lors de l’attaque</w:t>
      </w:r>
      <w:r w:rsidRPr="007F1170">
        <w:rPr>
          <w:rStyle w:val="FootnoteReference"/>
        </w:rPr>
        <w:footnoteReference w:id="643"/>
      </w:r>
      <w:r w:rsidRPr="005C02EF">
        <w:t>.</w:t>
      </w:r>
      <w:r>
        <w:t xml:space="preserve"> De plus,</w:t>
      </w:r>
      <w:r w:rsidRPr="005C02EF">
        <w:t xml:space="preserve"> </w:t>
      </w:r>
      <w:r>
        <w:t>u</w:t>
      </w:r>
      <w:r w:rsidRPr="005C02EF">
        <w:t xml:space="preserve">n témoin précise </w:t>
      </w:r>
      <w:r>
        <w:t>que quelques</w:t>
      </w:r>
      <w:r w:rsidRPr="005C02EF">
        <w:t xml:space="preserve"> jours avant l’attaque, les femmes et les enfants </w:t>
      </w:r>
      <w:r w:rsidR="00651768">
        <w:t>chokwe</w:t>
      </w:r>
      <w:r w:rsidR="004A163E">
        <w:t>s</w:t>
      </w:r>
      <w:r w:rsidRPr="005C02EF">
        <w:t xml:space="preserve"> et </w:t>
      </w:r>
      <w:r w:rsidR="004A163E">
        <w:t>p</w:t>
      </w:r>
      <w:r w:rsidRPr="005C02EF">
        <w:t>ende</w:t>
      </w:r>
      <w:r w:rsidR="004A163E">
        <w:t>s</w:t>
      </w:r>
      <w:r w:rsidRPr="005C02EF">
        <w:t xml:space="preserve"> avaient quitté le village</w:t>
      </w:r>
      <w:r w:rsidRPr="007F1170">
        <w:rPr>
          <w:rStyle w:val="FootnoteReference"/>
        </w:rPr>
        <w:footnoteReference w:id="644"/>
      </w:r>
      <w:r w:rsidRPr="005C02EF">
        <w:t xml:space="preserve">. L’un des </w:t>
      </w:r>
      <w:r>
        <w:t>assaillants</w:t>
      </w:r>
      <w:r w:rsidRPr="005C02EF">
        <w:t xml:space="preserve"> a répondu aux supplications de sa victime</w:t>
      </w:r>
      <w:r w:rsidR="008844A4">
        <w:t xml:space="preserve"> d’ethnie</w:t>
      </w:r>
      <w:r w:rsidRPr="005C02EF">
        <w:t xml:space="preserve"> </w:t>
      </w:r>
      <w:r w:rsidR="0080302F">
        <w:t>l</w:t>
      </w:r>
      <w:r w:rsidRPr="005C02EF">
        <w:t>uba par les mots suivants : « nous sommes venus tuer, nous n’allons laisser personne »</w:t>
      </w:r>
      <w:r w:rsidRPr="007F1170">
        <w:rPr>
          <w:rStyle w:val="FootnoteReference"/>
        </w:rPr>
        <w:footnoteReference w:id="645"/>
      </w:r>
      <w:r w:rsidRPr="005C02EF">
        <w:t>.</w:t>
      </w:r>
    </w:p>
    <w:p w14:paraId="06991028" w14:textId="2C285791" w:rsidR="00E9574D" w:rsidRPr="005C02EF" w:rsidRDefault="00E9574D" w:rsidP="00E33BE6">
      <w:pPr>
        <w:pStyle w:val="BodyText"/>
        <w:tabs>
          <w:tab w:val="left" w:pos="1559"/>
          <w:tab w:val="left" w:pos="1984"/>
          <w:tab w:val="left" w:leader="dot" w:pos="7654"/>
          <w:tab w:val="right" w:pos="8929"/>
        </w:tabs>
        <w:spacing w:line="240" w:lineRule="atLeast"/>
        <w:ind w:left="1138" w:right="1138" w:firstLine="0"/>
      </w:pPr>
      <w:r>
        <w:t>L</w:t>
      </w:r>
      <w:r w:rsidRPr="005C02EF">
        <w:t xml:space="preserve">es miliciens Bana Mura étaient très nombreux, avec du cirage noir sur le visage, de la poudre blanche autour des yeux, et de bande de moustiquaires blanches autour de la tête. Ils étaient armés de fusils de chasse qui portaient la mention « RDC » et de machettes de la marque </w:t>
      </w:r>
      <w:r w:rsidR="001A2F60">
        <w:t>T</w:t>
      </w:r>
      <w:r w:rsidR="001A2F60" w:rsidRPr="005C02EF">
        <w:t>ramo</w:t>
      </w:r>
      <w:r w:rsidR="001A2F60">
        <w:t>n</w:t>
      </w:r>
      <w:r w:rsidR="001A2F60" w:rsidRPr="005C02EF">
        <w:t>tina</w:t>
      </w:r>
      <w:r w:rsidRPr="007F1170">
        <w:rPr>
          <w:rStyle w:val="FootnoteReference"/>
        </w:rPr>
        <w:footnoteReference w:id="646"/>
      </w:r>
      <w:r w:rsidRPr="005C02EF">
        <w:t>. Certains assaillants</w:t>
      </w:r>
      <w:r>
        <w:t xml:space="preserve">, principalement </w:t>
      </w:r>
      <w:r w:rsidRPr="00607AAD">
        <w:t>des jeunes hommes</w:t>
      </w:r>
      <w:r>
        <w:t xml:space="preserve"> </w:t>
      </w:r>
      <w:r w:rsidR="00651768">
        <w:t>chokwe</w:t>
      </w:r>
      <w:r w:rsidR="00A34D85">
        <w:t>s</w:t>
      </w:r>
      <w:r w:rsidRPr="00607AAD">
        <w:t xml:space="preserve">, </w:t>
      </w:r>
      <w:r w:rsidR="00A34D85">
        <w:t>p</w:t>
      </w:r>
      <w:r w:rsidRPr="00607AAD">
        <w:t>ende</w:t>
      </w:r>
      <w:r w:rsidR="00366883">
        <w:t>s</w:t>
      </w:r>
      <w:r w:rsidRPr="00607AAD">
        <w:t xml:space="preserve"> et </w:t>
      </w:r>
      <w:r w:rsidR="00A34D85">
        <w:t>tet</w:t>
      </w:r>
      <w:r w:rsidR="00A00A7A">
        <w:t>e</w:t>
      </w:r>
      <w:r w:rsidR="00A34D85">
        <w:t>las</w:t>
      </w:r>
      <w:r w:rsidRPr="00607AAD">
        <w:t>, habitaient le village de Senge</w:t>
      </w:r>
      <w:r>
        <w:t xml:space="preserve"> ou </w:t>
      </w:r>
      <w:r w:rsidRPr="00607AAD">
        <w:t>venaient de villages avoisinants</w:t>
      </w:r>
      <w:r w:rsidRPr="007F1170">
        <w:rPr>
          <w:rStyle w:val="FootnoteReference"/>
        </w:rPr>
        <w:footnoteReference w:id="647"/>
      </w:r>
      <w:r w:rsidRPr="005C02EF">
        <w:t xml:space="preserve">. Les chefs de l’ANR et de la DGM de Senge ont </w:t>
      </w:r>
      <w:r>
        <w:t>apporté leur soutien aux</w:t>
      </w:r>
      <w:r w:rsidRPr="005C02EF">
        <w:t xml:space="preserve"> miliciens</w:t>
      </w:r>
      <w:r w:rsidRPr="007F1170">
        <w:rPr>
          <w:rStyle w:val="FootnoteReference"/>
        </w:rPr>
        <w:footnoteReference w:id="648"/>
      </w:r>
      <w:r w:rsidRPr="005C02EF">
        <w:t xml:space="preserve">. Aucun témoin ne </w:t>
      </w:r>
      <w:r>
        <w:t>mentionne</w:t>
      </w:r>
      <w:r w:rsidRPr="005C02EF">
        <w:t xml:space="preserve"> la présence de FARDC lors de cette l’attaque.</w:t>
      </w:r>
    </w:p>
    <w:p w14:paraId="390D83BB" w14:textId="2BD7DB32" w:rsidR="00E9574D" w:rsidRDefault="00E9574D" w:rsidP="00E33BE6">
      <w:pPr>
        <w:pStyle w:val="BodyText"/>
        <w:tabs>
          <w:tab w:val="left" w:pos="1559"/>
          <w:tab w:val="left" w:pos="1984"/>
          <w:tab w:val="left" w:leader="dot" w:pos="7654"/>
          <w:tab w:val="right" w:pos="8929"/>
        </w:tabs>
        <w:spacing w:line="240" w:lineRule="atLeast"/>
        <w:ind w:left="1138" w:right="1138" w:firstLine="0"/>
      </w:pPr>
      <w:r w:rsidRPr="005C02EF">
        <w:t>Les miliciens Bana Mura se sont attaqués à la population lubaphone dans les rues ma</w:t>
      </w:r>
      <w:r w:rsidR="00871A84">
        <w:t xml:space="preserve">is aussi </w:t>
      </w:r>
      <w:r w:rsidRPr="005C02EF">
        <w:t xml:space="preserve">dans leur maison. </w:t>
      </w:r>
      <w:r>
        <w:t>Une victime</w:t>
      </w:r>
      <w:r w:rsidRPr="005C02EF">
        <w:t xml:space="preserve"> explique avoir été témoin de l’exécution d’un membre de sa famille dans sa maison et n’avoir survécu que parce qu’il s’était fait passer pour mort</w:t>
      </w:r>
      <w:r w:rsidRPr="007F1170">
        <w:rPr>
          <w:rStyle w:val="FootnoteReference"/>
        </w:rPr>
        <w:footnoteReference w:id="649"/>
      </w:r>
      <w:r w:rsidRPr="005C02EF">
        <w:t>. Les miliciens Bana Mura ont mis le feu à</w:t>
      </w:r>
      <w:r>
        <w:t xml:space="preserve"> des maisons alors que </w:t>
      </w:r>
      <w:r w:rsidRPr="005C02EF">
        <w:t>les habitants, dont des enfants</w:t>
      </w:r>
      <w:r>
        <w:t>, se trouvaient</w:t>
      </w:r>
      <w:r w:rsidRPr="005C02EF">
        <w:t xml:space="preserve"> à l’intérieur</w:t>
      </w:r>
      <w:r w:rsidRPr="007F1170">
        <w:rPr>
          <w:rStyle w:val="FootnoteReference"/>
        </w:rPr>
        <w:footnoteReference w:id="650"/>
      </w:r>
      <w:r w:rsidRPr="005C02EF">
        <w:t>. Un</w:t>
      </w:r>
      <w:r w:rsidR="00871A84">
        <w:t>e</w:t>
      </w:r>
      <w:r w:rsidRPr="005C02EF">
        <w:t xml:space="preserve"> </w:t>
      </w:r>
      <w:r w:rsidR="00871A84">
        <w:t>femme</w:t>
      </w:r>
      <w:r w:rsidRPr="005C02EF">
        <w:t xml:space="preserve"> </w:t>
      </w:r>
      <w:r>
        <w:t xml:space="preserve">raconte </w:t>
      </w:r>
      <w:r w:rsidRPr="005C02EF">
        <w:t>qu’après avoir jeté son bébé au sol, les miliciens Bana Mura l’ont battu</w:t>
      </w:r>
      <w:r w:rsidR="00871A84">
        <w:t>e</w:t>
      </w:r>
      <w:r w:rsidRPr="005C02EF">
        <w:t xml:space="preserve"> à coups de machette. </w:t>
      </w:r>
      <w:r w:rsidR="00871A84">
        <w:t>Elle</w:t>
      </w:r>
      <w:r w:rsidRPr="005C02EF">
        <w:t xml:space="preserve"> a été </w:t>
      </w:r>
      <w:r w:rsidR="00871A84">
        <w:t>lard</w:t>
      </w:r>
      <w:r w:rsidRPr="005C02EF">
        <w:t>é</w:t>
      </w:r>
      <w:r w:rsidR="00871A84">
        <w:t>e</w:t>
      </w:r>
      <w:r w:rsidRPr="005C02EF">
        <w:t xml:space="preserve"> </w:t>
      </w:r>
      <w:r>
        <w:t>par de nombreux coups de machette</w:t>
      </w:r>
      <w:r w:rsidRPr="005C02EF">
        <w:t xml:space="preserve"> sur le corps et notamment à la tête et laissé</w:t>
      </w:r>
      <w:r w:rsidR="00871A84">
        <w:t>e</w:t>
      </w:r>
      <w:r w:rsidRPr="005C02EF">
        <w:t xml:space="preserve"> pour mort</w:t>
      </w:r>
      <w:r w:rsidR="00871A84">
        <w:t>e</w:t>
      </w:r>
      <w:r w:rsidRPr="005C02EF">
        <w:t xml:space="preserve"> par les miliciens</w:t>
      </w:r>
      <w:r w:rsidRPr="007F1170">
        <w:rPr>
          <w:rStyle w:val="FootnoteReference"/>
        </w:rPr>
        <w:footnoteReference w:id="651"/>
      </w:r>
      <w:r w:rsidRPr="005C02EF">
        <w:t xml:space="preserve">. </w:t>
      </w:r>
      <w:r>
        <w:t>D</w:t>
      </w:r>
      <w:r w:rsidRPr="005C02EF">
        <w:t>es miliciens</w:t>
      </w:r>
      <w:r>
        <w:t xml:space="preserve"> Bana Mura</w:t>
      </w:r>
      <w:r w:rsidRPr="005C02EF">
        <w:t xml:space="preserve"> sont entrés dans </w:t>
      </w:r>
      <w:r>
        <w:t>une</w:t>
      </w:r>
      <w:r w:rsidRPr="005C02EF">
        <w:t xml:space="preserve"> maison en défonçant la porte avant d’attaquer </w:t>
      </w:r>
      <w:r>
        <w:t xml:space="preserve">une femme </w:t>
      </w:r>
      <w:r w:rsidRPr="005C02EF">
        <w:t>avec des</w:t>
      </w:r>
      <w:r>
        <w:t xml:space="preserve"> machettes, la</w:t>
      </w:r>
      <w:r w:rsidRPr="005C02EF">
        <w:t xml:space="preserve"> blessant à la tête et au bras. </w:t>
      </w:r>
      <w:r>
        <w:t>Ils</w:t>
      </w:r>
      <w:r w:rsidRPr="005C02EF">
        <w:t xml:space="preserve"> se sont ensuite attaqués à ses enfants âgés de 4 à 14 ans les </w:t>
      </w:r>
      <w:r>
        <w:t>mutilant</w:t>
      </w:r>
      <w:r w:rsidRPr="005C02EF">
        <w:t xml:space="preserve"> à la tête et aux bras</w:t>
      </w:r>
      <w:r w:rsidR="00222859" w:rsidRPr="00222859">
        <w:t xml:space="preserve"> </w:t>
      </w:r>
      <w:r w:rsidR="00222859" w:rsidRPr="005C02EF">
        <w:t>à l</w:t>
      </w:r>
      <w:r w:rsidR="00222859">
        <w:t>’aide de</w:t>
      </w:r>
      <w:r w:rsidR="00222859" w:rsidRPr="005C02EF">
        <w:t xml:space="preserve"> machette</w:t>
      </w:r>
      <w:r w:rsidR="00222859">
        <w:t>s</w:t>
      </w:r>
      <w:r w:rsidRPr="005C02EF">
        <w:t xml:space="preserve">. </w:t>
      </w:r>
      <w:r w:rsidR="00192143">
        <w:t>Un de ses enfants,</w:t>
      </w:r>
      <w:r w:rsidRPr="005C02EF">
        <w:t xml:space="preserve"> âgé de deux ans et demi a été tué</w:t>
      </w:r>
      <w:r w:rsidR="00EC5C9A">
        <w:t xml:space="preserve">, </w:t>
      </w:r>
      <w:r w:rsidRPr="005C02EF">
        <w:t>sectionné en deux à la hauteur de l’abdomen</w:t>
      </w:r>
      <w:r>
        <w:t xml:space="preserve"> par un coup de machette</w:t>
      </w:r>
      <w:r w:rsidRPr="005C02EF">
        <w:t xml:space="preserve">. Les miliciens ont ensuite extrait ses intestins </w:t>
      </w:r>
      <w:r>
        <w:t xml:space="preserve">et les ont entourés </w:t>
      </w:r>
      <w:r w:rsidRPr="005C02EF">
        <w:t xml:space="preserve">autour </w:t>
      </w:r>
      <w:r>
        <w:t xml:space="preserve">de la </w:t>
      </w:r>
      <w:r w:rsidR="00871A84">
        <w:t>mère et de</w:t>
      </w:r>
      <w:r>
        <w:t>s</w:t>
      </w:r>
      <w:r w:rsidRPr="005C02EF">
        <w:t xml:space="preserve"> enfants</w:t>
      </w:r>
      <w:r w:rsidRPr="007F1170">
        <w:rPr>
          <w:rStyle w:val="FootnoteReference"/>
        </w:rPr>
        <w:footnoteReference w:id="652"/>
      </w:r>
      <w:r>
        <w:t>. D’autres victimes ont été blessé</w:t>
      </w:r>
      <w:r w:rsidR="00222859">
        <w:t>e</w:t>
      </w:r>
      <w:r>
        <w:t xml:space="preserve">s et tuées par balle, dont une femme enceinte qui a ensuite été </w:t>
      </w:r>
      <w:r w:rsidRPr="005C02EF">
        <w:t xml:space="preserve">éventrée et </w:t>
      </w:r>
      <w:r>
        <w:t xml:space="preserve">dont </w:t>
      </w:r>
      <w:r w:rsidRPr="005C02EF">
        <w:t xml:space="preserve">les fœtus de ses jumeaux </w:t>
      </w:r>
      <w:r>
        <w:t xml:space="preserve">ont été </w:t>
      </w:r>
      <w:r w:rsidRPr="005C02EF">
        <w:t>sortis</w:t>
      </w:r>
      <w:r w:rsidRPr="007F1170">
        <w:rPr>
          <w:rStyle w:val="FootnoteReference"/>
        </w:rPr>
        <w:footnoteReference w:id="653"/>
      </w:r>
      <w:r>
        <w:t xml:space="preserve">. </w:t>
      </w:r>
    </w:p>
    <w:p w14:paraId="5683756C" w14:textId="78EE1CC8" w:rsidR="00E9574D" w:rsidRDefault="00E9574D" w:rsidP="00E33BE6">
      <w:pPr>
        <w:pStyle w:val="BodyText"/>
        <w:tabs>
          <w:tab w:val="left" w:pos="1559"/>
          <w:tab w:val="left" w:pos="1984"/>
          <w:tab w:val="left" w:leader="dot" w:pos="7654"/>
          <w:tab w:val="right" w:pos="8929"/>
        </w:tabs>
        <w:spacing w:line="240" w:lineRule="atLeast"/>
        <w:ind w:left="1138" w:right="1138" w:firstLine="0"/>
      </w:pPr>
      <w:r w:rsidRPr="005C02EF">
        <w:t>Plusieurs témoins indiquent avoir vu de nombreux cadavres lors de leur fuite du village</w:t>
      </w:r>
      <w:r>
        <w:t>,</w:t>
      </w:r>
      <w:r w:rsidRPr="005C02EF">
        <w:t xml:space="preserve"> dont </w:t>
      </w:r>
      <w:r w:rsidR="005F7091">
        <w:t>ceux de</w:t>
      </w:r>
      <w:r w:rsidRPr="005C02EF">
        <w:t xml:space="preserve"> femmes et d</w:t>
      </w:r>
      <w:r w:rsidR="005F7091">
        <w:t>’</w:t>
      </w:r>
      <w:r w:rsidRPr="005C02EF">
        <w:t>enfants</w:t>
      </w:r>
      <w:r w:rsidRPr="007F1170">
        <w:rPr>
          <w:rStyle w:val="FootnoteReference"/>
        </w:rPr>
        <w:footnoteReference w:id="654"/>
      </w:r>
      <w:r w:rsidRPr="005C02EF">
        <w:t xml:space="preserve">. </w:t>
      </w:r>
      <w:r>
        <w:t>De plus, n</w:t>
      </w:r>
      <w:r w:rsidRPr="005C02EF">
        <w:t>ombre de témoins ont perdu</w:t>
      </w:r>
      <w:r w:rsidR="00871A84">
        <w:t xml:space="preserve"> toute trace de membres de leur famille</w:t>
      </w:r>
      <w:r w:rsidRPr="005C02EF">
        <w:t xml:space="preserve"> depuis cette attaque</w:t>
      </w:r>
      <w:r w:rsidRPr="007F1170">
        <w:rPr>
          <w:rStyle w:val="FootnoteReference"/>
        </w:rPr>
        <w:footnoteReference w:id="655"/>
      </w:r>
      <w:r w:rsidRPr="005C02EF">
        <w:t>. Un rapport p</w:t>
      </w:r>
      <w:r w:rsidR="00871A84">
        <w:t>ubli</w:t>
      </w:r>
      <w:r w:rsidR="00944220" w:rsidRPr="005C02EF">
        <w:t>é</w:t>
      </w:r>
      <w:r w:rsidRPr="005C02EF">
        <w:t xml:space="preserve"> par </w:t>
      </w:r>
      <w:r w:rsidR="005F7091" w:rsidRPr="005C02EF">
        <w:t>la</w:t>
      </w:r>
      <w:r w:rsidR="00A9120A">
        <w:t xml:space="preserve"> </w:t>
      </w:r>
      <w:r w:rsidR="00A9120A" w:rsidRPr="008F2FEC">
        <w:t xml:space="preserve">Fédération internationale des ligues des droits de </w:t>
      </w:r>
      <w:r w:rsidR="00A9120A" w:rsidRPr="00FC5820">
        <w:t>l'homme</w:t>
      </w:r>
      <w:r w:rsidR="005F7091" w:rsidRPr="00FC5820">
        <w:t xml:space="preserve"> </w:t>
      </w:r>
      <w:r w:rsidR="00A9120A" w:rsidRPr="00FC5820">
        <w:t>(</w:t>
      </w:r>
      <w:r w:rsidR="005F7091" w:rsidRPr="00FC5820">
        <w:t>FIDH</w:t>
      </w:r>
      <w:r w:rsidR="00A9120A" w:rsidRPr="00FC5820">
        <w:t>)</w:t>
      </w:r>
      <w:r w:rsidR="005F7091" w:rsidRPr="00FC5820">
        <w:t>,</w:t>
      </w:r>
      <w:r w:rsidR="005F7091">
        <w:t xml:space="preserve"> O</w:t>
      </w:r>
      <w:r w:rsidRPr="005C02EF">
        <w:t>rganisation non</w:t>
      </w:r>
      <w:r w:rsidR="005F7091">
        <w:t>-</w:t>
      </w:r>
      <w:r w:rsidRPr="005C02EF">
        <w:t>gouvernementale</w:t>
      </w:r>
      <w:r w:rsidR="005F7091">
        <w:t>,</w:t>
      </w:r>
      <w:r w:rsidRPr="005C02EF">
        <w:t xml:space="preserve"> suite à une mission d’enquête dans les camps de réfugiés en Angola, décrit un modus operandi identique après avoir interrogé 30 témoins </w:t>
      </w:r>
      <w:r>
        <w:t>de l’attaque du village de Senge</w:t>
      </w:r>
      <w:r w:rsidRPr="005C02EF">
        <w:t xml:space="preserve"> et parle de plusieurs centaines de personnes tuées</w:t>
      </w:r>
      <w:r w:rsidRPr="007F1170">
        <w:rPr>
          <w:rStyle w:val="FootnoteReference"/>
        </w:rPr>
        <w:footnoteReference w:id="656"/>
      </w:r>
      <w:r w:rsidRPr="005C02EF">
        <w:t xml:space="preserve">. </w:t>
      </w:r>
      <w:r>
        <w:t>Le HCDH</w:t>
      </w:r>
      <w:r w:rsidR="004151EF">
        <w:t>,</w:t>
      </w:r>
      <w:r>
        <w:t xml:space="preserve"> </w:t>
      </w:r>
      <w:r w:rsidR="004151EF">
        <w:t xml:space="preserve">après une mission conduite en Angola en juin, </w:t>
      </w:r>
      <w:r>
        <w:t>confirmé l’identité de 116</w:t>
      </w:r>
      <w:r w:rsidR="00041581">
        <w:t xml:space="preserve"> personnes</w:t>
      </w:r>
      <w:r>
        <w:t xml:space="preserve"> tué</w:t>
      </w:r>
      <w:r w:rsidR="00041581">
        <w:t>e</w:t>
      </w:r>
      <w:r>
        <w:t>s, deux enlevé</w:t>
      </w:r>
      <w:r w:rsidR="00041581">
        <w:t>e</w:t>
      </w:r>
      <w:r>
        <w:t>s, et 13 blessé</w:t>
      </w:r>
      <w:r w:rsidR="00041581">
        <w:t>e</w:t>
      </w:r>
      <w:r>
        <w:t>s</w:t>
      </w:r>
      <w:r w:rsidR="00041581">
        <w:t xml:space="preserve"> dans l’attaque du village de Senge</w:t>
      </w:r>
      <w:r w:rsidR="004151EF">
        <w:t>.</w:t>
      </w:r>
      <w:r w:rsidRPr="007F1170">
        <w:rPr>
          <w:rStyle w:val="FootnoteReference"/>
        </w:rPr>
        <w:footnoteReference w:id="657"/>
      </w:r>
      <w:r>
        <w:t>.</w:t>
      </w:r>
    </w:p>
    <w:p w14:paraId="0C3C9DEF" w14:textId="1E832D6B" w:rsidR="00E9574D" w:rsidRDefault="00E9574D" w:rsidP="00E33BE6">
      <w:pPr>
        <w:pStyle w:val="BodyText"/>
        <w:tabs>
          <w:tab w:val="left" w:pos="1559"/>
          <w:tab w:val="left" w:pos="1984"/>
          <w:tab w:val="left" w:leader="dot" w:pos="7654"/>
          <w:tab w:val="right" w:pos="8929"/>
        </w:tabs>
        <w:spacing w:line="240" w:lineRule="atLeast"/>
        <w:ind w:left="1138" w:right="1138" w:firstLine="0"/>
      </w:pPr>
      <w:r w:rsidRPr="005C02EF">
        <w:t xml:space="preserve">Les rapports de la FIDH </w:t>
      </w:r>
      <w:r>
        <w:t>et du HCDH</w:t>
      </w:r>
      <w:r w:rsidRPr="005C02EF">
        <w:t xml:space="preserve"> décrivent également en détail l’attaque de l’hôpital</w:t>
      </w:r>
      <w:r>
        <w:t xml:space="preserve"> de Senge. Entre 90 et 95 patient</w:t>
      </w:r>
      <w:r w:rsidRPr="005C02EF">
        <w:t xml:space="preserve">s, des membres du personnel médical ainsi </w:t>
      </w:r>
      <w:r>
        <w:t>que plusieurs dizaines de civil</w:t>
      </w:r>
      <w:r w:rsidRPr="005C02EF">
        <w:t xml:space="preserve">s qui s’étaient réfugiés dans l’hôpital auraient été tués au cours de cette attaque, principalement par balle, </w:t>
      </w:r>
      <w:r w:rsidR="004A4733">
        <w:t xml:space="preserve">à </w:t>
      </w:r>
      <w:r>
        <w:t>coup de machette et brûlés vif</w:t>
      </w:r>
      <w:r w:rsidRPr="005C02EF">
        <w:t>s. Un nombre important de victimes aurait également été décapité</w:t>
      </w:r>
      <w:r w:rsidR="004A4733">
        <w:t>es</w:t>
      </w:r>
      <w:r w:rsidRPr="007F1170">
        <w:rPr>
          <w:rStyle w:val="FootnoteReference"/>
        </w:rPr>
        <w:footnoteReference w:id="658"/>
      </w:r>
      <w:r w:rsidRPr="005C02EF">
        <w:t xml:space="preserve">. </w:t>
      </w:r>
      <w:r>
        <w:t>Ces deux rapports restituent également</w:t>
      </w:r>
      <w:r w:rsidRPr="005C02EF">
        <w:t xml:space="preserve"> plusieurs cas de viols de femmes par les miliciens Bana Mura</w:t>
      </w:r>
      <w:r>
        <w:t>, en particulier</w:t>
      </w:r>
      <w:r w:rsidRPr="005C02EF">
        <w:t xml:space="preserve"> avec </w:t>
      </w:r>
      <w:r>
        <w:t>des objets,</w:t>
      </w:r>
      <w:r w:rsidRPr="005C02EF">
        <w:t xml:space="preserve"> tel que les canons des fusils </w:t>
      </w:r>
      <w:r>
        <w:t>ou</w:t>
      </w:r>
      <w:r w:rsidRPr="005C02EF">
        <w:t xml:space="preserve"> des bâtons en bois</w:t>
      </w:r>
      <w:r w:rsidRPr="007F1170">
        <w:rPr>
          <w:rStyle w:val="FootnoteReference"/>
        </w:rPr>
        <w:footnoteReference w:id="659"/>
      </w:r>
      <w:r w:rsidRPr="005C02EF">
        <w:t xml:space="preserve">. </w:t>
      </w:r>
      <w:r>
        <w:t>L</w:t>
      </w:r>
      <w:r w:rsidRPr="005C02EF">
        <w:t xml:space="preserve">e rapport de la FIDH décrit également des cas de mutilations de cadavres : </w:t>
      </w:r>
      <w:r>
        <w:t>des corps</w:t>
      </w:r>
      <w:r w:rsidRPr="005C02EF">
        <w:t xml:space="preserve"> d’hommes émasculés dont le pénis avait été </w:t>
      </w:r>
      <w:r w:rsidR="00041581" w:rsidRPr="005C02EF">
        <w:t>déposé</w:t>
      </w:r>
      <w:r w:rsidRPr="005C02EF">
        <w:t xml:space="preserve"> sur le</w:t>
      </w:r>
      <w:r w:rsidR="00041581">
        <w:t>ur</w:t>
      </w:r>
      <w:r w:rsidRPr="005C02EF">
        <w:t xml:space="preserve"> front </w:t>
      </w:r>
      <w:r w:rsidR="00944220">
        <w:t>et des cadavres de femmes avec le</w:t>
      </w:r>
      <w:r w:rsidRPr="005C02EF">
        <w:t xml:space="preserve"> vagin</w:t>
      </w:r>
      <w:r w:rsidR="00944220">
        <w:t xml:space="preserve"> coupé</w:t>
      </w:r>
      <w:r w:rsidRPr="005C02EF">
        <w:t xml:space="preserve"> ou des bâtons dans le vagin</w:t>
      </w:r>
      <w:r w:rsidRPr="007F1170">
        <w:rPr>
          <w:rStyle w:val="FootnoteReference"/>
        </w:rPr>
        <w:footnoteReference w:id="660"/>
      </w:r>
      <w:r w:rsidRPr="005C02EF">
        <w:t>.</w:t>
      </w:r>
    </w:p>
    <w:p w14:paraId="0C838A4E" w14:textId="4D937C1E" w:rsidR="00E9574D" w:rsidRPr="005C02EF" w:rsidRDefault="00E9574D" w:rsidP="00E33BE6">
      <w:pPr>
        <w:pStyle w:val="BodyText"/>
        <w:tabs>
          <w:tab w:val="left" w:pos="1559"/>
          <w:tab w:val="left" w:pos="1984"/>
          <w:tab w:val="left" w:leader="dot" w:pos="7654"/>
          <w:tab w:val="right" w:pos="8929"/>
        </w:tabs>
        <w:spacing w:line="240" w:lineRule="atLeast"/>
        <w:ind w:left="1138" w:right="1138" w:firstLine="0"/>
      </w:pPr>
      <w:r w:rsidRPr="00AB6027">
        <w:t>Le 24 ou le 25 avril 2017, une</w:t>
      </w:r>
      <w:r w:rsidRPr="005C02EF">
        <w:t xml:space="preserve"> attaque </w:t>
      </w:r>
      <w:r>
        <w:t xml:space="preserve">similaire </w:t>
      </w:r>
      <w:r w:rsidRPr="005C02EF">
        <w:t>a eu lieu dans le village voisin de Camp Kwilu. Le village de Camp Kwilu était majoritairement</w:t>
      </w:r>
      <w:r w:rsidR="008844A4">
        <w:t xml:space="preserve"> habité par des</w:t>
      </w:r>
      <w:r w:rsidRPr="005C02EF">
        <w:t xml:space="preserve"> </w:t>
      </w:r>
      <w:r>
        <w:t>Luba</w:t>
      </w:r>
      <w:r w:rsidR="008844A4">
        <w:t>s</w:t>
      </w:r>
      <w:r w:rsidRPr="005C02EF">
        <w:t>. Les</w:t>
      </w:r>
      <w:r>
        <w:t xml:space="preserve"> </w:t>
      </w:r>
      <w:r w:rsidRPr="005C02EF">
        <w:t xml:space="preserve">habitants </w:t>
      </w:r>
      <w:r w:rsidR="00651768">
        <w:t>chokwe</w:t>
      </w:r>
      <w:r w:rsidR="008844A4">
        <w:t>s</w:t>
      </w:r>
      <w:r w:rsidRPr="005C02EF">
        <w:t xml:space="preserve"> ont été épargnés lors de l’attaque</w:t>
      </w:r>
      <w:r w:rsidRPr="007F1170">
        <w:rPr>
          <w:rStyle w:val="FootnoteReference"/>
        </w:rPr>
        <w:footnoteReference w:id="661"/>
      </w:r>
      <w:r w:rsidRPr="005C02EF">
        <w:t>.</w:t>
      </w:r>
      <w:r>
        <w:t xml:space="preserve"> </w:t>
      </w:r>
      <w:r w:rsidRPr="005C02EF">
        <w:t xml:space="preserve">D’après les informations recueillies, le chef du village de Camp Kwilu aurait participé à une réunion avec des chefs de villages voisins </w:t>
      </w:r>
      <w:r w:rsidR="008844A4">
        <w:t xml:space="preserve">d’origine </w:t>
      </w:r>
      <w:r w:rsidR="00651768">
        <w:t>chokwe</w:t>
      </w:r>
      <w:r w:rsidR="008844A4">
        <w:t>s</w:t>
      </w:r>
      <w:r w:rsidRPr="005C02EF">
        <w:t xml:space="preserve"> au cours de laquelle aurait été discuté l’attaque des </w:t>
      </w:r>
      <w:r>
        <w:t>Luba</w:t>
      </w:r>
      <w:r w:rsidR="008844A4">
        <w:t>s</w:t>
      </w:r>
      <w:r w:rsidRPr="005C02EF">
        <w:t xml:space="preserve"> accusés d’être responsables de l’arrivée de la milice Kamuina Nsapu</w:t>
      </w:r>
      <w:r>
        <w:t>. I</w:t>
      </w:r>
      <w:r w:rsidRPr="005C02EF">
        <w:t>l</w:t>
      </w:r>
      <w:r>
        <w:t xml:space="preserve"> en</w:t>
      </w:r>
      <w:r w:rsidRPr="005C02EF">
        <w:t xml:space="preserve"> aurait rendu compte aux villageois en indiquant qu’il avait passé un accord avec </w:t>
      </w:r>
      <w:r w:rsidR="00001BC9">
        <w:t>l</w:t>
      </w:r>
      <w:r w:rsidRPr="005C02EF">
        <w:t xml:space="preserve">es </w:t>
      </w:r>
      <w:r w:rsidR="00001BC9">
        <w:t xml:space="preserve">autres </w:t>
      </w:r>
      <w:r w:rsidRPr="005C02EF">
        <w:t>chefs pour que le village de Camp Kwilu ne soit pas attaqué</w:t>
      </w:r>
      <w:r w:rsidRPr="007F1170">
        <w:rPr>
          <w:rStyle w:val="FootnoteReference"/>
        </w:rPr>
        <w:footnoteReference w:id="662"/>
      </w:r>
      <w:r w:rsidRPr="005C02EF">
        <w:t>. De très nombreux miliciens Bana Mura</w:t>
      </w:r>
      <w:r>
        <w:t>,</w:t>
      </w:r>
      <w:r w:rsidRPr="005C02EF">
        <w:t xml:space="preserve"> des hommes</w:t>
      </w:r>
      <w:r w:rsidR="00192143">
        <w:t xml:space="preserve"> </w:t>
      </w:r>
      <w:r w:rsidR="00192143" w:rsidRPr="005C02EF">
        <w:t>armés de machettes et de fusils de chasse</w:t>
      </w:r>
      <w:r w:rsidR="00192143">
        <w:t>,</w:t>
      </w:r>
      <w:r w:rsidRPr="005C02EF">
        <w:t xml:space="preserve"> avec de la cendre noire sur le visage et des moustiquaires blanches autour de la tête sont entrés dans le village en criant en langue </w:t>
      </w:r>
      <w:r w:rsidR="00651768">
        <w:t>chokwe</w:t>
      </w:r>
      <w:r w:rsidRPr="005C02EF">
        <w:t xml:space="preserve"> « Nous allons tuer tous les gens de Kamuina Nsapu » et « </w:t>
      </w:r>
      <w:r w:rsidR="00651768">
        <w:t>chokwe</w:t>
      </w:r>
      <w:r w:rsidRPr="005C02EF">
        <w:t>, levez-vous ! Bana Mura levez-</w:t>
      </w:r>
      <w:r w:rsidR="00D13C1C" w:rsidRPr="005C02EF">
        <w:t>vous !</w:t>
      </w:r>
      <w:r w:rsidRPr="005C02EF">
        <w:t>»</w:t>
      </w:r>
      <w:r w:rsidRPr="007F1170">
        <w:rPr>
          <w:rStyle w:val="FootnoteReference"/>
        </w:rPr>
        <w:footnoteReference w:id="663"/>
      </w:r>
      <w:r w:rsidRPr="005C02EF">
        <w:t>.</w:t>
      </w:r>
    </w:p>
    <w:p w14:paraId="2D5D99D2" w14:textId="7353E8C9" w:rsidR="00E9574D" w:rsidRPr="00893047" w:rsidRDefault="00E9574D" w:rsidP="00E33BE6">
      <w:pPr>
        <w:pStyle w:val="BodyText"/>
        <w:tabs>
          <w:tab w:val="left" w:pos="1559"/>
          <w:tab w:val="left" w:pos="1984"/>
          <w:tab w:val="left" w:leader="dot" w:pos="7654"/>
          <w:tab w:val="right" w:pos="8929"/>
        </w:tabs>
        <w:spacing w:line="240" w:lineRule="atLeast"/>
        <w:ind w:left="1138" w:right="1138" w:firstLine="0"/>
      </w:pPr>
      <w:r w:rsidRPr="005C02EF">
        <w:t xml:space="preserve">Selon le </w:t>
      </w:r>
      <w:r w:rsidR="00AD391A" w:rsidRPr="00AD391A">
        <w:t>BCNUDH</w:t>
      </w:r>
      <w:r w:rsidR="00AD391A">
        <w:t xml:space="preserve"> de la MONUSCO</w:t>
      </w:r>
      <w:r>
        <w:t xml:space="preserve"> l’attaque du village de Camp Kwilu</w:t>
      </w:r>
      <w:r w:rsidRPr="005C02EF">
        <w:t xml:space="preserve"> aurait pu conduire à la m</w:t>
      </w:r>
      <w:r>
        <w:t>ort d’une centaine de personnes</w:t>
      </w:r>
      <w:r w:rsidRPr="007F1170">
        <w:rPr>
          <w:rStyle w:val="FootnoteReference"/>
        </w:rPr>
        <w:footnoteReference w:id="664"/>
      </w:r>
      <w:r w:rsidRPr="005C02EF">
        <w:t>.</w:t>
      </w:r>
      <w:r>
        <w:t xml:space="preserve"> L</w:t>
      </w:r>
      <w:r w:rsidRPr="005C02EF">
        <w:t>es informations collectées</w:t>
      </w:r>
      <w:r>
        <w:t xml:space="preserve"> par l’EEI</w:t>
      </w:r>
      <w:r w:rsidRPr="005C02EF">
        <w:t xml:space="preserve"> vont dans le même sens</w:t>
      </w:r>
      <w:r>
        <w:t>. Plusieurs témoins ont indiqué avoir vu des habitants tués par balle par les miliciens Bana Mura ou br</w:t>
      </w:r>
      <w:r w:rsidR="00FA2F05">
        <w:t>û</w:t>
      </w:r>
      <w:r>
        <w:t>lé</w:t>
      </w:r>
      <w:r w:rsidR="006A595C">
        <w:t>s</w:t>
      </w:r>
      <w:r>
        <w:t xml:space="preserve"> dans leurs maisons après y avoir été enfermé</w:t>
      </w:r>
      <w:r w:rsidR="00AF547F">
        <w:t>s</w:t>
      </w:r>
      <w:r>
        <w:t xml:space="preserve"> par des miliciens Bana Mura</w:t>
      </w:r>
      <w:r w:rsidRPr="007F1170">
        <w:rPr>
          <w:rStyle w:val="FootnoteReference"/>
        </w:rPr>
        <w:footnoteReference w:id="665"/>
      </w:r>
      <w:r w:rsidRPr="005C02EF">
        <w:t xml:space="preserve">. </w:t>
      </w:r>
      <w:r>
        <w:t xml:space="preserve">Une victime raconte avoir vu </w:t>
      </w:r>
      <w:r w:rsidRPr="005C02EF">
        <w:t xml:space="preserve">les miliciens </w:t>
      </w:r>
      <w:r>
        <w:t xml:space="preserve">Bana Mura en train de tuer des habitants </w:t>
      </w:r>
      <w:r w:rsidRPr="005C02EF">
        <w:t xml:space="preserve">avec des armes à feu et des machettes avant d’être </w:t>
      </w:r>
      <w:r>
        <w:t>elle</w:t>
      </w:r>
      <w:r w:rsidRPr="005C02EF">
        <w:t>-même attaqué</w:t>
      </w:r>
      <w:r w:rsidR="00AF547F">
        <w:t>e</w:t>
      </w:r>
      <w:r w:rsidRPr="005C02EF">
        <w:t xml:space="preserve"> et frappée par deux hommes à coups de machette à la tête et aux bras. Un des assaillants lui aurait dit « Rentrez chez vous ! Ça, ce n’est pas votre terre ! ». Le témoin </w:t>
      </w:r>
      <w:r>
        <w:t xml:space="preserve">a </w:t>
      </w:r>
      <w:r w:rsidRPr="005C02EF">
        <w:t>survécu en se faisant passer pour mort</w:t>
      </w:r>
      <w:r w:rsidRPr="007F1170">
        <w:rPr>
          <w:rStyle w:val="FootnoteReference"/>
        </w:rPr>
        <w:footnoteReference w:id="666"/>
      </w:r>
      <w:r w:rsidRPr="005C02EF">
        <w:t xml:space="preserve">. Un </w:t>
      </w:r>
      <w:r>
        <w:t>témoin dit</w:t>
      </w:r>
      <w:r w:rsidRPr="005C02EF">
        <w:t xml:space="preserve"> avoir vu de très nombreux miliciens Bana Mura au bord de la rivière qui disaient « nous allons tous vous tuer vous les lubaphones, puis nous allons rester seuls sur notre sol »</w:t>
      </w:r>
      <w:r>
        <w:t>. Il a alors</w:t>
      </w:r>
      <w:r w:rsidRPr="005C02EF">
        <w:t xml:space="preserve"> vu de nombreux </w:t>
      </w:r>
      <w:r>
        <w:t>L</w:t>
      </w:r>
      <w:r w:rsidRPr="005C02EF">
        <w:t>uba</w:t>
      </w:r>
      <w:r w:rsidR="008844A4">
        <w:t>s</w:t>
      </w:r>
      <w:r w:rsidRPr="005C02EF">
        <w:t xml:space="preserve">, dont </w:t>
      </w:r>
      <w:r>
        <w:t>des</w:t>
      </w:r>
      <w:r w:rsidRPr="005C02EF">
        <w:t xml:space="preserve"> femmes</w:t>
      </w:r>
      <w:r>
        <w:t>,</w:t>
      </w:r>
      <w:r w:rsidRPr="005C02EF">
        <w:t xml:space="preserve"> être décapité</w:t>
      </w:r>
      <w:r>
        <w:t>s</w:t>
      </w:r>
      <w:r w:rsidRPr="005C02EF">
        <w:t xml:space="preserve"> où </w:t>
      </w:r>
      <w:r>
        <w:t>avoir les pieds et les bras sectionnés</w:t>
      </w:r>
      <w:r w:rsidRPr="005C02EF">
        <w:t xml:space="preserve">. </w:t>
      </w:r>
      <w:r>
        <w:t>Il</w:t>
      </w:r>
      <w:r w:rsidRPr="005C02EF">
        <w:t xml:space="preserve"> indique avoir vu au moins à trois reprises les miliciens prendre de</w:t>
      </w:r>
      <w:r w:rsidR="00AF547F">
        <w:t xml:space="preserve"> jeunes</w:t>
      </w:r>
      <w:r w:rsidRPr="005C02EF">
        <w:t xml:space="preserve"> enfants et les jeter dans la rivière depuis une pirogue</w:t>
      </w:r>
      <w:r w:rsidRPr="007F1170">
        <w:rPr>
          <w:rStyle w:val="FootnoteReference"/>
        </w:rPr>
        <w:footnoteReference w:id="667"/>
      </w:r>
      <w:r w:rsidRPr="005C02EF">
        <w:t xml:space="preserve">. </w:t>
      </w:r>
      <w:r>
        <w:t>Une personne qui</w:t>
      </w:r>
      <w:r w:rsidRPr="005C02EF">
        <w:t xml:space="preserve"> a traversé le village de Camp Kwi</w:t>
      </w:r>
      <w:r>
        <w:t xml:space="preserve">lu le lendemain de l’attaque déclare </w:t>
      </w:r>
      <w:r w:rsidRPr="005C02EF">
        <w:t>avoir vu un grand nombre de cadavres dans le village,</w:t>
      </w:r>
      <w:r>
        <w:t xml:space="preserve"> si nombreux qu’il n’était pas possible de les compter. Elle</w:t>
      </w:r>
      <w:r w:rsidRPr="005C02EF">
        <w:t xml:space="preserve"> a vu des corps</w:t>
      </w:r>
      <w:r>
        <w:t xml:space="preserve"> avec des blessures par balles, par machettes ou br</w:t>
      </w:r>
      <w:r w:rsidR="00FA2F05">
        <w:t>û</w:t>
      </w:r>
      <w:r>
        <w:t>lés</w:t>
      </w:r>
      <w:r w:rsidRPr="007F1170">
        <w:rPr>
          <w:rStyle w:val="FootnoteReference"/>
        </w:rPr>
        <w:footnoteReference w:id="668"/>
      </w:r>
      <w:r w:rsidRPr="005C02EF">
        <w:t xml:space="preserve">. </w:t>
      </w:r>
      <w:r>
        <w:t xml:space="preserve">Une </w:t>
      </w:r>
      <w:r w:rsidR="00AF547F">
        <w:t xml:space="preserve">autre </w:t>
      </w:r>
      <w:r>
        <w:t xml:space="preserve">personne fuyant le </w:t>
      </w:r>
      <w:r w:rsidRPr="00893047">
        <w:t xml:space="preserve">village, a vu 15 cadavres, d’hommes, de femmes et d’enfants âgés de 3 à 10 ans et une autre a vu </w:t>
      </w:r>
      <w:r w:rsidR="00AF547F">
        <w:t xml:space="preserve">les corps de </w:t>
      </w:r>
      <w:r w:rsidRPr="00893047">
        <w:t>quatre hommes, trois femmes et trois enfants</w:t>
      </w:r>
      <w:r w:rsidRPr="007F1170">
        <w:rPr>
          <w:rStyle w:val="FootnoteReference"/>
        </w:rPr>
        <w:footnoteReference w:id="669"/>
      </w:r>
      <w:r w:rsidRPr="00E33BE6">
        <w:t xml:space="preserve">. </w:t>
      </w:r>
      <w:r w:rsidRPr="00893047">
        <w:t>Les biens des habitants ont été pillé</w:t>
      </w:r>
      <w:r w:rsidR="00AF547F">
        <w:t>s</w:t>
      </w:r>
      <w:r w:rsidRPr="00893047">
        <w:t xml:space="preserve"> et leurs maisons détruites par le feu par les miliciens Bana Mura</w:t>
      </w:r>
      <w:r w:rsidRPr="007F1170">
        <w:rPr>
          <w:rStyle w:val="FootnoteReference"/>
        </w:rPr>
        <w:footnoteReference w:id="670"/>
      </w:r>
      <w:r w:rsidR="00F616B2">
        <w:t>.</w:t>
      </w:r>
    </w:p>
    <w:p w14:paraId="7AE2CBB3" w14:textId="29722801" w:rsidR="00E9574D" w:rsidRPr="00893047" w:rsidRDefault="00E9574D" w:rsidP="00E33BE6">
      <w:pPr>
        <w:pStyle w:val="BodyText"/>
        <w:tabs>
          <w:tab w:val="left" w:pos="1559"/>
          <w:tab w:val="left" w:pos="1984"/>
          <w:tab w:val="left" w:leader="dot" w:pos="7654"/>
          <w:tab w:val="right" w:pos="8929"/>
        </w:tabs>
        <w:spacing w:line="240" w:lineRule="atLeast"/>
        <w:ind w:left="1138" w:right="1138" w:firstLine="0"/>
      </w:pPr>
      <w:r w:rsidRPr="00893047">
        <w:t xml:space="preserve">A la même période, le village de Mvula-Milenge a subi une attaque similaire à celle des villages de Senge et de camp Kwilu. Les miliciens Bana Mura sont arrivés dans le village et ont commencé à tuer avec des armes à feu et des machettes les habitants </w:t>
      </w:r>
      <w:r w:rsidR="008844A4">
        <w:t>l</w:t>
      </w:r>
      <w:r w:rsidRPr="00893047">
        <w:t>uba</w:t>
      </w:r>
      <w:r w:rsidR="008844A4">
        <w:t>s</w:t>
      </w:r>
      <w:r w:rsidRPr="00893047">
        <w:t xml:space="preserve">, y compris </w:t>
      </w:r>
      <w:r w:rsidR="002011A2">
        <w:t>l</w:t>
      </w:r>
      <w:r w:rsidRPr="00893047">
        <w:t>es enfants</w:t>
      </w:r>
      <w:r w:rsidRPr="007F1170">
        <w:rPr>
          <w:rStyle w:val="FootnoteReference"/>
        </w:rPr>
        <w:footnoteReference w:id="671"/>
      </w:r>
      <w:r w:rsidRPr="00893047">
        <w:t>. Selon les informations recueillies auprès d’un témoin, les miliciens Bana Mura sont arrivés dans le village de Mvula-Milenge avec des FARDC. Il décrit que des miliciens Bana Mura et des FARDC</w:t>
      </w:r>
      <w:r w:rsidR="000B4E47">
        <w:t>, opérant ensemble,</w:t>
      </w:r>
      <w:r w:rsidRPr="00893047">
        <w:t xml:space="preserve"> ont enfermé deux hommes de la famille du témoin dans leur maison, avant d’y mettre le feu. Les deux hommes ayant réussi à sortir de la maison en feu, </w:t>
      </w:r>
      <w:r w:rsidR="00944220">
        <w:t xml:space="preserve">ils </w:t>
      </w:r>
      <w:r w:rsidRPr="00893047">
        <w:t xml:space="preserve">ont été ligotés sur les ordres d’un FARDC avant que des miliciens </w:t>
      </w:r>
      <w:r w:rsidR="000B4E47">
        <w:t>Bana Mura</w:t>
      </w:r>
      <w:r w:rsidR="00D13C1C">
        <w:t xml:space="preserve"> </w:t>
      </w:r>
      <w:r w:rsidRPr="00893047">
        <w:t>ne les tuent à coups de machettes. Les deux hommes ont ensuite été éventrés</w:t>
      </w:r>
      <w:r w:rsidRPr="007F1170">
        <w:rPr>
          <w:rStyle w:val="FootnoteReference"/>
        </w:rPr>
        <w:footnoteReference w:id="672"/>
      </w:r>
      <w:r w:rsidRPr="00893047">
        <w:t>. Toujours à la même période, les miliciens Bana Mura ont aussi attaqué le village de Kakondo. Un témoin raconte avoir ouvert sa fenêtre et vu un groupe de 10 miliciens Bana Mura tuer son voisin à coups de machette en criant « vous les Luba</w:t>
      </w:r>
      <w:r w:rsidR="008844A4">
        <w:t>s</w:t>
      </w:r>
      <w:r w:rsidRPr="00893047">
        <w:t xml:space="preserve"> nous allons vous tuer tous ! Vous allez quitter notre milieu !». Plus tard, le témoin a entendu des coups de feu et a vu trois de ses voisins s’écrouler</w:t>
      </w:r>
      <w:r w:rsidRPr="007F1170">
        <w:rPr>
          <w:rStyle w:val="FootnoteReference"/>
        </w:rPr>
        <w:footnoteReference w:id="673"/>
      </w:r>
      <w:r w:rsidRPr="00893047">
        <w:t xml:space="preserve">. </w:t>
      </w:r>
    </w:p>
    <w:p w14:paraId="69AD9DFE" w14:textId="7F20063C" w:rsidR="00E9574D" w:rsidRDefault="00E9574D" w:rsidP="00E33BE6">
      <w:pPr>
        <w:pStyle w:val="BodyText"/>
        <w:tabs>
          <w:tab w:val="left" w:pos="1559"/>
          <w:tab w:val="left" w:pos="1984"/>
          <w:tab w:val="left" w:leader="dot" w:pos="7654"/>
          <w:tab w:val="right" w:pos="8929"/>
        </w:tabs>
        <w:spacing w:line="240" w:lineRule="atLeast"/>
        <w:ind w:left="1138" w:right="1138" w:firstLine="0"/>
      </w:pPr>
      <w:r w:rsidRPr="00893047">
        <w:t>Le BCNUDH</w:t>
      </w:r>
      <w:r w:rsidR="00D02559">
        <w:t xml:space="preserve"> de la MONUSCO</w:t>
      </w:r>
      <w:r w:rsidRPr="00893047">
        <w:t xml:space="preserve"> lors d’une mission d’enquête sur le territoire de Kamonia a confirmé le viol d’au moins 41</w:t>
      </w:r>
      <w:r w:rsidR="000B4E47">
        <w:t> </w:t>
      </w:r>
      <w:r w:rsidRPr="00893047">
        <w:t>femmes et deux filles par les miliciens Bana Mura entre le 18 et 25 avril 2017, dans les villages de Muyeji, Mungamba, Camp Kwilu et Ka</w:t>
      </w:r>
      <w:r w:rsidR="00192143">
        <w:t>k</w:t>
      </w:r>
      <w:r w:rsidRPr="00893047">
        <w:t>ondo</w:t>
      </w:r>
      <w:r w:rsidRPr="007F1170">
        <w:rPr>
          <w:rStyle w:val="FootnoteReference"/>
        </w:rPr>
        <w:footnoteReference w:id="674"/>
      </w:r>
      <w:r w:rsidRPr="00893047">
        <w:t>. Un</w:t>
      </w:r>
      <w:r w:rsidR="000B4E47">
        <w:t>e femme</w:t>
      </w:r>
      <w:r w:rsidRPr="00893047">
        <w:t xml:space="preserve"> rapporte que mi-mars 2017, trois hommes </w:t>
      </w:r>
      <w:r w:rsidR="00192143">
        <w:t>présumés</w:t>
      </w:r>
      <w:r w:rsidRPr="00893047">
        <w:t xml:space="preserve"> miliciens Bana Mura</w:t>
      </w:r>
      <w:r w:rsidR="00192143">
        <w:t>,</w:t>
      </w:r>
      <w:r w:rsidRPr="00893047">
        <w:t xml:space="preserve"> l’ont violé</w:t>
      </w:r>
      <w:r w:rsidR="00944220">
        <w:t>e</w:t>
      </w:r>
      <w:r w:rsidRPr="00893047">
        <w:t xml:space="preserve">. Des mois après ce crime, </w:t>
      </w:r>
      <w:r w:rsidR="00944220">
        <w:t>elle</w:t>
      </w:r>
      <w:r w:rsidRPr="00893047">
        <w:t xml:space="preserve"> a toujours de sérieuses douleurs liées à ce viol</w:t>
      </w:r>
      <w:r w:rsidRPr="007F1170">
        <w:rPr>
          <w:rStyle w:val="FootnoteReference"/>
        </w:rPr>
        <w:footnoteReference w:id="675"/>
      </w:r>
      <w:r w:rsidRPr="00893047">
        <w:t>.</w:t>
      </w:r>
    </w:p>
    <w:p w14:paraId="4492FECD" w14:textId="64DBF1A6" w:rsidR="00E9574D" w:rsidRPr="00A85626" w:rsidRDefault="00E9574D" w:rsidP="00E33BE6">
      <w:pPr>
        <w:pStyle w:val="BodyText"/>
        <w:tabs>
          <w:tab w:val="left" w:pos="1559"/>
          <w:tab w:val="left" w:pos="1984"/>
          <w:tab w:val="left" w:leader="dot" w:pos="7654"/>
          <w:tab w:val="right" w:pos="8929"/>
        </w:tabs>
        <w:spacing w:line="240" w:lineRule="atLeast"/>
        <w:ind w:left="1138" w:right="1138" w:firstLine="0"/>
      </w:pPr>
      <w:r w:rsidRPr="00A85626">
        <w:t xml:space="preserve">Suite à cette série d’attaques meurtrières conduites par les miliciens Bana Mura, la population </w:t>
      </w:r>
      <w:r w:rsidR="008844A4">
        <w:t>l</w:t>
      </w:r>
      <w:r w:rsidRPr="00A85626">
        <w:t xml:space="preserve">uba a tenté de </w:t>
      </w:r>
      <w:r w:rsidR="00841714">
        <w:t>trouver refuge dans les villages</w:t>
      </w:r>
      <w:r w:rsidRPr="00A85626">
        <w:t xml:space="preserve"> alentours, en Angola ou vers la ville de Tshikapa. Ainsi alors que des habitants du village de Senge se trouvaient dans la brousse </w:t>
      </w:r>
      <w:r w:rsidR="003F2615">
        <w:t>après</w:t>
      </w:r>
      <w:r w:rsidRPr="00A85626">
        <w:t xml:space="preserve"> l’attaque d</w:t>
      </w:r>
      <w:r w:rsidR="00841714">
        <w:t>e leur</w:t>
      </w:r>
      <w:r w:rsidRPr="00A85626">
        <w:t xml:space="preserve"> village, un homme </w:t>
      </w:r>
      <w:r w:rsidR="00651768">
        <w:t>chokwe</w:t>
      </w:r>
      <w:r w:rsidRPr="00A85626">
        <w:t xml:space="preserve"> est venu avertir les personnes en fuite que les miliciens Bana Mura étaient sur le point de lancer une attaque sur les Luba</w:t>
      </w:r>
      <w:r w:rsidR="008844A4">
        <w:t>s</w:t>
      </w:r>
      <w:r w:rsidRPr="00A85626">
        <w:t xml:space="preserve"> en fuite. Cet homme </w:t>
      </w:r>
      <w:r w:rsidR="00651768">
        <w:t>chokwe</w:t>
      </w:r>
      <w:r w:rsidRPr="00A85626">
        <w:t xml:space="preserve"> aurait ensuite été tué par les mil</w:t>
      </w:r>
      <w:r w:rsidR="003F2615">
        <w:t>iciens Bana Mura,</w:t>
      </w:r>
      <w:r w:rsidRPr="00A85626">
        <w:t xml:space="preserve"> accusé de trahison</w:t>
      </w:r>
      <w:r w:rsidRPr="007F1170">
        <w:rPr>
          <w:rStyle w:val="FootnoteReference"/>
        </w:rPr>
        <w:footnoteReference w:id="676"/>
      </w:r>
      <w:r w:rsidRPr="00A85626">
        <w:t xml:space="preserve">. Certains habitants du groupement de Muyeji ont réussi à fuir vers la frontière avec l’Angola. Un témoin explique que l’armée angolaise est venue secourir les blessés à la frontière dont des femmes avec </w:t>
      </w:r>
      <w:r w:rsidR="00841714">
        <w:t>les seins</w:t>
      </w:r>
      <w:r w:rsidRPr="00A85626">
        <w:t xml:space="preserve"> et des bras coupés et d’autres personnes blessées par balle</w:t>
      </w:r>
      <w:r w:rsidRPr="007F1170">
        <w:rPr>
          <w:rStyle w:val="FootnoteReference"/>
        </w:rPr>
        <w:footnoteReference w:id="677"/>
      </w:r>
      <w:r w:rsidRPr="00A85626">
        <w:t>. Un autre témoin qui fuyait le village de Senge indique que juste après le village et dans les villages suivants il a vu 20 à 30 cadavres</w:t>
      </w:r>
      <w:r w:rsidR="00841714">
        <w:t>,</w:t>
      </w:r>
      <w:r w:rsidRPr="00A85626">
        <w:t xml:space="preserve"> certains décapités ou éventrés, ainsi que le corps d’une femme dont le vagin coupé était posé sur son sein</w:t>
      </w:r>
      <w:r w:rsidRPr="007F1170">
        <w:rPr>
          <w:rStyle w:val="FootnoteReference"/>
        </w:rPr>
        <w:footnoteReference w:id="678"/>
      </w:r>
      <w:r w:rsidRPr="00A85626">
        <w:t>.</w:t>
      </w:r>
    </w:p>
    <w:p w14:paraId="5645DD08" w14:textId="0A4A3AE3" w:rsidR="00E9574D" w:rsidRPr="001B4FF2" w:rsidRDefault="00E9574D" w:rsidP="00E33BE6">
      <w:pPr>
        <w:pStyle w:val="BodyText"/>
        <w:tabs>
          <w:tab w:val="left" w:pos="1559"/>
          <w:tab w:val="left" w:pos="1984"/>
          <w:tab w:val="left" w:leader="dot" w:pos="7654"/>
          <w:tab w:val="right" w:pos="8929"/>
        </w:tabs>
        <w:spacing w:line="240" w:lineRule="atLeast"/>
        <w:ind w:left="1138" w:right="1138" w:firstLine="0"/>
      </w:pPr>
      <w:r w:rsidRPr="00A85626">
        <w:t>De nombreux habitants du groupement de Muyeji</w:t>
      </w:r>
      <w:r>
        <w:t xml:space="preserve"> </w:t>
      </w:r>
      <w:r w:rsidRPr="00A85626">
        <w:t xml:space="preserve">ont tenté de fuir les massacres en traversant la rivière Tshikapa. Au bord de </w:t>
      </w:r>
      <w:r w:rsidR="00841714">
        <w:t>cette</w:t>
      </w:r>
      <w:r w:rsidRPr="00A85626">
        <w:t xml:space="preserve"> rivière</w:t>
      </w:r>
      <w:r w:rsidR="00841714">
        <w:t>,</w:t>
      </w:r>
      <w:r w:rsidRPr="00A85626">
        <w:t xml:space="preserve"> au niveau de Kakondo, une barrière avait été mise en place par les miliciens Bana Mura dans l’objectif d’empêcher la fuite des lubaphones</w:t>
      </w:r>
      <w:r w:rsidRPr="007F1170">
        <w:rPr>
          <w:rStyle w:val="FootnoteReference"/>
        </w:rPr>
        <w:footnoteReference w:id="679"/>
      </w:r>
      <w:r w:rsidRPr="00A85626">
        <w:t xml:space="preserve">. Ceux parlant la langue </w:t>
      </w:r>
      <w:r w:rsidR="00651768">
        <w:t>chokwe</w:t>
      </w:r>
      <w:r w:rsidRPr="00A85626">
        <w:t xml:space="preserve"> pouvaient passer</w:t>
      </w:r>
      <w:r w:rsidRPr="007F1170">
        <w:rPr>
          <w:rStyle w:val="FootnoteReference"/>
        </w:rPr>
        <w:footnoteReference w:id="680"/>
      </w:r>
      <w:r w:rsidRPr="00A85626">
        <w:t>. Un témoin raconte qu’il y avait de nombreux miliciens Bana Mura</w:t>
      </w:r>
      <w:r w:rsidR="00841714">
        <w:t>. L</w:t>
      </w:r>
      <w:r w:rsidRPr="00A85626">
        <w:t xml:space="preserve">e groupe dans lequel il se trouvait a accosté de l’autre côté de la rivière. L’un des </w:t>
      </w:r>
      <w:r w:rsidR="009F1B3A">
        <w:t>miliciens</w:t>
      </w:r>
      <w:r w:rsidR="009F1B3A" w:rsidRPr="00A85626">
        <w:t xml:space="preserve"> </w:t>
      </w:r>
      <w:r w:rsidRPr="00A85626">
        <w:t xml:space="preserve">a dit en langue </w:t>
      </w:r>
      <w:r w:rsidR="00651768">
        <w:t>chokwe</w:t>
      </w:r>
      <w:r w:rsidRPr="00A85626">
        <w:t xml:space="preserve"> « nous allons exterminer les Baluba</w:t>
      </w:r>
      <w:r w:rsidR="008844A4">
        <w:t>s</w:t>
      </w:r>
      <w:r w:rsidRPr="00A85626">
        <w:t xml:space="preserve"> » et les miliciens se sont mis à tirer dans </w:t>
      </w:r>
      <w:r w:rsidRPr="001B4FF2">
        <w:t>leur direction</w:t>
      </w:r>
      <w:r w:rsidRPr="007F1170">
        <w:rPr>
          <w:rStyle w:val="FootnoteReference"/>
        </w:rPr>
        <w:footnoteReference w:id="681"/>
      </w:r>
      <w:r w:rsidRPr="001B4FF2">
        <w:t>. De nombreuses personnes, y compris des enfants</w:t>
      </w:r>
      <w:r w:rsidR="00561D1C">
        <w:t>,</w:t>
      </w:r>
      <w:r w:rsidRPr="001B4FF2">
        <w:t xml:space="preserve"> ont été tué</w:t>
      </w:r>
      <w:r w:rsidR="00561D1C">
        <w:t>e</w:t>
      </w:r>
      <w:r w:rsidRPr="001B4FF2">
        <w:t>s et d’autres blessées en tentant de fuir dans cette direction</w:t>
      </w:r>
      <w:r w:rsidRPr="007F1170">
        <w:rPr>
          <w:rStyle w:val="FootnoteReference"/>
        </w:rPr>
        <w:footnoteReference w:id="682"/>
      </w:r>
      <w:r w:rsidRPr="001B4FF2">
        <w:t>.</w:t>
      </w:r>
    </w:p>
    <w:p w14:paraId="513D5E96" w14:textId="26CCC2A3" w:rsidR="00E9574D" w:rsidRPr="00AB6027" w:rsidRDefault="00E9574D" w:rsidP="00E33BE6">
      <w:pPr>
        <w:pStyle w:val="BodyText"/>
        <w:tabs>
          <w:tab w:val="left" w:pos="1559"/>
          <w:tab w:val="left" w:pos="1984"/>
          <w:tab w:val="left" w:leader="dot" w:pos="7654"/>
          <w:tab w:val="right" w:pos="8929"/>
        </w:tabs>
        <w:spacing w:line="240" w:lineRule="atLeast"/>
        <w:ind w:left="1138" w:right="1138" w:firstLine="0"/>
      </w:pPr>
      <w:r w:rsidRPr="001B4FF2">
        <w:t xml:space="preserve">De nombreux habitants lubaphones lors de leur fuite ont été maltraités, </w:t>
      </w:r>
      <w:r w:rsidR="00561D1C">
        <w:t xml:space="preserve">tués et des femmes </w:t>
      </w:r>
      <w:r w:rsidRPr="001B4FF2">
        <w:t>violé</w:t>
      </w:r>
      <w:r w:rsidR="00561D1C">
        <w:t>e</w:t>
      </w:r>
      <w:r w:rsidRPr="001B4FF2">
        <w:t>s par des miliciens Bana Mura. Par exemple, en fuyant le village de Senge en direction de l’Angola, un groupe de 13 femmes et 13 enfants, est arrivé à une ferme situé</w:t>
      </w:r>
      <w:r w:rsidR="009F1B3A">
        <w:t>e</w:t>
      </w:r>
      <w:r w:rsidRPr="001B4FF2">
        <w:t xml:space="preserve"> non loin du village Limite. Ils sont tombés sur un groupe de miliciens Bana Mura.</w:t>
      </w:r>
      <w:r w:rsidR="00561D1C">
        <w:t xml:space="preserve"> Ayant identifié huit femmes luba</w:t>
      </w:r>
      <w:r w:rsidR="008844A4">
        <w:t>s</w:t>
      </w:r>
      <w:r w:rsidR="00561D1C">
        <w:t xml:space="preserve">, ils </w:t>
      </w:r>
      <w:r w:rsidR="003F2615">
        <w:t>les ont tu</w:t>
      </w:r>
      <w:r w:rsidR="003F2615" w:rsidRPr="001B4FF2">
        <w:t>é</w:t>
      </w:r>
      <w:r w:rsidR="003F2615">
        <w:t>s</w:t>
      </w:r>
      <w:r w:rsidR="00561D1C">
        <w:t>.</w:t>
      </w:r>
      <w:r w:rsidRPr="001B4FF2">
        <w:t xml:space="preserve"> Parmi les cinq femmes restantes une s’est évanouie et a été laissée sur place, les quatre autres ont été </w:t>
      </w:r>
      <w:r w:rsidR="00561D1C">
        <w:t xml:space="preserve">emmenées, </w:t>
      </w:r>
      <w:r w:rsidRPr="001B4FF2">
        <w:t>gardées par leurs assaillants et violées</w:t>
      </w:r>
      <w:r w:rsidRPr="00E33BE6">
        <w:t xml:space="preserve"> </w:t>
      </w:r>
      <w:r w:rsidR="00561D1C">
        <w:t xml:space="preserve">par eux </w:t>
      </w:r>
      <w:r w:rsidR="00561D1C" w:rsidRPr="001B4FF2">
        <w:t>en présence de leurs enfants</w:t>
      </w:r>
      <w:r w:rsidR="00561D1C">
        <w:t xml:space="preserve"> chaque fois qu’ils en avaient envie </w:t>
      </w:r>
      <w:r w:rsidRPr="001B4FF2">
        <w:t>pendant quatre jours</w:t>
      </w:r>
      <w:r w:rsidR="00561D1C">
        <w:t>. Elles et leurs enfants ont réussi à s’échapper.</w:t>
      </w:r>
      <w:r w:rsidRPr="007F1170">
        <w:rPr>
          <w:rStyle w:val="FootnoteReference"/>
        </w:rPr>
        <w:footnoteReference w:id="683"/>
      </w:r>
      <w:r w:rsidRPr="001B4FF2">
        <w:t>.</w:t>
      </w:r>
      <w:r>
        <w:t xml:space="preserve"> Un témoin raconte avoir vu un tas d’au moins trente corps à un barrage tenu par des miliciens Bana Mura </w:t>
      </w:r>
      <w:r w:rsidRPr="00AB6027">
        <w:t>dans la localité de Seba</w:t>
      </w:r>
      <w:r w:rsidRPr="007F1170">
        <w:rPr>
          <w:rStyle w:val="FootnoteReference"/>
        </w:rPr>
        <w:footnoteReference w:id="684"/>
      </w:r>
      <w:r w:rsidRPr="00AB6027">
        <w:t>.</w:t>
      </w:r>
    </w:p>
    <w:p w14:paraId="3A6282CC" w14:textId="6694208F" w:rsidR="00E9574D" w:rsidRPr="00A3289E" w:rsidRDefault="00E9574D" w:rsidP="00E33BE6">
      <w:pPr>
        <w:pStyle w:val="BodyText"/>
        <w:tabs>
          <w:tab w:val="left" w:pos="1559"/>
          <w:tab w:val="left" w:pos="1984"/>
          <w:tab w:val="left" w:leader="dot" w:pos="7654"/>
          <w:tab w:val="right" w:pos="8929"/>
        </w:tabs>
        <w:spacing w:line="240" w:lineRule="atLeast"/>
        <w:ind w:left="1138" w:right="1138" w:firstLine="0"/>
      </w:pPr>
      <w:r w:rsidRPr="00A3289E">
        <w:t>Certains témoins ont été escortés dans leur fuite par des FARDC jusqu’à Tshikapa</w:t>
      </w:r>
      <w:r w:rsidRPr="007F1170">
        <w:rPr>
          <w:rStyle w:val="FootnoteReference"/>
        </w:rPr>
        <w:footnoteReference w:id="685"/>
      </w:r>
      <w:r w:rsidRPr="00A3289E">
        <w:t xml:space="preserve">. Par contre, les FARDC ne sont pas intervenus pour empêcher les exactions commises par les miliciens Bana Mura contre les lubaphones. Par ailleurs, ils ont eux-mêmes </w:t>
      </w:r>
      <w:r w:rsidR="00561D1C">
        <w:t xml:space="preserve">violé </w:t>
      </w:r>
      <w:r w:rsidRPr="00A3289E">
        <w:t xml:space="preserve">des </w:t>
      </w:r>
      <w:r w:rsidR="003F2615">
        <w:t>femm</w:t>
      </w:r>
      <w:r w:rsidRPr="00A3289E">
        <w:t>es rendues particulièrement vulnérables par l</w:t>
      </w:r>
      <w:r w:rsidR="003F2615">
        <w:t>eur</w:t>
      </w:r>
      <w:r w:rsidRPr="00A3289E">
        <w:t xml:space="preserve"> fuite.</w:t>
      </w:r>
      <w:r>
        <w:t xml:space="preserve"> Par exemple, </w:t>
      </w:r>
      <w:r w:rsidR="00561D1C">
        <w:t xml:space="preserve">une femme </w:t>
      </w:r>
      <w:r>
        <w:t xml:space="preserve">qui tentait de </w:t>
      </w:r>
      <w:r w:rsidRPr="00A3289E">
        <w:t>traverser la rivière Tshikapa avec ses enfants</w:t>
      </w:r>
      <w:r>
        <w:t>,</w:t>
      </w:r>
      <w:r w:rsidRPr="00A3289E">
        <w:t xml:space="preserve"> a été violé</w:t>
      </w:r>
      <w:r w:rsidR="00561D1C">
        <w:t>e</w:t>
      </w:r>
      <w:r w:rsidRPr="00A3289E">
        <w:t xml:space="preserve"> par dix FARDC </w:t>
      </w:r>
      <w:r w:rsidR="00561D1C">
        <w:t>à tour de rôle devant ses enfants avant qu’ils ne la laisser passer. Le seul qui ne l’a pas touché l’a ensuite aidée, elle et ses enfants, à traverser la rivière sur une pirogue.</w:t>
      </w:r>
      <w:r w:rsidRPr="007F1170">
        <w:rPr>
          <w:rStyle w:val="FootnoteReference"/>
        </w:rPr>
        <w:footnoteReference w:id="686"/>
      </w:r>
      <w:r w:rsidRPr="00A3289E">
        <w:t xml:space="preserve">. </w:t>
      </w:r>
      <w:r w:rsidR="00561D1C">
        <w:t xml:space="preserve">Dans un autre cas, </w:t>
      </w:r>
      <w:r w:rsidR="0010121B">
        <w:t>une femme qui fuyait le village de Senge rapporte que huit hommes avec des tenues militaires l’ont attrapée. Sept d’entre eux l’ont violée chacun leur tour. Elle a depuis des séquelles physiques</w:t>
      </w:r>
      <w:r w:rsidRPr="007F1170">
        <w:rPr>
          <w:rStyle w:val="FootnoteReference"/>
        </w:rPr>
        <w:footnoteReference w:id="687"/>
      </w:r>
      <w:r w:rsidRPr="00A3289E">
        <w:t xml:space="preserve">. </w:t>
      </w:r>
    </w:p>
    <w:p w14:paraId="114FB19C" w14:textId="0BC296F2" w:rsidR="008264D5" w:rsidRDefault="009F1B3A" w:rsidP="00E33BE6">
      <w:pPr>
        <w:pStyle w:val="BodyText"/>
        <w:tabs>
          <w:tab w:val="left" w:pos="1559"/>
          <w:tab w:val="left" w:pos="1984"/>
          <w:tab w:val="left" w:leader="dot" w:pos="7654"/>
          <w:tab w:val="right" w:pos="8929"/>
        </w:tabs>
        <w:spacing w:line="240" w:lineRule="atLeast"/>
        <w:ind w:left="1138" w:right="1138" w:firstLine="0"/>
      </w:pPr>
      <w:r>
        <w:t>Suite aux attaques des miliciens Bana Mura dans les vil</w:t>
      </w:r>
      <w:r w:rsidR="008264D5">
        <w:t>lages du groupement de Muyeji, des femmes et des filles l</w:t>
      </w:r>
      <w:r>
        <w:t>ubas</w:t>
      </w:r>
      <w:r w:rsidR="008264D5">
        <w:t>, ainsi que</w:t>
      </w:r>
      <w:r>
        <w:t xml:space="preserve"> des enfants, ont été capturés par </w:t>
      </w:r>
      <w:r w:rsidR="008264D5">
        <w:t>des</w:t>
      </w:r>
      <w:r>
        <w:t xml:space="preserve"> miliciens </w:t>
      </w:r>
      <w:r w:rsidR="008264D5">
        <w:t xml:space="preserve">Bana Mura et transportés dans des fermes de ce même groupement, où ils ont été </w:t>
      </w:r>
      <w:r w:rsidR="00D13C1C">
        <w:t>retenus</w:t>
      </w:r>
      <w:r w:rsidR="008264D5">
        <w:t xml:space="preserve"> captifs.  </w:t>
      </w:r>
    </w:p>
    <w:p w14:paraId="7040B1EF" w14:textId="79B271FD" w:rsidR="00E9574D" w:rsidRPr="00D13C1C" w:rsidRDefault="003F2615" w:rsidP="00E33BE6">
      <w:pPr>
        <w:pStyle w:val="BodyText"/>
        <w:tabs>
          <w:tab w:val="left" w:pos="1559"/>
          <w:tab w:val="left" w:pos="1984"/>
          <w:tab w:val="left" w:leader="dot" w:pos="7654"/>
          <w:tab w:val="right" w:pos="8929"/>
        </w:tabs>
        <w:spacing w:line="240" w:lineRule="atLeast"/>
        <w:ind w:left="1138" w:right="1138" w:firstLine="0"/>
      </w:pPr>
      <w:r>
        <w:t>Arrivé</w:t>
      </w:r>
      <w:r w:rsidR="00E9574D" w:rsidRPr="00D13C1C">
        <w:t xml:space="preserve"> au niveau de la rivière Tshikapa, un groupe de </w:t>
      </w:r>
      <w:r w:rsidR="009F1B3A" w:rsidRPr="00D13C1C">
        <w:t xml:space="preserve">Lubas </w:t>
      </w:r>
      <w:r w:rsidR="00E9574D" w:rsidRPr="00D13C1C">
        <w:t xml:space="preserve">qui fuyait a été stoppé par des miliciens Bana Mura. </w:t>
      </w:r>
      <w:r w:rsidR="00E9574D" w:rsidRPr="00591FD8">
        <w:t xml:space="preserve">Les hommes </w:t>
      </w:r>
      <w:r w:rsidR="00EE2378" w:rsidRPr="00591FD8">
        <w:t>mais aussi</w:t>
      </w:r>
      <w:r w:rsidR="00E9574D" w:rsidRPr="0094347A">
        <w:t xml:space="preserve"> les femmes non en âge de procréer ont été séparés du groupe, décapités et jetés dans la rivière</w:t>
      </w:r>
      <w:r w:rsidR="00E9574D" w:rsidRPr="007F1170">
        <w:rPr>
          <w:rStyle w:val="FootnoteReference"/>
        </w:rPr>
        <w:footnoteReference w:id="688"/>
      </w:r>
      <w:r w:rsidR="00E9574D" w:rsidRPr="0094347A">
        <w:t xml:space="preserve">. Les autres femmes et filles en âge </w:t>
      </w:r>
      <w:r w:rsidR="00E9574D" w:rsidRPr="000E0DA5">
        <w:t>de procréer, ainsi que d’autres femmes enlevées à la suite d</w:t>
      </w:r>
      <w:r w:rsidR="00EE2378" w:rsidRPr="000E0DA5">
        <w:t>’</w:t>
      </w:r>
      <w:r w:rsidR="00E9574D" w:rsidRPr="000E0DA5">
        <w:t xml:space="preserve">attaques des miliciens Bana Mura dans le secteur de Lovua-Luthsima, ont été </w:t>
      </w:r>
      <w:r w:rsidR="00EE2378" w:rsidRPr="003347B9">
        <w:t>em</w:t>
      </w:r>
      <w:r w:rsidR="00E9574D" w:rsidRPr="00441300">
        <w:t xml:space="preserve">menées dans des fermes appartenant à des individus de l’ethnie </w:t>
      </w:r>
      <w:r w:rsidR="00651768">
        <w:t>chokwe</w:t>
      </w:r>
      <w:r w:rsidR="00E9574D" w:rsidRPr="0084066A">
        <w:t>, notamment à Sha-Findji, Tshik</w:t>
      </w:r>
      <w:r w:rsidR="00FA2F05">
        <w:t>a</w:t>
      </w:r>
      <w:r w:rsidR="00E9574D" w:rsidRPr="0084066A">
        <w:t xml:space="preserve">la, et </w:t>
      </w:r>
      <w:r w:rsidR="00E9574D" w:rsidRPr="00FE5E8D">
        <w:t>Kisasa</w:t>
      </w:r>
      <w:r w:rsidR="00E9574D" w:rsidRPr="00D13C1C">
        <w:t xml:space="preserve"> dans le groupement de Muyeji</w:t>
      </w:r>
      <w:r w:rsidR="00E9574D" w:rsidRPr="007F1170">
        <w:rPr>
          <w:rStyle w:val="FootnoteReference"/>
        </w:rPr>
        <w:footnoteReference w:id="689"/>
      </w:r>
      <w:r w:rsidR="00E9574D" w:rsidRPr="00D13C1C">
        <w:t xml:space="preserve">. Dans ces fermes, les femmes ont été réparties entre les hommes </w:t>
      </w:r>
      <w:r w:rsidR="00651768">
        <w:t>chokwe</w:t>
      </w:r>
      <w:r w:rsidR="00A34D85" w:rsidRPr="0094347A">
        <w:t>s</w:t>
      </w:r>
      <w:r w:rsidR="00E9574D" w:rsidRPr="007F1170">
        <w:rPr>
          <w:rStyle w:val="FootnoteReference"/>
        </w:rPr>
        <w:footnoteReference w:id="690"/>
      </w:r>
      <w:r w:rsidR="00E9574D" w:rsidRPr="0094347A">
        <w:t>. Un</w:t>
      </w:r>
      <w:r>
        <w:t>e femme</w:t>
      </w:r>
      <w:r w:rsidR="00E9574D" w:rsidRPr="0094347A">
        <w:t xml:space="preserve"> raconte qu’un homme lui a mis un bandeau sur les yeux et l’a amené</w:t>
      </w:r>
      <w:r>
        <w:t>e</w:t>
      </w:r>
      <w:r w:rsidR="00E9574D" w:rsidRPr="0094347A">
        <w:t xml:space="preserve"> vers la ferme de Sha-Findji. </w:t>
      </w:r>
      <w:r>
        <w:t>Elle</w:t>
      </w:r>
      <w:r w:rsidR="00E9574D" w:rsidRPr="0094347A">
        <w:t xml:space="preserve"> a alors entendu quelqu’un dire « vou</w:t>
      </w:r>
      <w:r w:rsidR="00E9574D" w:rsidRPr="000E0DA5">
        <w:t>s allez être nos femmes, mettre nos enfants au monde et être nos travailleurs ». Lorsque le témoin est arrivé à la ferme, elle a été regroupée avec une autre jeune femme et des femmes plus âgées, mais toujours en âge de procréer. Certaines étaient accompag</w:t>
      </w:r>
      <w:r w:rsidR="00E9574D" w:rsidRPr="003347B9">
        <w:t xml:space="preserve">nées de leurs enfants. Les femmes ont été réparties entre les hommes </w:t>
      </w:r>
      <w:r w:rsidR="00651768">
        <w:t>chokwe</w:t>
      </w:r>
      <w:r w:rsidR="00A34D85" w:rsidRPr="0084066A">
        <w:t>s</w:t>
      </w:r>
      <w:r w:rsidR="00E9574D" w:rsidRPr="0084066A">
        <w:t xml:space="preserve"> présents. D’après le témoin, la personne qui s’est chargée de la répartition des femmes a dit à l’un des hommes présent</w:t>
      </w:r>
      <w:r w:rsidR="00EE2378" w:rsidRPr="00C720FB">
        <w:t>s</w:t>
      </w:r>
      <w:r w:rsidR="00E9574D" w:rsidRPr="00C720FB">
        <w:t xml:space="preserve"> de prendre une femme et de la garder afin de mettre des e</w:t>
      </w:r>
      <w:r w:rsidR="00E9574D" w:rsidRPr="00854584">
        <w:t>nfants au monde</w:t>
      </w:r>
      <w:r w:rsidR="00E9574D" w:rsidRPr="007F1170">
        <w:rPr>
          <w:rStyle w:val="FootnoteReference"/>
        </w:rPr>
        <w:footnoteReference w:id="691"/>
      </w:r>
      <w:r w:rsidR="00E9574D" w:rsidRPr="000E0DA5">
        <w:t xml:space="preserve">. De manière similaire, une autre victime explique qu’après s’être éloignée de la rivière, les miliciens Bana Mura sélectionnaient au sein du petit groupe de femmes et d’enfants </w:t>
      </w:r>
      <w:r w:rsidR="008844A4" w:rsidRPr="000E0DA5">
        <w:t>l</w:t>
      </w:r>
      <w:r w:rsidR="00E9574D" w:rsidRPr="00E90C08">
        <w:t>uba</w:t>
      </w:r>
      <w:r w:rsidR="008844A4" w:rsidRPr="00E90C08">
        <w:t>s</w:t>
      </w:r>
      <w:r w:rsidR="00E9574D" w:rsidRPr="00EC5C9A">
        <w:t xml:space="preserve"> les femmes à leur convenance en disant « toi, tu seras ma femme, toi aussi</w:t>
      </w:r>
      <w:r>
        <w:t>,</w:t>
      </w:r>
      <w:r w:rsidR="00E9574D" w:rsidRPr="00EC5C9A">
        <w:t xml:space="preserve"> etc</w:t>
      </w:r>
      <w:r>
        <w:t>..</w:t>
      </w:r>
      <w:r w:rsidR="00E9574D" w:rsidRPr="00EC5C9A">
        <w:t xml:space="preserve">. ». La victime a été choisie par un homme </w:t>
      </w:r>
      <w:r w:rsidR="00651768">
        <w:t>chokwe</w:t>
      </w:r>
      <w:r w:rsidR="00E9574D" w:rsidRPr="00EC5C9A">
        <w:t xml:space="preserve"> et amenée, avec une autre femme, à la ferme de </w:t>
      </w:r>
      <w:r w:rsidR="00E9574D" w:rsidRPr="00FE5E8D">
        <w:t>Kisasa</w:t>
      </w:r>
      <w:r w:rsidR="00E9574D" w:rsidRPr="007F1170">
        <w:rPr>
          <w:rStyle w:val="FootnoteReference"/>
        </w:rPr>
        <w:footnoteReference w:id="692"/>
      </w:r>
      <w:r w:rsidR="00E9574D" w:rsidRPr="00D13C1C">
        <w:t>.</w:t>
      </w:r>
    </w:p>
    <w:p w14:paraId="7CF71841" w14:textId="44340504" w:rsidR="00E9574D" w:rsidRPr="005C02EF" w:rsidRDefault="00E9574D" w:rsidP="00E33BE6">
      <w:pPr>
        <w:pStyle w:val="BodyText"/>
        <w:tabs>
          <w:tab w:val="left" w:pos="1559"/>
          <w:tab w:val="left" w:pos="1984"/>
          <w:tab w:val="left" w:leader="dot" w:pos="7654"/>
          <w:tab w:val="right" w:pos="8929"/>
        </w:tabs>
        <w:spacing w:line="240" w:lineRule="atLeast"/>
        <w:ind w:left="1138" w:right="1138" w:firstLine="0"/>
      </w:pPr>
      <w:r>
        <w:t xml:space="preserve">Les femmes et les filles retenues dans </w:t>
      </w:r>
      <w:r w:rsidR="00EE2378">
        <w:t>c</w:t>
      </w:r>
      <w:r>
        <w:t>es fermes étaient sous surveillance permanente et certaines devaient travailler toute la journée</w:t>
      </w:r>
      <w:r w:rsidRPr="007F1170">
        <w:rPr>
          <w:rStyle w:val="FootnoteReference"/>
        </w:rPr>
        <w:footnoteReference w:id="693"/>
      </w:r>
      <w:r>
        <w:t>. Par exemple, une femme raconte qu’</w:t>
      </w:r>
      <w:r w:rsidRPr="005C02EF">
        <w:t xml:space="preserve">elle était entravée et </w:t>
      </w:r>
      <w:r>
        <w:t xml:space="preserve">devait </w:t>
      </w:r>
      <w:r w:rsidRPr="005C02EF">
        <w:t>travailler aux champs sous la contrainte</w:t>
      </w:r>
      <w:r>
        <w:t>. Elle</w:t>
      </w:r>
      <w:r w:rsidRPr="005C02EF">
        <w:t xml:space="preserve"> a été battu</w:t>
      </w:r>
      <w:r>
        <w:t>e</w:t>
      </w:r>
      <w:r w:rsidRPr="005C02EF">
        <w:t xml:space="preserve"> trois pour avoir refusé d</w:t>
      </w:r>
      <w:r>
        <w:t>e</w:t>
      </w:r>
      <w:r w:rsidRPr="005C02EF">
        <w:t xml:space="preserve"> travailler</w:t>
      </w:r>
      <w:r w:rsidRPr="007F1170">
        <w:rPr>
          <w:rStyle w:val="FootnoteReference"/>
        </w:rPr>
        <w:footnoteReference w:id="694"/>
      </w:r>
      <w:r w:rsidRPr="005C02EF">
        <w:t xml:space="preserve">. </w:t>
      </w:r>
      <w:r>
        <w:t>Tous les témoignages recueillis supportent que les femmes et filles enlevées ont été violées de manière répétée pendant leur captivité, parfois plusieurs fois par jour, souvent pendant des mois</w:t>
      </w:r>
      <w:r w:rsidRPr="007F1170">
        <w:rPr>
          <w:rStyle w:val="FootnoteReference"/>
        </w:rPr>
        <w:footnoteReference w:id="695"/>
      </w:r>
      <w:r>
        <w:t xml:space="preserve">. Un témoin raconte que le premier soir de sa captivité, l’homme </w:t>
      </w:r>
      <w:r w:rsidR="00651768">
        <w:t>chokwe</w:t>
      </w:r>
      <w:r>
        <w:t xml:space="preserve"> </w:t>
      </w:r>
      <w:r w:rsidR="00EE2378">
        <w:t xml:space="preserve">auquel elle avait été donnée </w:t>
      </w:r>
      <w:r w:rsidRPr="005C02EF">
        <w:t xml:space="preserve">a essayé d’avoir des relations sexuelles avec elle. </w:t>
      </w:r>
      <w:r w:rsidR="00EE2378">
        <w:t xml:space="preserve">Comme elle résistait, il l’a </w:t>
      </w:r>
      <w:r>
        <w:t>frappé</w:t>
      </w:r>
      <w:r w:rsidR="00EE2378">
        <w:t>e</w:t>
      </w:r>
      <w:r>
        <w:t xml:space="preserve"> avec des cordes sur les bras, le dos, et</w:t>
      </w:r>
      <w:r w:rsidRPr="005C02EF">
        <w:t xml:space="preserve"> les jambes</w:t>
      </w:r>
      <w:r>
        <w:t xml:space="preserve">. </w:t>
      </w:r>
      <w:r w:rsidR="00EE2378">
        <w:t>Il l’a ensuite cognée</w:t>
      </w:r>
      <w:r>
        <w:t xml:space="preserve"> </w:t>
      </w:r>
      <w:r w:rsidRPr="005C02EF">
        <w:t>contre un mur</w:t>
      </w:r>
      <w:r w:rsidR="00EE2378">
        <w:t xml:space="preserve"> </w:t>
      </w:r>
      <w:r w:rsidRPr="005C02EF">
        <w:t>et</w:t>
      </w:r>
      <w:r w:rsidR="00EE2378">
        <w:t xml:space="preserve"> saisi</w:t>
      </w:r>
      <w:r>
        <w:t xml:space="preserve"> par le cou</w:t>
      </w:r>
      <w:r w:rsidR="00EE2378">
        <w:t>. Il l’a</w:t>
      </w:r>
      <w:r w:rsidR="00283907">
        <w:t xml:space="preserve"> </w:t>
      </w:r>
      <w:r>
        <w:t>violé</w:t>
      </w:r>
      <w:r w:rsidR="003F2615">
        <w:t>e</w:t>
      </w:r>
      <w:r w:rsidRPr="005C02EF">
        <w:t>.</w:t>
      </w:r>
      <w:r w:rsidR="00EE2378">
        <w:t xml:space="preserve"> Elle a arrêté de résister car elle voulait sauver sa vie.</w:t>
      </w:r>
      <w:r w:rsidRPr="005C02EF">
        <w:t xml:space="preserve"> Après cette première nuit, </w:t>
      </w:r>
      <w:r w:rsidR="00EE2378">
        <w:t>elle</w:t>
      </w:r>
      <w:r>
        <w:t xml:space="preserve"> </w:t>
      </w:r>
      <w:r w:rsidRPr="005C02EF">
        <w:t>a été violée tous les jours pendant sa captivité</w:t>
      </w:r>
      <w:r>
        <w:t>,</w:t>
      </w:r>
      <w:r w:rsidRPr="005C02EF">
        <w:t xml:space="preserve"> parfois jusqu’à trois fois par jour</w:t>
      </w:r>
      <w:r w:rsidRPr="007F1170">
        <w:rPr>
          <w:rStyle w:val="FootnoteReference"/>
        </w:rPr>
        <w:footnoteReference w:id="696"/>
      </w:r>
      <w:r w:rsidRPr="005C02EF">
        <w:t xml:space="preserve">. </w:t>
      </w:r>
      <w:r>
        <w:t xml:space="preserve">Une autre femme raconte que l’homme </w:t>
      </w:r>
      <w:r w:rsidR="00651768">
        <w:t>chokwe</w:t>
      </w:r>
      <w:r>
        <w:t xml:space="preserve"> la traitait comme sa femme et l’a forcé</w:t>
      </w:r>
      <w:r w:rsidR="003F2615">
        <w:t>e</w:t>
      </w:r>
      <w:r>
        <w:t xml:space="preserve"> à avoir des relations sexuelles avec lui sous la menace d’une machette et d’une arme à feu</w:t>
      </w:r>
      <w:r w:rsidRPr="007F1170">
        <w:rPr>
          <w:rStyle w:val="FootnoteReference"/>
        </w:rPr>
        <w:footnoteReference w:id="697"/>
      </w:r>
      <w:r w:rsidRPr="005C02EF">
        <w:t>.</w:t>
      </w:r>
      <w:r>
        <w:t xml:space="preserve"> </w:t>
      </w:r>
      <w:r w:rsidRPr="005C02EF">
        <w:t>Un</w:t>
      </w:r>
      <w:r>
        <w:t>e</w:t>
      </w:r>
      <w:r w:rsidRPr="005C02EF">
        <w:t xml:space="preserve"> autre </w:t>
      </w:r>
      <w:r>
        <w:t>victime raconte avoir été violée</w:t>
      </w:r>
      <w:r w:rsidRPr="005C02EF">
        <w:t xml:space="preserve"> pendant quatre mois parfois trois à quatre fois par jour</w:t>
      </w:r>
      <w:r w:rsidRPr="007F1170">
        <w:rPr>
          <w:rStyle w:val="FootnoteReference"/>
        </w:rPr>
        <w:footnoteReference w:id="698"/>
      </w:r>
      <w:r w:rsidRPr="005C02EF">
        <w:t xml:space="preserve">. </w:t>
      </w:r>
      <w:r w:rsidR="00A35DCB">
        <w:t>Cette jeune femme</w:t>
      </w:r>
      <w:r w:rsidRPr="005C02EF">
        <w:t xml:space="preserve"> est</w:t>
      </w:r>
      <w:r w:rsidR="003F2615">
        <w:t xml:space="preserve"> tombée</w:t>
      </w:r>
      <w:r w:rsidRPr="005C02EF">
        <w:t xml:space="preserve"> enceinte de son assaillant</w:t>
      </w:r>
      <w:r>
        <w:t>. Certaines femmes ont réussi à s’enfuir, parfois avec des enfants, la plupart après des mois de captivité</w:t>
      </w:r>
      <w:r w:rsidRPr="007F1170">
        <w:rPr>
          <w:rStyle w:val="FootnoteReference"/>
        </w:rPr>
        <w:footnoteReference w:id="699"/>
      </w:r>
      <w:r w:rsidRPr="005C02EF">
        <w:t xml:space="preserve">. </w:t>
      </w:r>
    </w:p>
    <w:p w14:paraId="2E6A6E53" w14:textId="5B742EA7" w:rsidR="00E9574D" w:rsidRDefault="00E9574D" w:rsidP="00E33BE6">
      <w:pPr>
        <w:pStyle w:val="BodyText"/>
        <w:tabs>
          <w:tab w:val="left" w:pos="1559"/>
          <w:tab w:val="left" w:pos="1984"/>
          <w:tab w:val="left" w:leader="dot" w:pos="7654"/>
          <w:tab w:val="right" w:pos="8929"/>
        </w:tabs>
        <w:spacing w:line="240" w:lineRule="atLeast"/>
        <w:ind w:left="1138" w:right="1138" w:firstLine="0"/>
      </w:pPr>
      <w:r>
        <w:t xml:space="preserve">Selon plusieurs </w:t>
      </w:r>
      <w:r w:rsidR="00D13C1C">
        <w:t>survivantes</w:t>
      </w:r>
      <w:r>
        <w:t xml:space="preserve">, l’intention des auteurs étaient qu’elles mettent au monde des enfants </w:t>
      </w:r>
      <w:r w:rsidR="00651768">
        <w:t>chokwe</w:t>
      </w:r>
      <w:r w:rsidR="00A34D85">
        <w:t>s</w:t>
      </w:r>
      <w:r>
        <w:t xml:space="preserve"> puisque l’ethnie est transmise par le père</w:t>
      </w:r>
      <w:r w:rsidRPr="007F1170">
        <w:rPr>
          <w:rStyle w:val="FootnoteReference"/>
        </w:rPr>
        <w:footnoteReference w:id="700"/>
      </w:r>
      <w:r>
        <w:t>. Par exemple, une femme explique qu’avant les viols, son assaillant lui indiquait qu’il voulait qu’elle mette des enfants au monde pour lui</w:t>
      </w:r>
      <w:r w:rsidRPr="007F1170">
        <w:rPr>
          <w:rStyle w:val="FootnoteReference"/>
        </w:rPr>
        <w:footnoteReference w:id="701"/>
      </w:r>
      <w:r>
        <w:t>.</w:t>
      </w:r>
      <w:r w:rsidR="00050FC0">
        <w:t xml:space="preserve"> </w:t>
      </w:r>
      <w:r>
        <w:t>C</w:t>
      </w:r>
      <w:r w:rsidRPr="005C02EF">
        <w:t>ertaines femmes sont tombées enceinte</w:t>
      </w:r>
      <w:r>
        <w:t xml:space="preserve"> lors de leur captivité</w:t>
      </w:r>
      <w:r w:rsidRPr="007F1170">
        <w:rPr>
          <w:rStyle w:val="FootnoteReference"/>
        </w:rPr>
        <w:footnoteReference w:id="702"/>
      </w:r>
      <w:r w:rsidRPr="005C02EF">
        <w:t>.</w:t>
      </w:r>
    </w:p>
    <w:p w14:paraId="4417319B" w14:textId="5FF4DA01" w:rsidR="00E9574D" w:rsidRPr="005C02EF" w:rsidRDefault="00E9574D" w:rsidP="00E33BE6">
      <w:pPr>
        <w:pStyle w:val="BodyText"/>
        <w:tabs>
          <w:tab w:val="left" w:pos="1559"/>
          <w:tab w:val="left" w:pos="1984"/>
          <w:tab w:val="left" w:leader="dot" w:pos="7654"/>
          <w:tab w:val="right" w:pos="8929"/>
        </w:tabs>
        <w:spacing w:line="240" w:lineRule="atLeast"/>
        <w:ind w:left="1138" w:right="1138" w:firstLine="0"/>
      </w:pPr>
      <w:r>
        <w:t xml:space="preserve">Des enfants lubaphones de tous âges, parfois seuls ou avec leurs mères, ont également été </w:t>
      </w:r>
      <w:r w:rsidR="00A35DCB">
        <w:t>em</w:t>
      </w:r>
      <w:r>
        <w:t xml:space="preserve">menés dans ces fermes. Ils ont souvent été maltraités et malnutris. Par exemple, </w:t>
      </w:r>
      <w:r w:rsidRPr="005C02EF">
        <w:t xml:space="preserve">un garçon d’un an et demi, une fille de 4 ans et une autre </w:t>
      </w:r>
      <w:r w:rsidR="00A35DCB">
        <w:t xml:space="preserve">de </w:t>
      </w:r>
      <w:r w:rsidRPr="005C02EF">
        <w:t>13 ans ont été retenus dans une ferme</w:t>
      </w:r>
      <w:r w:rsidR="00A34D85">
        <w:t xml:space="preserve"> </w:t>
      </w:r>
      <w:r w:rsidR="00EC5C9A">
        <w:t xml:space="preserve">dirigée </w:t>
      </w:r>
      <w:r w:rsidR="00A34D85">
        <w:t>par des</w:t>
      </w:r>
      <w:r w:rsidRPr="005C02EF">
        <w:t xml:space="preserve"> </w:t>
      </w:r>
      <w:r w:rsidR="00434C80">
        <w:t>Chokw</w:t>
      </w:r>
      <w:r w:rsidRPr="005C02EF">
        <w:t>e</w:t>
      </w:r>
      <w:r w:rsidR="00A34D85">
        <w:t>s</w:t>
      </w:r>
      <w:r w:rsidRPr="005C02EF">
        <w:t xml:space="preserve"> pendant des mois. La jeune fille de 13 ans a été violée et le garçon d’un an et demi souffre de malnutrition sévère</w:t>
      </w:r>
      <w:r w:rsidRPr="007F1170">
        <w:rPr>
          <w:rStyle w:val="FootnoteReference"/>
        </w:rPr>
        <w:footnoteReference w:id="703"/>
      </w:r>
      <w:r w:rsidRPr="005C02EF">
        <w:t>.</w:t>
      </w:r>
      <w:r>
        <w:t xml:space="preserve"> L’EEI a également documenté le cas d’une </w:t>
      </w:r>
      <w:r w:rsidR="00A35DCB">
        <w:t>fille</w:t>
      </w:r>
      <w:r>
        <w:t xml:space="preserve"> de 13 ans retenue en captivité dans une ferme </w:t>
      </w:r>
      <w:r w:rsidR="00EC5C9A">
        <w:t xml:space="preserve">dirigée </w:t>
      </w:r>
      <w:r w:rsidR="00A34D85">
        <w:t>par des</w:t>
      </w:r>
      <w:r w:rsidR="00A34D85" w:rsidRPr="005C02EF">
        <w:t xml:space="preserve"> </w:t>
      </w:r>
      <w:r w:rsidR="00050FC0">
        <w:t>Chokw</w:t>
      </w:r>
      <w:r w:rsidR="00A34D85" w:rsidRPr="005C02EF">
        <w:t>e</w:t>
      </w:r>
      <w:r w:rsidR="00A34D85">
        <w:t>s</w:t>
      </w:r>
      <w:r>
        <w:t xml:space="preserve"> dont le nom d’origine </w:t>
      </w:r>
      <w:r w:rsidR="008844A4">
        <w:t>l</w:t>
      </w:r>
      <w:r>
        <w:t xml:space="preserve">uba a été changé par </w:t>
      </w:r>
      <w:r w:rsidR="00050FC0">
        <w:t xml:space="preserve">un </w:t>
      </w:r>
      <w:r>
        <w:t>nom</w:t>
      </w:r>
      <w:r w:rsidRPr="0038021D">
        <w:t xml:space="preserve"> </w:t>
      </w:r>
      <w:r w:rsidR="00651768">
        <w:t>chokwe</w:t>
      </w:r>
      <w:r>
        <w:t xml:space="preserve"> </w:t>
      </w:r>
      <w:r w:rsidR="00050FC0">
        <w:t>par</w:t>
      </w:r>
      <w:r>
        <w:t xml:space="preserve"> la personne qui la détenait</w:t>
      </w:r>
      <w:r w:rsidRPr="007F1170">
        <w:rPr>
          <w:rStyle w:val="FootnoteReference"/>
        </w:rPr>
        <w:footnoteReference w:id="704"/>
      </w:r>
      <w:r w:rsidR="00050FC0">
        <w:t>.</w:t>
      </w:r>
      <w:r>
        <w:t xml:space="preserve"> </w:t>
      </w:r>
      <w:r w:rsidR="00050FC0">
        <w:t>L’EEI</w:t>
      </w:r>
      <w:r>
        <w:t xml:space="preserve"> n’a néanmoins pas été en mesure d’établir une pratique qui irait en ce sens. </w:t>
      </w:r>
      <w:r w:rsidRPr="005C02EF">
        <w:t xml:space="preserve">D’après la MONUSCO, des </w:t>
      </w:r>
      <w:r>
        <w:t xml:space="preserve">rançons </w:t>
      </w:r>
      <w:r w:rsidRPr="005C02EF">
        <w:t>ont parfois été demandé</w:t>
      </w:r>
      <w:r w:rsidR="00050FC0">
        <w:t>es</w:t>
      </w:r>
      <w:r w:rsidRPr="005C02EF">
        <w:t xml:space="preserve"> pour </w:t>
      </w:r>
      <w:r>
        <w:t>la libération des enfants et</w:t>
      </w:r>
      <w:r w:rsidRPr="005C02EF">
        <w:t xml:space="preserve"> au moins deux enfants auraient été envoyés en Angola pour</w:t>
      </w:r>
      <w:r>
        <w:t xml:space="preserve"> y</w:t>
      </w:r>
      <w:r w:rsidRPr="005C02EF">
        <w:t xml:space="preserve"> être vendu</w:t>
      </w:r>
      <w:r w:rsidR="00050FC0">
        <w:t>s</w:t>
      </w:r>
      <w:r w:rsidRPr="007F1170">
        <w:rPr>
          <w:rStyle w:val="FootnoteReference"/>
        </w:rPr>
        <w:footnoteReference w:id="705"/>
      </w:r>
      <w:r>
        <w:t>.</w:t>
      </w:r>
    </w:p>
    <w:p w14:paraId="48D6DDC7" w14:textId="4964C165" w:rsidR="00E9574D" w:rsidRPr="005C02EF" w:rsidRDefault="00E9574D" w:rsidP="00E33BE6">
      <w:pPr>
        <w:pStyle w:val="BodyText"/>
        <w:tabs>
          <w:tab w:val="left" w:pos="1559"/>
          <w:tab w:val="left" w:pos="1984"/>
          <w:tab w:val="left" w:leader="dot" w:pos="7654"/>
          <w:tab w:val="right" w:pos="8929"/>
        </w:tabs>
        <w:spacing w:line="240" w:lineRule="atLeast"/>
        <w:ind w:left="1138" w:right="1138" w:firstLine="0"/>
      </w:pPr>
      <w:r>
        <w:t xml:space="preserve">Par ailleurs, une </w:t>
      </w:r>
      <w:r w:rsidR="00A35DCB">
        <w:t>survivante</w:t>
      </w:r>
      <w:r w:rsidRPr="005C02EF">
        <w:t xml:space="preserve"> indique qu’un jour une lettre est arrivée qui demandait de libérer les femmes </w:t>
      </w:r>
      <w:r w:rsidR="008844A4">
        <w:t>l</w:t>
      </w:r>
      <w:r w:rsidR="008844A4" w:rsidRPr="005C02EF">
        <w:t>uba</w:t>
      </w:r>
      <w:r w:rsidR="008844A4">
        <w:t>s</w:t>
      </w:r>
      <w:r w:rsidR="008844A4" w:rsidRPr="005C02EF">
        <w:t xml:space="preserve"> </w:t>
      </w:r>
      <w:r w:rsidRPr="005C02EF">
        <w:t xml:space="preserve">en captivité. L’homme </w:t>
      </w:r>
      <w:r w:rsidR="00651768">
        <w:t>chokwe</w:t>
      </w:r>
      <w:r w:rsidRPr="005C02EF">
        <w:t xml:space="preserve"> qui la retenait</w:t>
      </w:r>
      <w:r>
        <w:t>,</w:t>
      </w:r>
      <w:r w:rsidRPr="005C02EF">
        <w:t xml:space="preserve"> l’a alors amené</w:t>
      </w:r>
      <w:r w:rsidR="00050FC0">
        <w:t>e</w:t>
      </w:r>
      <w:r w:rsidRPr="005C02EF">
        <w:t xml:space="preserve"> chez le chef du village en pointant une arme sur </w:t>
      </w:r>
      <w:r>
        <w:t>elle. L</w:t>
      </w:r>
      <w:r w:rsidRPr="005C02EF">
        <w:t xml:space="preserve">e chef </w:t>
      </w:r>
      <w:r>
        <w:t xml:space="preserve">du village a demandé à l’homme de ne pas </w:t>
      </w:r>
      <w:r w:rsidR="00A35DCB">
        <w:t xml:space="preserve">la </w:t>
      </w:r>
      <w:r>
        <w:t>tuer, et celle-ci est retournée à sa captivité</w:t>
      </w:r>
      <w:r w:rsidRPr="007F1170">
        <w:rPr>
          <w:rStyle w:val="FootnoteReference"/>
        </w:rPr>
        <w:footnoteReference w:id="706"/>
      </w:r>
      <w:r w:rsidRPr="005C02EF">
        <w:t>.</w:t>
      </w:r>
    </w:p>
    <w:p w14:paraId="7606E64B" w14:textId="134E2705" w:rsidR="00E9574D" w:rsidRPr="003162A8" w:rsidRDefault="00E9574D" w:rsidP="00E33BE6">
      <w:pPr>
        <w:pStyle w:val="BodyText"/>
        <w:tabs>
          <w:tab w:val="left" w:pos="1559"/>
          <w:tab w:val="left" w:pos="1984"/>
          <w:tab w:val="left" w:leader="dot" w:pos="7654"/>
          <w:tab w:val="right" w:pos="8929"/>
        </w:tabs>
        <w:spacing w:line="240" w:lineRule="atLeast"/>
        <w:ind w:left="1138" w:right="1138" w:firstLine="0"/>
      </w:pPr>
      <w:r w:rsidRPr="003162A8">
        <w:t xml:space="preserve">En mars 2018, la MONUSCO avait vérifié </w:t>
      </w:r>
      <w:r w:rsidR="003162A8" w:rsidRPr="003162A8">
        <w:t>qu’au</w:t>
      </w:r>
      <w:r w:rsidRPr="003162A8">
        <w:t xml:space="preserve"> moins 87 personnes, </w:t>
      </w:r>
      <w:r w:rsidR="00050FC0">
        <w:t>dont deux</w:t>
      </w:r>
      <w:r w:rsidRPr="003162A8">
        <w:t xml:space="preserve"> femmes, 49 filles et 15 garçons</w:t>
      </w:r>
      <w:r w:rsidR="003162A8" w:rsidRPr="003162A8">
        <w:t xml:space="preserve"> étaient retenus en captivité dans des fermes du groupement Muyeji</w:t>
      </w:r>
      <w:r w:rsidRPr="003162A8">
        <w:t xml:space="preserve"> et avait reçu des allégations sérieuses </w:t>
      </w:r>
      <w:r w:rsidR="00EC5C9A">
        <w:t>concernant</w:t>
      </w:r>
      <w:r w:rsidR="00EC5C9A" w:rsidRPr="003162A8">
        <w:t xml:space="preserve"> </w:t>
      </w:r>
      <w:r w:rsidRPr="003162A8">
        <w:t>39 autres personnes (10 femmes, 2 hommes et 27 enfants)</w:t>
      </w:r>
      <w:r w:rsidRPr="007F1170">
        <w:rPr>
          <w:rStyle w:val="FootnoteReference"/>
        </w:rPr>
        <w:footnoteReference w:id="707"/>
      </w:r>
      <w:r w:rsidRPr="003162A8">
        <w:t xml:space="preserve">. A ce jour, des femmes et des enfants sont toujours retenus </w:t>
      </w:r>
      <w:r w:rsidR="005A11C1" w:rsidRPr="003162A8">
        <w:t xml:space="preserve">dans des fermes du groupement Muyeji </w:t>
      </w:r>
      <w:r w:rsidRPr="003162A8">
        <w:t xml:space="preserve">par des </w:t>
      </w:r>
      <w:r w:rsidR="005A11C1" w:rsidRPr="003162A8">
        <w:t>personnes de l’ethnie</w:t>
      </w:r>
      <w:r w:rsidRPr="003162A8">
        <w:t xml:space="preserve"> </w:t>
      </w:r>
      <w:r w:rsidR="00651768">
        <w:t>chokwe</w:t>
      </w:r>
      <w:r w:rsidR="009F1B3A">
        <w:t xml:space="preserve">. </w:t>
      </w:r>
      <w:r w:rsidR="009F1B3A" w:rsidRPr="003162A8">
        <w:t xml:space="preserve">Au 6 juin 2018, la MONUSCO estime qu’au moins 68 enfants seraient encore retenus </w:t>
      </w:r>
      <w:r w:rsidR="0094347A">
        <w:t>dans ces fermes</w:t>
      </w:r>
      <w:r w:rsidR="009F1B3A" w:rsidRPr="007F1170">
        <w:rPr>
          <w:rStyle w:val="FootnoteReference"/>
        </w:rPr>
        <w:footnoteReference w:id="708"/>
      </w:r>
      <w:r w:rsidR="009F1B3A" w:rsidRPr="003162A8">
        <w:t>.</w:t>
      </w:r>
      <w:r w:rsidR="00050FC0">
        <w:t xml:space="preserve"> </w:t>
      </w:r>
      <w:r w:rsidR="009F1B3A">
        <w:t>M</w:t>
      </w:r>
      <w:r w:rsidRPr="003162A8">
        <w:t xml:space="preserve">algré des </w:t>
      </w:r>
      <w:r w:rsidR="005A11C1" w:rsidRPr="003162A8">
        <w:t xml:space="preserve">plaidoyers </w:t>
      </w:r>
      <w:r w:rsidRPr="003162A8">
        <w:t>réguli</w:t>
      </w:r>
      <w:r w:rsidR="005A11C1" w:rsidRPr="003162A8">
        <w:t>ers</w:t>
      </w:r>
      <w:r w:rsidRPr="003162A8">
        <w:t xml:space="preserve"> </w:t>
      </w:r>
      <w:r w:rsidR="005A11C1" w:rsidRPr="003162A8">
        <w:t xml:space="preserve">auprès </w:t>
      </w:r>
      <w:r w:rsidR="0094347A">
        <w:t xml:space="preserve">des forces de défense et de sécurité congolaises </w:t>
      </w:r>
      <w:r w:rsidRPr="003162A8">
        <w:t>de Kananga et de Tshikapa par la MONUSCO</w:t>
      </w:r>
      <w:r w:rsidR="009F1B3A">
        <w:t xml:space="preserve"> </w:t>
      </w:r>
      <w:r w:rsidR="0094347A">
        <w:t>leur réaction</w:t>
      </w:r>
      <w:r w:rsidR="009F1B3A">
        <w:t xml:space="preserve"> face à ces crimes reste insuffisante</w:t>
      </w:r>
      <w:r w:rsidRPr="003162A8">
        <w:t xml:space="preserve">. </w:t>
      </w:r>
    </w:p>
    <w:p w14:paraId="01BDC4A2" w14:textId="399940D1" w:rsidR="00E9574D" w:rsidRPr="00FE5E8D" w:rsidRDefault="00E9574D" w:rsidP="0060764C">
      <w:pPr>
        <w:pStyle w:val="Heading5"/>
        <w:tabs>
          <w:tab w:val="clear" w:pos="1984"/>
          <w:tab w:val="left" w:pos="2340"/>
        </w:tabs>
        <w:spacing w:before="120" w:after="120"/>
        <w:ind w:firstLine="1440"/>
        <w:contextualSpacing w:val="0"/>
        <w:rPr>
          <w:b w:val="0"/>
        </w:rPr>
      </w:pPr>
      <w:r w:rsidRPr="00FE5E8D">
        <w:rPr>
          <w:b w:val="0"/>
        </w:rPr>
        <w:t>Nord du territoire de Kamonia</w:t>
      </w:r>
    </w:p>
    <w:p w14:paraId="682D3837" w14:textId="31A79782" w:rsidR="00E9574D" w:rsidRPr="005C02EF" w:rsidRDefault="00E9574D" w:rsidP="0060764C">
      <w:pPr>
        <w:pStyle w:val="BodyText"/>
        <w:tabs>
          <w:tab w:val="left" w:pos="1559"/>
          <w:tab w:val="left" w:pos="1984"/>
          <w:tab w:val="left" w:leader="dot" w:pos="7654"/>
          <w:tab w:val="right" w:pos="8929"/>
        </w:tabs>
        <w:spacing w:line="240" w:lineRule="atLeast"/>
        <w:ind w:left="1138" w:right="1138" w:firstLine="0"/>
      </w:pPr>
      <w:r w:rsidRPr="005C02EF">
        <w:t>Au nord de la ville de Tshikapa, dan</w:t>
      </w:r>
      <w:r>
        <w:t>s le secteur de Kasaï-</w:t>
      </w:r>
      <w:r w:rsidR="00FC5820" w:rsidRPr="00FC5820">
        <w:t xml:space="preserve"> </w:t>
      </w:r>
      <w:r w:rsidR="00FC5820" w:rsidRPr="005C02EF">
        <w:t>Kabamba</w:t>
      </w:r>
      <w:r w:rsidR="00FC5820">
        <w:t>yi</w:t>
      </w:r>
      <w:r>
        <w:t xml:space="preserve">, </w:t>
      </w:r>
      <w:r w:rsidRPr="005C02EF">
        <w:t xml:space="preserve">dans la partie du secteur Bapende qui longe la rivière Kasaï, ainsi </w:t>
      </w:r>
      <w:r>
        <w:t>qu’à</w:t>
      </w:r>
      <w:r w:rsidRPr="005C02EF">
        <w:t xml:space="preserve"> </w:t>
      </w:r>
      <w:r>
        <w:t xml:space="preserve">l’extrême sud </w:t>
      </w:r>
      <w:r w:rsidRPr="005C02EF">
        <w:t>du territoire d</w:t>
      </w:r>
      <w:r>
        <w:t>’</w:t>
      </w:r>
      <w:r w:rsidRPr="005C02EF">
        <w:t xml:space="preserve">Ilebo, </w:t>
      </w:r>
      <w:r>
        <w:t>la milice Kamuina Nsapu a été très présente en mars-avril 2017</w:t>
      </w:r>
      <w:r w:rsidRPr="007F1170">
        <w:rPr>
          <w:rStyle w:val="FootnoteReference"/>
        </w:rPr>
        <w:footnoteReference w:id="709"/>
      </w:r>
      <w:r w:rsidRPr="005C02EF">
        <w:t>. Tout comme pour le secteur de Lovua-L</w:t>
      </w:r>
      <w:r>
        <w:t>onga</w:t>
      </w:r>
      <w:r w:rsidRPr="005C02EF">
        <w:t>t</w:t>
      </w:r>
      <w:r>
        <w:t>s</w:t>
      </w:r>
      <w:r w:rsidRPr="005C02EF">
        <w:t xml:space="preserve">himo, l’influence lubaphone se réduit dans cette zone et la rivière Kasaï marque une frontière </w:t>
      </w:r>
      <w:r>
        <w:t xml:space="preserve">naturelle </w:t>
      </w:r>
      <w:r w:rsidRPr="005C02EF">
        <w:t>entre deux zones d’inf</w:t>
      </w:r>
      <w:r>
        <w:t xml:space="preserve">luence, </w:t>
      </w:r>
      <w:r w:rsidR="00051090">
        <w:t>l</w:t>
      </w:r>
      <w:r>
        <w:t xml:space="preserve">uba à l’est et </w:t>
      </w:r>
      <w:r w:rsidR="00651768">
        <w:t>chokwe</w:t>
      </w:r>
      <w:r>
        <w:t>/</w:t>
      </w:r>
      <w:r w:rsidR="00051090">
        <w:t>p</w:t>
      </w:r>
      <w:r w:rsidR="00051090" w:rsidRPr="005C02EF">
        <w:t xml:space="preserve">ende </w:t>
      </w:r>
      <w:r w:rsidRPr="005C02EF">
        <w:t>à l’ouest.</w:t>
      </w:r>
    </w:p>
    <w:p w14:paraId="29D28D1F" w14:textId="20EB8F7D" w:rsidR="00E9574D" w:rsidRPr="005C02EF" w:rsidRDefault="00E9574D" w:rsidP="0060764C">
      <w:pPr>
        <w:pStyle w:val="BodyText"/>
        <w:tabs>
          <w:tab w:val="left" w:pos="1559"/>
          <w:tab w:val="left" w:pos="1984"/>
          <w:tab w:val="left" w:leader="dot" w:pos="7654"/>
          <w:tab w:val="right" w:pos="8929"/>
        </w:tabs>
        <w:spacing w:line="240" w:lineRule="atLeast"/>
        <w:ind w:left="1138" w:right="1138" w:firstLine="0"/>
      </w:pPr>
      <w:r>
        <w:t>Dans cette zone, l</w:t>
      </w:r>
      <w:r w:rsidRPr="005C02EF">
        <w:t>a logique expansionniste de la milice</w:t>
      </w:r>
      <w:r>
        <w:t xml:space="preserve"> Kamuina Nsapu</w:t>
      </w:r>
      <w:r w:rsidRPr="005C02EF">
        <w:t xml:space="preserve"> s’est heurtée à une forte résistance des populations </w:t>
      </w:r>
      <w:r w:rsidR="00651768">
        <w:t>chokwe</w:t>
      </w:r>
      <w:r w:rsidR="00A34D85">
        <w:t>s</w:t>
      </w:r>
      <w:r w:rsidRPr="005C02EF">
        <w:t xml:space="preserve"> et </w:t>
      </w:r>
      <w:r w:rsidR="00A34D85">
        <w:t>p</w:t>
      </w:r>
      <w:r w:rsidRPr="005C02EF">
        <w:t>ende</w:t>
      </w:r>
      <w:r w:rsidR="00A34D85">
        <w:t>s</w:t>
      </w:r>
      <w:r w:rsidRPr="005C02EF">
        <w:t xml:space="preserve">. Les violences </w:t>
      </w:r>
      <w:r w:rsidR="005A11C1" w:rsidRPr="005C02EF">
        <w:t xml:space="preserve">dont les populations civiles ont été les premières victimes </w:t>
      </w:r>
      <w:r w:rsidRPr="005C02EF">
        <w:t>ont pris un caractère ethnique. Ainsi la milice Kamuina Nsapu s’est attaquée</w:t>
      </w:r>
      <w:r>
        <w:t xml:space="preserve"> en particulier</w:t>
      </w:r>
      <w:r w:rsidRPr="005C02EF">
        <w:t xml:space="preserve"> à la population </w:t>
      </w:r>
      <w:r w:rsidR="00651768">
        <w:t>chokwe</w:t>
      </w:r>
      <w:r w:rsidRPr="005C02EF">
        <w:t xml:space="preserve"> et </w:t>
      </w:r>
      <w:r w:rsidR="00A34D85">
        <w:t>p</w:t>
      </w:r>
      <w:r w:rsidRPr="005C02EF">
        <w:t xml:space="preserve">ende et des habitants </w:t>
      </w:r>
      <w:r w:rsidR="00651768">
        <w:t>chokwe</w:t>
      </w:r>
      <w:r w:rsidR="00A34D85">
        <w:t>s</w:t>
      </w:r>
      <w:r w:rsidRPr="005C02EF">
        <w:t xml:space="preserve"> et </w:t>
      </w:r>
      <w:r w:rsidR="00A34D85">
        <w:t>p</w:t>
      </w:r>
      <w:r w:rsidRPr="005C02EF">
        <w:t>ende</w:t>
      </w:r>
      <w:r w:rsidR="00A34D85">
        <w:t>s</w:t>
      </w:r>
      <w:r w:rsidRPr="005C02EF">
        <w:t>, organisés en milices se sont, en réaction, attaqués à la population lubaphone</w:t>
      </w:r>
      <w:r w:rsidRPr="007F1170">
        <w:rPr>
          <w:rStyle w:val="FootnoteReference"/>
        </w:rPr>
        <w:footnoteReference w:id="710"/>
      </w:r>
      <w:r w:rsidRPr="005C02EF">
        <w:t xml:space="preserve">. L’EEI n’a pas été en mesure de documenter de manière compréhensive </w:t>
      </w:r>
      <w:r w:rsidR="00050FC0">
        <w:t>l’ampleur des actes de violence</w:t>
      </w:r>
      <w:r w:rsidRPr="005C02EF">
        <w:t xml:space="preserve"> dans cette zone. Les éléments de preuve résumés ci-dessous témoignent</w:t>
      </w:r>
      <w:r>
        <w:t xml:space="preserve"> néanmoins de la commission</w:t>
      </w:r>
      <w:r w:rsidRPr="005C02EF">
        <w:t xml:space="preserve"> d’actes de violence </w:t>
      </w:r>
      <w:r>
        <w:t xml:space="preserve">très sérieux </w:t>
      </w:r>
      <w:r w:rsidRPr="005C02EF">
        <w:t>qui requièrent des e</w:t>
      </w:r>
      <w:r>
        <w:t>nquêtes approfondies</w:t>
      </w:r>
      <w:r w:rsidRPr="005C02EF">
        <w:t xml:space="preserve">. </w:t>
      </w:r>
    </w:p>
    <w:p w14:paraId="0D7CA167" w14:textId="4F915791" w:rsidR="00E9574D" w:rsidRPr="004360BE" w:rsidRDefault="00E9574D" w:rsidP="0060764C">
      <w:pPr>
        <w:pStyle w:val="BodyText"/>
        <w:tabs>
          <w:tab w:val="left" w:pos="1559"/>
          <w:tab w:val="left" w:pos="1984"/>
          <w:tab w:val="left" w:leader="dot" w:pos="7654"/>
          <w:tab w:val="right" w:pos="8929"/>
        </w:tabs>
        <w:spacing w:line="240" w:lineRule="atLeast"/>
        <w:ind w:left="1138" w:right="1138" w:firstLine="0"/>
      </w:pPr>
      <w:r w:rsidRPr="005C02EF">
        <w:t>Par exemple, dans le village de Shandala dans le secteur de Kasaï-</w:t>
      </w:r>
      <w:r w:rsidR="009F1B3A" w:rsidRPr="005C02EF">
        <w:t>Kabamba</w:t>
      </w:r>
      <w:r w:rsidR="009F1B3A">
        <w:t>y</w:t>
      </w:r>
      <w:r w:rsidR="00FC5820">
        <w:t>i</w:t>
      </w:r>
      <w:r w:rsidRPr="005C02EF">
        <w:t>, l</w:t>
      </w:r>
      <w:r w:rsidR="009D3145">
        <w:t>es miliciens</w:t>
      </w:r>
      <w:r w:rsidRPr="005C02EF">
        <w:t xml:space="preserve"> Kamuina Nsapu, </w:t>
      </w:r>
      <w:r>
        <w:t>y compris</w:t>
      </w:r>
      <w:r w:rsidRPr="005C02EF">
        <w:t xml:space="preserve"> des enfants, </w:t>
      </w:r>
      <w:r w:rsidR="009D3145">
        <w:t>sont</w:t>
      </w:r>
      <w:r w:rsidRPr="005C02EF">
        <w:t xml:space="preserve"> arrivé</w:t>
      </w:r>
      <w:r w:rsidR="009D3145">
        <w:t>s</w:t>
      </w:r>
      <w:r w:rsidRPr="005C02EF">
        <w:t xml:space="preserve"> au mois </w:t>
      </w:r>
      <w:r w:rsidRPr="00982010">
        <w:t>de mars/avril 2017</w:t>
      </w:r>
      <w:r>
        <w:t>. A</w:t>
      </w:r>
      <w:r w:rsidRPr="005C02EF">
        <w:t xml:space="preserve">près </w:t>
      </w:r>
      <w:r>
        <w:t>s’être attaquée</w:t>
      </w:r>
      <w:r w:rsidRPr="005C02EF">
        <w:t xml:space="preserve"> aux agents de l’Etat et</w:t>
      </w:r>
      <w:r>
        <w:t xml:space="preserve"> aux</w:t>
      </w:r>
      <w:r w:rsidRPr="005C02EF">
        <w:t xml:space="preserve"> personnes suspectées d’être hostile</w:t>
      </w:r>
      <w:r w:rsidR="009D3145">
        <w:t>s</w:t>
      </w:r>
      <w:r w:rsidRPr="005C02EF">
        <w:t xml:space="preserve"> au mouvement ou de supporter les autorités, </w:t>
      </w:r>
      <w:r>
        <w:t>la milice</w:t>
      </w:r>
      <w:r w:rsidRPr="005C02EF">
        <w:t xml:space="preserve"> Kamuina Nsapu </w:t>
      </w:r>
      <w:r>
        <w:t>s’en est pris</w:t>
      </w:r>
      <w:r w:rsidR="00C4518D">
        <w:t>e</w:t>
      </w:r>
      <w:r w:rsidRPr="005C02EF">
        <w:t xml:space="preserve"> à la population civile </w:t>
      </w:r>
      <w:r w:rsidR="00651768">
        <w:t>chokwe</w:t>
      </w:r>
      <w:r w:rsidRPr="005C02EF">
        <w:t xml:space="preserve">, notamment </w:t>
      </w:r>
      <w:r w:rsidR="009D3145">
        <w:t>aux</w:t>
      </w:r>
      <w:r w:rsidRPr="005C02EF">
        <w:t xml:space="preserve"> hommes. Plusieurs</w:t>
      </w:r>
      <w:r>
        <w:t xml:space="preserve"> personnes</w:t>
      </w:r>
      <w:r w:rsidRPr="005C02EF">
        <w:t xml:space="preserve"> </w:t>
      </w:r>
      <w:r w:rsidR="00651768">
        <w:t>chokwe</w:t>
      </w:r>
      <w:r w:rsidR="00A34D85">
        <w:t>s</w:t>
      </w:r>
      <w:r w:rsidRPr="005C02EF">
        <w:t xml:space="preserve"> du village ont été tué</w:t>
      </w:r>
      <w:r w:rsidR="009D3145">
        <w:t>e</w:t>
      </w:r>
      <w:r w:rsidRPr="005C02EF">
        <w:t xml:space="preserve">s par les miliciens Kamuina Nsapu et au moins une femme </w:t>
      </w:r>
      <w:r w:rsidR="00651768">
        <w:t>chokwe</w:t>
      </w:r>
      <w:r w:rsidRPr="005C02EF">
        <w:t xml:space="preserve"> </w:t>
      </w:r>
      <w:r w:rsidR="00C4518D">
        <w:t xml:space="preserve">a été </w:t>
      </w:r>
      <w:r w:rsidRPr="005C02EF">
        <w:t>violée</w:t>
      </w:r>
      <w:r w:rsidRPr="007F1170">
        <w:rPr>
          <w:rStyle w:val="FootnoteReference"/>
        </w:rPr>
        <w:footnoteReference w:id="711"/>
      </w:r>
      <w:r w:rsidRPr="005C02EF">
        <w:t xml:space="preserve">. Par ailleurs, un témoin raconte qu’un jour les miliciens Kamuina Nsapu ont lancé une attaque contre des miliciens Bana Mura qui </w:t>
      </w:r>
      <w:r w:rsidR="00050FC0">
        <w:t>ten</w:t>
      </w:r>
      <w:r w:rsidRPr="005C02EF">
        <w:t xml:space="preserve">aient </w:t>
      </w:r>
      <w:r w:rsidR="00050FC0">
        <w:t>une</w:t>
      </w:r>
      <w:r w:rsidRPr="005C02EF">
        <w:t xml:space="preserve"> réunion dans le village et </w:t>
      </w:r>
      <w:r>
        <w:t xml:space="preserve">que des </w:t>
      </w:r>
      <w:r w:rsidR="00651768">
        <w:t>Chokwe</w:t>
      </w:r>
      <w:r w:rsidR="00A34D85">
        <w:t>s</w:t>
      </w:r>
      <w:r>
        <w:t xml:space="preserve"> ont</w:t>
      </w:r>
      <w:r w:rsidRPr="005C02EF">
        <w:t xml:space="preserve"> été tués, y compris des enfants</w:t>
      </w:r>
      <w:r>
        <w:t>,</w:t>
      </w:r>
      <w:r w:rsidRPr="005C02EF">
        <w:t xml:space="preserve"> et des maisons incendiées</w:t>
      </w:r>
      <w:r w:rsidRPr="007F1170">
        <w:rPr>
          <w:rStyle w:val="FootnoteReference"/>
        </w:rPr>
        <w:footnoteReference w:id="712"/>
      </w:r>
      <w:r w:rsidRPr="005C02EF">
        <w:t xml:space="preserve">. Un témoin </w:t>
      </w:r>
      <w:r>
        <w:t>raconte</w:t>
      </w:r>
      <w:r w:rsidRPr="005C02EF">
        <w:t xml:space="preserve"> des </w:t>
      </w:r>
      <w:r>
        <w:t>violences</w:t>
      </w:r>
      <w:r w:rsidRPr="005C02EF">
        <w:t xml:space="preserve"> similaires </w:t>
      </w:r>
      <w:r>
        <w:t>dans le village de</w:t>
      </w:r>
      <w:r w:rsidRPr="005C02EF">
        <w:t xml:space="preserve"> Mwalukuaya. Il rapporte des cas de décapitation</w:t>
      </w:r>
      <w:r>
        <w:t>s</w:t>
      </w:r>
      <w:r w:rsidRPr="005C02EF">
        <w:t xml:space="preserve"> de </w:t>
      </w:r>
      <w:r>
        <w:t>Pende</w:t>
      </w:r>
      <w:r w:rsidR="00366883">
        <w:t>s</w:t>
      </w:r>
      <w:r>
        <w:t xml:space="preserve">, ainsi que </w:t>
      </w:r>
      <w:r w:rsidRPr="005C02EF">
        <w:t xml:space="preserve">de personnes </w:t>
      </w:r>
      <w:r>
        <w:t>ne parlant pas t</w:t>
      </w:r>
      <w:r w:rsidRPr="005C02EF">
        <w:t>shiluba</w:t>
      </w:r>
      <w:r w:rsidR="00C4518D">
        <w:t>,</w:t>
      </w:r>
      <w:r w:rsidRPr="005C02EF">
        <w:t xml:space="preserve"> et de viols. Certaines des femmes </w:t>
      </w:r>
      <w:r>
        <w:t>qui avaient</w:t>
      </w:r>
      <w:r w:rsidR="00C4518D">
        <w:t xml:space="preserve"> déjà</w:t>
      </w:r>
      <w:r>
        <w:t xml:space="preserve"> été </w:t>
      </w:r>
      <w:r w:rsidRPr="005C02EF">
        <w:t>violées par voie vaginale et anale par les miliciens Kamuina Nsapu</w:t>
      </w:r>
      <w:r>
        <w:t xml:space="preserve"> dans ce village</w:t>
      </w:r>
      <w:r w:rsidRPr="005C02EF">
        <w:t xml:space="preserve">, ont </w:t>
      </w:r>
      <w:r w:rsidR="00C4518D">
        <w:t>plus tard</w:t>
      </w:r>
      <w:r w:rsidRPr="005C02EF">
        <w:t xml:space="preserve"> été violées par des miliciens Bana Mura</w:t>
      </w:r>
      <w:r w:rsidRPr="007F1170">
        <w:rPr>
          <w:rStyle w:val="FootnoteReference"/>
        </w:rPr>
        <w:footnoteReference w:id="713"/>
      </w:r>
      <w:r w:rsidRPr="005C02EF">
        <w:t>.</w:t>
      </w:r>
      <w:r>
        <w:t xml:space="preserve"> D</w:t>
      </w:r>
      <w:r w:rsidRPr="005C02EF">
        <w:t xml:space="preserve">ans </w:t>
      </w:r>
      <w:r w:rsidRPr="0060764C">
        <w:t xml:space="preserve">la forêt de Katoka vers </w:t>
      </w:r>
      <w:r w:rsidRPr="005C02EF">
        <w:t xml:space="preserve">le village de Kabambayi, un groupe de personnes dont </w:t>
      </w:r>
      <w:r>
        <w:t xml:space="preserve">un </w:t>
      </w:r>
      <w:r w:rsidRPr="005C02EF">
        <w:t xml:space="preserve">agent de la PNC </w:t>
      </w:r>
      <w:r w:rsidR="00050FC0">
        <w:t>est tombé</w:t>
      </w:r>
      <w:r w:rsidRPr="005C02EF">
        <w:t xml:space="preserve"> sur des miliciens Kamuina Nsapu. Ces derniers ont emmené l</w:t>
      </w:r>
      <w:r w:rsidR="00C4518D">
        <w:t>’</w:t>
      </w:r>
      <w:r w:rsidR="009F1B3A">
        <w:t>agent</w:t>
      </w:r>
      <w:r w:rsidR="00C4518D">
        <w:t xml:space="preserve"> de la</w:t>
      </w:r>
      <w:r w:rsidRPr="005C02EF">
        <w:t xml:space="preserve"> PNC et l’ont tué. Une fille de 16 ans </w:t>
      </w:r>
      <w:r w:rsidR="00C4518D">
        <w:t xml:space="preserve">et </w:t>
      </w:r>
      <w:r w:rsidRPr="005C02EF">
        <w:t>sa petit</w:t>
      </w:r>
      <w:r>
        <w:t xml:space="preserve">e sœur ont alors été </w:t>
      </w:r>
      <w:r w:rsidR="003162A8">
        <w:t>emmenées</w:t>
      </w:r>
      <w:r>
        <w:t xml:space="preserve"> au t</w:t>
      </w:r>
      <w:r w:rsidRPr="005C02EF">
        <w:t>s</w:t>
      </w:r>
      <w:r>
        <w:t>h</w:t>
      </w:r>
      <w:r w:rsidRPr="005C02EF">
        <w:t>iota des miliciens Kamuina Nsapu</w:t>
      </w:r>
      <w:r>
        <w:t xml:space="preserve"> où elles ont été retenu</w:t>
      </w:r>
      <w:r w:rsidR="00C4518D">
        <w:t>es</w:t>
      </w:r>
      <w:r>
        <w:t xml:space="preserve"> captive</w:t>
      </w:r>
      <w:r w:rsidR="00C4518D">
        <w:t>s</w:t>
      </w:r>
      <w:r>
        <w:t xml:space="preserve"> et devaient </w:t>
      </w:r>
      <w:r w:rsidR="00C4518D">
        <w:t>cuisiner et aller puiser l’eau</w:t>
      </w:r>
      <w:r>
        <w:t xml:space="preserve">. </w:t>
      </w:r>
      <w:r w:rsidR="00C4518D">
        <w:t>Elles ne recevaient pas de nourriture. La jeune fille de 16 ans</w:t>
      </w:r>
      <w:r>
        <w:t xml:space="preserve"> a été violée par un milicien Kamuina Nsapu</w:t>
      </w:r>
      <w:r w:rsidR="00C4518D">
        <w:t>. Toutes deux ont réussi à s’enfuir</w:t>
      </w:r>
      <w:r w:rsidRPr="007F1170">
        <w:rPr>
          <w:rStyle w:val="FootnoteReference"/>
        </w:rPr>
        <w:footnoteReference w:id="714"/>
      </w:r>
      <w:r w:rsidRPr="0060764C">
        <w:t xml:space="preserve">. </w:t>
      </w:r>
    </w:p>
    <w:p w14:paraId="0148964F" w14:textId="0A157430" w:rsidR="00E9574D" w:rsidRDefault="00E9574D" w:rsidP="0060764C">
      <w:pPr>
        <w:pStyle w:val="BodyText"/>
        <w:tabs>
          <w:tab w:val="left" w:pos="1559"/>
          <w:tab w:val="left" w:pos="1984"/>
          <w:tab w:val="left" w:leader="dot" w:pos="7654"/>
          <w:tab w:val="right" w:pos="8929"/>
        </w:tabs>
        <w:spacing w:line="240" w:lineRule="atLeast"/>
        <w:ind w:left="1138" w:right="1138" w:firstLine="0"/>
      </w:pPr>
      <w:r w:rsidRPr="005C02EF">
        <w:t>De l’autre côté de la rivière Kasaï, tout au sud du territoire de Ilebo, dans le village de Biponga, les miliciens Kamuina Nsapu sont arrivés fin avril ou début mai 2017 depuis le tshiota</w:t>
      </w:r>
      <w:r>
        <w:t xml:space="preserve"> installé dans le</w:t>
      </w:r>
      <w:r w:rsidRPr="005C02EF">
        <w:t xml:space="preserve"> village de Kabambayi. Plusieurs témoins ont indiqué que les miliciens Kamuina Nsapu, y compris des enfants</w:t>
      </w:r>
      <w:r w:rsidR="00C4518D">
        <w:t>,</w:t>
      </w:r>
      <w:r w:rsidR="009F1B3A">
        <w:t xml:space="preserve"> sont</w:t>
      </w:r>
      <w:r w:rsidRPr="005C02EF">
        <w:t xml:space="preserve"> arrivés en grand nombre</w:t>
      </w:r>
      <w:r w:rsidR="009F1B3A">
        <w:t xml:space="preserve"> et</w:t>
      </w:r>
      <w:r w:rsidRPr="005C02EF">
        <w:t xml:space="preserve"> ont d’abord détruit les bâtiments publics. Les témoins ont ensuite noté un changement dans l’attitude des</w:t>
      </w:r>
      <w:r w:rsidR="009F1B3A">
        <w:t xml:space="preserve"> miliciens</w:t>
      </w:r>
      <w:r w:rsidRPr="005C02EF">
        <w:t xml:space="preserve"> Kamuina Nsapu qui se sont attaqués largement à la population civile. </w:t>
      </w:r>
      <w:r>
        <w:t>Les miliciens ont décapité</w:t>
      </w:r>
      <w:r w:rsidR="00C4518D">
        <w:t xml:space="preserve"> de nombreux habitants du village</w:t>
      </w:r>
      <w:r>
        <w:t xml:space="preserve"> et </w:t>
      </w:r>
      <w:r w:rsidR="00C4518D">
        <w:t>commis beaucoup de viols</w:t>
      </w:r>
      <w:r w:rsidR="00050FC0">
        <w:t>. Ils ont également brûlé</w:t>
      </w:r>
      <w:r w:rsidRPr="005C02EF">
        <w:t xml:space="preserve"> de nombre</w:t>
      </w:r>
      <w:r w:rsidR="00C4518D">
        <w:t xml:space="preserve"> d’</w:t>
      </w:r>
      <w:r w:rsidRPr="005C02EF">
        <w:t>habitations</w:t>
      </w:r>
      <w:r w:rsidRPr="007F1170">
        <w:rPr>
          <w:rStyle w:val="FootnoteReference"/>
        </w:rPr>
        <w:footnoteReference w:id="715"/>
      </w:r>
      <w:r w:rsidRPr="005C02EF">
        <w:t xml:space="preserve">. </w:t>
      </w:r>
      <w:r>
        <w:t>Une victime</w:t>
      </w:r>
      <w:r w:rsidRPr="005C02EF">
        <w:t xml:space="preserve"> raconte que son époux, d’ethnie Bashilele</w:t>
      </w:r>
      <w:r w:rsidR="00C4518D">
        <w:t>,</w:t>
      </w:r>
      <w:r w:rsidRPr="005C02EF">
        <w:t xml:space="preserve"> a été décapité le 2 mai 2017</w:t>
      </w:r>
      <w:r>
        <w:t xml:space="preserve"> parce qu’il ne pouvait </w:t>
      </w:r>
      <w:r w:rsidR="00C4518D">
        <w:t xml:space="preserve">pas </w:t>
      </w:r>
      <w:r>
        <w:t>parler t</w:t>
      </w:r>
      <w:r w:rsidRPr="005C02EF">
        <w:t>shiluba</w:t>
      </w:r>
      <w:r>
        <w:t>.</w:t>
      </w:r>
      <w:r w:rsidRPr="005C02EF">
        <w:t xml:space="preserve"> </w:t>
      </w:r>
      <w:r>
        <w:t>Elle a ensuite été</w:t>
      </w:r>
      <w:r w:rsidRPr="005C02EF">
        <w:t xml:space="preserve"> violée par trois miliciens Kamuina Nsapu</w:t>
      </w:r>
      <w:r w:rsidRPr="007F1170">
        <w:rPr>
          <w:rStyle w:val="FootnoteReference"/>
        </w:rPr>
        <w:footnoteReference w:id="716"/>
      </w:r>
      <w:r w:rsidRPr="005C02EF">
        <w:t xml:space="preserve">. </w:t>
      </w:r>
      <w:r>
        <w:t>Le jour de cet incident, c</w:t>
      </w:r>
      <w:r w:rsidRPr="005C02EF">
        <w:t>e</w:t>
      </w:r>
      <w:r>
        <w:t>tte</w:t>
      </w:r>
      <w:r w:rsidRPr="005C02EF">
        <w:t xml:space="preserve"> </w:t>
      </w:r>
      <w:r w:rsidR="00C4518D">
        <w:t>survivante</w:t>
      </w:r>
      <w:r w:rsidRPr="005C02EF">
        <w:t xml:space="preserve"> affirme avoir vu 18 cadavres de personnes tuées par les miliciens, en majorité des </w:t>
      </w:r>
      <w:r w:rsidR="00651768">
        <w:t>Chokwe</w:t>
      </w:r>
      <w:r w:rsidR="00A34D85">
        <w:t>s</w:t>
      </w:r>
      <w:r w:rsidRPr="005C02EF">
        <w:t>, Pende</w:t>
      </w:r>
      <w:r w:rsidR="00A34D85">
        <w:t>s</w:t>
      </w:r>
      <w:r w:rsidRPr="005C02EF">
        <w:t>, et Bashilele</w:t>
      </w:r>
      <w:r w:rsidR="00A34D85">
        <w:t>s</w:t>
      </w:r>
      <w:r w:rsidRPr="007F1170">
        <w:rPr>
          <w:rStyle w:val="FootnoteReference"/>
        </w:rPr>
        <w:footnoteReference w:id="717"/>
      </w:r>
      <w:r w:rsidRPr="005C02EF">
        <w:t xml:space="preserve">. </w:t>
      </w:r>
      <w:r>
        <w:t>I</w:t>
      </w:r>
      <w:r w:rsidRPr="005C02EF">
        <w:t xml:space="preserve">l y aurait </w:t>
      </w:r>
      <w:r>
        <w:t xml:space="preserve">également </w:t>
      </w:r>
      <w:r w:rsidRPr="005C02EF">
        <w:t>eu des affrontements violents entre les miliciens et les FARDC au cours desquels de nombreux civils auraient perdu la vie</w:t>
      </w:r>
      <w:r>
        <w:t>, mais cette allégation doit être confirmée</w:t>
      </w:r>
      <w:r w:rsidRPr="007F1170">
        <w:rPr>
          <w:rStyle w:val="FootnoteReference"/>
        </w:rPr>
        <w:footnoteReference w:id="718"/>
      </w:r>
      <w:r>
        <w:t>.</w:t>
      </w:r>
      <w:r w:rsidRPr="005C02EF">
        <w:t xml:space="preserve"> </w:t>
      </w:r>
      <w:r>
        <w:t>L’EEI a également reçu des éléments de preuve</w:t>
      </w:r>
      <w:r w:rsidRPr="005C02EF">
        <w:t xml:space="preserve"> d’exactions commises par des membres de l’ethnie Bashilele contre les Luba</w:t>
      </w:r>
      <w:r w:rsidR="00051090">
        <w:t>s</w:t>
      </w:r>
      <w:r w:rsidRPr="005C02EF">
        <w:t xml:space="preserve"> en réaction à l’arrivée de la milice Kamuina Nsapu</w:t>
      </w:r>
      <w:r>
        <w:t xml:space="preserve"> </w:t>
      </w:r>
      <w:r w:rsidRPr="005C02EF">
        <w:t xml:space="preserve">dans le village de Biponga. Ces derniers </w:t>
      </w:r>
      <w:r>
        <w:t>ont</w:t>
      </w:r>
      <w:r w:rsidRPr="005C02EF">
        <w:t xml:space="preserve"> </w:t>
      </w:r>
      <w:r>
        <w:t>chassé</w:t>
      </w:r>
      <w:r w:rsidRPr="005C02EF">
        <w:t xml:space="preserve"> les Luba</w:t>
      </w:r>
      <w:r w:rsidR="00051090">
        <w:t>s</w:t>
      </w:r>
      <w:r w:rsidRPr="005C02EF">
        <w:t xml:space="preserve"> vers le village de Kabambayi, </w:t>
      </w:r>
      <w:r>
        <w:t>mais aussi</w:t>
      </w:r>
      <w:r w:rsidRPr="005C02EF">
        <w:t xml:space="preserve"> tués et violés certains </w:t>
      </w:r>
      <w:r>
        <w:t xml:space="preserve">habitants </w:t>
      </w:r>
      <w:r w:rsidR="00051090">
        <w:t>l</w:t>
      </w:r>
      <w:r w:rsidRPr="005C02EF">
        <w:t>uba</w:t>
      </w:r>
      <w:r w:rsidR="00051090">
        <w:t>s</w:t>
      </w:r>
      <w:r w:rsidRPr="007F1170">
        <w:rPr>
          <w:rStyle w:val="FootnoteReference"/>
        </w:rPr>
        <w:footnoteReference w:id="719"/>
      </w:r>
      <w:r w:rsidRPr="005C02EF">
        <w:t>.</w:t>
      </w:r>
    </w:p>
    <w:p w14:paraId="58BAF66A" w14:textId="3247EFFC" w:rsidR="00E9574D" w:rsidRPr="005C02EF" w:rsidRDefault="00E9574D" w:rsidP="0060764C">
      <w:pPr>
        <w:pStyle w:val="BodyText"/>
        <w:tabs>
          <w:tab w:val="left" w:pos="1559"/>
          <w:tab w:val="left" w:pos="1984"/>
          <w:tab w:val="left" w:leader="dot" w:pos="7654"/>
          <w:tab w:val="right" w:pos="8929"/>
        </w:tabs>
        <w:spacing w:line="240" w:lineRule="atLeast"/>
        <w:ind w:left="1138" w:right="1138" w:firstLine="0"/>
      </w:pPr>
      <w:r w:rsidRPr="005C02EF">
        <w:t>L’EEI a également collecté des informations concernant des exactions similaires commises par la milice Kamuina Nsapu dans les villages voisin</w:t>
      </w:r>
      <w:r w:rsidR="00C4518D">
        <w:t>s</w:t>
      </w:r>
      <w:r w:rsidRPr="005C02EF">
        <w:t xml:space="preserve"> de Kankala et de Bashilele au cours de la même période</w:t>
      </w:r>
      <w:r w:rsidRPr="007F1170">
        <w:rPr>
          <w:rStyle w:val="FootnoteReference"/>
        </w:rPr>
        <w:footnoteReference w:id="720"/>
      </w:r>
      <w:r w:rsidRPr="005C02EF">
        <w:t xml:space="preserve">. </w:t>
      </w:r>
      <w:r>
        <w:t>Par exemple, u</w:t>
      </w:r>
      <w:r w:rsidRPr="005C02EF">
        <w:t xml:space="preserve">ne </w:t>
      </w:r>
      <w:r w:rsidR="00C4518D">
        <w:t>femme</w:t>
      </w:r>
      <w:r w:rsidRPr="005C02EF">
        <w:t xml:space="preserve"> explique que fuyant le village de Bashilele</w:t>
      </w:r>
      <w:r>
        <w:t xml:space="preserve"> au sein d’un</w:t>
      </w:r>
      <w:r w:rsidRPr="005C02EF">
        <w:t xml:space="preserve"> groupe composé d’hommes et de six femmes, elle a été stoppée par des miliciens Kamuina Nsapu. Les femmes ont été trié</w:t>
      </w:r>
      <w:r w:rsidR="00C4518D">
        <w:t>es</w:t>
      </w:r>
      <w:r w:rsidRPr="005C02EF">
        <w:t xml:space="preserve"> en fonction de</w:t>
      </w:r>
      <w:r w:rsidR="00050FC0">
        <w:t xml:space="preserve"> la langue parlée et une mère,</w:t>
      </w:r>
      <w:r w:rsidRPr="005C02EF">
        <w:t xml:space="preserve"> sa fille ainsi qu</w:t>
      </w:r>
      <w:r w:rsidR="00C4518D">
        <w:t>’elle-même</w:t>
      </w:r>
      <w:r w:rsidRPr="005C02EF">
        <w:t xml:space="preserve"> ont </w:t>
      </w:r>
      <w:r>
        <w:t xml:space="preserve">été </w:t>
      </w:r>
      <w:r w:rsidRPr="005C02EF">
        <w:t>violées</w:t>
      </w:r>
      <w:r w:rsidRPr="007F1170">
        <w:rPr>
          <w:rStyle w:val="FootnoteReference"/>
        </w:rPr>
        <w:footnoteReference w:id="721"/>
      </w:r>
      <w:r w:rsidRPr="005C02EF">
        <w:t xml:space="preserve">. </w:t>
      </w:r>
    </w:p>
    <w:p w14:paraId="178C36AC" w14:textId="2532A6AE" w:rsidR="00E9574D" w:rsidRPr="005C02EF" w:rsidRDefault="00E9574D" w:rsidP="0060764C">
      <w:pPr>
        <w:pStyle w:val="BodyText"/>
        <w:tabs>
          <w:tab w:val="left" w:pos="1559"/>
          <w:tab w:val="left" w:pos="1984"/>
          <w:tab w:val="left" w:leader="dot" w:pos="7654"/>
          <w:tab w:val="right" w:pos="8929"/>
        </w:tabs>
        <w:spacing w:line="240" w:lineRule="atLeast"/>
        <w:ind w:left="1138" w:right="1138" w:firstLine="0"/>
        <w:rPr>
          <w:lang w:eastAsia="fr-FR"/>
        </w:rPr>
      </w:pPr>
      <w:r w:rsidRPr="005C02EF">
        <w:t xml:space="preserve">Par ailleurs, l’EEI a </w:t>
      </w:r>
      <w:r>
        <w:t>aussi</w:t>
      </w:r>
      <w:r w:rsidRPr="005C02EF">
        <w:t xml:space="preserve"> </w:t>
      </w:r>
      <w:r>
        <w:t xml:space="preserve">reçu </w:t>
      </w:r>
      <w:r w:rsidRPr="005C02EF">
        <w:t xml:space="preserve">des éléments de preuve concordants concernant des exactions commises par des membres de la communauté </w:t>
      </w:r>
      <w:r w:rsidR="00366883">
        <w:t>p</w:t>
      </w:r>
      <w:r w:rsidRPr="005C02EF">
        <w:t>ende, organisé</w:t>
      </w:r>
      <w:r>
        <w:t>s en un groupe</w:t>
      </w:r>
      <w:r w:rsidRPr="005C02EF">
        <w:t xml:space="preserve"> nommé Ecurie Mbe Mbe</w:t>
      </w:r>
      <w:r>
        <w:t>,</w:t>
      </w:r>
      <w:r w:rsidRPr="005C02EF">
        <w:t xml:space="preserve"> contre les lubaphones</w:t>
      </w:r>
      <w:r>
        <w:t xml:space="preserve">, </w:t>
      </w:r>
      <w:r w:rsidRPr="005C02EF">
        <w:t xml:space="preserve">au nord de Tshikapa le long de la rivière Kasaï, </w:t>
      </w:r>
      <w:r>
        <w:t xml:space="preserve">en </w:t>
      </w:r>
      <w:r w:rsidRPr="005C02EF">
        <w:t xml:space="preserve">avril et mai 2017. </w:t>
      </w:r>
      <w:r>
        <w:t>Mi</w:t>
      </w:r>
      <w:r w:rsidRPr="005C02EF">
        <w:t xml:space="preserve">-avril 2017, dans le village </w:t>
      </w:r>
      <w:r>
        <w:t xml:space="preserve">à majorité </w:t>
      </w:r>
      <w:r w:rsidR="00DF202E">
        <w:t>p</w:t>
      </w:r>
      <w:r>
        <w:t>ende de Kavundi, des habitants</w:t>
      </w:r>
      <w:r w:rsidRPr="005C02EF">
        <w:t xml:space="preserve"> </w:t>
      </w:r>
      <w:r w:rsidR="00DF202E">
        <w:t>p</w:t>
      </w:r>
      <w:r w:rsidRPr="005C02EF">
        <w:t>ende</w:t>
      </w:r>
      <w:r w:rsidR="00DF202E">
        <w:t>s</w:t>
      </w:r>
      <w:r w:rsidRPr="005C02EF">
        <w:t xml:space="preserve"> ont chassé les Luba</w:t>
      </w:r>
      <w:r w:rsidR="00051090">
        <w:t>s</w:t>
      </w:r>
      <w:r w:rsidRPr="005C02EF">
        <w:t xml:space="preserve"> </w:t>
      </w:r>
      <w:r>
        <w:t>du village</w:t>
      </w:r>
      <w:r w:rsidRPr="005C02EF">
        <w:t xml:space="preserve"> ou les ont </w:t>
      </w:r>
      <w:r>
        <w:t>conduit</w:t>
      </w:r>
      <w:r w:rsidR="00EC5C9A">
        <w:t>s</w:t>
      </w:r>
      <w:r>
        <w:t xml:space="preserve"> </w:t>
      </w:r>
      <w:r w:rsidRPr="005C02EF">
        <w:t xml:space="preserve">à quitter </w:t>
      </w:r>
      <w:r>
        <w:t>le village</w:t>
      </w:r>
      <w:r w:rsidRPr="005C02EF">
        <w:t xml:space="preserve"> en raison de</w:t>
      </w:r>
      <w:r>
        <w:t xml:space="preserve"> l’arrivée massive d’individus de l’ethnie</w:t>
      </w:r>
      <w:r w:rsidRPr="005C02EF">
        <w:t xml:space="preserve"> </w:t>
      </w:r>
      <w:r w:rsidR="00DF202E">
        <w:t>p</w:t>
      </w:r>
      <w:r w:rsidRPr="005C02EF">
        <w:t>ende venant de villages avoisinants</w:t>
      </w:r>
      <w:r w:rsidRPr="007F1170">
        <w:rPr>
          <w:rStyle w:val="FootnoteReference"/>
        </w:rPr>
        <w:footnoteReference w:id="722"/>
      </w:r>
      <w:r w:rsidRPr="005C02EF">
        <w:t>. De nombreux Luba</w:t>
      </w:r>
      <w:r w:rsidR="00051090">
        <w:t>s</w:t>
      </w:r>
      <w:r w:rsidRPr="005C02EF">
        <w:t xml:space="preserve"> ont alors traversé la rivière Kasaï et certains se sont installés dans la ferme de Malanga</w:t>
      </w:r>
      <w:r>
        <w:t xml:space="preserve"> et celle voisine de Kavundi</w:t>
      </w:r>
      <w:r w:rsidRPr="005C02EF">
        <w:t>. Mi-mai 2017, une cinquantaine de Pende</w:t>
      </w:r>
      <w:r w:rsidR="00DF202E">
        <w:t>s</w:t>
      </w:r>
      <w:r>
        <w:t>, organisés</w:t>
      </w:r>
      <w:r w:rsidRPr="005C02EF">
        <w:t xml:space="preserve"> </w:t>
      </w:r>
      <w:r>
        <w:t>en un groupe</w:t>
      </w:r>
      <w:r w:rsidRPr="005C02EF">
        <w:t xml:space="preserve"> nommé Ecurie Mbe Mbe</w:t>
      </w:r>
      <w:r>
        <w:t>,</w:t>
      </w:r>
      <w:r w:rsidRPr="005C02EF">
        <w:t xml:space="preserve"> ont attaqué </w:t>
      </w:r>
      <w:r>
        <w:t>les deux fermes</w:t>
      </w:r>
      <w:r w:rsidRPr="005C02EF">
        <w:t xml:space="preserve">, armés de fusils de </w:t>
      </w:r>
      <w:r>
        <w:t>chasse</w:t>
      </w:r>
      <w:r w:rsidRPr="005C02EF">
        <w:t xml:space="preserve"> et de machettes</w:t>
      </w:r>
      <w:r w:rsidRPr="007F1170">
        <w:rPr>
          <w:rStyle w:val="FootnoteReference"/>
        </w:rPr>
        <w:footnoteReference w:id="723"/>
      </w:r>
      <w:r w:rsidRPr="005C02EF">
        <w:t xml:space="preserve">. </w:t>
      </w:r>
      <w:r>
        <w:t>Lors</w:t>
      </w:r>
      <w:r w:rsidRPr="005C02EF">
        <w:t xml:space="preserve"> de cette attaque, les assaillants criaient « nous sommes venus pour tuer les Luba »</w:t>
      </w:r>
      <w:r w:rsidRPr="007F1170">
        <w:rPr>
          <w:rStyle w:val="FootnoteReference"/>
        </w:rPr>
        <w:footnoteReference w:id="724"/>
      </w:r>
      <w:r w:rsidRPr="005C02EF">
        <w:t xml:space="preserve">. Une </w:t>
      </w:r>
      <w:r w:rsidR="00CF4D06">
        <w:t>femme</w:t>
      </w:r>
      <w:r w:rsidRPr="005C02EF">
        <w:t xml:space="preserve"> raconte que les assaillants ont voulu lui couper la tête, blessant à la tempe l’enfant qu’elle portait dans ses bras</w:t>
      </w:r>
      <w:r w:rsidRPr="007F1170">
        <w:rPr>
          <w:rStyle w:val="FootnoteReference"/>
        </w:rPr>
        <w:footnoteReference w:id="725"/>
      </w:r>
      <w:r w:rsidRPr="005C02EF">
        <w:t>. Entre quatre et six personnes ont été tué</w:t>
      </w:r>
      <w:r w:rsidR="00CF4D06">
        <w:t>e</w:t>
      </w:r>
      <w:r w:rsidRPr="005C02EF">
        <w:t>s et une autre blessée lors de cette attaque</w:t>
      </w:r>
      <w:r>
        <w:t>,</w:t>
      </w:r>
      <w:r w:rsidRPr="005C02EF">
        <w:t xml:space="preserve"> dont des femmes et un garçon de 15 ans. Un enfant de cinq ans a également été enlevé</w:t>
      </w:r>
      <w:r w:rsidRPr="007F1170">
        <w:rPr>
          <w:rStyle w:val="FootnoteReference"/>
        </w:rPr>
        <w:footnoteReference w:id="726"/>
      </w:r>
      <w:r w:rsidRPr="005C02EF">
        <w:t xml:space="preserve">. </w:t>
      </w:r>
      <w:r>
        <w:t>Lors de cette attaque, u</w:t>
      </w:r>
      <w:r w:rsidRPr="005C02EF">
        <w:t>ne femme blessée à la cuisse à coup</w:t>
      </w:r>
      <w:r w:rsidR="00CF4D06">
        <w:t>s</w:t>
      </w:r>
      <w:r w:rsidRPr="005C02EF">
        <w:t xml:space="preserve"> de machette a assisté à la mise à mort </w:t>
      </w:r>
      <w:r w:rsidR="00CF4D06">
        <w:t xml:space="preserve">à la </w:t>
      </w:r>
      <w:r w:rsidRPr="005C02EF">
        <w:t>machette de sa fille de 25 ans, de s</w:t>
      </w:r>
      <w:r w:rsidR="00CF4D06">
        <w:t>es</w:t>
      </w:r>
      <w:r w:rsidRPr="005C02EF">
        <w:t xml:space="preserve"> fils de 16 </w:t>
      </w:r>
      <w:r w:rsidR="00CF4D06">
        <w:t>et 27 ans et de</w:t>
      </w:r>
      <w:r w:rsidRPr="005C02EF">
        <w:t xml:space="preserve"> son mari</w:t>
      </w:r>
      <w:r w:rsidRPr="007F1170">
        <w:rPr>
          <w:rStyle w:val="FootnoteReference"/>
        </w:rPr>
        <w:footnoteReference w:id="727"/>
      </w:r>
      <w:r w:rsidRPr="005C02EF">
        <w:t xml:space="preserve">. </w:t>
      </w:r>
      <w:r>
        <w:t>De manière similaire, u</w:t>
      </w:r>
      <w:r w:rsidRPr="005C02EF">
        <w:t>n témoin raconte que le 20 avril 2017 à la ferme de Kas</w:t>
      </w:r>
      <w:r w:rsidR="00050FC0">
        <w:t>e</w:t>
      </w:r>
      <w:r w:rsidRPr="005C02EF">
        <w:t>l</w:t>
      </w:r>
      <w:r w:rsidR="00050FC0">
        <w:t>e</w:t>
      </w:r>
      <w:r w:rsidRPr="005C02EF">
        <w:t xml:space="preserve">, des Pendes sont arrivés et ont incendiés les maisons et les commerces des </w:t>
      </w:r>
      <w:r>
        <w:t>lubaphones. Les l</w:t>
      </w:r>
      <w:r w:rsidRPr="005C02EF">
        <w:t>ubaphones se sont alors enfuit vers le village de Kavundi où ils sont tombés sur</w:t>
      </w:r>
      <w:r w:rsidR="00CF4D06">
        <w:t xml:space="preserve"> des</w:t>
      </w:r>
      <w:r w:rsidRPr="005C02EF">
        <w:t xml:space="preserve"> Pende</w:t>
      </w:r>
      <w:r w:rsidR="00DF202E">
        <w:t>s</w:t>
      </w:r>
      <w:r w:rsidRPr="005C02EF">
        <w:t xml:space="preserve"> </w:t>
      </w:r>
      <w:r>
        <w:t>organisés</w:t>
      </w:r>
      <w:r w:rsidRPr="005C02EF">
        <w:t xml:space="preserve"> </w:t>
      </w:r>
      <w:r>
        <w:t>en un groupe</w:t>
      </w:r>
      <w:r w:rsidRPr="005C02EF">
        <w:t xml:space="preserve"> nom</w:t>
      </w:r>
      <w:r w:rsidRPr="005C02EF">
        <w:rPr>
          <w:lang w:eastAsia="fr-FR"/>
        </w:rPr>
        <w:t>mé Ecurie Mbe Mbe</w:t>
      </w:r>
      <w:r>
        <w:rPr>
          <w:lang w:eastAsia="fr-FR"/>
        </w:rPr>
        <w:t>,</w:t>
      </w:r>
      <w:r w:rsidRPr="005C02EF">
        <w:rPr>
          <w:lang w:eastAsia="fr-FR"/>
        </w:rPr>
        <w:t xml:space="preserve"> qui </w:t>
      </w:r>
      <w:r>
        <w:rPr>
          <w:lang w:eastAsia="fr-FR"/>
        </w:rPr>
        <w:t xml:space="preserve">les ont </w:t>
      </w:r>
      <w:r w:rsidR="00CF4D06">
        <w:rPr>
          <w:lang w:eastAsia="fr-FR"/>
        </w:rPr>
        <w:t>volés</w:t>
      </w:r>
      <w:r w:rsidRPr="005C02EF">
        <w:rPr>
          <w:lang w:eastAsia="fr-FR"/>
        </w:rPr>
        <w:t>. Plus loin</w:t>
      </w:r>
      <w:r>
        <w:rPr>
          <w:lang w:eastAsia="fr-FR"/>
        </w:rPr>
        <w:t>,</w:t>
      </w:r>
      <w:r w:rsidRPr="005C02EF">
        <w:rPr>
          <w:lang w:eastAsia="fr-FR"/>
        </w:rPr>
        <w:t xml:space="preserve"> dans la localité de Kalende</w:t>
      </w:r>
      <w:r>
        <w:rPr>
          <w:lang w:eastAsia="fr-FR"/>
        </w:rPr>
        <w:t>,</w:t>
      </w:r>
      <w:r w:rsidRPr="005C02EF">
        <w:rPr>
          <w:lang w:eastAsia="fr-FR"/>
        </w:rPr>
        <w:t xml:space="preserve"> des membres de l’Ecurie Mbe Mbe ont décapité quatre hommes </w:t>
      </w:r>
      <w:r w:rsidR="009F1B3A">
        <w:rPr>
          <w:lang w:eastAsia="fr-FR"/>
        </w:rPr>
        <w:t>Lubas</w:t>
      </w:r>
      <w:r w:rsidRPr="007F1170">
        <w:rPr>
          <w:rStyle w:val="FootnoteReference"/>
        </w:rPr>
        <w:footnoteReference w:id="728"/>
      </w:r>
      <w:r w:rsidRPr="00AB6027">
        <w:rPr>
          <w:color w:val="676767"/>
        </w:rPr>
        <w:t>.</w:t>
      </w:r>
      <w:r w:rsidRPr="003328F6">
        <w:rPr>
          <w:lang w:eastAsia="fr-FR"/>
        </w:rPr>
        <w:t xml:space="preserve"> </w:t>
      </w:r>
    </w:p>
    <w:p w14:paraId="5C0DA72D" w14:textId="77777777" w:rsidR="0093751D" w:rsidRDefault="0093751D" w:rsidP="00BC668B">
      <w:pPr>
        <w:pStyle w:val="Heading1"/>
        <w:spacing w:before="360" w:after="240" w:line="300" w:lineRule="exact"/>
        <w:ind w:left="1124" w:right="1138" w:hanging="273"/>
        <w:rPr>
          <w:b w:val="0"/>
        </w:rPr>
      </w:pPr>
      <w:bookmarkStart w:id="49" w:name="_Toc518027531"/>
      <w:bookmarkStart w:id="50" w:name="_Toc513980390"/>
      <w:r>
        <w:t>Droit applicable</w:t>
      </w:r>
      <w:bookmarkEnd w:id="49"/>
    </w:p>
    <w:p w14:paraId="12D353E6" w14:textId="77777777" w:rsidR="0093751D" w:rsidRPr="00054A61" w:rsidRDefault="0093751D" w:rsidP="0060764C">
      <w:pPr>
        <w:pStyle w:val="BodyText"/>
        <w:tabs>
          <w:tab w:val="left" w:pos="1559"/>
          <w:tab w:val="left" w:pos="1984"/>
          <w:tab w:val="left" w:leader="dot" w:pos="7654"/>
          <w:tab w:val="right" w:pos="8929"/>
        </w:tabs>
        <w:spacing w:line="240" w:lineRule="atLeast"/>
        <w:ind w:left="1138" w:right="1138" w:firstLine="0"/>
      </w:pPr>
      <w:r w:rsidRPr="00054A61">
        <w:t>En matière de droits de l’homme,</w:t>
      </w:r>
      <w:r>
        <w:t xml:space="preserve"> la RDC est notamment partie à :</w:t>
      </w:r>
      <w:r w:rsidRPr="00054A61">
        <w:t xml:space="preserve"> la Convention internationale sur l’élimination de toutes les fo</w:t>
      </w:r>
      <w:r>
        <w:t>rmes de discrimination raciale ;</w:t>
      </w:r>
      <w:r w:rsidRPr="00054A61">
        <w:t xml:space="preserve"> au Pacte international relatif aux droits civils et politiques et le Premier protocole facultat</w:t>
      </w:r>
      <w:r>
        <w:t>if s’y rapportant ;</w:t>
      </w:r>
      <w:r w:rsidRPr="00054A61">
        <w:t xml:space="preserve"> au Pacte international relatif aux droits éco</w:t>
      </w:r>
      <w:r>
        <w:t>nomiques, sociaux et culturels ;</w:t>
      </w:r>
      <w:r w:rsidRPr="00054A61">
        <w:t xml:space="preserve"> à la Convention sur l'élimination de toutes les formes de discr</w:t>
      </w:r>
      <w:r>
        <w:t>imination à l'égard des femmes ;</w:t>
      </w:r>
      <w:r w:rsidRPr="00054A61">
        <w:t xml:space="preserve"> à la Convention contre la torture et autres peines ou traitements cruels, inhumains ou dégradants et le Proto</w:t>
      </w:r>
      <w:r>
        <w:t>cole facultatif s’y rapportant ;</w:t>
      </w:r>
      <w:r w:rsidRPr="00054A61">
        <w:t xml:space="preserve"> et à la Convention relative aux droits de l’enfant et ses deux premiers Protocoles facultatifs. Elle est également partie à la Charte africaine des droits de l’homme et des peuples et à son Protocole relatif aux droits des femmes, ainsi qu’au Pacte sur la sécurité, la stabilité et le développement dans la Région des Grands Lacs et ses divers Protocoles.</w:t>
      </w:r>
      <w:r w:rsidRPr="007F1170">
        <w:rPr>
          <w:rStyle w:val="FootnoteReference"/>
        </w:rPr>
        <w:footnoteReference w:id="729"/>
      </w:r>
    </w:p>
    <w:p w14:paraId="50465D45" w14:textId="1886CD16" w:rsidR="0093751D" w:rsidRDefault="0093751D" w:rsidP="0060764C">
      <w:pPr>
        <w:pStyle w:val="BodyText"/>
        <w:tabs>
          <w:tab w:val="left" w:pos="1559"/>
          <w:tab w:val="left" w:pos="1984"/>
          <w:tab w:val="left" w:leader="dot" w:pos="7654"/>
          <w:tab w:val="right" w:pos="8929"/>
        </w:tabs>
        <w:spacing w:line="240" w:lineRule="atLeast"/>
        <w:ind w:left="1138" w:right="1138" w:firstLine="0"/>
      </w:pPr>
      <w:r w:rsidRPr="00054A61">
        <w:t>La RDC est partie aux quatre Conventions de Genève de 1949 et à ses deux Protocoles additionnels de 1977, ainsi qu’au Statut de Rome de la Cour pénale internationale</w:t>
      </w:r>
      <w:r w:rsidR="00C720FB">
        <w:t xml:space="preserve"> (CPI)</w:t>
      </w:r>
      <w:r w:rsidRPr="00054A61">
        <w:t xml:space="preserve"> dont elle a récemment incorporé les définitions </w:t>
      </w:r>
      <w:r>
        <w:t xml:space="preserve">et les éléments </w:t>
      </w:r>
      <w:r w:rsidRPr="00054A61">
        <w:t>des crimes internationaux dans son code pénal</w:t>
      </w:r>
      <w:r w:rsidRPr="007F1170">
        <w:rPr>
          <w:rStyle w:val="FootnoteReference"/>
        </w:rPr>
        <w:footnoteReference w:id="730"/>
      </w:r>
      <w:r w:rsidRPr="00054A61">
        <w:t>.</w:t>
      </w:r>
    </w:p>
    <w:p w14:paraId="3674FB2E" w14:textId="45EC8DE6" w:rsidR="0093751D" w:rsidRPr="008708D5" w:rsidRDefault="0093751D" w:rsidP="00BC668B">
      <w:pPr>
        <w:pStyle w:val="Heading1"/>
        <w:spacing w:before="360" w:after="240" w:line="300" w:lineRule="exact"/>
        <w:ind w:left="1124" w:right="1138" w:hanging="273"/>
        <w:rPr>
          <w:b w:val="0"/>
        </w:rPr>
      </w:pPr>
      <w:bookmarkStart w:id="51" w:name="_Toc518027532"/>
      <w:r w:rsidRPr="008708D5">
        <w:t>Qualification juridique</w:t>
      </w:r>
      <w:bookmarkEnd w:id="50"/>
      <w:bookmarkEnd w:id="51"/>
    </w:p>
    <w:p w14:paraId="40D4E8C1" w14:textId="7CEC3C14" w:rsidR="0093751D" w:rsidRDefault="0093751D" w:rsidP="0060764C">
      <w:pPr>
        <w:pStyle w:val="BodyText"/>
        <w:tabs>
          <w:tab w:val="left" w:pos="1559"/>
          <w:tab w:val="left" w:pos="1984"/>
          <w:tab w:val="left" w:leader="dot" w:pos="7654"/>
          <w:tab w:val="right" w:pos="8929"/>
        </w:tabs>
        <w:spacing w:line="240" w:lineRule="atLeast"/>
        <w:ind w:left="1138" w:right="1138" w:firstLine="0"/>
      </w:pPr>
      <w:r>
        <w:t>Les actes de violence décrit</w:t>
      </w:r>
      <w:r w:rsidR="00434C80">
        <w:t>s</w:t>
      </w:r>
      <w:r>
        <w:t xml:space="preserve"> précédemment dans ce rapport constituent des violations des droits de l’homme et du droit international humanitaire qui peuvent être qualifiés de crimes internationaux.</w:t>
      </w:r>
    </w:p>
    <w:p w14:paraId="42F2142C" w14:textId="754E3EF5" w:rsidR="0093751D" w:rsidRPr="00FE5E8D" w:rsidRDefault="0093751D" w:rsidP="00BC668B">
      <w:pPr>
        <w:pStyle w:val="Heading2"/>
        <w:spacing w:before="360" w:line="270" w:lineRule="exact"/>
        <w:ind w:left="1138" w:right="1138" w:hanging="571"/>
        <w:rPr>
          <w:b w:val="0"/>
          <w:sz w:val="24"/>
          <w:szCs w:val="24"/>
        </w:rPr>
      </w:pPr>
      <w:bookmarkStart w:id="52" w:name="_Toc513980391"/>
      <w:bookmarkStart w:id="53" w:name="_Toc518027533"/>
      <w:r w:rsidRPr="00FE5E8D">
        <w:rPr>
          <w:sz w:val="24"/>
          <w:szCs w:val="24"/>
        </w:rPr>
        <w:t xml:space="preserve">Crimes contre </w:t>
      </w:r>
      <w:r w:rsidRPr="0060764C">
        <w:rPr>
          <w:sz w:val="24"/>
          <w:szCs w:val="24"/>
          <w:lang w:val="fr-FR"/>
        </w:rPr>
        <w:t>l’humanité</w:t>
      </w:r>
      <w:bookmarkEnd w:id="52"/>
      <w:bookmarkEnd w:id="53"/>
    </w:p>
    <w:p w14:paraId="5BFCB094" w14:textId="77777777" w:rsidR="0093751D" w:rsidRDefault="0093751D" w:rsidP="0060764C">
      <w:pPr>
        <w:pStyle w:val="BodyText"/>
        <w:tabs>
          <w:tab w:val="left" w:pos="1559"/>
          <w:tab w:val="left" w:pos="1984"/>
          <w:tab w:val="left" w:leader="dot" w:pos="7654"/>
          <w:tab w:val="right" w:pos="8929"/>
        </w:tabs>
        <w:spacing w:line="240" w:lineRule="atLeast"/>
        <w:ind w:left="1138" w:right="1138" w:firstLine="0"/>
      </w:pPr>
      <w:r w:rsidRPr="00A159E7">
        <w:rPr>
          <w:lang w:val="fr-CH"/>
        </w:rPr>
        <w:t xml:space="preserve">L’article 7(1) du Statut de Rome et l’article 222 du Code pénal de la RDC définissent les crimes contre l’humanité comme l’un quelconque des actes énoncés dans ces articles </w:t>
      </w:r>
      <w:r w:rsidRPr="00A159E7">
        <w:t xml:space="preserve">lorsqu’il est commis dans le cadre d’une attaque généralisée ou systématique lancée contre toute population civile et en </w:t>
      </w:r>
      <w:r>
        <w:t>connaissance de cette attaque.</w:t>
      </w:r>
    </w:p>
    <w:p w14:paraId="080EFA61" w14:textId="77777777" w:rsidR="0093751D" w:rsidRPr="009B3355" w:rsidRDefault="0093751D" w:rsidP="0060764C">
      <w:pPr>
        <w:pStyle w:val="BodyText"/>
        <w:tabs>
          <w:tab w:val="left" w:pos="1559"/>
          <w:tab w:val="left" w:pos="1984"/>
          <w:tab w:val="left" w:leader="dot" w:pos="7654"/>
          <w:tab w:val="right" w:pos="8929"/>
        </w:tabs>
        <w:spacing w:line="240" w:lineRule="atLeast"/>
        <w:ind w:left="1138" w:right="1138" w:firstLine="0"/>
        <w:rPr>
          <w:lang w:val="fr-CH"/>
        </w:rPr>
      </w:pPr>
      <w:r>
        <w:rPr>
          <w:lang w:val="fr-CH"/>
        </w:rPr>
        <w:t>Cinq éléments</w:t>
      </w:r>
      <w:r w:rsidRPr="00193916">
        <w:rPr>
          <w:lang w:val="fr-CH"/>
        </w:rPr>
        <w:t xml:space="preserve"> contextuels doivent être réunis pour qu’il y ait un crime </w:t>
      </w:r>
      <w:r>
        <w:rPr>
          <w:lang w:val="fr-CH"/>
        </w:rPr>
        <w:t>contre l’humanité</w:t>
      </w:r>
      <w:r w:rsidRPr="00193916">
        <w:rPr>
          <w:lang w:val="fr-CH"/>
        </w:rPr>
        <w:t>, à savoir : (i)</w:t>
      </w:r>
      <w:r>
        <w:rPr>
          <w:lang w:val="fr-CH"/>
        </w:rPr>
        <w:t xml:space="preserve"> l’acte de violence doit être commis dans le cadre </w:t>
      </w:r>
      <w:r w:rsidRPr="00193916">
        <w:rPr>
          <w:lang w:val="fr-CH"/>
        </w:rPr>
        <w:t>d’un</w:t>
      </w:r>
      <w:r>
        <w:rPr>
          <w:lang w:val="fr-CH"/>
        </w:rPr>
        <w:t>e attaque</w:t>
      </w:r>
      <w:r w:rsidRPr="00193916">
        <w:rPr>
          <w:lang w:val="fr-CH"/>
        </w:rPr>
        <w:t> ; (i</w:t>
      </w:r>
      <w:r>
        <w:rPr>
          <w:lang w:val="fr-CH"/>
        </w:rPr>
        <w:t>i</w:t>
      </w:r>
      <w:r w:rsidRPr="00193916">
        <w:rPr>
          <w:lang w:val="fr-CH"/>
        </w:rPr>
        <w:t xml:space="preserve">) </w:t>
      </w:r>
      <w:r>
        <w:rPr>
          <w:lang w:val="fr-CH"/>
        </w:rPr>
        <w:t xml:space="preserve">l’attaque doit avoir un caractère généralisé ou systématique ; (iii) </w:t>
      </w:r>
      <w:r w:rsidRPr="0060764C">
        <w:t>l’attaque</w:t>
      </w:r>
      <w:r>
        <w:rPr>
          <w:lang w:val="fr-CH"/>
        </w:rPr>
        <w:t xml:space="preserve"> doit être dirigée contre toute population civile ; </w:t>
      </w:r>
      <w:r w:rsidRPr="00193916">
        <w:rPr>
          <w:lang w:val="fr-CH"/>
        </w:rPr>
        <w:t>(i</w:t>
      </w:r>
      <w:r>
        <w:rPr>
          <w:lang w:val="fr-CH"/>
        </w:rPr>
        <w:t>v</w:t>
      </w:r>
      <w:r w:rsidRPr="00193916">
        <w:rPr>
          <w:lang w:val="fr-CH"/>
        </w:rPr>
        <w:t xml:space="preserve">) la personne responsable du crime </w:t>
      </w:r>
      <w:r>
        <w:rPr>
          <w:lang w:val="fr-CH"/>
        </w:rPr>
        <w:t>savait que ce comportement faisait partie d’une attaque généralisée ou systématique dirigée contre une population civile ou entendait qu’il en fasse partie ; et (v) l’attaque doit être lancée en application ou dans la poursuite de la politique d’un Etat ou d’une organisation ayant pour but une telle attaque</w:t>
      </w:r>
      <w:r w:rsidRPr="00193916">
        <w:rPr>
          <w:lang w:val="fr-CH"/>
        </w:rPr>
        <w:t>.</w:t>
      </w:r>
    </w:p>
    <w:p w14:paraId="41A82232" w14:textId="77777777" w:rsidR="0093751D" w:rsidRDefault="0093751D" w:rsidP="0060764C">
      <w:pPr>
        <w:pStyle w:val="BodyText"/>
        <w:tabs>
          <w:tab w:val="left" w:pos="1559"/>
          <w:tab w:val="left" w:pos="1984"/>
          <w:tab w:val="left" w:leader="dot" w:pos="7654"/>
          <w:tab w:val="right" w:pos="8929"/>
        </w:tabs>
        <w:spacing w:line="240" w:lineRule="atLeast"/>
        <w:ind w:left="1138" w:right="1138" w:firstLine="0"/>
        <w:rPr>
          <w:lang w:val="fr-CH"/>
        </w:rPr>
      </w:pPr>
      <w:r w:rsidRPr="00CB4649">
        <w:rPr>
          <w:lang w:val="fr-CH"/>
        </w:rPr>
        <w:t>L’article 7(2)(a) du Statut de Rome dé</w:t>
      </w:r>
      <w:r>
        <w:rPr>
          <w:lang w:val="fr-CH"/>
        </w:rPr>
        <w:t>finit « l’</w:t>
      </w:r>
      <w:r w:rsidRPr="00CB4649">
        <w:rPr>
          <w:lang w:val="fr-CH"/>
        </w:rPr>
        <w:t>attaque lancée contre une population civile » comme un comportement qui consiste en la commission multiple d’actes constitutifs de crimes contre l’humanité visés à l’article 7(1) du Statut de Rome à l’encontre d’une population civile quelle qu’elle soit.</w:t>
      </w:r>
      <w:r>
        <w:rPr>
          <w:lang w:val="fr-CH"/>
        </w:rPr>
        <w:t xml:space="preserve"> C</w:t>
      </w:r>
      <w:r w:rsidRPr="00CB4649">
        <w:rPr>
          <w:lang w:val="fr-CH"/>
        </w:rPr>
        <w:t>e n'est pas l’acte qui doit être généralisé ou systématique pour pouvoir constituer</w:t>
      </w:r>
      <w:r>
        <w:rPr>
          <w:lang w:val="fr-CH"/>
        </w:rPr>
        <w:t xml:space="preserve"> un crime contre l'humanité ; c’</w:t>
      </w:r>
      <w:r w:rsidRPr="00CB4649">
        <w:rPr>
          <w:lang w:val="fr-CH"/>
        </w:rPr>
        <w:t>est l'attaque sur la population civile, et le fait que l'auteur direct savait que sa conduite faisait partie ou était destinée à faire partie d'une attaque généralisée ou systématique lancée contre une population civile</w:t>
      </w:r>
      <w:r w:rsidRPr="007F1170">
        <w:rPr>
          <w:rStyle w:val="FootnoteReference"/>
        </w:rPr>
        <w:footnoteReference w:id="731"/>
      </w:r>
      <w:r>
        <w:rPr>
          <w:lang w:val="fr-CH"/>
        </w:rPr>
        <w:t>.</w:t>
      </w:r>
    </w:p>
    <w:p w14:paraId="6A34B286" w14:textId="77777777" w:rsidR="0093751D" w:rsidRPr="00425CF0" w:rsidRDefault="0093751D" w:rsidP="0060764C">
      <w:pPr>
        <w:pStyle w:val="BodyText"/>
        <w:tabs>
          <w:tab w:val="left" w:pos="1559"/>
          <w:tab w:val="left" w:pos="1984"/>
          <w:tab w:val="left" w:leader="dot" w:pos="7654"/>
          <w:tab w:val="right" w:pos="8929"/>
        </w:tabs>
        <w:spacing w:line="240" w:lineRule="atLeast"/>
        <w:ind w:left="1138" w:right="1138" w:firstLine="0"/>
        <w:rPr>
          <w:lang w:val="fr-CH"/>
        </w:rPr>
      </w:pPr>
      <w:r w:rsidRPr="00F05FAA">
        <w:rPr>
          <w:lang w:val="fr-CH"/>
        </w:rPr>
        <w:t>Les critères « généralisée » ou « systématique » ne sont pas cumulatifs</w:t>
      </w:r>
      <w:r w:rsidRPr="007F1170">
        <w:rPr>
          <w:rStyle w:val="FootnoteReference"/>
        </w:rPr>
        <w:footnoteReference w:id="732"/>
      </w:r>
      <w:r w:rsidRPr="00F05FAA">
        <w:rPr>
          <w:lang w:val="fr-CH"/>
        </w:rPr>
        <w:t xml:space="preserve">. L’adjectif « généralisée » renvoie au fait que l’attaque ait été menée à grande échelle et qu’il y ait un certain nombre de victimes, alors que l’adjectif « systématique » se </w:t>
      </w:r>
      <w:r w:rsidRPr="00425CF0">
        <w:rPr>
          <w:lang w:val="fr-CH"/>
        </w:rPr>
        <w:t>réfère au caractère organisé des actes de violence et l’improbabilité que leur caractère soit fortuit</w:t>
      </w:r>
      <w:bookmarkStart w:id="54" w:name="_Ref516325956"/>
      <w:r w:rsidRPr="007F1170">
        <w:rPr>
          <w:rStyle w:val="FootnoteReference"/>
        </w:rPr>
        <w:footnoteReference w:id="733"/>
      </w:r>
      <w:bookmarkEnd w:id="54"/>
      <w:r>
        <w:rPr>
          <w:lang w:val="fr-CH"/>
        </w:rPr>
        <w:t>.</w:t>
      </w:r>
    </w:p>
    <w:p w14:paraId="02B1C122" w14:textId="568DB1E7" w:rsidR="0093751D" w:rsidRPr="00425CF0" w:rsidRDefault="0093751D" w:rsidP="0060764C">
      <w:pPr>
        <w:pStyle w:val="BodyText"/>
        <w:tabs>
          <w:tab w:val="left" w:pos="1559"/>
          <w:tab w:val="left" w:pos="1984"/>
          <w:tab w:val="left" w:leader="dot" w:pos="7654"/>
          <w:tab w:val="right" w:pos="8929"/>
        </w:tabs>
        <w:spacing w:line="240" w:lineRule="atLeast"/>
        <w:ind w:left="1138" w:right="1138" w:firstLine="0"/>
        <w:rPr>
          <w:lang w:val="fr-CH"/>
        </w:rPr>
      </w:pPr>
      <w:r>
        <w:rPr>
          <w:lang w:val="fr-CH"/>
        </w:rPr>
        <w:t>Par ailleurs,</w:t>
      </w:r>
      <w:r w:rsidRPr="00425CF0">
        <w:rPr>
          <w:lang w:val="fr-CH"/>
        </w:rPr>
        <w:t xml:space="preserve"> « [l]a présence au sein de la population civile de personnes isolées ne répondant pas à la définition de personne civile ne prive pas cette population de sa qualité »</w:t>
      </w:r>
      <w:bookmarkStart w:id="55" w:name="_Ref516325643"/>
      <w:r w:rsidRPr="007F1170">
        <w:rPr>
          <w:rStyle w:val="FootnoteReference"/>
        </w:rPr>
        <w:footnoteReference w:id="734"/>
      </w:r>
      <w:bookmarkEnd w:id="55"/>
      <w:r w:rsidRPr="00425CF0">
        <w:rPr>
          <w:lang w:val="fr-CH"/>
        </w:rPr>
        <w:t xml:space="preserve">. </w:t>
      </w:r>
      <w:r>
        <w:rPr>
          <w:lang w:val="fr-CH"/>
        </w:rPr>
        <w:t>En effet,</w:t>
      </w:r>
      <w:r w:rsidRPr="00425CF0">
        <w:rPr>
          <w:lang w:val="fr-CH"/>
        </w:rPr>
        <w:t xml:space="preserve"> « rien n’exige que les victimes des crimes sous-jacents soient des "civils" »</w:t>
      </w:r>
      <w:bookmarkStart w:id="56" w:name="_Ref516326389"/>
      <w:r w:rsidRPr="007F1170">
        <w:rPr>
          <w:rStyle w:val="FootnoteReference"/>
        </w:rPr>
        <w:footnoteReference w:id="735"/>
      </w:r>
      <w:bookmarkEnd w:id="56"/>
      <w:r w:rsidRPr="00425CF0">
        <w:rPr>
          <w:lang w:val="fr-CH"/>
        </w:rPr>
        <w:t>.</w:t>
      </w:r>
      <w:r>
        <w:rPr>
          <w:lang w:val="fr-CH"/>
        </w:rPr>
        <w:t xml:space="preserve"> En d’autre</w:t>
      </w:r>
      <w:r w:rsidR="00EC5C9A">
        <w:rPr>
          <w:lang w:val="fr-CH"/>
        </w:rPr>
        <w:t>s</w:t>
      </w:r>
      <w:r>
        <w:rPr>
          <w:lang w:val="fr-CH"/>
        </w:rPr>
        <w:t xml:space="preserve"> termes, c</w:t>
      </w:r>
      <w:r w:rsidRPr="00425CF0">
        <w:rPr>
          <w:lang w:val="fr-CH"/>
        </w:rPr>
        <w:t>e n’est pas un élément constitutif</w:t>
      </w:r>
      <w:r>
        <w:rPr>
          <w:lang w:val="fr-CH"/>
        </w:rPr>
        <w:t xml:space="preserve"> de ces</w:t>
      </w:r>
      <w:r w:rsidRPr="00425CF0">
        <w:rPr>
          <w:lang w:val="fr-CH"/>
        </w:rPr>
        <w:t xml:space="preserve"> crimes</w:t>
      </w:r>
      <w:r>
        <w:rPr>
          <w:lang w:val="fr-CH"/>
        </w:rPr>
        <w:t>.</w:t>
      </w:r>
    </w:p>
    <w:p w14:paraId="784AF1E4" w14:textId="77777777" w:rsidR="0093751D" w:rsidRDefault="0093751D" w:rsidP="0060764C">
      <w:pPr>
        <w:pStyle w:val="BodyText"/>
        <w:tabs>
          <w:tab w:val="left" w:pos="1559"/>
          <w:tab w:val="left" w:pos="1984"/>
          <w:tab w:val="left" w:leader="dot" w:pos="7654"/>
          <w:tab w:val="right" w:pos="8929"/>
        </w:tabs>
        <w:spacing w:line="240" w:lineRule="atLeast"/>
        <w:ind w:left="1138" w:right="1138" w:firstLine="0"/>
        <w:rPr>
          <w:lang w:val="fr-CH"/>
        </w:rPr>
      </w:pPr>
      <w:r w:rsidRPr="00425CF0">
        <w:rPr>
          <w:lang w:val="fr-CH"/>
        </w:rPr>
        <w:t>L’élément que l’auteur a agi en connaissance de cette attaque</w:t>
      </w:r>
      <w:r w:rsidRPr="000D5040">
        <w:rPr>
          <w:lang w:val="fr-CH"/>
        </w:rPr>
        <w:t xml:space="preserve"> ne doit pas être interprété comme exigeant que l’auteur avait connaissance de toutes les caractéristiques de l’attaque</w:t>
      </w:r>
      <w:r w:rsidRPr="007F1170">
        <w:rPr>
          <w:rStyle w:val="FootnoteReference"/>
        </w:rPr>
        <w:footnoteReference w:id="736"/>
      </w:r>
      <w:r w:rsidRPr="000D5040">
        <w:rPr>
          <w:lang w:val="fr-CH"/>
        </w:rPr>
        <w:t>. Il est suffisant que l’a</w:t>
      </w:r>
      <w:r>
        <w:rPr>
          <w:lang w:val="fr-CH"/>
        </w:rPr>
        <w:t>uteur</w:t>
      </w:r>
      <w:r w:rsidRPr="000D5040">
        <w:rPr>
          <w:lang w:val="fr-CH"/>
        </w:rPr>
        <w:t xml:space="preserve"> sache que la population civile fait l’objet d’une attaque et que ses actes s’inscrivent dans le cadre de celle</w:t>
      </w:r>
      <w:r w:rsidRPr="000D5040">
        <w:rPr>
          <w:lang w:val="fr-CH"/>
        </w:rPr>
        <w:noBreakHyphen/>
        <w:t>ci</w:t>
      </w:r>
      <w:r w:rsidRPr="007F1170">
        <w:rPr>
          <w:rStyle w:val="FootnoteReference"/>
        </w:rPr>
        <w:footnoteReference w:id="737"/>
      </w:r>
      <w:r w:rsidRPr="000D5040">
        <w:rPr>
          <w:lang w:val="fr-CH"/>
        </w:rPr>
        <w:t>.</w:t>
      </w:r>
    </w:p>
    <w:p w14:paraId="6E2EAF0A" w14:textId="1DACE15E" w:rsidR="0093751D" w:rsidRPr="0011051D" w:rsidRDefault="0093751D" w:rsidP="0060764C">
      <w:pPr>
        <w:pStyle w:val="BodyText"/>
        <w:tabs>
          <w:tab w:val="left" w:pos="1559"/>
          <w:tab w:val="left" w:pos="1984"/>
          <w:tab w:val="left" w:leader="dot" w:pos="7654"/>
          <w:tab w:val="right" w:pos="8929"/>
        </w:tabs>
        <w:spacing w:line="240" w:lineRule="atLeast"/>
        <w:ind w:left="1138" w:right="1138" w:firstLine="0"/>
        <w:rPr>
          <w:lang w:val="fr-CH"/>
        </w:rPr>
      </w:pPr>
      <w:r>
        <w:rPr>
          <w:lang w:val="fr-CH"/>
        </w:rPr>
        <w:t xml:space="preserve">Finalement, l’article 7(2)(a) du Statut de Rome exige </w:t>
      </w:r>
      <w:r w:rsidRPr="000D5040">
        <w:rPr>
          <w:lang w:val="fr-CH"/>
        </w:rPr>
        <w:t xml:space="preserve">que l'attaque ait été commise « en application ou dans la poursuite de la politique d’un État ou d’une organisation ayant pour but une telle attaque ». </w:t>
      </w:r>
      <w:r>
        <w:rPr>
          <w:lang w:val="fr-CH"/>
        </w:rPr>
        <w:t>P</w:t>
      </w:r>
      <w:r w:rsidRPr="000D5040">
        <w:rPr>
          <w:lang w:val="fr-CH"/>
        </w:rPr>
        <w:t>our qu</w:t>
      </w:r>
      <w:r>
        <w:rPr>
          <w:lang w:val="fr-CH"/>
        </w:rPr>
        <w:t>e cet élément soit rempli,</w:t>
      </w:r>
      <w:r w:rsidRPr="000D5040">
        <w:rPr>
          <w:lang w:val="fr-CH"/>
        </w:rPr>
        <w:t xml:space="preserve"> il faut que l’État ou l’organisation favorise ou encourage activement une telle attaque contre une population civile</w:t>
      </w:r>
      <w:r w:rsidRPr="007F1170">
        <w:rPr>
          <w:rStyle w:val="FootnoteReference"/>
        </w:rPr>
        <w:footnoteReference w:id="738"/>
      </w:r>
      <w:r w:rsidRPr="000D5040">
        <w:rPr>
          <w:lang w:val="fr-CH"/>
        </w:rPr>
        <w:t>, sans qu’il y ait lieu d’exiger plus</w:t>
      </w:r>
      <w:bookmarkStart w:id="57" w:name="_Ref516326527"/>
      <w:r w:rsidRPr="007F1170">
        <w:rPr>
          <w:rStyle w:val="FootnoteReference"/>
        </w:rPr>
        <w:footnoteReference w:id="739"/>
      </w:r>
      <w:bookmarkEnd w:id="57"/>
      <w:r w:rsidRPr="000D5040">
        <w:rPr>
          <w:lang w:val="fr-CH"/>
        </w:rPr>
        <w:t>. Dès lors, « il est loin d’être exclu, tout particulièrement dans le contexte des guerres asymétriques d’aujourd’hui, qu’une attaque dirigée contre une population civile puisse être aussi le fait d’une entité privée regroupant un ensemble de personnes poursuivant l’objectif d’attaquer une population civile, en d’autres termes d’un groupe ne disposant pas obligatoirement d’une structure élaborée, susceptible d’être qualifiée de quasi-étatique »</w:t>
      </w:r>
      <w:r w:rsidRPr="007F1170">
        <w:rPr>
          <w:rStyle w:val="FootnoteReference"/>
        </w:rPr>
        <w:footnoteReference w:id="740"/>
      </w:r>
      <w:r w:rsidRPr="000D5040">
        <w:rPr>
          <w:lang w:val="fr-CH"/>
        </w:rPr>
        <w:t>. De plus, « [l]e fait que l’attaque doive par ailleurs être qualifiée de généralisée ou de systématique ne signifie pas, pour autant, que l’organisation qui la favorise ou l’encourage soit structurée d’une manière telle qu’elle présente les mêmes caractéristiques que celles d’un État ». Ce qui compte avant tout, ce sont « les capacités d’action, de concertation et de coordination […] qui, en raison même des moyens et des ressources dont elle dispose comme de l’adhésion qu’elle suscite, permettront la réalisation de l’attaque »</w:t>
      </w:r>
      <w:r w:rsidRPr="007F1170">
        <w:rPr>
          <w:rStyle w:val="FootnoteReference"/>
        </w:rPr>
        <w:footnoteReference w:id="741"/>
      </w:r>
      <w:r w:rsidRPr="000D5040">
        <w:rPr>
          <w:lang w:val="fr-CH"/>
        </w:rPr>
        <w:t xml:space="preserve">. </w:t>
      </w:r>
      <w:r>
        <w:rPr>
          <w:lang w:val="fr-CH"/>
        </w:rPr>
        <w:t>L</w:t>
      </w:r>
      <w:r w:rsidRPr="000D5040">
        <w:rPr>
          <w:lang w:val="fr-CH"/>
        </w:rPr>
        <w:t>a politique peut être déduite de divers facteurs qui, ensemble, permettent d’établir son existence et n’a</w:t>
      </w:r>
      <w:r>
        <w:rPr>
          <w:lang w:val="fr-CH"/>
        </w:rPr>
        <w:t xml:space="preserve"> donc</w:t>
      </w:r>
      <w:r w:rsidRPr="000D5040">
        <w:rPr>
          <w:lang w:val="fr-CH"/>
        </w:rPr>
        <w:t xml:space="preserve"> pas besoin d’être énoncée de façon formelle. La </w:t>
      </w:r>
      <w:r w:rsidR="00C90623">
        <w:rPr>
          <w:lang w:val="fr-CH"/>
        </w:rPr>
        <w:t>CPI</w:t>
      </w:r>
      <w:r w:rsidRPr="000D5040">
        <w:rPr>
          <w:lang w:val="fr-CH"/>
        </w:rPr>
        <w:t xml:space="preserve"> a clarifié qu’il peut s’agir : (i) du fait que l’attaque ait été planifiée, dirigée ou organisée ; (ii) d’un modèle récurrent de violences ; (iii) du recours à des ressources publiques ou privées pour appliquer cette politique ; (iv) de l’implication de l’Etat ou de forces organisées dans la commission des crimes ; (v) de déclarations, d’instructions ou de documentation attribuable à l’Etat ou à l’organisation qui légitime ou encourage la commission des crimes ; et/ou (vi) d’une motivation sous-jacente</w:t>
      </w:r>
      <w:r w:rsidRPr="007F1170">
        <w:rPr>
          <w:rStyle w:val="FootnoteReference"/>
        </w:rPr>
        <w:footnoteReference w:id="742"/>
      </w:r>
      <w:r w:rsidRPr="000D5040">
        <w:rPr>
          <w:lang w:val="fr-CH"/>
        </w:rPr>
        <w:t>.</w:t>
      </w:r>
      <w:r>
        <w:rPr>
          <w:lang w:val="fr-CH"/>
        </w:rPr>
        <w:t xml:space="preserve"> F</w:t>
      </w:r>
      <w:r w:rsidRPr="000D5040">
        <w:rPr>
          <w:lang w:val="fr-CH"/>
        </w:rPr>
        <w:t>inalement, en ce qui concerne le terme d’</w:t>
      </w:r>
      <w:r w:rsidR="00EC5C9A">
        <w:rPr>
          <w:lang w:val="fr-CH"/>
        </w:rPr>
        <w:t xml:space="preserve"> </w:t>
      </w:r>
      <w:r w:rsidRPr="000D5040">
        <w:rPr>
          <w:lang w:val="fr-CH"/>
        </w:rPr>
        <w:t>« organisation », la CPI rappelle que celle-ci peut simplement être définie comme « un corps organisé constitué de personnes ayant un objectif particulier »</w:t>
      </w:r>
      <w:r w:rsidRPr="007F1170">
        <w:rPr>
          <w:rStyle w:val="FootnoteReference"/>
        </w:rPr>
        <w:footnoteReference w:id="743"/>
      </w:r>
      <w:r w:rsidRPr="000D5040">
        <w:rPr>
          <w:lang w:val="fr-CH"/>
        </w:rPr>
        <w:t>.</w:t>
      </w:r>
    </w:p>
    <w:p w14:paraId="0FFE031A" w14:textId="1D913371" w:rsidR="0093751D" w:rsidRPr="00FE5E8D" w:rsidRDefault="0093751D" w:rsidP="00BC668B">
      <w:pPr>
        <w:pStyle w:val="Heading3"/>
        <w:spacing w:before="240" w:line="240" w:lineRule="exact"/>
        <w:ind w:left="1138" w:right="1138" w:hanging="571"/>
        <w:rPr>
          <w:b/>
          <w:lang w:val="fr-FR"/>
        </w:rPr>
      </w:pPr>
      <w:bookmarkStart w:id="58" w:name="_Toc513980392"/>
      <w:r w:rsidRPr="00FE5E8D">
        <w:rPr>
          <w:b/>
          <w:lang w:val="fr-FR"/>
        </w:rPr>
        <w:t>Par les forces de défense et de sécurité étatiques</w:t>
      </w:r>
      <w:bookmarkEnd w:id="58"/>
    </w:p>
    <w:p w14:paraId="1EC9C8A6" w14:textId="7B2C1407" w:rsidR="0093751D" w:rsidRPr="00FE5E8D" w:rsidRDefault="00AF43CE" w:rsidP="00AF43CE">
      <w:pPr>
        <w:pStyle w:val="BodyText"/>
        <w:numPr>
          <w:ilvl w:val="0"/>
          <w:numId w:val="0"/>
        </w:numPr>
        <w:tabs>
          <w:tab w:val="left" w:pos="1559"/>
          <w:tab w:val="left" w:pos="1984"/>
          <w:tab w:val="left" w:leader="dot" w:pos="7654"/>
          <w:tab w:val="right" w:pos="8929"/>
        </w:tabs>
        <w:spacing w:line="240" w:lineRule="atLeast"/>
        <w:ind w:left="1138" w:right="1138"/>
        <w:rPr>
          <w:i/>
        </w:rPr>
      </w:pPr>
      <w:r w:rsidRPr="00AF43CE">
        <w:rPr>
          <w:i/>
        </w:rPr>
        <w:t>a.</w:t>
      </w:r>
      <w:r>
        <w:rPr>
          <w:i/>
        </w:rPr>
        <w:tab/>
      </w:r>
      <w:r w:rsidR="0093751D" w:rsidRPr="00FE5E8D">
        <w:rPr>
          <w:i/>
        </w:rPr>
        <w:t>Eléments contextuels</w:t>
      </w:r>
    </w:p>
    <w:p w14:paraId="3E2357BB" w14:textId="5942C6DA" w:rsidR="0093751D" w:rsidRDefault="0093751D" w:rsidP="00AF43CE">
      <w:pPr>
        <w:pStyle w:val="BodyText"/>
        <w:tabs>
          <w:tab w:val="left" w:pos="1559"/>
          <w:tab w:val="left" w:pos="1984"/>
          <w:tab w:val="left" w:leader="dot" w:pos="7654"/>
          <w:tab w:val="right" w:pos="8929"/>
        </w:tabs>
        <w:spacing w:line="240" w:lineRule="atLeast"/>
        <w:ind w:left="1138" w:right="1138" w:firstLine="0"/>
      </w:pPr>
      <w:r>
        <w:t>L</w:t>
      </w:r>
      <w:r w:rsidRPr="001F7EF9">
        <w:t>’</w:t>
      </w:r>
      <w:r>
        <w:t>EEI</w:t>
      </w:r>
      <w:r w:rsidRPr="001F7EF9">
        <w:t xml:space="preserve"> a des motifs raisonnables de croire qu</w:t>
      </w:r>
      <w:r>
        <w:t xml:space="preserve">e, depuis août 2016, </w:t>
      </w:r>
      <w:r w:rsidRPr="001F7EF9">
        <w:t xml:space="preserve">une attaque a été menée </w:t>
      </w:r>
      <w:r>
        <w:t xml:space="preserve">dans la région du Kasaï par les forces de </w:t>
      </w:r>
      <w:r w:rsidRPr="00AF43CE">
        <w:rPr>
          <w:lang w:val="fr-CH"/>
        </w:rPr>
        <w:t>défense</w:t>
      </w:r>
      <w:r>
        <w:t xml:space="preserve"> et de sécurité étatiques </w:t>
      </w:r>
      <w:r w:rsidRPr="001F7EF9">
        <w:t xml:space="preserve">contre une partie de la population civile, en particulier contre la population civile de l’ethnie </w:t>
      </w:r>
      <w:r w:rsidR="00051090">
        <w:t>l</w:t>
      </w:r>
      <w:r w:rsidRPr="001F7EF9">
        <w:t xml:space="preserve">uba </w:t>
      </w:r>
      <w:r>
        <w:t xml:space="preserve">ou identifiée comme telle </w:t>
      </w:r>
      <w:r w:rsidRPr="001F7EF9">
        <w:t xml:space="preserve">en raison de son soutien supposé à la milice Kamuina Nsapu. Cette attaque a consisté </w:t>
      </w:r>
      <w:r>
        <w:t>en</w:t>
      </w:r>
      <w:r w:rsidRPr="001F7EF9">
        <w:t xml:space="preserve"> la multiplication d’actes visés dans l’article 7(1) du Statut de Rome ainsi que dans l’incendie de maisons de civils et de pillage de leurs biens. La présence de certains combattants de la milice Kamuina Nsapu parmi les victimes au sein de cette population civile ne change rien à cette qualification</w:t>
      </w:r>
      <w:bookmarkStart w:id="59" w:name="_Ref513972537"/>
      <w:r w:rsidRPr="007F1170">
        <w:rPr>
          <w:rStyle w:val="FootnoteReference"/>
        </w:rPr>
        <w:footnoteReference w:id="744"/>
      </w:r>
      <w:bookmarkEnd w:id="59"/>
      <w:r w:rsidRPr="001F7EF9">
        <w:t>.</w:t>
      </w:r>
    </w:p>
    <w:p w14:paraId="6CE96916" w14:textId="44A18F15" w:rsidR="0093751D" w:rsidRPr="001F7EF9" w:rsidRDefault="0093751D" w:rsidP="00AF43CE">
      <w:pPr>
        <w:pStyle w:val="BodyText"/>
        <w:tabs>
          <w:tab w:val="left" w:pos="1559"/>
          <w:tab w:val="left" w:pos="1984"/>
          <w:tab w:val="left" w:leader="dot" w:pos="7654"/>
          <w:tab w:val="right" w:pos="8929"/>
        </w:tabs>
        <w:spacing w:line="240" w:lineRule="atLeast"/>
        <w:ind w:left="1138" w:right="1138" w:firstLine="0"/>
      </w:pPr>
      <w:r w:rsidRPr="001F7EF9">
        <w:t xml:space="preserve">Le nombre d’incidents, leurs commissions dans quatre provinces de la </w:t>
      </w:r>
      <w:r>
        <w:t>RDC</w:t>
      </w:r>
      <w:r w:rsidRPr="001F7EF9">
        <w:t>, et la pluralité des victimes permettent de conclure au caractère généralisé de l’attaque. De plus, l’</w:t>
      </w:r>
      <w:r>
        <w:t xml:space="preserve">EEI </w:t>
      </w:r>
      <w:r w:rsidRPr="001F7EF9">
        <w:t>a des motifs raisonnables de croire que l’attaque est également systématique vu qu’il s’agit essentiellement de la répétition d’un même comportement criminel</w:t>
      </w:r>
      <w:r>
        <w:t xml:space="preserve"> selon un </w:t>
      </w:r>
      <w:r>
        <w:rPr>
          <w:i/>
        </w:rPr>
        <w:t xml:space="preserve">modus operandi </w:t>
      </w:r>
      <w:r>
        <w:t>similaire</w:t>
      </w:r>
      <w:r w:rsidRPr="001F7EF9">
        <w:t xml:space="preserve"> consistant à mener des opérations de représailles</w:t>
      </w:r>
      <w:r>
        <w:t>, punitives</w:t>
      </w:r>
      <w:r w:rsidRPr="001F7EF9">
        <w:t xml:space="preserve"> ou porte</w:t>
      </w:r>
      <w:r w:rsidR="009C4DA1">
        <w:t xml:space="preserve"> </w:t>
      </w:r>
      <w:r w:rsidRPr="001F7EF9">
        <w:t>à</w:t>
      </w:r>
      <w:r w:rsidR="009C4DA1">
        <w:t xml:space="preserve"> </w:t>
      </w:r>
      <w:r w:rsidRPr="001F7EF9">
        <w:t xml:space="preserve">porte ne faisant </w:t>
      </w:r>
      <w:r>
        <w:t xml:space="preserve">pas de </w:t>
      </w:r>
      <w:r w:rsidRPr="001F7EF9">
        <w:t>distinction entre les combattants de la milice Kamuina Nsapu et les civils.</w:t>
      </w:r>
    </w:p>
    <w:p w14:paraId="51716E1F" w14:textId="08A9E44C" w:rsidR="0093751D" w:rsidRDefault="0093751D" w:rsidP="00AF43CE">
      <w:pPr>
        <w:pStyle w:val="BodyText"/>
        <w:tabs>
          <w:tab w:val="left" w:pos="1559"/>
          <w:tab w:val="left" w:pos="1984"/>
          <w:tab w:val="left" w:leader="dot" w:pos="7654"/>
          <w:tab w:val="right" w:pos="8929"/>
        </w:tabs>
        <w:spacing w:line="240" w:lineRule="atLeast"/>
        <w:ind w:left="1138" w:right="1138" w:firstLine="0"/>
      </w:pPr>
      <w:r w:rsidRPr="001F7EF9">
        <w:t xml:space="preserve">Les actes de violence commis par les forces de </w:t>
      </w:r>
      <w:r>
        <w:t xml:space="preserve">défense et de </w:t>
      </w:r>
      <w:r w:rsidRPr="001F7EF9">
        <w:t xml:space="preserve">sécurité s’inscrivent dans le cadre de la répression du mouvement Kamuina Nsapu et de toute personne réellement ou prétendument identifiée comme liée aux idéaux et objectifs de ce mouvement, notamment du fait de son ethnicité. Cette répression a entraîné une mobilisation importante des </w:t>
      </w:r>
      <w:r>
        <w:t>FARDC</w:t>
      </w:r>
      <w:r w:rsidRPr="001F7EF9">
        <w:t xml:space="preserve"> allant jusqu’à la création d’un secteur militaire opérationnel. </w:t>
      </w:r>
      <w:r w:rsidRPr="00B504EC">
        <w:t>L’</w:t>
      </w:r>
      <w:r>
        <w:t>EEI</w:t>
      </w:r>
      <w:r w:rsidRPr="00B504EC">
        <w:t xml:space="preserve"> a des motifs raisonnables de croire que cette attaque contre la population civile a été commise en application ou</w:t>
      </w:r>
      <w:r w:rsidRPr="001F7EF9">
        <w:t xml:space="preserve"> dans la poursuite de la politique d’un État ayant pour but une telle attaque</w:t>
      </w:r>
      <w:r>
        <w:t>,</w:t>
      </w:r>
      <w:r w:rsidRPr="001F7EF9">
        <w:t xml:space="preserve"> notamment car la violence est récurrente et suit un même modèle suivant lequel les forces de </w:t>
      </w:r>
      <w:r>
        <w:t xml:space="preserve">défense et de </w:t>
      </w:r>
      <w:r w:rsidRPr="001F7EF9">
        <w:t>sécurité arrivent dans des villages composés à majorité de Lubas où se trouvent soi-disant des membres du mouvement Kamuina Nsapu et attaquent de manière indiscriminée les membres de la population civile qui vaquent à leurs occupations</w:t>
      </w:r>
      <w:r w:rsidR="00434C80">
        <w:t>,</w:t>
      </w:r>
      <w:r w:rsidRPr="001F7EF9">
        <w:t xml:space="preserve"> ou conduisent des opérations porte</w:t>
      </w:r>
      <w:r w:rsidR="009C4DA1">
        <w:t xml:space="preserve"> </w:t>
      </w:r>
      <w:r w:rsidRPr="001F7EF9">
        <w:t>à</w:t>
      </w:r>
      <w:r w:rsidR="009C4DA1">
        <w:t xml:space="preserve"> </w:t>
      </w:r>
      <w:r w:rsidRPr="001F7EF9">
        <w:t>porte dans les maisons.</w:t>
      </w:r>
    </w:p>
    <w:p w14:paraId="079A824B" w14:textId="77777777" w:rsidR="0093751D" w:rsidRPr="001F7EF9" w:rsidRDefault="0093751D" w:rsidP="00AF43CE">
      <w:pPr>
        <w:pStyle w:val="BodyText"/>
        <w:tabs>
          <w:tab w:val="left" w:pos="1559"/>
          <w:tab w:val="left" w:pos="1984"/>
          <w:tab w:val="left" w:leader="dot" w:pos="7654"/>
          <w:tab w:val="right" w:pos="8929"/>
        </w:tabs>
        <w:spacing w:line="240" w:lineRule="atLeast"/>
        <w:ind w:left="1138" w:right="1138" w:firstLine="0"/>
      </w:pPr>
      <w:r w:rsidRPr="001F7EF9">
        <w:t>L’</w:t>
      </w:r>
      <w:r>
        <w:t>EEI</w:t>
      </w:r>
      <w:r w:rsidRPr="001F7EF9">
        <w:t xml:space="preserve"> a </w:t>
      </w:r>
      <w:r>
        <w:t xml:space="preserve">également </w:t>
      </w:r>
      <w:r w:rsidRPr="001F7EF9">
        <w:t xml:space="preserve">des motifs raisonnables de croire que les auteurs présumés qu’elle a pu identifier, membres des FARDC et </w:t>
      </w:r>
      <w:r w:rsidRPr="007C5757">
        <w:t>dans</w:t>
      </w:r>
      <w:r w:rsidRPr="001F7EF9">
        <w:t xml:space="preserve"> une moindre mesure de la PNC, ne pouvaient pas ne pas avoir une connaissance du contexte dans lequel s’inscrivaient leurs actes, vu leurs fonctions dans l’appareil sécuritaire </w:t>
      </w:r>
      <w:r>
        <w:t>étatique</w:t>
      </w:r>
      <w:r w:rsidRPr="001F7EF9">
        <w:t xml:space="preserve"> et que</w:t>
      </w:r>
      <w:r>
        <w:t>,</w:t>
      </w:r>
      <w:r w:rsidRPr="001F7EF9">
        <w:t xml:space="preserve"> dans certains cas</w:t>
      </w:r>
      <w:r>
        <w:t>,</w:t>
      </w:r>
      <w:r w:rsidRPr="001F7EF9">
        <w:t xml:space="preserve"> ils aient reçu l’ordre de tirer sur tout ce qui bouge de manière indiscriminée.</w:t>
      </w:r>
    </w:p>
    <w:p w14:paraId="4D85215B" w14:textId="3BB738B4" w:rsidR="0093751D" w:rsidRPr="00FE5E8D" w:rsidRDefault="00662B68" w:rsidP="00662B68">
      <w:pPr>
        <w:pStyle w:val="BodyText"/>
        <w:numPr>
          <w:ilvl w:val="0"/>
          <w:numId w:val="0"/>
        </w:numPr>
        <w:tabs>
          <w:tab w:val="left" w:pos="1559"/>
          <w:tab w:val="left" w:pos="1984"/>
          <w:tab w:val="left" w:leader="dot" w:pos="7654"/>
          <w:tab w:val="right" w:pos="8929"/>
        </w:tabs>
        <w:spacing w:line="240" w:lineRule="atLeast"/>
        <w:ind w:left="1138" w:right="1138"/>
        <w:rPr>
          <w:i/>
        </w:rPr>
      </w:pPr>
      <w:r>
        <w:rPr>
          <w:i/>
        </w:rPr>
        <w:t>b.</w:t>
      </w:r>
      <w:r>
        <w:rPr>
          <w:i/>
        </w:rPr>
        <w:tab/>
      </w:r>
      <w:r w:rsidR="0093751D" w:rsidRPr="00FE5E8D">
        <w:rPr>
          <w:i/>
        </w:rPr>
        <w:t>Typologie des crimes commis par les forces de défense et de sécurité</w:t>
      </w:r>
    </w:p>
    <w:p w14:paraId="075D7D0C" w14:textId="77777777" w:rsidR="0093751D" w:rsidRDefault="0093751D" w:rsidP="00AF43CE">
      <w:pPr>
        <w:pStyle w:val="BodyText"/>
        <w:tabs>
          <w:tab w:val="left" w:pos="1559"/>
          <w:tab w:val="left" w:pos="1984"/>
          <w:tab w:val="left" w:leader="dot" w:pos="7654"/>
          <w:tab w:val="right" w:pos="8929"/>
        </w:tabs>
        <w:spacing w:line="240" w:lineRule="atLeast"/>
        <w:ind w:left="1138" w:right="1138" w:firstLine="0"/>
      </w:pPr>
      <w:r w:rsidRPr="001F7EF9">
        <w:t>Les éléments contextuels des crimes contre l’humanité étant d’après elle réunis, l’</w:t>
      </w:r>
      <w:r>
        <w:t>EEI</w:t>
      </w:r>
      <w:r w:rsidRPr="001F7EF9">
        <w:t xml:space="preserve"> a des motifs raisonnables de croire que des éléments des forces de </w:t>
      </w:r>
      <w:r>
        <w:t xml:space="preserve">défense et de </w:t>
      </w:r>
      <w:r w:rsidRPr="001F7EF9">
        <w:t xml:space="preserve">sécurité de la </w:t>
      </w:r>
      <w:r>
        <w:t>RDC</w:t>
      </w:r>
      <w:r w:rsidRPr="001F7EF9">
        <w:t xml:space="preserve"> ont </w:t>
      </w:r>
      <w:r>
        <w:t xml:space="preserve">notamment </w:t>
      </w:r>
      <w:r w:rsidRPr="001F7EF9">
        <w:t>commis les crimes contre l’humanité suivants :</w:t>
      </w:r>
    </w:p>
    <w:p w14:paraId="2892F8CC" w14:textId="5D4AA66B" w:rsidR="0093751D" w:rsidRPr="006D5135" w:rsidRDefault="0093751D" w:rsidP="00662B68">
      <w:pPr>
        <w:pStyle w:val="Heading5"/>
        <w:numPr>
          <w:ilvl w:val="0"/>
          <w:numId w:val="0"/>
        </w:numPr>
        <w:tabs>
          <w:tab w:val="clear" w:pos="1984"/>
          <w:tab w:val="left" w:pos="2340"/>
        </w:tabs>
        <w:spacing w:before="120" w:after="120"/>
        <w:ind w:left="2160" w:right="1138"/>
        <w:contextualSpacing w:val="0"/>
        <w:rPr>
          <w:i w:val="0"/>
          <w:u w:val="single"/>
        </w:rPr>
      </w:pPr>
      <w:r w:rsidRPr="00662B68">
        <w:rPr>
          <w:b w:val="0"/>
          <w:u w:val="single"/>
        </w:rPr>
        <w:t>Meurtre (Art. 7(1)(a) du Statut de Rome ; Art. 222(1) du Code pénal de la RDC</w:t>
      </w:r>
      <w:bookmarkStart w:id="60" w:name="_Ref515461340"/>
      <w:r w:rsidRPr="00662B68">
        <w:rPr>
          <w:b w:val="0"/>
          <w:u w:val="single"/>
        </w:rPr>
        <w:t>)</w:t>
      </w:r>
      <w:r w:rsidRPr="007F1170">
        <w:rPr>
          <w:rStyle w:val="FootnoteReference"/>
        </w:rPr>
        <w:footnoteReference w:id="745"/>
      </w:r>
      <w:bookmarkEnd w:id="60"/>
    </w:p>
    <w:p w14:paraId="295F6FDF" w14:textId="158A35B1" w:rsidR="0093751D" w:rsidRPr="006D7D1B" w:rsidRDefault="0093751D" w:rsidP="000450EC">
      <w:pPr>
        <w:pStyle w:val="BodyText"/>
        <w:tabs>
          <w:tab w:val="left" w:pos="1559"/>
          <w:tab w:val="left" w:pos="1984"/>
          <w:tab w:val="left" w:leader="dot" w:pos="7654"/>
          <w:tab w:val="right" w:pos="8929"/>
        </w:tabs>
        <w:spacing w:line="240" w:lineRule="atLeast"/>
        <w:ind w:left="1138" w:right="1138" w:firstLine="0"/>
      </w:pPr>
      <w:bookmarkStart w:id="61" w:name="_Ref517875636"/>
      <w:r w:rsidRPr="00E71932">
        <w:t xml:space="preserve">Lors des attaques commises par les forces de défense et de sécurité, des </w:t>
      </w:r>
      <w:r>
        <w:t xml:space="preserve">éléments </w:t>
      </w:r>
      <w:r w:rsidRPr="00E71932">
        <w:t xml:space="preserve">FARDC – et dans quelques cas, des agents de la PNC – ont </w:t>
      </w:r>
      <w:r>
        <w:t xml:space="preserve">tué des </w:t>
      </w:r>
      <w:r w:rsidRPr="00E71932">
        <w:t>personnes faisant partie de la population civile. Si ces meurtres ont essentiellement été commis par des armes à feu lors d’attaques indiscriminée</w:t>
      </w:r>
      <w:r>
        <w:t>s</w:t>
      </w:r>
      <w:r w:rsidRPr="00E71932">
        <w:t xml:space="preserve"> contre la population civile, certaines victimes ont été sommairement exécutées ou brûlées vives dans leurs maisons après que des éléments des FARDC y aient mis le feu</w:t>
      </w:r>
      <w:r>
        <w:t xml:space="preserve">, y compris une femme de 80 ans en mars 2017 à Moma, province du Kasaï </w:t>
      </w:r>
      <w:r w:rsidR="00E442FD">
        <w:t>C</w:t>
      </w:r>
      <w:r>
        <w:t>entral</w:t>
      </w:r>
      <w:r w:rsidRPr="007F1170">
        <w:rPr>
          <w:rStyle w:val="FootnoteReference"/>
        </w:rPr>
        <w:footnoteReference w:id="746"/>
      </w:r>
      <w:r w:rsidR="00C720FB">
        <w:t>. Par ailleurs, certains éléments des FARDC ont parfois dit aux femmes et filles de la population</w:t>
      </w:r>
      <w:r w:rsidR="0098782B">
        <w:t xml:space="preserve"> civile qu’elles avaient le « </w:t>
      </w:r>
      <w:r w:rsidR="00C720FB">
        <w:t>choix » entre être tuées ou violées.</w:t>
      </w:r>
      <w:bookmarkEnd w:id="61"/>
      <w:r w:rsidR="00C720FB">
        <w:t xml:space="preserve"> </w:t>
      </w:r>
    </w:p>
    <w:p w14:paraId="4D53759C" w14:textId="763FF899" w:rsidR="0093751D" w:rsidRPr="006D5135" w:rsidRDefault="0093751D" w:rsidP="000450EC">
      <w:pPr>
        <w:pStyle w:val="Heading5"/>
        <w:numPr>
          <w:ilvl w:val="0"/>
          <w:numId w:val="0"/>
        </w:numPr>
        <w:tabs>
          <w:tab w:val="clear" w:pos="1984"/>
          <w:tab w:val="left" w:pos="2340"/>
        </w:tabs>
        <w:spacing w:before="120" w:after="120"/>
        <w:ind w:left="2160" w:right="1138"/>
        <w:contextualSpacing w:val="0"/>
        <w:rPr>
          <w:i w:val="0"/>
          <w:u w:val="single"/>
        </w:rPr>
      </w:pPr>
      <w:r w:rsidRPr="000450EC">
        <w:rPr>
          <w:b w:val="0"/>
          <w:u w:val="single"/>
        </w:rPr>
        <w:t>Emprisonnement ou autre forme de privation grave de liberté physique en violation des dispositions fondamentales du droit international (Art. 7(1)(e) du Statut de Rome ; Art. 222(5) du Code pénal de la RDC</w:t>
      </w:r>
      <w:bookmarkStart w:id="62" w:name="_Ref515463829"/>
      <w:r w:rsidRPr="000450EC">
        <w:rPr>
          <w:b w:val="0"/>
          <w:u w:val="single"/>
        </w:rPr>
        <w:t>)</w:t>
      </w:r>
      <w:r w:rsidRPr="007F1170">
        <w:rPr>
          <w:rStyle w:val="FootnoteReference"/>
        </w:rPr>
        <w:footnoteReference w:id="747"/>
      </w:r>
      <w:bookmarkEnd w:id="62"/>
    </w:p>
    <w:p w14:paraId="15D3B2F9" w14:textId="59F70832" w:rsidR="0093751D" w:rsidRDefault="0093751D" w:rsidP="000450EC">
      <w:pPr>
        <w:pStyle w:val="BodyText"/>
        <w:tabs>
          <w:tab w:val="left" w:pos="1559"/>
          <w:tab w:val="left" w:pos="1984"/>
          <w:tab w:val="left" w:leader="dot" w:pos="7654"/>
          <w:tab w:val="right" w:pos="8929"/>
        </w:tabs>
        <w:spacing w:line="240" w:lineRule="atLeast"/>
        <w:ind w:left="1138" w:right="1138" w:firstLine="0"/>
      </w:pPr>
      <w:r>
        <w:t xml:space="preserve">Les forces de défense et de sécurité ont emprisonné </w:t>
      </w:r>
      <w:r w:rsidR="00D909EF">
        <w:t>des</w:t>
      </w:r>
      <w:r>
        <w:t xml:space="preserve"> personnes de la population civile de manière illégale et arbitraire, c’est-à-dire en violation des règles fondamentales du droit international, notamment des personnes de l’ethnie </w:t>
      </w:r>
      <w:r w:rsidR="00051090">
        <w:t>l</w:t>
      </w:r>
      <w:r>
        <w:t>uba faussement accusées d’appartenir à la milice Kamuina Nsapu ou de la soutenir, mais aussi des membres de la population à des fins d’extorsion ou encore des membres de la famille d’auteurs présumés de délits ou de crimes alors qu’ils n’étaient pas eux-mêmes accusés d’actes répréhensibles.</w:t>
      </w:r>
    </w:p>
    <w:p w14:paraId="7585B100" w14:textId="738C7AD0" w:rsidR="0093751D" w:rsidRPr="006D5135" w:rsidRDefault="0093751D" w:rsidP="000450EC">
      <w:pPr>
        <w:pStyle w:val="Heading5"/>
        <w:numPr>
          <w:ilvl w:val="0"/>
          <w:numId w:val="0"/>
        </w:numPr>
        <w:tabs>
          <w:tab w:val="clear" w:pos="1984"/>
          <w:tab w:val="left" w:pos="2340"/>
        </w:tabs>
        <w:spacing w:before="120" w:after="120"/>
        <w:ind w:left="2160" w:right="1138"/>
        <w:contextualSpacing w:val="0"/>
        <w:rPr>
          <w:u w:val="single"/>
        </w:rPr>
      </w:pPr>
      <w:r w:rsidRPr="000450EC">
        <w:rPr>
          <w:b w:val="0"/>
          <w:u w:val="single"/>
        </w:rPr>
        <w:t>Viol</w:t>
      </w:r>
      <w:bookmarkStart w:id="63" w:name="_Ref515462917"/>
      <w:r w:rsidRPr="007F1170">
        <w:rPr>
          <w:rStyle w:val="FootnoteReference"/>
        </w:rPr>
        <w:footnoteReference w:id="748"/>
      </w:r>
      <w:bookmarkEnd w:id="63"/>
      <w:r w:rsidRPr="000450EC">
        <w:rPr>
          <w:b w:val="0"/>
          <w:u w:val="single"/>
        </w:rPr>
        <w:t xml:space="preserve"> ou toute autre forme de violence sexuelle de gravité comparable</w:t>
      </w:r>
      <w:bookmarkStart w:id="64" w:name="_Ref516484729"/>
      <w:r w:rsidRPr="007F1170">
        <w:rPr>
          <w:rStyle w:val="FootnoteReference"/>
        </w:rPr>
        <w:footnoteReference w:id="749"/>
      </w:r>
      <w:bookmarkEnd w:id="64"/>
      <w:r w:rsidRPr="000450EC">
        <w:rPr>
          <w:b w:val="0"/>
          <w:u w:val="single"/>
        </w:rPr>
        <w:t xml:space="preserve"> (Art. 7(1)(g) du Statut de Rome ; Art. 222(8) du Code pénal de la RDC)</w:t>
      </w:r>
    </w:p>
    <w:p w14:paraId="24E45632" w14:textId="2E2007AF" w:rsidR="0093751D" w:rsidRPr="00376B57" w:rsidRDefault="0093751D" w:rsidP="000450EC">
      <w:pPr>
        <w:pStyle w:val="BodyText"/>
        <w:tabs>
          <w:tab w:val="left" w:pos="1559"/>
          <w:tab w:val="left" w:pos="1984"/>
          <w:tab w:val="left" w:leader="dot" w:pos="7654"/>
          <w:tab w:val="right" w:pos="8929"/>
        </w:tabs>
        <w:spacing w:line="240" w:lineRule="atLeast"/>
        <w:ind w:left="1138" w:right="1138" w:firstLine="0"/>
      </w:pPr>
      <w:bookmarkStart w:id="65" w:name="_Ref517880049"/>
      <w:r>
        <w:t>Des</w:t>
      </w:r>
      <w:r w:rsidR="0098782B">
        <w:t xml:space="preserve"> éléments des FARDC ont violé, </w:t>
      </w:r>
      <w:r>
        <w:t>souvent de manièr</w:t>
      </w:r>
      <w:r w:rsidR="0098782B">
        <w:t>e répétée et/ou collectivement,</w:t>
      </w:r>
      <w:r>
        <w:t xml:space="preserve"> des femmes et des filles de la population civile lorsqu</w:t>
      </w:r>
      <w:r w:rsidRPr="00EF450D">
        <w:t>’ils sont entrés dans des villes ou villages o</w:t>
      </w:r>
      <w:r>
        <w:t xml:space="preserve">ù se trouvaient soi-disant des membres du mouvement Kamuina Nsapu et lorsqu’ils ont </w:t>
      </w:r>
      <w:r w:rsidRPr="001F7EF9">
        <w:t xml:space="preserve">conduit des opérations </w:t>
      </w:r>
      <w:r>
        <w:t xml:space="preserve">de représailles ou </w:t>
      </w:r>
      <w:r w:rsidRPr="001F7EF9">
        <w:t>porte</w:t>
      </w:r>
      <w:r w:rsidR="009C4DA1">
        <w:t xml:space="preserve"> </w:t>
      </w:r>
      <w:r w:rsidRPr="001F7EF9">
        <w:t>à</w:t>
      </w:r>
      <w:r w:rsidR="009C4DA1">
        <w:t xml:space="preserve"> </w:t>
      </w:r>
      <w:r w:rsidRPr="001F7EF9">
        <w:t>porte dans les maisons</w:t>
      </w:r>
      <w:r>
        <w:t xml:space="preserve">. </w:t>
      </w:r>
      <w:r w:rsidRPr="00376B57">
        <w:t>Si, dans la plupart des cas, ces viols ont consisté en la pénétration du vagin de la victime par l’organe sexuel du ou des auteur(s) de ces crimes, certaines victimes ont également été pénétrées analement.</w:t>
      </w:r>
      <w:bookmarkEnd w:id="65"/>
    </w:p>
    <w:p w14:paraId="66CB861E" w14:textId="0DFFB96E" w:rsidR="0093751D" w:rsidRPr="00376B57" w:rsidRDefault="0093751D" w:rsidP="000450EC">
      <w:pPr>
        <w:pStyle w:val="BodyText"/>
        <w:tabs>
          <w:tab w:val="left" w:pos="1559"/>
          <w:tab w:val="left" w:pos="1984"/>
          <w:tab w:val="left" w:leader="dot" w:pos="7654"/>
          <w:tab w:val="right" w:pos="8929"/>
        </w:tabs>
        <w:spacing w:line="240" w:lineRule="atLeast"/>
        <w:ind w:left="1138" w:right="1138" w:firstLine="0"/>
      </w:pPr>
      <w:r w:rsidRPr="00376B57">
        <w:t>Des femmes et des filles de la population civile – y compris une jeune femme qui avait accouché la veille – ont également été violées par des</w:t>
      </w:r>
      <w:r w:rsidR="0098782B">
        <w:t xml:space="preserve"> membres des FARDC ou de la PNC,</w:t>
      </w:r>
      <w:r w:rsidRPr="00376B57">
        <w:t xml:space="preserve"> parfois de manière répétée et/ou par plusieurs auteurs, jusqu’à 10 dans certains cas, et </w:t>
      </w:r>
      <w:r w:rsidR="00E62399">
        <w:t>parfois</w:t>
      </w:r>
      <w:r w:rsidRPr="00376B57">
        <w:t xml:space="preserve"> deva</w:t>
      </w:r>
      <w:r w:rsidR="0098782B">
        <w:t>nt des membres de leur famille,</w:t>
      </w:r>
      <w:r w:rsidRPr="00376B57">
        <w:t xml:space="preserve"> lorsqu’elles fuyaient les affrontements et les violences et se cachaient dans la brousse, ou encore lorsqu’elles se faisaient arrêter aux barrages routiers sur leur </w:t>
      </w:r>
      <w:r w:rsidR="00E62399">
        <w:t>chemin</w:t>
      </w:r>
      <w:r w:rsidRPr="00376B57">
        <w:t>. Des éléments des FARDC qui ont exigé d’être rémunérés afin d’escorter certaines de ces victimes sur le territoire de Kamonia, province du Kasaï, ont violé ces dernières lorsqu’elles n’avaient plus d’argent pour les payer. Certaines victimes – y compris une fille de 12 ans – qui avaient réussi à survivre aux violences sont décédées des blessures causées par les viols commis lors de leur fuite.</w:t>
      </w:r>
    </w:p>
    <w:p w14:paraId="28E51174" w14:textId="77777777" w:rsidR="0093751D" w:rsidRPr="00376B57" w:rsidRDefault="0093751D" w:rsidP="000450EC">
      <w:pPr>
        <w:pStyle w:val="BodyText"/>
        <w:tabs>
          <w:tab w:val="left" w:pos="1559"/>
          <w:tab w:val="left" w:pos="1984"/>
          <w:tab w:val="left" w:leader="dot" w:pos="7654"/>
          <w:tab w:val="right" w:pos="8929"/>
        </w:tabs>
        <w:spacing w:line="240" w:lineRule="atLeast"/>
        <w:ind w:left="1138" w:right="1138" w:firstLine="0"/>
      </w:pPr>
      <w:r w:rsidRPr="00376B57">
        <w:t>Parmi les autres formes de violences sexuelles constitutives de crimes contre l’humanité, des éléments des FARDC ont fréquemment forcé des femmes et des filles, mais également des hommes et des garçons, à se dénuder en public aux barrages routiers afin de soi-disant vérifier s’ils ne portaient pas d’habits rouges ou de gris-gris comme les membres de la milice Kamuina Nsapu.</w:t>
      </w:r>
    </w:p>
    <w:p w14:paraId="76DB5FD6" w14:textId="77777777" w:rsidR="0093751D" w:rsidRPr="00376B57" w:rsidRDefault="0093751D" w:rsidP="000450EC">
      <w:pPr>
        <w:pStyle w:val="BodyText"/>
        <w:tabs>
          <w:tab w:val="left" w:pos="1559"/>
          <w:tab w:val="left" w:pos="1984"/>
          <w:tab w:val="left" w:leader="dot" w:pos="7654"/>
          <w:tab w:val="right" w:pos="8929"/>
        </w:tabs>
        <w:spacing w:line="240" w:lineRule="atLeast"/>
        <w:ind w:left="1138" w:right="1138" w:firstLine="0"/>
      </w:pPr>
      <w:bookmarkStart w:id="66" w:name="_Ref517880069"/>
      <w:r w:rsidRPr="00376B57">
        <w:t>Ces actes ont été commis en usant soit de la force ou de la menace de la force, soit de la coercition telle que causée par l’abus de pouvoir de militaires armés profitant de la situation de détresse et de vulnérabilité dans laquelle ces victimes se trouvaient.</w:t>
      </w:r>
      <w:bookmarkEnd w:id="66"/>
      <w:r w:rsidRPr="00376B57">
        <w:t xml:space="preserve"> </w:t>
      </w:r>
    </w:p>
    <w:p w14:paraId="58F886A2" w14:textId="4A06E4C2" w:rsidR="0093751D" w:rsidRDefault="0093751D" w:rsidP="000450EC">
      <w:pPr>
        <w:pStyle w:val="Heading5"/>
        <w:numPr>
          <w:ilvl w:val="0"/>
          <w:numId w:val="0"/>
        </w:numPr>
        <w:tabs>
          <w:tab w:val="clear" w:pos="1984"/>
          <w:tab w:val="left" w:pos="2340"/>
        </w:tabs>
        <w:spacing w:before="120" w:after="120"/>
        <w:ind w:left="2160" w:right="1138"/>
        <w:contextualSpacing w:val="0"/>
        <w:rPr>
          <w:i w:val="0"/>
          <w:u w:val="single"/>
        </w:rPr>
      </w:pPr>
      <w:r w:rsidRPr="000450EC">
        <w:rPr>
          <w:b w:val="0"/>
          <w:u w:val="single"/>
        </w:rPr>
        <w:t>Torture (Art. 7(1)(f) du Statut de Rome ; Art. 222(6) du Code pénal de la RDC</w:t>
      </w:r>
      <w:bookmarkStart w:id="67" w:name="_Ref515462842"/>
      <w:r w:rsidRPr="000450EC">
        <w:rPr>
          <w:b w:val="0"/>
          <w:u w:val="single"/>
        </w:rPr>
        <w:t>)</w:t>
      </w:r>
      <w:r w:rsidRPr="007F1170">
        <w:rPr>
          <w:rStyle w:val="FootnoteReference"/>
        </w:rPr>
        <w:footnoteReference w:id="750"/>
      </w:r>
      <w:bookmarkEnd w:id="67"/>
    </w:p>
    <w:p w14:paraId="5151D249" w14:textId="126D520E" w:rsidR="0093751D" w:rsidRDefault="0093751D" w:rsidP="000450EC">
      <w:pPr>
        <w:pStyle w:val="BodyText"/>
        <w:tabs>
          <w:tab w:val="left" w:pos="1559"/>
          <w:tab w:val="left" w:pos="1984"/>
          <w:tab w:val="left" w:leader="dot" w:pos="7654"/>
          <w:tab w:val="right" w:pos="8929"/>
        </w:tabs>
        <w:spacing w:line="240" w:lineRule="atLeast"/>
        <w:ind w:left="1138" w:right="1138" w:firstLine="0"/>
      </w:pPr>
      <w:bookmarkStart w:id="68" w:name="_Ref517879803"/>
      <w:r>
        <w:t>Dans de nombreux cas, des éléments des forces de défense et de sécurité ont intentionnellement infligé à une ou plusieurs personnes – sous leur garde ou leur contrôle – une douleur ou des souffrances, physiques ou mentales, aiguës qui peuvent être qualifiées de torture constitutive de crimes contre l’humanité.</w:t>
      </w:r>
      <w:bookmarkEnd w:id="68"/>
    </w:p>
    <w:p w14:paraId="4AFD27C4" w14:textId="3A4B5344" w:rsidR="0093751D" w:rsidRPr="00F003E5" w:rsidRDefault="0093751D" w:rsidP="000450EC">
      <w:pPr>
        <w:pStyle w:val="BodyText"/>
        <w:tabs>
          <w:tab w:val="left" w:pos="1559"/>
          <w:tab w:val="left" w:pos="1984"/>
          <w:tab w:val="left" w:leader="dot" w:pos="7654"/>
          <w:tab w:val="right" w:pos="8929"/>
        </w:tabs>
        <w:spacing w:line="240" w:lineRule="atLeast"/>
        <w:ind w:left="1138" w:right="1138" w:firstLine="0"/>
      </w:pPr>
      <w:bookmarkStart w:id="69" w:name="_Ref517879821"/>
      <w:r>
        <w:t>Parmi les actes de torture les plus répétitifs commis par des éléments des FARDC, il convient notamment de relever : (i) les cas où des membres de la population civile ont été sévèrement battus, notamment lors d’opérations porte</w:t>
      </w:r>
      <w:r w:rsidR="009C4DA1">
        <w:t xml:space="preserve"> </w:t>
      </w:r>
      <w:r>
        <w:t>à</w:t>
      </w:r>
      <w:r w:rsidR="009C4DA1">
        <w:t xml:space="preserve"> </w:t>
      </w:r>
      <w:r>
        <w:t>porte ; (ii) les cas de viols décrits ci-dessus qui ont non seulement infligés des souffrances physiques mais aussi psychologiques aiguës aux victimes de ces crimes ; (iii) les cas où un ou plusieurs membres d’une famille ont été forcés d’assister au viol ou à l’exécution sommaire d’un ou de plusieurs autres membres de leur famille.</w:t>
      </w:r>
      <w:bookmarkEnd w:id="69"/>
    </w:p>
    <w:p w14:paraId="6CEB5D99" w14:textId="26C0ECD5" w:rsidR="0093751D" w:rsidRPr="006D5135" w:rsidRDefault="0093751D" w:rsidP="000450EC">
      <w:pPr>
        <w:pStyle w:val="Heading5"/>
        <w:numPr>
          <w:ilvl w:val="0"/>
          <w:numId w:val="0"/>
        </w:numPr>
        <w:tabs>
          <w:tab w:val="clear" w:pos="1984"/>
          <w:tab w:val="left" w:pos="2340"/>
        </w:tabs>
        <w:spacing w:before="120" w:after="120"/>
        <w:ind w:left="2160" w:right="1138"/>
        <w:contextualSpacing w:val="0"/>
        <w:rPr>
          <w:i w:val="0"/>
          <w:u w:val="single"/>
        </w:rPr>
      </w:pPr>
      <w:r w:rsidRPr="000450EC">
        <w:rPr>
          <w:b w:val="0"/>
          <w:u w:val="single"/>
        </w:rPr>
        <w:t>Autres actes inhumains (Art. 7(1)(k) du Statut de Rome ; Art. 222(12) du Code pénal de la RDC</w:t>
      </w:r>
      <w:bookmarkStart w:id="70" w:name="_Ref515462984"/>
      <w:r w:rsidRPr="000450EC">
        <w:rPr>
          <w:b w:val="0"/>
          <w:u w:val="single"/>
        </w:rPr>
        <w:t>)</w:t>
      </w:r>
      <w:r w:rsidRPr="007F1170">
        <w:rPr>
          <w:rStyle w:val="FootnoteReference"/>
        </w:rPr>
        <w:footnoteReference w:id="751"/>
      </w:r>
      <w:bookmarkEnd w:id="70"/>
    </w:p>
    <w:p w14:paraId="1C7296CB" w14:textId="77777777" w:rsidR="0093751D" w:rsidRDefault="0093751D" w:rsidP="000450EC">
      <w:pPr>
        <w:pStyle w:val="BodyText"/>
        <w:tabs>
          <w:tab w:val="left" w:pos="1559"/>
          <w:tab w:val="left" w:pos="1984"/>
          <w:tab w:val="left" w:leader="dot" w:pos="7654"/>
          <w:tab w:val="right" w:pos="8929"/>
        </w:tabs>
        <w:spacing w:line="240" w:lineRule="atLeast"/>
        <w:ind w:left="1138" w:right="1138" w:firstLine="0"/>
      </w:pPr>
      <w:r>
        <w:t xml:space="preserve">Parmi </w:t>
      </w:r>
      <w:r w:rsidRPr="00D76845">
        <w:t>les autres actes inhumains</w:t>
      </w:r>
      <w:r>
        <w:t xml:space="preserve"> constitutifs de crimes contre l’humanité, il convient de relever qu’un élément des FARDC a notamment éventré une femme enceinte devant la fille de cette dernière avant de sortir le fœtus du ventre de la défunte</w:t>
      </w:r>
      <w:r w:rsidRPr="007F1170">
        <w:rPr>
          <w:rStyle w:val="FootnoteReference"/>
        </w:rPr>
        <w:footnoteReference w:id="752"/>
      </w:r>
      <w:r>
        <w:t>. Cet exemple n’est pas un cas isolé</w:t>
      </w:r>
      <w:r w:rsidRPr="007F1170">
        <w:rPr>
          <w:rStyle w:val="FootnoteReference"/>
        </w:rPr>
        <w:footnoteReference w:id="753"/>
      </w:r>
      <w:r>
        <w:t>.</w:t>
      </w:r>
    </w:p>
    <w:p w14:paraId="730FA5E9" w14:textId="6DF88960" w:rsidR="0093751D" w:rsidRPr="00FE5E8D" w:rsidRDefault="0093751D" w:rsidP="00BC668B">
      <w:pPr>
        <w:pStyle w:val="Heading3"/>
        <w:spacing w:before="240" w:line="240" w:lineRule="exact"/>
        <w:ind w:left="1138" w:right="1138" w:hanging="571"/>
        <w:rPr>
          <w:b/>
        </w:rPr>
      </w:pPr>
      <w:bookmarkStart w:id="71" w:name="_Toc513980393"/>
      <w:r w:rsidRPr="00FE5E8D">
        <w:rPr>
          <w:b/>
        </w:rPr>
        <w:t>Par la milice Kamuina Nsapu</w:t>
      </w:r>
      <w:bookmarkEnd w:id="71"/>
    </w:p>
    <w:p w14:paraId="3A5CD661" w14:textId="4ABE0861" w:rsidR="0093751D" w:rsidRPr="00FE5E8D" w:rsidRDefault="000450EC" w:rsidP="000450EC">
      <w:pPr>
        <w:pStyle w:val="BodyText"/>
        <w:numPr>
          <w:ilvl w:val="0"/>
          <w:numId w:val="0"/>
        </w:numPr>
        <w:tabs>
          <w:tab w:val="left" w:pos="1559"/>
          <w:tab w:val="left" w:pos="1984"/>
          <w:tab w:val="left" w:leader="dot" w:pos="7654"/>
          <w:tab w:val="right" w:pos="8929"/>
        </w:tabs>
        <w:spacing w:line="240" w:lineRule="atLeast"/>
        <w:ind w:left="1138" w:right="1138"/>
        <w:rPr>
          <w:i/>
        </w:rPr>
      </w:pPr>
      <w:r>
        <w:rPr>
          <w:i/>
        </w:rPr>
        <w:t xml:space="preserve">a. </w:t>
      </w:r>
      <w:r>
        <w:rPr>
          <w:i/>
        </w:rPr>
        <w:tab/>
      </w:r>
      <w:r w:rsidR="0093751D" w:rsidRPr="00FE5E8D">
        <w:rPr>
          <w:i/>
        </w:rPr>
        <w:t>Eléments contextuels</w:t>
      </w:r>
    </w:p>
    <w:p w14:paraId="16990F19" w14:textId="75023A28" w:rsidR="0093751D" w:rsidRPr="001F7EF9" w:rsidRDefault="0093751D" w:rsidP="000450EC">
      <w:pPr>
        <w:pStyle w:val="BodyText"/>
        <w:tabs>
          <w:tab w:val="left" w:pos="1559"/>
          <w:tab w:val="left" w:pos="1984"/>
          <w:tab w:val="left" w:leader="dot" w:pos="7654"/>
          <w:tab w:val="right" w:pos="8929"/>
        </w:tabs>
        <w:spacing w:line="240" w:lineRule="atLeast"/>
        <w:ind w:left="1138" w:right="1138" w:firstLine="0"/>
      </w:pPr>
      <w:bookmarkStart w:id="72" w:name="_Ref517879947"/>
      <w:r w:rsidRPr="001F7EF9">
        <w:t>L’</w:t>
      </w:r>
      <w:r>
        <w:t>EEI</w:t>
      </w:r>
      <w:r w:rsidRPr="001F7EF9">
        <w:t xml:space="preserve"> a des motifs raisonnables de croire que</w:t>
      </w:r>
      <w:r>
        <w:t xml:space="preserve"> </w:t>
      </w:r>
      <w:r w:rsidRPr="001F7EF9">
        <w:t xml:space="preserve">la milice Kamuina Nsapu a lancé une attaque contre la population civile qui visait, d’un côté, les filles et garçons ainsi que certains adultes pour les recruter de force et, d’un autre, les représentants et fonctionnaires de l’État, ainsi que la population civile qui aurait refusé d’adhérer à son mouvement. </w:t>
      </w:r>
      <w:r w:rsidRPr="008E2792">
        <w:t xml:space="preserve">Dans le territoire de Kamonia dans la province du Kasaï, cette attaque visait aussi plus globalement la population civile n’appartenant pas à l’ethnie </w:t>
      </w:r>
      <w:r w:rsidR="00051090">
        <w:t>l</w:t>
      </w:r>
      <w:r w:rsidRPr="008E2792">
        <w:t>uba.</w:t>
      </w:r>
      <w:r w:rsidRPr="001F7EF9">
        <w:t xml:space="preserve"> Cette attaque a consisté </w:t>
      </w:r>
      <w:r>
        <w:t>en</w:t>
      </w:r>
      <w:r w:rsidRPr="001F7EF9">
        <w:t xml:space="preserve"> la multiplication d’actes visés dans l’article 7(1) du Statut de Rome ainsi que dans l’incendie et/ou la destruction d’écoles, de centres de santé, d’églises et de bâtiments publics représentants l’autorité de l’État ou assimilés à ceux-ci. La présence de certains éléments des FARDC et d’agents de la PNC parmi les victimes au sein de cette population civile ne change rien à cette qualification</w:t>
      </w:r>
      <w:r w:rsidRPr="007F1170">
        <w:rPr>
          <w:rStyle w:val="FootnoteReference"/>
        </w:rPr>
        <w:footnoteReference w:id="754"/>
      </w:r>
      <w:r w:rsidR="00C15D58">
        <w:t>.</w:t>
      </w:r>
      <w:bookmarkEnd w:id="72"/>
    </w:p>
    <w:p w14:paraId="08E4ECFB" w14:textId="717E021F" w:rsidR="0093751D" w:rsidRPr="001F7EF9" w:rsidRDefault="0093751D" w:rsidP="000450EC">
      <w:pPr>
        <w:pStyle w:val="BodyText"/>
        <w:tabs>
          <w:tab w:val="left" w:pos="1559"/>
          <w:tab w:val="left" w:pos="1984"/>
          <w:tab w:val="left" w:leader="dot" w:pos="7654"/>
          <w:tab w:val="right" w:pos="8929"/>
        </w:tabs>
        <w:spacing w:line="240" w:lineRule="atLeast"/>
        <w:ind w:left="1138" w:right="1138" w:firstLine="0"/>
      </w:pPr>
      <w:r w:rsidRPr="001F7EF9">
        <w:t xml:space="preserve">Le nombre d’incidents, leurs commissions dans quatre provinces de la </w:t>
      </w:r>
      <w:r>
        <w:t>RDC</w:t>
      </w:r>
      <w:r w:rsidRPr="001F7EF9">
        <w:t>, et la pluralité des victimes permettent de conclure au caractère généralisé de l’attaque. De plus, l’</w:t>
      </w:r>
      <w:r>
        <w:t>EEI</w:t>
      </w:r>
      <w:r w:rsidRPr="001F7EF9">
        <w:t xml:space="preserve"> a des motifs raisonnables de croire que l’attaque est également systématique éta</w:t>
      </w:r>
      <w:r>
        <w:t>nt donné que,</w:t>
      </w:r>
      <w:r w:rsidRPr="001F7EF9">
        <w:t xml:space="preserve"> dans chaque lieu où la milice a commis une multitude d’actes de violence, ce</w:t>
      </w:r>
      <w:r>
        <w:t>tte</w:t>
      </w:r>
      <w:r w:rsidRPr="001F7EF9">
        <w:t xml:space="preserve"> </w:t>
      </w:r>
      <w:r>
        <w:t>dernière</w:t>
      </w:r>
      <w:r w:rsidRPr="001F7EF9">
        <w:t xml:space="preserve"> </w:t>
      </w:r>
      <w:r>
        <w:t>a</w:t>
      </w:r>
      <w:r w:rsidRPr="001F7EF9">
        <w:t xml:space="preserve"> suivi le même </w:t>
      </w:r>
      <w:r w:rsidRPr="001F7EF9">
        <w:rPr>
          <w:i/>
        </w:rPr>
        <w:t>modus operandi</w:t>
      </w:r>
      <w:r w:rsidRPr="001F7EF9">
        <w:t xml:space="preserve"> consistant à recruter, essentiellement sous la contrainte, des filles, garçons, femmes et hommes, de les baptiser et d’ensuite procéder à des attaques contre les représentants et bâtiments symbolisant l’État ainsi que contre la population refusant d’adhérer à son mouvement et, dans le territoire de Kamonia dans la province du Kasaï, la population civile n’appartenant pas à l’ethnie </w:t>
      </w:r>
      <w:r w:rsidR="00051090">
        <w:t>l</w:t>
      </w:r>
      <w:r w:rsidRPr="001F7EF9">
        <w:t>uba.</w:t>
      </w:r>
    </w:p>
    <w:p w14:paraId="516403D1" w14:textId="1FCF9AD9" w:rsidR="0093751D" w:rsidRPr="001F7EF9" w:rsidRDefault="0093751D" w:rsidP="000450EC">
      <w:pPr>
        <w:pStyle w:val="BodyText"/>
        <w:tabs>
          <w:tab w:val="left" w:pos="1559"/>
          <w:tab w:val="left" w:pos="1984"/>
          <w:tab w:val="left" w:leader="dot" w:pos="7654"/>
          <w:tab w:val="right" w:pos="8929"/>
        </w:tabs>
        <w:spacing w:line="240" w:lineRule="atLeast"/>
        <w:ind w:left="1138" w:right="1138" w:firstLine="0"/>
      </w:pPr>
      <w:bookmarkStart w:id="73" w:name="_Ref517879967"/>
      <w:r w:rsidRPr="001F7EF9">
        <w:rPr>
          <w:lang w:val="fr-CH"/>
        </w:rPr>
        <w:t xml:space="preserve">S’agissant du concept de politique, c’est-à-dire que l’organisation favorise ou encourage activement une attaque </w:t>
      </w:r>
      <w:r w:rsidRPr="000450EC">
        <w:t>contre</w:t>
      </w:r>
      <w:r w:rsidRPr="001F7EF9">
        <w:rPr>
          <w:lang w:val="fr-CH"/>
        </w:rPr>
        <w:t xml:space="preserve"> une population civile, </w:t>
      </w:r>
      <w:r w:rsidRPr="001F7EF9">
        <w:t>l’</w:t>
      </w:r>
      <w:r>
        <w:t>EEI</w:t>
      </w:r>
      <w:r w:rsidRPr="001F7EF9">
        <w:t xml:space="preserve"> rappelle que l’attaque contre la population civile de la part de la milice Kamuina Nsapu comporte diverse</w:t>
      </w:r>
      <w:r w:rsidR="00C03957">
        <w:t>s facettes, mais s’appuie sur</w:t>
      </w:r>
      <w:r w:rsidRPr="001F7EF9">
        <w:t xml:space="preserve"> une même idéologie expressément énoncée qui consiste à s’en prendre à la population civile représentant les symboles de l’État ou lui étant associée</w:t>
      </w:r>
      <w:r>
        <w:t>.</w:t>
      </w:r>
      <w:r w:rsidRPr="001F7EF9">
        <w:t xml:space="preserve"> </w:t>
      </w:r>
      <w:r>
        <w:t>L</w:t>
      </w:r>
      <w:r w:rsidRPr="001F7EF9">
        <w:t>a mise en œuvre</w:t>
      </w:r>
      <w:r>
        <w:t xml:space="preserve"> de cette politique</w:t>
      </w:r>
      <w:r w:rsidRPr="001F7EF9">
        <w:t xml:space="preserve"> vise la population civile dans son ensemble, notamment afin de la recruter de force dans la milice ou pour la punir d’avoir refusé d’adhérer à son mouvement. Le modèle récurrent de violence commis par la milice Kamuina Nsapu</w:t>
      </w:r>
      <w:r>
        <w:t>,</w:t>
      </w:r>
      <w:r w:rsidRPr="001F7EF9">
        <w:t xml:space="preserve"> tel qu’illustré </w:t>
      </w:r>
      <w:r>
        <w:t>précédemment dans ce rapport,</w:t>
      </w:r>
      <w:r w:rsidRPr="001F7EF9">
        <w:t xml:space="preserve"> et qui vise à recruter et baptiser la population civile avant de l’utiliser pour commettre des atrocités contre toute personne symbolisant l’État, lui étant assimilé ou étant perçue comme refusant d’adhérer à son mouvement atteste également de l’existence de cette politique.</w:t>
      </w:r>
      <w:bookmarkEnd w:id="73"/>
    </w:p>
    <w:p w14:paraId="04F35055" w14:textId="77777777" w:rsidR="0093751D" w:rsidRPr="001F7EF9" w:rsidRDefault="0093751D" w:rsidP="000450EC">
      <w:pPr>
        <w:pStyle w:val="BodyText"/>
        <w:tabs>
          <w:tab w:val="left" w:pos="1559"/>
          <w:tab w:val="left" w:pos="1984"/>
          <w:tab w:val="left" w:leader="dot" w:pos="7654"/>
          <w:tab w:val="right" w:pos="8929"/>
        </w:tabs>
        <w:spacing w:line="240" w:lineRule="atLeast"/>
        <w:ind w:left="1138" w:right="1138" w:firstLine="0"/>
      </w:pPr>
      <w:r>
        <w:t>L</w:t>
      </w:r>
      <w:r w:rsidRPr="001F7EF9">
        <w:t>’</w:t>
      </w:r>
      <w:r>
        <w:t>EEI</w:t>
      </w:r>
      <w:r w:rsidRPr="001F7EF9">
        <w:t xml:space="preserve"> a </w:t>
      </w:r>
      <w:r>
        <w:t xml:space="preserve">également </w:t>
      </w:r>
      <w:r w:rsidRPr="001F7EF9">
        <w:t>des motifs raisonnables de croire que les auteurs présumés qu’elle a pu identifier, membres de la milice Kamuina Nsapu, ne pouvaient pas ne pas avoir une connaissance du contexte dans lequel s’inscrivaient leurs actes, vu l</w:t>
      </w:r>
      <w:r>
        <w:t>’idéologie de</w:t>
      </w:r>
      <w:r w:rsidRPr="001F7EF9">
        <w:t xml:space="preserve"> la milice ou le fait qu’ils aient été baptisés lors d’un rituel au tshiota précédant leur participant aux attaques.</w:t>
      </w:r>
    </w:p>
    <w:p w14:paraId="055D7379" w14:textId="6DAAECBC" w:rsidR="0093751D" w:rsidRPr="00FE5E8D" w:rsidRDefault="000450EC" w:rsidP="000450EC">
      <w:pPr>
        <w:pStyle w:val="BodyText"/>
        <w:numPr>
          <w:ilvl w:val="0"/>
          <w:numId w:val="0"/>
        </w:numPr>
        <w:tabs>
          <w:tab w:val="left" w:pos="1559"/>
          <w:tab w:val="left" w:pos="1984"/>
          <w:tab w:val="left" w:leader="dot" w:pos="7654"/>
          <w:tab w:val="right" w:pos="8929"/>
        </w:tabs>
        <w:spacing w:line="240" w:lineRule="atLeast"/>
        <w:ind w:left="1138" w:right="1138"/>
        <w:rPr>
          <w:i/>
        </w:rPr>
      </w:pPr>
      <w:r>
        <w:rPr>
          <w:i/>
        </w:rPr>
        <w:t>b.</w:t>
      </w:r>
      <w:r>
        <w:rPr>
          <w:i/>
        </w:rPr>
        <w:tab/>
      </w:r>
      <w:r w:rsidR="0093751D" w:rsidRPr="00FE5E8D">
        <w:rPr>
          <w:i/>
        </w:rPr>
        <w:t>Typologie des crimes commis par la milice Kamuina Nsapu</w:t>
      </w:r>
    </w:p>
    <w:p w14:paraId="6D238AF9" w14:textId="77777777" w:rsidR="0093751D" w:rsidRDefault="0093751D" w:rsidP="000450EC">
      <w:pPr>
        <w:pStyle w:val="BodyText"/>
        <w:tabs>
          <w:tab w:val="left" w:pos="1559"/>
          <w:tab w:val="left" w:pos="1984"/>
          <w:tab w:val="left" w:leader="dot" w:pos="7654"/>
          <w:tab w:val="right" w:pos="8929"/>
        </w:tabs>
        <w:spacing w:line="240" w:lineRule="atLeast"/>
        <w:ind w:left="1138" w:right="1138" w:firstLine="0"/>
        <w:rPr>
          <w:i/>
          <w:u w:val="single"/>
        </w:rPr>
      </w:pPr>
      <w:r w:rsidRPr="001F7EF9">
        <w:t>Les éléments contextuels des crimes contre l’humanité étant d’après elle réunis, l’</w:t>
      </w:r>
      <w:r>
        <w:t>EEI</w:t>
      </w:r>
      <w:r w:rsidRPr="001F7EF9">
        <w:t xml:space="preserve"> a des motifs raisonnables de croire que des éléments de la milice Kamuina Nsapu ont </w:t>
      </w:r>
      <w:r>
        <w:t xml:space="preserve">notamment </w:t>
      </w:r>
      <w:r w:rsidRPr="001F7EF9">
        <w:t>commis les crimes contre l’humanité suivants :</w:t>
      </w:r>
    </w:p>
    <w:p w14:paraId="07975E22" w14:textId="34CF0709" w:rsidR="0093751D" w:rsidRPr="000450EC" w:rsidRDefault="0093751D" w:rsidP="000450EC">
      <w:pPr>
        <w:pStyle w:val="Heading5"/>
        <w:numPr>
          <w:ilvl w:val="0"/>
          <w:numId w:val="0"/>
        </w:numPr>
        <w:tabs>
          <w:tab w:val="clear" w:pos="1984"/>
          <w:tab w:val="left" w:pos="2340"/>
        </w:tabs>
        <w:spacing w:before="120" w:after="120"/>
        <w:ind w:left="2160" w:right="1138"/>
        <w:contextualSpacing w:val="0"/>
        <w:rPr>
          <w:b w:val="0"/>
          <w:u w:val="single"/>
        </w:rPr>
      </w:pPr>
      <w:r w:rsidRPr="000450EC">
        <w:rPr>
          <w:b w:val="0"/>
          <w:u w:val="single"/>
        </w:rPr>
        <w:t>Meurtre (Art. 7(1)(a) du Statut de Rome ; Art. 222(1) du Code pénal de la RDC)</w:t>
      </w:r>
      <w:r w:rsidRPr="007F1170">
        <w:rPr>
          <w:rStyle w:val="FootnoteReference"/>
        </w:rPr>
        <w:footnoteReference w:id="755"/>
      </w:r>
    </w:p>
    <w:p w14:paraId="5502F293" w14:textId="77777777" w:rsidR="0093751D" w:rsidRDefault="0093751D" w:rsidP="000450EC">
      <w:pPr>
        <w:pStyle w:val="BodyText"/>
        <w:tabs>
          <w:tab w:val="left" w:pos="1559"/>
          <w:tab w:val="left" w:pos="1984"/>
          <w:tab w:val="left" w:leader="dot" w:pos="7654"/>
          <w:tab w:val="right" w:pos="8929"/>
        </w:tabs>
        <w:spacing w:line="240" w:lineRule="atLeast"/>
        <w:ind w:left="1138" w:right="1138" w:firstLine="0"/>
      </w:pPr>
      <w:bookmarkStart w:id="74" w:name="_Ref517880144"/>
      <w:r w:rsidRPr="00C13959">
        <w:t xml:space="preserve">Partout </w:t>
      </w:r>
      <w:r>
        <w:t>où la milice Kamuina Nsapu s’est implantée ou a été active, des miliciens ont tué des membres de la population civile, y compris d</w:t>
      </w:r>
      <w:r w:rsidRPr="001F7EF9">
        <w:t>es représentants et fonctionnaires de l’État</w:t>
      </w:r>
      <w:r>
        <w:t xml:space="preserve"> – et toute personne supposément assimilée à ceux-ci – ainsi </w:t>
      </w:r>
      <w:r w:rsidRPr="001F7EF9">
        <w:t xml:space="preserve">que </w:t>
      </w:r>
      <w:r>
        <w:t xml:space="preserve">des chefs de village ou de groupement et tout membre de la population </w:t>
      </w:r>
      <w:r w:rsidRPr="001F7EF9">
        <w:t>civile qui refus</w:t>
      </w:r>
      <w:r>
        <w:t>aient</w:t>
      </w:r>
      <w:r w:rsidRPr="001F7EF9">
        <w:t xml:space="preserve"> d’adhérer à son mouvement</w:t>
      </w:r>
      <w:r>
        <w:t xml:space="preserve"> ou qui étaient accusés – à tort ou à raison – de protéger, de cacher ou d’avoir des liens avec des militaires, souvent appelés « petits cochons », des membres de la PNC ou de l’ANR. Lorsque les miliciens ne trouvaient pas les membres de la PNC qu’ils recherchaient, ils tuaient parfois leur épouse à leur place</w:t>
      </w:r>
      <w:r w:rsidRPr="007F1170">
        <w:rPr>
          <w:rStyle w:val="FootnoteReference"/>
        </w:rPr>
        <w:footnoteReference w:id="756"/>
      </w:r>
      <w:r>
        <w:t>.</w:t>
      </w:r>
      <w:bookmarkEnd w:id="74"/>
    </w:p>
    <w:p w14:paraId="6D20E264" w14:textId="214EB9D3" w:rsidR="0093751D" w:rsidRDefault="0093751D" w:rsidP="000450EC">
      <w:pPr>
        <w:pStyle w:val="BodyText"/>
        <w:tabs>
          <w:tab w:val="left" w:pos="1559"/>
          <w:tab w:val="left" w:pos="1984"/>
          <w:tab w:val="left" w:leader="dot" w:pos="7654"/>
          <w:tab w:val="right" w:pos="8929"/>
        </w:tabs>
        <w:spacing w:line="240" w:lineRule="atLeast"/>
        <w:ind w:left="1138" w:right="1138" w:firstLine="0"/>
      </w:pPr>
      <w:r>
        <w:t>La plupart des victimes de ces meurtres ont été tuées à la machette ou à l’aide d’un couteau, puis décapitées au tshiota devant le reste de la population</w:t>
      </w:r>
      <w:r w:rsidR="0098782B">
        <w:t xml:space="preserve"> et parfois des membres de leur famille</w:t>
      </w:r>
      <w:r>
        <w:t>. Des membres de la milice Kamuina Nsapu ont également causé la mort de cert</w:t>
      </w:r>
      <w:r w:rsidR="0098782B">
        <w:t>ains hommes en leur coupant le</w:t>
      </w:r>
      <w:r>
        <w:t xml:space="preserve"> pénis et les laissant se vider de leur sang</w:t>
      </w:r>
      <w:r w:rsidRPr="007F1170">
        <w:rPr>
          <w:rStyle w:val="FootnoteReference"/>
        </w:rPr>
        <w:footnoteReference w:id="757"/>
      </w:r>
      <w:r>
        <w:t xml:space="preserve">. D’autres membres de la population civile ont été tués à la machette ou brûlés vifs dans leur maison. Finalement, dans certains cas, des femmes et des hommes ont été tués avec des armes à feu ou étranglés avec des cordes. Dans nombre de cas, les miliciens ont ensuite amputé </w:t>
      </w:r>
      <w:r w:rsidR="00ED36B7">
        <w:t>les corps</w:t>
      </w:r>
      <w:r>
        <w:t xml:space="preserve"> de leurs victimes. Ils ont aussi parfois brûlé leurs corps.</w:t>
      </w:r>
    </w:p>
    <w:p w14:paraId="219A133C" w14:textId="77777777" w:rsidR="0093751D" w:rsidRPr="008A77FA" w:rsidRDefault="0093751D" w:rsidP="000450EC">
      <w:pPr>
        <w:pStyle w:val="BodyText"/>
        <w:tabs>
          <w:tab w:val="left" w:pos="1559"/>
          <w:tab w:val="left" w:pos="1984"/>
          <w:tab w:val="left" w:leader="dot" w:pos="7654"/>
          <w:tab w:val="right" w:pos="8929"/>
        </w:tabs>
        <w:spacing w:line="240" w:lineRule="atLeast"/>
        <w:ind w:left="1138" w:right="1138" w:firstLine="0"/>
      </w:pPr>
      <w:bookmarkStart w:id="75" w:name="_Ref517880165"/>
      <w:r>
        <w:t>Ces meurtres d’une brutalité et d’une cruauté choquantes ont été perpétrés aussi bien par des hommes et des femmes que par des filles et des garçons faisant partie de la milice. En effet, certains témoins ont rapporté que c’était des filles membres de la milice qui avaient ordonné la décapitation des membres de leur famille de sexe masculin</w:t>
      </w:r>
      <w:r w:rsidRPr="007F1170">
        <w:rPr>
          <w:rStyle w:val="FootnoteReference"/>
        </w:rPr>
        <w:footnoteReference w:id="758"/>
      </w:r>
      <w:r>
        <w:t>. Si les femmes accusées de sorcellerie ont systématiquement été tuées par les membres de la milice, ces derniers ont souvent dit aux femmes et filles de la population civile qu’elles avaient « le choix » entre être tuées ou violées.</w:t>
      </w:r>
      <w:bookmarkEnd w:id="75"/>
    </w:p>
    <w:p w14:paraId="2EE0B6D8" w14:textId="536346DB" w:rsidR="0093751D" w:rsidRPr="00B66460" w:rsidRDefault="0093751D" w:rsidP="000450EC">
      <w:pPr>
        <w:pStyle w:val="Heading5"/>
        <w:numPr>
          <w:ilvl w:val="0"/>
          <w:numId w:val="0"/>
        </w:numPr>
        <w:tabs>
          <w:tab w:val="clear" w:pos="1984"/>
          <w:tab w:val="left" w:pos="2340"/>
        </w:tabs>
        <w:spacing w:before="120" w:after="120"/>
        <w:ind w:left="2160" w:right="1138"/>
        <w:contextualSpacing w:val="0"/>
      </w:pPr>
      <w:r w:rsidRPr="000450EC">
        <w:rPr>
          <w:b w:val="0"/>
          <w:u w:val="single"/>
        </w:rPr>
        <w:t>Réduction en esclavage (Art. 7(1)(c) du Statut de Rome ; Art. 222(3) du Code pénal de la RDC</w:t>
      </w:r>
      <w:bookmarkStart w:id="76" w:name="_Ref516565845"/>
      <w:r w:rsidRPr="000450EC">
        <w:rPr>
          <w:b w:val="0"/>
          <w:u w:val="single"/>
        </w:rPr>
        <w:t>)</w:t>
      </w:r>
      <w:r w:rsidRPr="007F1170">
        <w:rPr>
          <w:rStyle w:val="FootnoteReference"/>
        </w:rPr>
        <w:footnoteReference w:id="759"/>
      </w:r>
      <w:bookmarkEnd w:id="76"/>
    </w:p>
    <w:p w14:paraId="7DD35255" w14:textId="6F22D0B7" w:rsidR="0093751D" w:rsidRDefault="00C03957" w:rsidP="000450EC">
      <w:pPr>
        <w:pStyle w:val="BodyText"/>
        <w:tabs>
          <w:tab w:val="left" w:pos="1559"/>
          <w:tab w:val="left" w:pos="1984"/>
          <w:tab w:val="left" w:leader="dot" w:pos="7654"/>
          <w:tab w:val="right" w:pos="8929"/>
        </w:tabs>
        <w:spacing w:line="240" w:lineRule="atLeast"/>
        <w:ind w:left="1138" w:right="1138" w:firstLine="0"/>
      </w:pPr>
      <w:bookmarkStart w:id="77" w:name="_Ref517874750"/>
      <w:r>
        <w:t>Parmi les éléments essentiels qui caractérisent le crime de réduction en esclavage on retrouve</w:t>
      </w:r>
      <w:r w:rsidR="0093751D" w:rsidRPr="002135E3">
        <w:t xml:space="preserve"> </w:t>
      </w:r>
      <w:r w:rsidR="0093751D">
        <w:t>« </w:t>
      </w:r>
      <w:r w:rsidR="0093751D" w:rsidRPr="002135E3">
        <w:t>les</w:t>
      </w:r>
      <w:r w:rsidR="0093751D">
        <w:t xml:space="preserve"> </w:t>
      </w:r>
      <w:r w:rsidR="0093751D" w:rsidRPr="002135E3">
        <w:t>éléments de contrôle et de propriété, la limitation et le contrôle de l’autonomie, de la liberté</w:t>
      </w:r>
      <w:r w:rsidR="0093751D">
        <w:t xml:space="preserve"> </w:t>
      </w:r>
      <w:r w:rsidR="0093751D" w:rsidRPr="002135E3">
        <w:t>de choix ou de circulation et, souvent, les bénéfices retirés par l’auteur de l’infraction. Le</w:t>
      </w:r>
      <w:r w:rsidR="0093751D">
        <w:t xml:space="preserve"> </w:t>
      </w:r>
      <w:r w:rsidR="0093751D" w:rsidRPr="002135E3">
        <w:t>consentement ou le libre arbitre de la victime fait défaut. Les menaces, le recours à la force</w:t>
      </w:r>
      <w:r w:rsidR="0093751D">
        <w:t xml:space="preserve"> </w:t>
      </w:r>
      <w:r w:rsidR="0093751D" w:rsidRPr="002135E3">
        <w:t>ou d’autres formes de contrainte, par exemple, le rendent souvent impossible ou sans objet,</w:t>
      </w:r>
      <w:r w:rsidR="0093751D">
        <w:t xml:space="preserve"> </w:t>
      </w:r>
      <w:r w:rsidR="0093751D" w:rsidRPr="002135E3">
        <w:t>tout comme la peur de la violence, le dol ou les promesses fallacieuses, l’abus de pouvoir, la</w:t>
      </w:r>
      <w:r w:rsidR="0093751D">
        <w:t xml:space="preserve"> </w:t>
      </w:r>
      <w:r w:rsidR="0093751D" w:rsidRPr="002135E3">
        <w:t>vulnérabilité de la victime, la détention ou la captivité, les pressions psychologiques ou les</w:t>
      </w:r>
      <w:r w:rsidR="0093751D">
        <w:t xml:space="preserve"> </w:t>
      </w:r>
      <w:r w:rsidR="0093751D" w:rsidRPr="002135E3">
        <w:t>conditions socio-économiques. Sont également symptomatiques l’exploitation, le travail ou</w:t>
      </w:r>
      <w:r w:rsidR="0093751D">
        <w:t xml:space="preserve"> </w:t>
      </w:r>
      <w:r w:rsidR="0093751D" w:rsidRPr="002135E3">
        <w:t>service forcé ou obligatoire, exigé souvent sans rémunération et qui constitue souvent aussi,</w:t>
      </w:r>
      <w:r w:rsidR="0093751D">
        <w:t xml:space="preserve"> </w:t>
      </w:r>
      <w:r w:rsidR="0093751D" w:rsidRPr="002135E3">
        <w:t>mais pas nécessairement, une épreuve p</w:t>
      </w:r>
      <w:r w:rsidR="0093751D">
        <w:t>hysique [ainsi que] l’utilisation sexuelle »</w:t>
      </w:r>
      <w:bookmarkStart w:id="78" w:name="_Ref516326228"/>
      <w:r w:rsidR="0093751D" w:rsidRPr="007F1170">
        <w:rPr>
          <w:rStyle w:val="FootnoteReference"/>
        </w:rPr>
        <w:footnoteReference w:id="760"/>
      </w:r>
      <w:bookmarkEnd w:id="78"/>
      <w:r w:rsidR="0093751D">
        <w:t>. Dès lors, pour déterminer s’il y a eu réduction en esclavage, les éléments qui peuvent être pris en compte comprennent : « </w:t>
      </w:r>
      <w:r w:rsidR="0093751D" w:rsidRPr="002135E3">
        <w:t>le contrôle des mouvements d’un individu, le contrôle de l’environnement physique, le contrôle psychologique, les mesures prises pour</w:t>
      </w:r>
      <w:r w:rsidR="0093751D">
        <w:t xml:space="preserve"> </w:t>
      </w:r>
      <w:r w:rsidR="0093751D" w:rsidRPr="002135E3">
        <w:t>empêcher ou décourager toute tentative de fuite, le recours à la force, les menaces de recourir à la force ou la contrainte, la durée, la revendication de droits exclusifs, les traitements cruels et les sévices, le contrôle de la sexualité et le travail forcé</w:t>
      </w:r>
      <w:r w:rsidR="0093751D">
        <w:t> »</w:t>
      </w:r>
      <w:r w:rsidR="0093751D" w:rsidRPr="007F1170">
        <w:rPr>
          <w:rStyle w:val="FootnoteReference"/>
        </w:rPr>
        <w:footnoteReference w:id="761"/>
      </w:r>
      <w:r w:rsidR="0093751D">
        <w:t>.</w:t>
      </w:r>
      <w:bookmarkEnd w:id="77"/>
    </w:p>
    <w:p w14:paraId="2F0A8D3A" w14:textId="77777777" w:rsidR="0093751D" w:rsidRDefault="0093751D" w:rsidP="000450EC">
      <w:pPr>
        <w:pStyle w:val="BodyText"/>
        <w:tabs>
          <w:tab w:val="left" w:pos="1559"/>
          <w:tab w:val="left" w:pos="1984"/>
          <w:tab w:val="left" w:leader="dot" w:pos="7654"/>
          <w:tab w:val="right" w:pos="8929"/>
        </w:tabs>
        <w:spacing w:line="240" w:lineRule="atLeast"/>
        <w:ind w:left="1138" w:right="1138" w:firstLine="0"/>
      </w:pPr>
      <w:r>
        <w:t xml:space="preserve">La stratégie de la milice Kamuina Nsapu consistant à recruter, </w:t>
      </w:r>
      <w:r w:rsidRPr="001F7EF9">
        <w:t>essentiellement sous la contrainte</w:t>
      </w:r>
      <w:r>
        <w:t>, des garçons et filles, y compris très jeunes, ainsi que des adultes au sein de la population civile afin de les faire participer activement aux hostilités, de les utiliser dans divers rôles d’appui à la milice ou encore à des fins sexuelles reflète ces éléments et peut être qualifiée de réduction en esclavage constitutive de crime contre l’humanité</w:t>
      </w:r>
      <w:r w:rsidRPr="007F1170">
        <w:rPr>
          <w:rStyle w:val="FootnoteReference"/>
        </w:rPr>
        <w:footnoteReference w:id="762"/>
      </w:r>
      <w:r>
        <w:t>.</w:t>
      </w:r>
    </w:p>
    <w:p w14:paraId="42D8B7C5" w14:textId="643B96DC" w:rsidR="0093751D" w:rsidRPr="00571A88" w:rsidRDefault="0093751D" w:rsidP="000450EC">
      <w:pPr>
        <w:pStyle w:val="BodyText"/>
        <w:tabs>
          <w:tab w:val="left" w:pos="1559"/>
          <w:tab w:val="left" w:pos="1984"/>
          <w:tab w:val="left" w:leader="dot" w:pos="7654"/>
          <w:tab w:val="right" w:pos="8929"/>
        </w:tabs>
        <w:spacing w:line="240" w:lineRule="atLeast"/>
        <w:ind w:left="1138" w:right="1138" w:firstLine="0"/>
      </w:pPr>
      <w:r w:rsidRPr="00571A88">
        <w:t>En effet, nombre d’enfants, et des adultes, ont été capturés et forcés de rejoindre la milice Kamuina Nsapu au sein de laquelle des miliciens ont exercé sur eux l’un quelconque ou l’ensemble des pouvoirs liés au droit de propriété. Ces personnes ont non seulement été utilisées pour participer activement aux hostilités mais aussi contrôlées dans leurs mouvements, privées de liberté, battues, victimes et/ou témoins de traitements cruels et de sévices ou assignées aux corvées, telles que chercher du bois et de l’eau, laver la vaisselle, et cuisinier. Par exemple, un garçon capturé en décembre 2016 par la milice et assigné de force aux corvées précise : « Ils nous amenaient parfois des cuisses humaines qu’on devait cuisiner et des bidons de sang ». Il n’a réussi à s’échapper que lorsque les FARDC ont affronté la milice, mais a ensuite été capturé à nouveau par la milice et de nouveau assigné de force aux corvées et à la cuisine</w:t>
      </w:r>
      <w:r w:rsidRPr="007F1170">
        <w:rPr>
          <w:rStyle w:val="FootnoteReference"/>
        </w:rPr>
        <w:footnoteReference w:id="763"/>
      </w:r>
      <w:r w:rsidRPr="00571A88">
        <w:t>. Une fille capturée dans la brousse avec sa petite sœur par la milice Kamuina Nsapu explique avoir été amenée dans une sorte de campement où il n’y avait que des femmes et forcée à cuisiner et à puiser de l’eau pour les miliciens qui ne lui donnai</w:t>
      </w:r>
      <w:r w:rsidR="0098782B">
        <w:t>en</w:t>
      </w:r>
      <w:r w:rsidRPr="00571A88">
        <w:t>t pas de nourriture. La journée, lorsque le reste de la milice partait combattre, deux miliciens costauds restaient avec elles pour les surveiller. Elle raconte avoir vu les miliciens couper les oreilles des personnes qui tentaient de s’enfuir de la milice. Lors de leur réduction en esclavage, cette fille et d’autres femmes ont aussi été violées par des miliciens</w:t>
      </w:r>
      <w:r w:rsidRPr="007F1170">
        <w:rPr>
          <w:rStyle w:val="FootnoteReference"/>
        </w:rPr>
        <w:footnoteReference w:id="764"/>
      </w:r>
      <w:r w:rsidRPr="00571A88">
        <w:t>.</w:t>
      </w:r>
    </w:p>
    <w:p w14:paraId="0F0EE845" w14:textId="701785A8" w:rsidR="0093751D" w:rsidRDefault="0093751D" w:rsidP="00540FCE">
      <w:pPr>
        <w:pStyle w:val="Heading5"/>
        <w:numPr>
          <w:ilvl w:val="0"/>
          <w:numId w:val="0"/>
        </w:numPr>
        <w:tabs>
          <w:tab w:val="clear" w:pos="1984"/>
          <w:tab w:val="left" w:pos="2340"/>
        </w:tabs>
        <w:spacing w:before="120" w:after="120"/>
        <w:ind w:left="2160" w:right="1138"/>
        <w:contextualSpacing w:val="0"/>
        <w:rPr>
          <w:i w:val="0"/>
          <w:u w:val="single"/>
        </w:rPr>
      </w:pPr>
      <w:r w:rsidRPr="00540FCE">
        <w:rPr>
          <w:b w:val="0"/>
          <w:u w:val="single"/>
        </w:rPr>
        <w:t>Viol ou toute autre forme de violence sexuelle de gravité comparable (Art. 7(1)(g) du Statut de Rome ; Art. 222(8) du Code pénal de la RDC)</w:t>
      </w:r>
      <w:r w:rsidRPr="007F1170">
        <w:rPr>
          <w:rStyle w:val="FootnoteReference"/>
        </w:rPr>
        <w:footnoteReference w:id="765"/>
      </w:r>
    </w:p>
    <w:p w14:paraId="49F16187" w14:textId="1013B826" w:rsidR="0093751D" w:rsidRDefault="0093751D" w:rsidP="00540FCE">
      <w:pPr>
        <w:pStyle w:val="BodyText"/>
        <w:tabs>
          <w:tab w:val="left" w:pos="1559"/>
          <w:tab w:val="left" w:pos="1984"/>
          <w:tab w:val="left" w:leader="dot" w:pos="7654"/>
          <w:tab w:val="right" w:pos="8929"/>
        </w:tabs>
        <w:spacing w:line="240" w:lineRule="atLeast"/>
        <w:ind w:left="1138" w:right="1138" w:firstLine="0"/>
      </w:pPr>
      <w:bookmarkStart w:id="79" w:name="_Ref517880716"/>
      <w:r>
        <w:t xml:space="preserve">Des membres de la </w:t>
      </w:r>
      <w:r w:rsidR="0098782B">
        <w:t>milice Kamuina Nsapu ont violé,</w:t>
      </w:r>
      <w:r>
        <w:t xml:space="preserve"> souvent de manièr</w:t>
      </w:r>
      <w:r w:rsidR="0098782B">
        <w:t>e répétée et/ou collectivement,</w:t>
      </w:r>
      <w:r>
        <w:t xml:space="preserve"> des femmes et des filles de la population civile qu’ils avaient recrutées de force et gardées en captivité au sein de la milice. Certaines ont été violées par plusieurs auteurs, jusqu’à 10 dans certains cas. Les miliciens ont aussi violé des femmes et des filles qui fuyaient dans la brousse. De plus, après avoir exécuté des pères de famille dans leur maison</w:t>
      </w:r>
      <w:r w:rsidR="0098782B">
        <w:t>, ils ont également violé leur épouse</w:t>
      </w:r>
      <w:r>
        <w:t xml:space="preserve"> et/ou l</w:t>
      </w:r>
      <w:r w:rsidR="003221FF">
        <w:t>eurs filles</w:t>
      </w:r>
      <w:r>
        <w:t>. Dans une moindre mesure, des hommes ont également été forcés d’avoir des rapports sexuels avec un membre de leur famille ou avec d’autres hommes. Un grand nombre de ces viols ont été commis en public et/ou devant des membres de la famille des victimes, y compris des enfants.</w:t>
      </w:r>
      <w:bookmarkEnd w:id="79"/>
    </w:p>
    <w:p w14:paraId="4C37564D" w14:textId="6EA3BE5C" w:rsidR="0093751D" w:rsidRDefault="0093751D" w:rsidP="00540FCE">
      <w:pPr>
        <w:pStyle w:val="BodyText"/>
        <w:tabs>
          <w:tab w:val="left" w:pos="1559"/>
          <w:tab w:val="left" w:pos="1984"/>
          <w:tab w:val="left" w:leader="dot" w:pos="7654"/>
          <w:tab w:val="right" w:pos="8929"/>
        </w:tabs>
        <w:spacing w:line="240" w:lineRule="atLeast"/>
        <w:ind w:left="1138" w:right="1138" w:firstLine="0"/>
      </w:pPr>
      <w:r w:rsidRPr="00A101AD">
        <w:t xml:space="preserve">La plupart de ces viols ont consisté en la pénétration du vagin de la victime par l’organe sexuel ou, dans une moindre mesure, les doigts ou </w:t>
      </w:r>
      <w:r>
        <w:t xml:space="preserve">la main </w:t>
      </w:r>
      <w:r w:rsidRPr="00A101AD">
        <w:t xml:space="preserve">du ou des auteur(s) de ces crimes. Certaines victimes ont également été pénétrées analement par l’organe sexuel du ou des auteur(s) de ces crimes. </w:t>
      </w:r>
      <w:r>
        <w:t xml:space="preserve">Certains hommes victimes de viols ont soit été forcés de pénétrer vaginalement une femme ou de se faire sodomiser. </w:t>
      </w:r>
      <w:r w:rsidRPr="00A101AD">
        <w:t>P</w:t>
      </w:r>
      <w:r>
        <w:t xml:space="preserve">ar exemple, 15 femmes qui fuyaient dans en novembre 2016 ont été arrêtées par des éléments de la milice Kamuina Nsapu qui les ont violées devant tout le monde, y compris leurs enfants. Une de ces femmes a raconté avoir été pénétrée vaginalement et analement par trois hommes de la milice avant </w:t>
      </w:r>
      <w:r w:rsidR="00ED36B7">
        <w:t xml:space="preserve">qu’ils ne la laissent </w:t>
      </w:r>
      <w:r>
        <w:t>repartir</w:t>
      </w:r>
      <w:r w:rsidRPr="007F1170">
        <w:rPr>
          <w:rStyle w:val="FootnoteReference"/>
        </w:rPr>
        <w:footnoteReference w:id="766"/>
      </w:r>
      <w:r>
        <w:t>. Une autre femme alors enceinte de cinq mois raconte, qu’en juin 2017, quatre homme</w:t>
      </w:r>
      <w:r w:rsidR="00283907">
        <w:t>s</w:t>
      </w:r>
      <w:r>
        <w:t xml:space="preserve"> et une femme de la milice Kamuina Nsapu sont arrivés chez elle et ont décapité son mari. Un des miliciens a bu le sang qui coulait de la tête de son mari, a mutilé le visage de la victime puis a introduit sa main entière dans son vagin en présence de ses enfants « comme s’il voulait arracher quelque chose à l’intérieur »</w:t>
      </w:r>
      <w:r w:rsidRPr="007F1170">
        <w:rPr>
          <w:rStyle w:val="FootnoteReference"/>
        </w:rPr>
        <w:footnoteReference w:id="767"/>
      </w:r>
      <w:r>
        <w:t xml:space="preserve">. </w:t>
      </w:r>
      <w:r w:rsidR="00ED36B7">
        <w:t xml:space="preserve">Alors que </w:t>
      </w:r>
      <w:r>
        <w:t xml:space="preserve">20 miliciens étaient rentrés chez elle pour chercher son mari, </w:t>
      </w:r>
      <w:r w:rsidR="00ED36B7">
        <w:t xml:space="preserve">une autre femme </w:t>
      </w:r>
      <w:r>
        <w:t>a été violée par ces derniers à tour de rôle et a perdu connaissance lorsque le cinquième l’a pénétrée, précisant : « Je ne sais pas si tous les autres ont continué »</w:t>
      </w:r>
      <w:r w:rsidRPr="007F1170">
        <w:rPr>
          <w:rStyle w:val="FootnoteReference"/>
        </w:rPr>
        <w:footnoteReference w:id="768"/>
      </w:r>
      <w:r>
        <w:t xml:space="preserve">. Un homme raconte avoir été déshabillé en public au tshiota avant que des miliciens contraigne un autre civil présent </w:t>
      </w:r>
      <w:r w:rsidR="00ED36B7">
        <w:t xml:space="preserve">à </w:t>
      </w:r>
      <w:r>
        <w:t>le sodomiser</w:t>
      </w:r>
      <w:r w:rsidRPr="007F1170">
        <w:rPr>
          <w:rStyle w:val="FootnoteReference"/>
        </w:rPr>
        <w:footnoteReference w:id="769"/>
      </w:r>
      <w:r>
        <w:t>.</w:t>
      </w:r>
    </w:p>
    <w:p w14:paraId="01F6B526" w14:textId="77777777" w:rsidR="0093751D" w:rsidRDefault="0093751D" w:rsidP="00540FCE">
      <w:pPr>
        <w:pStyle w:val="BodyText"/>
        <w:tabs>
          <w:tab w:val="left" w:pos="1559"/>
          <w:tab w:val="left" w:pos="1984"/>
          <w:tab w:val="left" w:leader="dot" w:pos="7654"/>
          <w:tab w:val="right" w:pos="8929"/>
        </w:tabs>
        <w:spacing w:line="240" w:lineRule="atLeast"/>
        <w:ind w:left="1138" w:right="1138" w:firstLine="0"/>
      </w:pPr>
      <w:r>
        <w:t>D’autres viols ont été commis pour punir les personnes qui ne respectaient pas les règles imposées par la milice. Par exemple, début avril 2017, dans la cité de Luebo, province du Kasaï, des miliciens – qui ne mangent pas de poisson – ont accusé la propriétaire d’un restaurant de les avoir trahis en leur donnant des haricots mélangés de poisson. Afin de la punir, cette dernière a été déshabillée de force au tshiota, tout comme le fils de son époux d’un autre mariage, et les miliciens ont obligé ce dernier de pénétrer sa belle-mère en public devant le reste de la population avant de les décapiter</w:t>
      </w:r>
      <w:r w:rsidRPr="007F1170">
        <w:rPr>
          <w:rStyle w:val="FootnoteReference"/>
        </w:rPr>
        <w:footnoteReference w:id="770"/>
      </w:r>
      <w:r>
        <w:t>.</w:t>
      </w:r>
    </w:p>
    <w:p w14:paraId="709018DE" w14:textId="77777777" w:rsidR="0093751D" w:rsidRDefault="0093751D" w:rsidP="00540FCE">
      <w:pPr>
        <w:pStyle w:val="BodyText"/>
        <w:tabs>
          <w:tab w:val="left" w:pos="1559"/>
          <w:tab w:val="left" w:pos="1984"/>
          <w:tab w:val="left" w:leader="dot" w:pos="7654"/>
          <w:tab w:val="right" w:pos="8929"/>
        </w:tabs>
        <w:spacing w:line="240" w:lineRule="atLeast"/>
        <w:ind w:left="1138" w:right="1138" w:firstLine="0"/>
      </w:pPr>
      <w:r>
        <w:t>Parmi les autres formes de violences sexuelles constitutives de crimes contre l’humanité, des éléments de la milice Kamuina Nsapu ont fréquemment dénudé de force et en public au tshiota des hommes, notamment un chef de groupement, et des femmes et des filles, y compris une femme accusée de sorcellerie.</w:t>
      </w:r>
    </w:p>
    <w:p w14:paraId="6316E0FA" w14:textId="77777777" w:rsidR="0093751D" w:rsidRDefault="0093751D" w:rsidP="00540FCE">
      <w:pPr>
        <w:pStyle w:val="BodyText"/>
        <w:tabs>
          <w:tab w:val="left" w:pos="1559"/>
          <w:tab w:val="left" w:pos="1984"/>
          <w:tab w:val="left" w:leader="dot" w:pos="7654"/>
          <w:tab w:val="right" w:pos="8929"/>
        </w:tabs>
        <w:spacing w:line="240" w:lineRule="atLeast"/>
        <w:ind w:left="1138" w:right="1138" w:firstLine="0"/>
      </w:pPr>
      <w:bookmarkStart w:id="80" w:name="_Ref517880732"/>
      <w:r>
        <w:t>Ces viols et autres formes de violences sexuelles ont été commis en usant soit de la force ou de la menace de la force, ou bien à la faveur d’un environnement coercitif, notamment lorsque les victimes avaient été incorporées de force dans la milice.</w:t>
      </w:r>
      <w:bookmarkEnd w:id="80"/>
    </w:p>
    <w:p w14:paraId="7FC1CFFA" w14:textId="00230F4F" w:rsidR="0093751D" w:rsidRDefault="0093751D" w:rsidP="00540FCE">
      <w:pPr>
        <w:pStyle w:val="Heading5"/>
        <w:numPr>
          <w:ilvl w:val="0"/>
          <w:numId w:val="0"/>
        </w:numPr>
        <w:tabs>
          <w:tab w:val="clear" w:pos="1984"/>
          <w:tab w:val="left" w:pos="2340"/>
        </w:tabs>
        <w:spacing w:before="120" w:after="120"/>
        <w:ind w:left="2160" w:right="1138"/>
        <w:contextualSpacing w:val="0"/>
      </w:pPr>
      <w:r w:rsidRPr="00540FCE">
        <w:rPr>
          <w:b w:val="0"/>
          <w:u w:val="single"/>
        </w:rPr>
        <w:t>Torture (Art. 7(1)(f) du Statut de Rome ; Art. 222(6) du Code pénal de la RDC)</w:t>
      </w:r>
      <w:r w:rsidRPr="007F1170">
        <w:rPr>
          <w:rStyle w:val="FootnoteReference"/>
        </w:rPr>
        <w:footnoteReference w:id="771"/>
      </w:r>
    </w:p>
    <w:p w14:paraId="49549F02" w14:textId="77777777" w:rsidR="0093751D" w:rsidRDefault="0093751D" w:rsidP="00540FCE">
      <w:pPr>
        <w:pStyle w:val="BodyText"/>
        <w:tabs>
          <w:tab w:val="left" w:pos="1559"/>
          <w:tab w:val="left" w:pos="1984"/>
          <w:tab w:val="left" w:leader="dot" w:pos="7654"/>
          <w:tab w:val="right" w:pos="8929"/>
        </w:tabs>
        <w:spacing w:line="240" w:lineRule="atLeast"/>
        <w:ind w:left="1138" w:right="1138" w:firstLine="0"/>
      </w:pPr>
      <w:bookmarkStart w:id="81" w:name="_Ref517880356"/>
      <w:r>
        <w:t>Dans d’innombrable cas, des éléments de la milice Kamuina Nsapu ont intentionnellement infligé à une ou plusieurs personnes – sous leur garde ou leur contrôle – une douleur ou des souffrances, physiques ou mentales, aiguës qui peuvent être qualifiées de torture constitutive de crimes contre l’humanité.</w:t>
      </w:r>
      <w:bookmarkEnd w:id="81"/>
    </w:p>
    <w:p w14:paraId="4E64ECDD" w14:textId="77777777" w:rsidR="0093751D" w:rsidRDefault="0093751D" w:rsidP="00540FCE">
      <w:pPr>
        <w:pStyle w:val="BodyText"/>
        <w:tabs>
          <w:tab w:val="left" w:pos="1559"/>
          <w:tab w:val="left" w:pos="1984"/>
          <w:tab w:val="left" w:leader="dot" w:pos="7654"/>
          <w:tab w:val="right" w:pos="8929"/>
        </w:tabs>
        <w:spacing w:line="240" w:lineRule="atLeast"/>
        <w:ind w:left="1138" w:right="1138" w:firstLine="0"/>
      </w:pPr>
      <w:r>
        <w:t>Ces cas étant si nombreux, il est impossible de tous les décrire. Parmi les actes de torture les plus répétitifs commis par des miliciens Kamuina Nsapu, il convient de relever les cas suivants : (i) les cas où des miliciens ont sévèrement battus à la machette, fouettés, brûlés ou amputés des membres de la population civile sous leur contrôle; (ii) les cas de viols décrits ci-dessus qui ont non seulement infligés des souffrances physiques mais aussi psychologiques aiguës aux victimes de ces crimes ; et (iii) les cas où un ou plusieurs membres d’une famille ont été forcés d’assister au viol, à la décapitation ou à l’amputation d’un autre membre de leur famille soit dans leur maison, soit au tshiota et, dans de nombreux cas, se sont en plus vus interdire par les miliciens de pleurer durant la commission de ces actes ou se sont même vus obliger de danser et de glorifier ces actes.</w:t>
      </w:r>
    </w:p>
    <w:p w14:paraId="10DFABA9" w14:textId="354614CC" w:rsidR="0093751D" w:rsidRPr="00663CD0" w:rsidRDefault="0093751D" w:rsidP="00540FCE">
      <w:pPr>
        <w:pStyle w:val="BodyText"/>
        <w:tabs>
          <w:tab w:val="left" w:pos="1559"/>
          <w:tab w:val="left" w:pos="1984"/>
          <w:tab w:val="left" w:leader="dot" w:pos="7654"/>
          <w:tab w:val="right" w:pos="8929"/>
        </w:tabs>
        <w:spacing w:line="240" w:lineRule="atLeast"/>
        <w:ind w:left="1138" w:right="1138" w:firstLine="0"/>
      </w:pPr>
      <w:r>
        <w:t>La plupart des actes de torture commis par la milice Kamuina Nsapu font preuve d’une cruauté inouïe. Il convient d’en citer quelques exemples. En février 2017, sur le territoire de Kamonia, province du Kasaï, des miliciens ont coupé les seins et le clitoris d’une femme, agent de la PNC, en public au tshiota avant de la décapiter</w:t>
      </w:r>
      <w:r w:rsidRPr="007F1170">
        <w:rPr>
          <w:rStyle w:val="FootnoteReference"/>
        </w:rPr>
        <w:footnoteReference w:id="772"/>
      </w:r>
      <w:r>
        <w:t xml:space="preserve">. A la même époque, à Kananga, province du Kasaï </w:t>
      </w:r>
      <w:r w:rsidR="00E442FD">
        <w:t>C</w:t>
      </w:r>
      <w:r>
        <w:t>entral, des miliciens sont entrés dans une maison et ont décapité un père de famille et ont remis sa tête au plus jeune de ses six enfants présents en lui disant « c’est la tête de papa » avant de violer leur mère devant eux</w:t>
      </w:r>
      <w:r w:rsidRPr="007F1170">
        <w:rPr>
          <w:rStyle w:val="FootnoteReference"/>
        </w:rPr>
        <w:footnoteReference w:id="773"/>
      </w:r>
      <w:r>
        <w:t>. En mars 2017, des miliciens qui occupaient un village</w:t>
      </w:r>
      <w:r w:rsidRPr="00D176F3">
        <w:t xml:space="preserve"> </w:t>
      </w:r>
      <w:r>
        <w:t>dans le territoire de Kamonia, province du Kasaï, sont arrivés avec des têtes décapitées. Deux d’entre eux ont approché une femme au marché et lui ont remis des testicules et le cœur d’une personne pour qu’elle les achète. Comme celle-ci a refusé, elle a été battue par ces deux miliciens, rejoints par trois autres, qui l’ont par la suite frappée à l’aide de leurs machettes</w:t>
      </w:r>
      <w:r w:rsidRPr="007F1170">
        <w:rPr>
          <w:rStyle w:val="FootnoteReference"/>
        </w:rPr>
        <w:footnoteReference w:id="774"/>
      </w:r>
      <w:r>
        <w:t>. A la même période sur le même territoire, des miliciens ont éventré une femme enceinte et « ont mangé cru le fœtus » de cette dernière devant le reste du groupe qui avait été capturé avec elle alors qu’ils fuyaient les violences</w:t>
      </w:r>
      <w:r w:rsidRPr="007F1170">
        <w:rPr>
          <w:rStyle w:val="FootnoteReference"/>
        </w:rPr>
        <w:footnoteReference w:id="775"/>
      </w:r>
      <w:r>
        <w:t xml:space="preserve">. En juin 2017, des miliciens ont égorgé, décapité et amputé cinq membres de la famille d’une fille de 17 ans, puis l’ont obligée </w:t>
      </w:r>
      <w:r w:rsidR="0098782B">
        <w:t>à</w:t>
      </w:r>
      <w:r>
        <w:t xml:space="preserve"> porter la tête et le bras de sa mère jusqu’à leur tshiota</w:t>
      </w:r>
      <w:r w:rsidRPr="007F1170">
        <w:rPr>
          <w:rStyle w:val="FootnoteReference"/>
        </w:rPr>
        <w:footnoteReference w:id="776"/>
      </w:r>
      <w:r>
        <w:t>. A la même période à Tshikapa, province du Kasaï, une femme a non seulement dû assister à la décapitation de son mari mais aussi au fait qu’un des miliciens a bu le sang de la tête de ce dernier avant qu’un autre lui défigure le visage et introduise sa main dans son vagin comme s’il voulait arracher quelque chose à l’intérieur alors qu’elle était enceinte de cinq mois. Ces actes de tortures se sont produits devant ses enfants</w:t>
      </w:r>
      <w:r w:rsidRPr="007F1170">
        <w:rPr>
          <w:rStyle w:val="FootnoteReference"/>
        </w:rPr>
        <w:footnoteReference w:id="777"/>
      </w:r>
      <w:r>
        <w:t>. Finalement, en août 2017, à Tshikapa, une fille de 16 ans capturée et gardée en captivité dans la milice raconte : « </w:t>
      </w:r>
      <w:r w:rsidRPr="00A74FE0">
        <w:t>J’ai vu les Kamuina Nsapu couper les oreilles des personnes qui avaient tenté de s’enfuir</w:t>
      </w:r>
      <w:r>
        <w:t> »</w:t>
      </w:r>
      <w:r w:rsidRPr="007F1170">
        <w:rPr>
          <w:rStyle w:val="FootnoteReference"/>
        </w:rPr>
        <w:footnoteReference w:id="778"/>
      </w:r>
      <w:r>
        <w:t>.</w:t>
      </w:r>
    </w:p>
    <w:p w14:paraId="6FC92FE8" w14:textId="5C9897AC" w:rsidR="0093751D" w:rsidRPr="00A74FE0" w:rsidRDefault="0093751D" w:rsidP="00540FCE">
      <w:pPr>
        <w:pStyle w:val="BodyText"/>
        <w:tabs>
          <w:tab w:val="left" w:pos="1559"/>
          <w:tab w:val="left" w:pos="1984"/>
          <w:tab w:val="left" w:leader="dot" w:pos="7654"/>
          <w:tab w:val="right" w:pos="8929"/>
        </w:tabs>
        <w:spacing w:line="240" w:lineRule="atLeast"/>
        <w:ind w:left="1138" w:right="1138" w:firstLine="0"/>
      </w:pPr>
      <w:bookmarkStart w:id="82" w:name="_Ref517880374"/>
      <w:r>
        <w:t>De nombreux hommes ont également été victime</w:t>
      </w:r>
      <w:r w:rsidR="0098782B">
        <w:t>s</w:t>
      </w:r>
      <w:r>
        <w:t xml:space="preserve"> de tortures visant leurs organes sexuels. En effet, si dans de nombreux cas, des éléments de la milice Kamuina Nsapu ont coupé à la machette ou au couteau le pénis d’hommes qu’ils venaient de tuer, dans d’autres cas, ils ont procédé à ce type de mutilation lorsque ces hommes étant encore en vie, les laissant se vider de leur sang</w:t>
      </w:r>
      <w:r w:rsidRPr="007F1170">
        <w:rPr>
          <w:rStyle w:val="FootnoteReference"/>
        </w:rPr>
        <w:footnoteReference w:id="779"/>
      </w:r>
      <w:r>
        <w:t>. Dans un autre cas, les éléments de la milice ont, après avoir frappé un homme âgé avec leurs machettes, « lié un fil dans [son] pénis », laissant des séquelles physiques graves et le rendant impuissant</w:t>
      </w:r>
      <w:r w:rsidRPr="007F1170">
        <w:rPr>
          <w:rStyle w:val="FootnoteReference"/>
        </w:rPr>
        <w:footnoteReference w:id="780"/>
      </w:r>
      <w:r>
        <w:t>.</w:t>
      </w:r>
      <w:bookmarkEnd w:id="82"/>
    </w:p>
    <w:p w14:paraId="143FDC5B" w14:textId="0470C0AF" w:rsidR="0093751D" w:rsidRPr="006D5135" w:rsidRDefault="0093751D" w:rsidP="00540FCE">
      <w:pPr>
        <w:pStyle w:val="Heading5"/>
        <w:numPr>
          <w:ilvl w:val="0"/>
          <w:numId w:val="0"/>
        </w:numPr>
        <w:tabs>
          <w:tab w:val="clear" w:pos="1984"/>
          <w:tab w:val="left" w:pos="2340"/>
        </w:tabs>
        <w:spacing w:before="120" w:after="120"/>
        <w:ind w:left="2160" w:right="1138"/>
        <w:contextualSpacing w:val="0"/>
        <w:rPr>
          <w:i w:val="0"/>
          <w:u w:val="single"/>
        </w:rPr>
      </w:pPr>
      <w:r w:rsidRPr="00540FCE">
        <w:rPr>
          <w:b w:val="0"/>
          <w:u w:val="single"/>
        </w:rPr>
        <w:t>Autres actes inhumains (Art. 7(1)(k) du Statut de Rome ; Art. 222(12) du Code pénal de la RDC)</w:t>
      </w:r>
      <w:r w:rsidRPr="007F1170">
        <w:rPr>
          <w:rStyle w:val="FootnoteReference"/>
        </w:rPr>
        <w:footnoteReference w:id="781"/>
      </w:r>
    </w:p>
    <w:p w14:paraId="70F5594F" w14:textId="77777777" w:rsidR="0093751D" w:rsidRPr="0067512C" w:rsidRDefault="0093751D" w:rsidP="00540FCE">
      <w:pPr>
        <w:pStyle w:val="BodyText"/>
        <w:tabs>
          <w:tab w:val="left" w:pos="1559"/>
          <w:tab w:val="left" w:pos="1984"/>
          <w:tab w:val="left" w:leader="dot" w:pos="7654"/>
          <w:tab w:val="right" w:pos="8929"/>
        </w:tabs>
        <w:spacing w:line="240" w:lineRule="atLeast"/>
        <w:ind w:left="1138" w:right="1138" w:firstLine="0"/>
      </w:pPr>
      <w:r>
        <w:t xml:space="preserve">En plus des nombreux actes de tortures décrits dans la </w:t>
      </w:r>
      <w:r w:rsidRPr="0067512C">
        <w:t>section précédente, dans d’autres cas, des éléments de la milice Kamuina Nsapu ont, par un acte inhumain, intentionnellement infligé de grandes souffrances ou porté gravement atteinte à l’intégrité corporelle ou à la santé physique ou mentale de leurs victimes. Ces actes peuvent être qualifiés d’autres actes inhumains constitutifs de crimes contre l’humanité.</w:t>
      </w:r>
      <w:r>
        <w:t xml:space="preserve"> Parmi la pléiade d’actes inhumains commis par la milice Kamuina Nsapu, il convient d’en citer quelques-uns soit parce qu’ils ont été commis de manière systématique soit parce qu’ils sont emblématiques de la cruauté et de l’inhumanité dont ont fait preuve les éléments de la milice.</w:t>
      </w:r>
    </w:p>
    <w:p w14:paraId="0F702C21" w14:textId="26D0D66A" w:rsidR="0093751D" w:rsidRDefault="0093751D" w:rsidP="00540FCE">
      <w:pPr>
        <w:pStyle w:val="BodyText"/>
        <w:tabs>
          <w:tab w:val="left" w:pos="1559"/>
          <w:tab w:val="left" w:pos="1984"/>
          <w:tab w:val="left" w:leader="dot" w:pos="7654"/>
          <w:tab w:val="right" w:pos="8929"/>
        </w:tabs>
        <w:spacing w:line="240" w:lineRule="atLeast"/>
        <w:ind w:left="1138" w:right="1138" w:firstLine="0"/>
      </w:pPr>
      <w:r>
        <w:t xml:space="preserve">Les membres de la population civile, y compris ceux qui ont été capturés par la milice, ont dû assister à des actes d’anthropophagie, de mutilation, d’amputation et de décapitation. </w:t>
      </w:r>
      <w:r w:rsidRPr="0047064E">
        <w:t>Ainsi, dans nombre de cas, après avoir tué leurs victimes, les miliciens ont amputé les têtes, les mains et les pieds de leurs victimes ou encore leurs lèvres ou une de leurs oreilles</w:t>
      </w:r>
      <w:r>
        <w:t xml:space="preserve"> </w:t>
      </w:r>
      <w:r w:rsidRPr="0047064E">
        <w:t xml:space="preserve">en public. </w:t>
      </w:r>
      <w:r>
        <w:t>Ils</w:t>
      </w:r>
      <w:r w:rsidRPr="0047064E">
        <w:t xml:space="preserve"> ont également procédé à l’ablation d’organes sexuels. Ainsi, au tshiota, devant la population civile souvent forcée de regarder, ils ont coupé le pénis de nombreux hommes, y compris de chefs de villages qu’ils considéraient comme des traitres, qui venaient d’être décapités, et ont parfois ensuite organisé une cérémonie pour le</w:t>
      </w:r>
      <w:r>
        <w:t>s</w:t>
      </w:r>
      <w:r w:rsidRPr="0047064E">
        <w:t xml:space="preserve"> manger</w:t>
      </w:r>
      <w:r>
        <w:t xml:space="preserve"> après les </w:t>
      </w:r>
      <w:r w:rsidRPr="0047064E">
        <w:t>avoir préparé</w:t>
      </w:r>
      <w:r>
        <w:t>s</w:t>
      </w:r>
      <w:r w:rsidR="003221FF">
        <w:t>, qui, selon leur croyance, leur donne du pouvoir,</w:t>
      </w:r>
      <w:r>
        <w:t xml:space="preserve"> ou les </w:t>
      </w:r>
      <w:r w:rsidRPr="0047064E">
        <w:t>ont jeté</w:t>
      </w:r>
      <w:r>
        <w:t>s</w:t>
      </w:r>
      <w:r w:rsidRPr="0047064E">
        <w:t xml:space="preserve"> dans le feu. Les clitoris de femmes préalablement coupés servaient parfois de médailles aux miliciens. Dans un autre cas, une femme a notamment vu au tshiota les miliciens manger la partie abdominale de son fils qui venait d’être décapité</w:t>
      </w:r>
      <w:r>
        <w:t>.</w:t>
      </w:r>
    </w:p>
    <w:p w14:paraId="5D59AE5A" w14:textId="2CCBD3E1" w:rsidR="0093751D" w:rsidRPr="00771E6F" w:rsidRDefault="0093751D" w:rsidP="00540FCE">
      <w:pPr>
        <w:pStyle w:val="BodyText"/>
        <w:tabs>
          <w:tab w:val="left" w:pos="1559"/>
          <w:tab w:val="left" w:pos="1984"/>
          <w:tab w:val="left" w:leader="dot" w:pos="7654"/>
          <w:tab w:val="right" w:pos="8929"/>
        </w:tabs>
        <w:spacing w:line="240" w:lineRule="atLeast"/>
        <w:ind w:left="1138" w:right="1138" w:firstLine="0"/>
      </w:pPr>
      <w:bookmarkStart w:id="83" w:name="_Ref517880477"/>
      <w:r>
        <w:t>Un garçon capturé dans le territoire de Kamonia, province du Kasaï, en décembre 2016 par la milice et assigné de force aux corvées précise : « Ils nous amenaient parfois des cuisses humaines qu’on devait cuisiner et des bidons de sang ». Il raconte également qu’à deux reprises les miliciens ont ramené des têtes humaines décapitées, trois un jour et sept un autre jour avec, cette fois, deux pénis</w:t>
      </w:r>
      <w:r w:rsidRPr="007F1170">
        <w:rPr>
          <w:rStyle w:val="FootnoteReference"/>
        </w:rPr>
        <w:footnoteReference w:id="782"/>
      </w:r>
      <w:r>
        <w:t>. Une femme raconte qu’en avril 2017 sur le même territoire, elle a été forcée de regarder non seulement la décapitation de trois membres de sa famille par la milice Kamuina Nsapu mais également le fait que les éléments de la milice ont systématiquement fait couler le sang des têtes et des corps des défunts dans une marmite mise sur le feu</w:t>
      </w:r>
      <w:r w:rsidRPr="007F1170">
        <w:rPr>
          <w:rStyle w:val="FootnoteReference"/>
        </w:rPr>
        <w:footnoteReference w:id="783"/>
      </w:r>
      <w:r>
        <w:t>.</w:t>
      </w:r>
      <w:r w:rsidRPr="00771E6F">
        <w:t xml:space="preserve"> </w:t>
      </w:r>
      <w:r>
        <w:t>U</w:t>
      </w:r>
      <w:r w:rsidRPr="00771E6F">
        <w:t xml:space="preserve">ne </w:t>
      </w:r>
      <w:r>
        <w:t xml:space="preserve">autre </w:t>
      </w:r>
      <w:r w:rsidRPr="00771E6F">
        <w:t>femme qui était à la maison explique que des</w:t>
      </w:r>
      <w:r>
        <w:t xml:space="preserve"> miliciens</w:t>
      </w:r>
      <w:r w:rsidRPr="00771E6F">
        <w:t xml:space="preserve"> lui ont amené successivement chez elle « la tête de [s]a fille qui était en train de saigner. Puis, dans un second temps, la tête de [s]on mari qui saignait encore » qu’ils venaient de décapiter au tshiota. Les autres parties de leurs corps ont été brûlé</w:t>
      </w:r>
      <w:r>
        <w:t>e</w:t>
      </w:r>
      <w:r w:rsidRPr="00771E6F">
        <w:t>s avec de l’essence pendant trois jours au tshiota</w:t>
      </w:r>
      <w:r w:rsidRPr="007F1170">
        <w:rPr>
          <w:rStyle w:val="FootnoteReference"/>
        </w:rPr>
        <w:footnoteReference w:id="784"/>
      </w:r>
      <w:r w:rsidRPr="00771E6F">
        <w:t>.</w:t>
      </w:r>
      <w:r>
        <w:t xml:space="preserve"> Finalement, une fille de 14 ans intégrée de force dans la milice Kamuina Nsapu en mai 2017 dans la province du Kasaï </w:t>
      </w:r>
      <w:r w:rsidR="00935C03">
        <w:t>O</w:t>
      </w:r>
      <w:r>
        <w:t>riental explique : « </w:t>
      </w:r>
      <w:r w:rsidRPr="007464E3">
        <w:t>Les miliciens coupaient le sexe des militaires qui avaient été tués mais c’était le plus souvent le sexe des militaires gradés qu’ils coupaient. Ensuite les sexes étaient grillés et mangés. Les garçons coupaient les sexes et les donnaient aux filles. Le sang des victimes était bu. La peau des militaires était séchée puis réduite en poudre et ensuite cette poudre était mélangée à de l’huile de palme. Ensuite on nous mettait ce mélange dans la bouche ou sur le front</w:t>
      </w:r>
      <w:r>
        <w:t> »</w:t>
      </w:r>
      <w:r w:rsidRPr="007464E3">
        <w:t>.</w:t>
      </w:r>
      <w:bookmarkEnd w:id="83"/>
    </w:p>
    <w:p w14:paraId="54828DA8" w14:textId="07B4C545" w:rsidR="0093751D" w:rsidRPr="00FE5E8D" w:rsidRDefault="0093751D" w:rsidP="00BC668B">
      <w:pPr>
        <w:pStyle w:val="Heading3"/>
        <w:spacing w:before="240" w:line="240" w:lineRule="exact"/>
        <w:ind w:left="1138" w:right="1138" w:hanging="571"/>
        <w:rPr>
          <w:b/>
        </w:rPr>
      </w:pPr>
      <w:bookmarkStart w:id="84" w:name="_Toc513980394"/>
      <w:r w:rsidRPr="00FE5E8D">
        <w:rPr>
          <w:b/>
        </w:rPr>
        <w:t>Par les milices Bana Mura</w:t>
      </w:r>
      <w:bookmarkEnd w:id="84"/>
    </w:p>
    <w:p w14:paraId="2F815381" w14:textId="424A38EC" w:rsidR="0093751D" w:rsidRPr="00FE5E8D" w:rsidRDefault="00540FCE" w:rsidP="00540FCE">
      <w:pPr>
        <w:pStyle w:val="BodyText"/>
        <w:numPr>
          <w:ilvl w:val="0"/>
          <w:numId w:val="0"/>
        </w:numPr>
        <w:tabs>
          <w:tab w:val="left" w:pos="1559"/>
          <w:tab w:val="left" w:pos="1984"/>
          <w:tab w:val="left" w:leader="dot" w:pos="7654"/>
          <w:tab w:val="right" w:pos="8929"/>
        </w:tabs>
        <w:spacing w:line="240" w:lineRule="atLeast"/>
        <w:ind w:left="1138" w:right="1138"/>
        <w:rPr>
          <w:i/>
        </w:rPr>
      </w:pPr>
      <w:r>
        <w:rPr>
          <w:i/>
        </w:rPr>
        <w:t>a.</w:t>
      </w:r>
      <w:r>
        <w:rPr>
          <w:i/>
        </w:rPr>
        <w:tab/>
      </w:r>
      <w:r w:rsidR="0093751D" w:rsidRPr="00FE5E8D">
        <w:rPr>
          <w:i/>
        </w:rPr>
        <w:t>Eléments contextuels</w:t>
      </w:r>
    </w:p>
    <w:p w14:paraId="0F6D3DCE" w14:textId="228C379B" w:rsidR="0093751D" w:rsidRPr="001F7EF9" w:rsidRDefault="0093751D" w:rsidP="00540FCE">
      <w:pPr>
        <w:pStyle w:val="BodyText"/>
        <w:tabs>
          <w:tab w:val="left" w:pos="1559"/>
          <w:tab w:val="left" w:pos="1984"/>
          <w:tab w:val="left" w:leader="dot" w:pos="7654"/>
          <w:tab w:val="right" w:pos="8929"/>
        </w:tabs>
        <w:spacing w:line="240" w:lineRule="atLeast"/>
        <w:ind w:left="1138" w:right="1138" w:firstLine="0"/>
      </w:pPr>
      <w:r w:rsidRPr="001F7EF9">
        <w:t>L’</w:t>
      </w:r>
      <w:r>
        <w:t>EEI</w:t>
      </w:r>
      <w:r w:rsidRPr="001F7EF9">
        <w:t xml:space="preserve"> a des motifs raisonnables de croire que les </w:t>
      </w:r>
      <w:r>
        <w:t xml:space="preserve">milices </w:t>
      </w:r>
      <w:r w:rsidRPr="001F7EF9">
        <w:t>Bana Mura ont lancé une attaque contre la population civile</w:t>
      </w:r>
      <w:r>
        <w:t>, principalement</w:t>
      </w:r>
      <w:r w:rsidRPr="001F7EF9">
        <w:t xml:space="preserve"> de l’ethnie </w:t>
      </w:r>
      <w:r w:rsidR="00051090">
        <w:t>l</w:t>
      </w:r>
      <w:r w:rsidRPr="001F7EF9">
        <w:t>uba – en raison de son appartenance ou soutien supposé</w:t>
      </w:r>
      <w:r>
        <w:t>s</w:t>
      </w:r>
      <w:r w:rsidRPr="001F7EF9">
        <w:t xml:space="preserve"> à la milice Kamuina Nsapu</w:t>
      </w:r>
      <w:r>
        <w:t xml:space="preserve"> </w:t>
      </w:r>
      <w:r w:rsidRPr="001F7EF9">
        <w:t>d</w:t>
      </w:r>
      <w:r>
        <w:t xml:space="preserve">u fait de </w:t>
      </w:r>
      <w:r w:rsidRPr="001F7EF9">
        <w:t>son ethnie</w:t>
      </w:r>
      <w:r>
        <w:t xml:space="preserve"> ainsi que de </w:t>
      </w:r>
      <w:r w:rsidRPr="001F7EF9">
        <w:t>sa supposée affiliation politique à l’opposition</w:t>
      </w:r>
      <w:r>
        <w:t xml:space="preserve"> </w:t>
      </w:r>
      <w:r w:rsidRPr="001F7EF9">
        <w:t xml:space="preserve">– présente sur le territoire de Kamonia, province du Kasaï, à partir de </w:t>
      </w:r>
      <w:r w:rsidRPr="00A70078">
        <w:t>février-mars 2017</w:t>
      </w:r>
      <w:r w:rsidRPr="001F7EF9">
        <w:t xml:space="preserve">. Cette attaque a consisté </w:t>
      </w:r>
      <w:r>
        <w:t>en</w:t>
      </w:r>
      <w:r w:rsidRPr="001F7EF9">
        <w:t xml:space="preserve"> la multiplication d’actes visés dans l’article</w:t>
      </w:r>
      <w:r>
        <w:t> </w:t>
      </w:r>
      <w:r w:rsidRPr="001F7EF9">
        <w:t>7(1) du Statut de Rome ainsi que l’incendie de maisons de civils</w:t>
      </w:r>
      <w:r>
        <w:t xml:space="preserve"> et de destruction de villages</w:t>
      </w:r>
      <w:r w:rsidRPr="001F7EF9">
        <w:t xml:space="preserve">. La présence de certains </w:t>
      </w:r>
      <w:r>
        <w:t xml:space="preserve">miliciens </w:t>
      </w:r>
      <w:r w:rsidRPr="001F7EF9">
        <w:t>Kamuina Nsapu parmi les victimes au sein de la population civile ne change rien à cette qualification</w:t>
      </w:r>
      <w:r w:rsidRPr="007F1170">
        <w:rPr>
          <w:rStyle w:val="FootnoteReference"/>
        </w:rPr>
        <w:footnoteReference w:id="785"/>
      </w:r>
      <w:r w:rsidRPr="001F7EF9">
        <w:t>.</w:t>
      </w:r>
    </w:p>
    <w:p w14:paraId="6CE8B551" w14:textId="783DF91E" w:rsidR="0093751D" w:rsidRPr="001F7EF9" w:rsidRDefault="0093751D" w:rsidP="00540FCE">
      <w:pPr>
        <w:pStyle w:val="BodyText"/>
        <w:tabs>
          <w:tab w:val="left" w:pos="1559"/>
          <w:tab w:val="left" w:pos="1984"/>
          <w:tab w:val="left" w:leader="dot" w:pos="7654"/>
          <w:tab w:val="right" w:pos="8929"/>
        </w:tabs>
        <w:spacing w:line="240" w:lineRule="atLeast"/>
        <w:ind w:left="1138" w:right="1138" w:firstLine="0"/>
      </w:pPr>
      <w:r w:rsidRPr="001F7EF9">
        <w:t>Différents éléments permettent de conclure au caractère généralisé de l’attaque : le nombre d’incidents, leurs commissions dans de nombreux villages du territoire de Kamonia, et la pluralité des victimes. De plus, l’</w:t>
      </w:r>
      <w:r>
        <w:t>EEI</w:t>
      </w:r>
      <w:r w:rsidRPr="001F7EF9">
        <w:t xml:space="preserve"> a des motifs raisonnables de croire que l’attaque est également systématique étant donné qu’il s’agit essentiellement de la répétition d’un même comportement criminel consistant à éliminer la présence de la population civile </w:t>
      </w:r>
      <w:r w:rsidR="00051090">
        <w:t>l</w:t>
      </w:r>
      <w:r w:rsidRPr="001F7EF9">
        <w:t xml:space="preserve">uba du territoire de Kamonia en encerclant puis attaquant leurs villages et </w:t>
      </w:r>
      <w:r>
        <w:t xml:space="preserve">en </w:t>
      </w:r>
      <w:r w:rsidRPr="001F7EF9">
        <w:t xml:space="preserve">commettant à leur l’encontre une multitude d’actes de violence, y compris des massacres, en incendiant leurs habitations ou lieux de refuge, en poursuivant ceux qui s’échappaient en brousse et en érigeant des barrages routiers pour identifier les Lubas qui fuyaient et les </w:t>
      </w:r>
      <w:r>
        <w:t>tuer</w:t>
      </w:r>
      <w:r w:rsidRPr="001F7EF9">
        <w:t>.</w:t>
      </w:r>
    </w:p>
    <w:p w14:paraId="3680C815" w14:textId="2E22802F" w:rsidR="0093751D" w:rsidRPr="000E2E85" w:rsidRDefault="0093751D" w:rsidP="00540FCE">
      <w:pPr>
        <w:pStyle w:val="BodyText"/>
        <w:tabs>
          <w:tab w:val="left" w:pos="1559"/>
          <w:tab w:val="left" w:pos="1984"/>
          <w:tab w:val="left" w:leader="dot" w:pos="7654"/>
          <w:tab w:val="right" w:pos="8929"/>
        </w:tabs>
        <w:spacing w:line="240" w:lineRule="atLeast"/>
        <w:ind w:left="1138" w:right="1138" w:firstLine="0"/>
      </w:pPr>
      <w:r w:rsidRPr="000E2E85">
        <w:t>L’EEI</w:t>
      </w:r>
      <w:r w:rsidRPr="000E2E85">
        <w:rPr>
          <w:lang w:val="fr-CH"/>
        </w:rPr>
        <w:t xml:space="preserve"> est d’avis que les milices Bana Mura sont une organisation au sens de l’article 7(2)(a) du Statut de Rome dans le sens où elles représentent « un corps organisé constitué de personnes ayant un objectif particulier »</w:t>
      </w:r>
      <w:r w:rsidRPr="007F1170">
        <w:rPr>
          <w:rStyle w:val="FootnoteReference"/>
        </w:rPr>
        <w:footnoteReference w:id="786"/>
      </w:r>
      <w:r w:rsidRPr="000E2E85">
        <w:rPr>
          <w:lang w:val="fr-CH"/>
        </w:rPr>
        <w:t xml:space="preserve"> qui vise à repousser l’avancée de la milice Kamuina Nsapu et à nettoyer le territoire de Kamonia de la population civile de l’ethnie </w:t>
      </w:r>
      <w:r w:rsidR="00051090">
        <w:rPr>
          <w:lang w:val="fr-CH"/>
        </w:rPr>
        <w:t>l</w:t>
      </w:r>
      <w:r w:rsidRPr="000E2E85">
        <w:rPr>
          <w:lang w:val="fr-CH"/>
        </w:rPr>
        <w:t xml:space="preserve">uba étant donné l’assimilation faite entre cette dernière et la milice Kamuina Nsapu. S’agissant du concept de politique, </w:t>
      </w:r>
      <w:r w:rsidRPr="000E2E85">
        <w:t xml:space="preserve">les milices Bana Mura ont été créées et armées afin de s’en prendre à la population civile </w:t>
      </w:r>
      <w:r w:rsidR="00051090">
        <w:t>l</w:t>
      </w:r>
      <w:r w:rsidRPr="000E2E85">
        <w:t xml:space="preserve">uba et un grand nombre des massacres ont été planifiés et organisés lors de réunions à l’instigation de représentant des autorités locales, de chefs de groupements ou de villages avec parfois l’appui de membres des forces de défense et de sécurité. Par ailleurs, dans certains cas, les attaques et massacres auraient été précédés de discours de haine à l’encontre de la population civile </w:t>
      </w:r>
      <w:r w:rsidR="00051090">
        <w:t>l</w:t>
      </w:r>
      <w:r w:rsidRPr="000E2E85">
        <w:t xml:space="preserve">uba. Dès lors, la planification et l’organisation de ces attaques, le modèle récurrent de violence commis à l’encontre de la population civile </w:t>
      </w:r>
      <w:r w:rsidR="00051090">
        <w:t>l</w:t>
      </w:r>
      <w:r w:rsidRPr="000E2E85">
        <w:t>uba, l’implication dans certaines attaques d’éléments des FARDC, et les discours de haine à l’encontre des Lubas précédant ces attaques attestent de l’existence de cette politique.</w:t>
      </w:r>
    </w:p>
    <w:p w14:paraId="05889796" w14:textId="7C9C5673" w:rsidR="0093751D" w:rsidRPr="001F7EF9" w:rsidRDefault="0093751D" w:rsidP="00540FCE">
      <w:pPr>
        <w:pStyle w:val="BodyText"/>
        <w:tabs>
          <w:tab w:val="left" w:pos="1559"/>
          <w:tab w:val="left" w:pos="1984"/>
          <w:tab w:val="left" w:leader="dot" w:pos="7654"/>
          <w:tab w:val="right" w:pos="8929"/>
        </w:tabs>
        <w:spacing w:line="240" w:lineRule="atLeast"/>
        <w:ind w:left="1138" w:right="1138" w:firstLine="0"/>
      </w:pPr>
      <w:r w:rsidRPr="001F7EF9">
        <w:t>L’</w:t>
      </w:r>
      <w:r>
        <w:t>EEI</w:t>
      </w:r>
      <w:r w:rsidRPr="001F7EF9">
        <w:t xml:space="preserve"> a des motifs raisonnables de croire que les auteurs présumés qu’elle a pu identifier, membres des </w:t>
      </w:r>
      <w:r>
        <w:t xml:space="preserve">milices </w:t>
      </w:r>
      <w:r w:rsidRPr="001F7EF9">
        <w:t xml:space="preserve">Bana Mura, ne pouvaient pas ne pas avoir une connaissance du contexte dans lequel s’inscrivaient leurs actes, vu que les attaques contre </w:t>
      </w:r>
      <w:r>
        <w:t xml:space="preserve">la </w:t>
      </w:r>
      <w:r w:rsidRPr="001F7EF9">
        <w:t xml:space="preserve">population </w:t>
      </w:r>
      <w:r w:rsidR="00051090">
        <w:t>l</w:t>
      </w:r>
      <w:r w:rsidRPr="001F7EF9">
        <w:t>uba étaient pour la plupart organisées et planifiées lors de réunions et que des discours de haine à l’encontre de cette population était monnaie courante sur le territoire de Kamonia durant cette période.</w:t>
      </w:r>
    </w:p>
    <w:p w14:paraId="642C13AE" w14:textId="7B13BCC7" w:rsidR="0093751D" w:rsidRPr="00FE5E8D" w:rsidRDefault="00540FCE" w:rsidP="00540FCE">
      <w:pPr>
        <w:pStyle w:val="BodyText"/>
        <w:numPr>
          <w:ilvl w:val="0"/>
          <w:numId w:val="0"/>
        </w:numPr>
        <w:tabs>
          <w:tab w:val="left" w:pos="1559"/>
          <w:tab w:val="left" w:pos="1984"/>
          <w:tab w:val="left" w:leader="dot" w:pos="7654"/>
          <w:tab w:val="right" w:pos="8929"/>
        </w:tabs>
        <w:spacing w:line="240" w:lineRule="atLeast"/>
        <w:ind w:left="1138" w:right="1138"/>
        <w:rPr>
          <w:i/>
        </w:rPr>
      </w:pPr>
      <w:r>
        <w:rPr>
          <w:i/>
        </w:rPr>
        <w:t>b.</w:t>
      </w:r>
      <w:r>
        <w:rPr>
          <w:i/>
        </w:rPr>
        <w:tab/>
      </w:r>
      <w:r w:rsidR="0093751D" w:rsidRPr="00FE5E8D">
        <w:rPr>
          <w:i/>
        </w:rPr>
        <w:t>Typologie des crimes commis par les milices Bana Mura</w:t>
      </w:r>
    </w:p>
    <w:p w14:paraId="09FBF147" w14:textId="77777777" w:rsidR="0093751D" w:rsidRDefault="0093751D" w:rsidP="00540FCE">
      <w:pPr>
        <w:pStyle w:val="BodyText"/>
        <w:tabs>
          <w:tab w:val="left" w:pos="1559"/>
          <w:tab w:val="left" w:pos="1984"/>
          <w:tab w:val="left" w:leader="dot" w:pos="7654"/>
          <w:tab w:val="right" w:pos="8929"/>
        </w:tabs>
        <w:spacing w:line="240" w:lineRule="atLeast"/>
        <w:ind w:left="1138" w:right="1138" w:firstLine="0"/>
        <w:rPr>
          <w:i/>
          <w:u w:val="single"/>
        </w:rPr>
      </w:pPr>
      <w:r w:rsidRPr="001F7EF9">
        <w:t>Les éléments contextuels des crimes contre l’humanité étant d’après elle réunis, l’</w:t>
      </w:r>
      <w:r>
        <w:t>EEI</w:t>
      </w:r>
      <w:r w:rsidRPr="001F7EF9">
        <w:t xml:space="preserve"> a des motifs raisonnables de croire que </w:t>
      </w:r>
      <w:r>
        <w:t>des</w:t>
      </w:r>
      <w:r w:rsidRPr="001F7EF9">
        <w:t xml:space="preserve"> </w:t>
      </w:r>
      <w:r>
        <w:t xml:space="preserve">miliciens </w:t>
      </w:r>
      <w:r w:rsidRPr="001F7EF9">
        <w:t xml:space="preserve">Bana Mura ont </w:t>
      </w:r>
      <w:r>
        <w:t xml:space="preserve">notamment </w:t>
      </w:r>
      <w:r w:rsidRPr="001F7EF9">
        <w:t>commis les crimes contre l’humanité suivants :</w:t>
      </w:r>
    </w:p>
    <w:p w14:paraId="2163D5F6" w14:textId="53BCCD74" w:rsidR="0093751D" w:rsidRPr="00540FCE" w:rsidRDefault="0093751D" w:rsidP="00540FCE">
      <w:pPr>
        <w:pStyle w:val="Heading5"/>
        <w:numPr>
          <w:ilvl w:val="0"/>
          <w:numId w:val="0"/>
        </w:numPr>
        <w:tabs>
          <w:tab w:val="clear" w:pos="1984"/>
          <w:tab w:val="left" w:pos="2340"/>
        </w:tabs>
        <w:spacing w:before="120" w:after="120"/>
        <w:ind w:left="2160" w:right="1138"/>
        <w:contextualSpacing w:val="0"/>
        <w:rPr>
          <w:b w:val="0"/>
          <w:u w:val="single"/>
        </w:rPr>
      </w:pPr>
      <w:r w:rsidRPr="00540FCE">
        <w:rPr>
          <w:b w:val="0"/>
          <w:u w:val="single"/>
        </w:rPr>
        <w:t>Meurtre (Art. 7(1)(a) du Statut de Rome ; Art. 222(1) du Code pénal de la RDC)</w:t>
      </w:r>
      <w:r w:rsidRPr="007F1170">
        <w:rPr>
          <w:rStyle w:val="FootnoteReference"/>
        </w:rPr>
        <w:footnoteReference w:id="787"/>
      </w:r>
    </w:p>
    <w:p w14:paraId="0E13F571" w14:textId="14AD6FA4" w:rsidR="0093751D" w:rsidRPr="00921FB4" w:rsidRDefault="0093751D" w:rsidP="00540FCE">
      <w:pPr>
        <w:pStyle w:val="BodyText"/>
        <w:tabs>
          <w:tab w:val="left" w:pos="1559"/>
          <w:tab w:val="left" w:pos="1984"/>
          <w:tab w:val="left" w:leader="dot" w:pos="7654"/>
          <w:tab w:val="right" w:pos="8929"/>
        </w:tabs>
        <w:spacing w:line="240" w:lineRule="atLeast"/>
        <w:ind w:left="1138" w:right="1138" w:firstLine="0"/>
      </w:pPr>
      <w:r w:rsidRPr="00EF3CB7">
        <w:t>Partout</w:t>
      </w:r>
      <w:r>
        <w:t xml:space="preserve"> où des milices Bana Mura ont été actives sur le territoire de Kamonia, des membres de ces milices ont systématiquement tué des civils de l’ethnie </w:t>
      </w:r>
      <w:r w:rsidR="00051090">
        <w:t>l</w:t>
      </w:r>
      <w:r>
        <w:t>uba, et dans une moindre mesure d’autres ethnies, en raison de leur supposé soutien à la milice Kamuina Nsapu. Dans quelques cas, les femmes en âge de procréer ont toutefois été épargnées.</w:t>
      </w:r>
    </w:p>
    <w:p w14:paraId="2EBBB6EF" w14:textId="77777777" w:rsidR="0093751D" w:rsidRDefault="0093751D" w:rsidP="00540FCE">
      <w:pPr>
        <w:pStyle w:val="BodyText"/>
        <w:tabs>
          <w:tab w:val="left" w:pos="1559"/>
          <w:tab w:val="left" w:pos="1984"/>
          <w:tab w:val="left" w:leader="dot" w:pos="7654"/>
          <w:tab w:val="right" w:pos="8929"/>
        </w:tabs>
        <w:spacing w:line="240" w:lineRule="atLeast"/>
        <w:ind w:left="1138" w:right="1138" w:firstLine="0"/>
      </w:pPr>
      <w:r>
        <w:t xml:space="preserve">Les victimes de ces meurtres ont été tuées soit par des armes à feu, essentiellement des fusils de chasse « calibre 12 », soit par des machettes ou des couteaux. D’autres victimes ont </w:t>
      </w:r>
      <w:r w:rsidRPr="00056211">
        <w:t xml:space="preserve">été brûlées vives </w:t>
      </w:r>
      <w:r>
        <w:t>dans leurs maisons après y avoir été enfermées par des miliciens Bana Mura. Par ailleurs, au bord de la rivière près de Camp Kwilu, vers fin avril 2017, des miliciens ont décapité des hommes et des femmes et tué de jeunes enfants en les jetant dans la rivière depuis une pirogue. Emblématique de la violence utilisée lors de ces meurtres, des miliciens Bana Mura ont également tué un bébé de 10 mois en lui fracassant le crâne par terre en octobre 2017 à Kamonia</w:t>
      </w:r>
      <w:r w:rsidRPr="007F1170">
        <w:rPr>
          <w:rStyle w:val="FootnoteReference"/>
        </w:rPr>
        <w:footnoteReference w:id="788"/>
      </w:r>
      <w:r>
        <w:t>. Par ailleurs, certains miliciens Bana Mura ont causé la mort de certaines femmes en les violant à l’aide de bâtons.</w:t>
      </w:r>
    </w:p>
    <w:p w14:paraId="7265C237" w14:textId="0FDE6A18" w:rsidR="0093751D" w:rsidRPr="00540FCE" w:rsidRDefault="0093751D" w:rsidP="00540FCE">
      <w:pPr>
        <w:pStyle w:val="Heading5"/>
        <w:numPr>
          <w:ilvl w:val="0"/>
          <w:numId w:val="0"/>
        </w:numPr>
        <w:tabs>
          <w:tab w:val="clear" w:pos="1984"/>
          <w:tab w:val="left" w:pos="2340"/>
        </w:tabs>
        <w:spacing w:before="120" w:after="120"/>
        <w:ind w:left="2160" w:right="1138"/>
        <w:contextualSpacing w:val="0"/>
        <w:rPr>
          <w:b w:val="0"/>
          <w:u w:val="single"/>
        </w:rPr>
      </w:pPr>
      <w:r w:rsidRPr="00540FCE">
        <w:rPr>
          <w:b w:val="0"/>
          <w:u w:val="single"/>
        </w:rPr>
        <w:t>Extermination (Art. 7(1)(b) du Statut de Rome ; Art. 222(2) du Code pénal de la RDC)</w:t>
      </w:r>
      <w:r w:rsidRPr="007F1170">
        <w:rPr>
          <w:rStyle w:val="FootnoteReference"/>
        </w:rPr>
        <w:footnoteReference w:id="789"/>
      </w:r>
    </w:p>
    <w:p w14:paraId="44D8BE8D" w14:textId="1C6A6CE9" w:rsidR="0093751D" w:rsidRDefault="0093751D" w:rsidP="00540FCE">
      <w:pPr>
        <w:pStyle w:val="BodyText"/>
        <w:tabs>
          <w:tab w:val="left" w:pos="1559"/>
          <w:tab w:val="left" w:pos="1984"/>
          <w:tab w:val="left" w:leader="dot" w:pos="7654"/>
          <w:tab w:val="right" w:pos="8929"/>
        </w:tabs>
        <w:spacing w:line="240" w:lineRule="atLeast"/>
        <w:ind w:left="1138" w:right="1138" w:firstLine="0"/>
        <w:rPr>
          <w:lang w:val="fr-CH"/>
        </w:rPr>
      </w:pPr>
      <w:r>
        <w:rPr>
          <w:lang w:val="fr-CH"/>
        </w:rPr>
        <w:t xml:space="preserve">Certains des meurtres commis par les milices Bana Mura l’ont été à grande échelle, constituant ainsi des massacres de membres de la population civile </w:t>
      </w:r>
      <w:r w:rsidR="00051090">
        <w:rPr>
          <w:lang w:val="fr-CH"/>
        </w:rPr>
        <w:t>l</w:t>
      </w:r>
      <w:r>
        <w:rPr>
          <w:lang w:val="fr-CH"/>
        </w:rPr>
        <w:t xml:space="preserve">uba pouvant être qualifiés </w:t>
      </w:r>
      <w:r w:rsidRPr="00540FCE">
        <w:t>d’extermination</w:t>
      </w:r>
      <w:r>
        <w:rPr>
          <w:lang w:val="fr-CH"/>
        </w:rPr>
        <w:t xml:space="preserve"> constitutive de crime contre l’humanité. C’est notamment le cas des massacres commis entre le 24 et 26 avril 2017 dans le groupement Muyeji, en particulier dans les villages de Senge (Cinq), Camp Kwilu, Kakondo et Mvula Milenge, où les membres de la population civile </w:t>
      </w:r>
      <w:r w:rsidR="00051090">
        <w:rPr>
          <w:lang w:val="fr-CH"/>
        </w:rPr>
        <w:t>l</w:t>
      </w:r>
      <w:r>
        <w:rPr>
          <w:lang w:val="fr-CH"/>
        </w:rPr>
        <w:t>uba tués se comptent par centaines.</w:t>
      </w:r>
    </w:p>
    <w:p w14:paraId="4A1309C1" w14:textId="28FDED24" w:rsidR="0093751D" w:rsidRDefault="0093751D" w:rsidP="00540FCE">
      <w:pPr>
        <w:pStyle w:val="Heading5"/>
        <w:numPr>
          <w:ilvl w:val="0"/>
          <w:numId w:val="0"/>
        </w:numPr>
        <w:tabs>
          <w:tab w:val="clear" w:pos="1984"/>
          <w:tab w:val="left" w:pos="2340"/>
        </w:tabs>
        <w:spacing w:before="120" w:after="120"/>
        <w:ind w:left="2160" w:right="1138"/>
        <w:contextualSpacing w:val="0"/>
        <w:rPr>
          <w:i w:val="0"/>
          <w:u w:val="single"/>
        </w:rPr>
      </w:pPr>
      <w:r w:rsidRPr="00540FCE">
        <w:rPr>
          <w:b w:val="0"/>
          <w:u w:val="single"/>
        </w:rPr>
        <w:t>Viol (Art. 7(1)(g) du Statut de Rome ; Art. 222(8) du Code pénal de la RDC)</w:t>
      </w:r>
      <w:r w:rsidRPr="007F1170">
        <w:rPr>
          <w:rStyle w:val="FootnoteReference"/>
        </w:rPr>
        <w:footnoteReference w:id="790"/>
      </w:r>
    </w:p>
    <w:p w14:paraId="576A057B" w14:textId="6860E455" w:rsidR="0093751D" w:rsidRPr="00DD63D7" w:rsidRDefault="0093751D" w:rsidP="00540FCE">
      <w:pPr>
        <w:pStyle w:val="BodyText"/>
        <w:tabs>
          <w:tab w:val="left" w:pos="1559"/>
          <w:tab w:val="left" w:pos="1984"/>
          <w:tab w:val="left" w:leader="dot" w:pos="7654"/>
          <w:tab w:val="right" w:pos="8929"/>
        </w:tabs>
        <w:spacing w:line="240" w:lineRule="atLeast"/>
        <w:ind w:left="1138" w:right="1138" w:firstLine="0"/>
      </w:pPr>
      <w:r w:rsidRPr="00DD63D7">
        <w:t xml:space="preserve">Des femmes et des filles de la population civile </w:t>
      </w:r>
      <w:r w:rsidR="00051090">
        <w:t>l</w:t>
      </w:r>
      <w:r w:rsidRPr="00DD63D7">
        <w:t xml:space="preserve">uba, et dans une moindre mesure de l’ethnie </w:t>
      </w:r>
      <w:r w:rsidR="00051090">
        <w:t>t</w:t>
      </w:r>
      <w:r w:rsidR="005B1D1D" w:rsidRPr="00DD63D7">
        <w:t>et</w:t>
      </w:r>
      <w:r w:rsidR="00A00A7A">
        <w:t>e</w:t>
      </w:r>
      <w:r w:rsidR="005B1D1D" w:rsidRPr="00DD63D7">
        <w:t xml:space="preserve">la </w:t>
      </w:r>
      <w:r w:rsidRPr="00DD63D7">
        <w:t xml:space="preserve">ainsi que des femmes </w:t>
      </w:r>
      <w:r w:rsidR="00DF202E">
        <w:t>p</w:t>
      </w:r>
      <w:r w:rsidRPr="00DD63D7">
        <w:t>ende</w:t>
      </w:r>
      <w:r w:rsidR="00DF202E">
        <w:t>s</w:t>
      </w:r>
      <w:r w:rsidRPr="00DD63D7">
        <w:t xml:space="preserve">, qui fuyaient les violences entre les milices Bana Mura et la milice Kamuina Nsapu sur le territoire de </w:t>
      </w:r>
      <w:r w:rsidRPr="00540FCE">
        <w:rPr>
          <w:lang w:val="fr-CH"/>
        </w:rPr>
        <w:t>Kamonia</w:t>
      </w:r>
      <w:r w:rsidRPr="00DD63D7">
        <w:t xml:space="preserve"> ont été violées – parfois de manière répétée et/ou collectivement et/ou par plusieurs auteurs – par des membres des milices Bana Mura soit dans la brousse soit aux barrages routiers tenus par ces derniers. Elles ont souvent été violées devant leurs enfants et/ou d’autres membres de leur famille ou des proches. Par exemple, des femmes fuyant les violences et les combats et qui venaient d’échapper à des éléments de la milice Kamuina Nsapu qui les avaient violées sont tombées sur des miliciens Bana Mura qui les ont violées à leur tour</w:t>
      </w:r>
      <w:r w:rsidRPr="007F1170">
        <w:rPr>
          <w:rStyle w:val="FootnoteReference"/>
        </w:rPr>
        <w:footnoteReference w:id="791"/>
      </w:r>
      <w:r w:rsidRPr="00DD63D7">
        <w:t xml:space="preserve">. Une femme </w:t>
      </w:r>
      <w:r w:rsidR="00051090">
        <w:t>t</w:t>
      </w:r>
      <w:r w:rsidR="005B1D1D" w:rsidRPr="00DD63D7">
        <w:t>et</w:t>
      </w:r>
      <w:r w:rsidR="00A00A7A">
        <w:t>e</w:t>
      </w:r>
      <w:r w:rsidR="005B1D1D" w:rsidRPr="00DD63D7">
        <w:t xml:space="preserve">la </w:t>
      </w:r>
      <w:r w:rsidRPr="00DD63D7">
        <w:t>et quatre autres femmes qui ont été capturées lors de leur fuite vers l’Angola ont été violées systématiquement pendant quatre jours consécutifs par des miliciens Bana Mura et ceci en présence de leurs enfants qui ne pouvaient rien faire</w:t>
      </w:r>
      <w:r w:rsidRPr="007F1170">
        <w:rPr>
          <w:rStyle w:val="FootnoteReference"/>
        </w:rPr>
        <w:footnoteReference w:id="792"/>
      </w:r>
      <w:r w:rsidRPr="00DD63D7">
        <w:t>. Une autre femme attrapée par trois miliciens Bana Mura armés raconte : « [d]eux m’ont tenue très fort par les bras tandis que l’autre m’a déshabillée et pénétrée de force pour me violer. […] Ce jour-là, toutes les autres femmes, une trentaine, ont été violées »</w:t>
      </w:r>
      <w:r w:rsidRPr="007F1170">
        <w:rPr>
          <w:rStyle w:val="FootnoteReference"/>
        </w:rPr>
        <w:footnoteReference w:id="793"/>
      </w:r>
      <w:r w:rsidRPr="00DD63D7">
        <w:t>.</w:t>
      </w:r>
    </w:p>
    <w:p w14:paraId="19612DC2" w14:textId="282C784C" w:rsidR="0093751D" w:rsidRPr="00540FCE" w:rsidRDefault="0093751D" w:rsidP="00540FCE">
      <w:pPr>
        <w:pStyle w:val="BodyText"/>
        <w:tabs>
          <w:tab w:val="left" w:pos="1559"/>
          <w:tab w:val="left" w:pos="1984"/>
          <w:tab w:val="left" w:leader="dot" w:pos="7654"/>
          <w:tab w:val="right" w:pos="8929"/>
        </w:tabs>
        <w:spacing w:line="240" w:lineRule="atLeast"/>
        <w:ind w:left="1138" w:right="1138" w:firstLine="0"/>
        <w:rPr>
          <w:lang w:val="fr-CH"/>
        </w:rPr>
      </w:pPr>
      <w:r w:rsidRPr="00DD63D7">
        <w:t xml:space="preserve">D’autres femmes et filles ont été violées dans leurs villages lorsque des </w:t>
      </w:r>
      <w:r>
        <w:t>miliciens</w:t>
      </w:r>
      <w:r w:rsidRPr="00DD63D7">
        <w:t xml:space="preserve"> Bana Mura ont attaqué ces villages. Ces viols se sont souvent produits devant des membres de leur famille ou des proches. Des femmes et des filles de la population civile </w:t>
      </w:r>
      <w:r w:rsidR="00051090">
        <w:t>l</w:t>
      </w:r>
      <w:r w:rsidRPr="00DD63D7">
        <w:t xml:space="preserve">uba en âge de procréer ont également été violées de manière répétée pendant des semaines ou des mois alors qu’elles étaient gardées en captivité </w:t>
      </w:r>
      <w:r w:rsidRPr="00540FCE">
        <w:rPr>
          <w:lang w:val="fr-CH"/>
        </w:rPr>
        <w:t>dans des fermes par des miliciens Bana Mura, y compris une femme qui avait accouché une semaine plus tôt et qui a ensuite été violée quotidiennement durant toute sa détention.</w:t>
      </w:r>
    </w:p>
    <w:p w14:paraId="4025186F" w14:textId="77777777" w:rsidR="0093751D" w:rsidRPr="00540FCE" w:rsidRDefault="0093751D" w:rsidP="00540FCE">
      <w:pPr>
        <w:pStyle w:val="BodyText"/>
        <w:tabs>
          <w:tab w:val="left" w:pos="1559"/>
          <w:tab w:val="left" w:pos="1984"/>
          <w:tab w:val="left" w:leader="dot" w:pos="7654"/>
          <w:tab w:val="right" w:pos="8929"/>
        </w:tabs>
        <w:spacing w:line="240" w:lineRule="atLeast"/>
        <w:ind w:left="1138" w:right="1138" w:firstLine="0"/>
        <w:rPr>
          <w:lang w:val="fr-CH"/>
        </w:rPr>
      </w:pPr>
      <w:r w:rsidRPr="00540FCE">
        <w:rPr>
          <w:lang w:val="fr-CH"/>
        </w:rPr>
        <w:t>La plupart de ces viols ont consisté en la pénétration du vagin de la victime par l’organe sexuel du ou des auteur(s) de ces crimes. Certaines victimes ont également été pénétrées vaginalement par des objets, tels que des bâtons ou encore des fusils, causant parfois leur mort.</w:t>
      </w:r>
    </w:p>
    <w:p w14:paraId="6A273390" w14:textId="7290B90D" w:rsidR="0093751D" w:rsidRPr="00540FCE" w:rsidRDefault="0093751D" w:rsidP="00540FCE">
      <w:pPr>
        <w:pStyle w:val="BodyText"/>
        <w:tabs>
          <w:tab w:val="left" w:pos="1559"/>
          <w:tab w:val="left" w:pos="1984"/>
          <w:tab w:val="left" w:leader="dot" w:pos="7654"/>
          <w:tab w:val="right" w:pos="8929"/>
        </w:tabs>
        <w:spacing w:line="240" w:lineRule="atLeast"/>
        <w:ind w:left="1138" w:right="1138" w:firstLine="0"/>
        <w:rPr>
          <w:lang w:val="fr-CH"/>
        </w:rPr>
      </w:pPr>
      <w:r w:rsidRPr="00540FCE">
        <w:rPr>
          <w:lang w:val="fr-CH"/>
        </w:rPr>
        <w:t xml:space="preserve">Si la grande majorité de ces viols ont été commis contre des femmes et des filles, dans un cas au moins, des miliciens Bana Mura ont exigé qu’un homme </w:t>
      </w:r>
      <w:r w:rsidR="00051090" w:rsidRPr="00540FCE">
        <w:rPr>
          <w:lang w:val="fr-CH"/>
        </w:rPr>
        <w:t>l</w:t>
      </w:r>
      <w:r w:rsidRPr="00540FCE">
        <w:rPr>
          <w:lang w:val="fr-CH"/>
        </w:rPr>
        <w:t xml:space="preserve">uba – qui fuyait les violences avec sa femme </w:t>
      </w:r>
      <w:r w:rsidR="00051090" w:rsidRPr="00540FCE">
        <w:rPr>
          <w:lang w:val="fr-CH"/>
        </w:rPr>
        <w:t>p</w:t>
      </w:r>
      <w:r w:rsidRPr="00540FCE">
        <w:rPr>
          <w:lang w:val="fr-CH"/>
        </w:rPr>
        <w:t>ende et leurs enfants – ait des relations sexuelles avec ses filles. Ayant refusé, il a été battu avec des machettes, puis égorgé. Sa femme a alors été violée à sa place</w:t>
      </w:r>
      <w:r w:rsidRPr="007F1170">
        <w:rPr>
          <w:rStyle w:val="FootnoteReference"/>
        </w:rPr>
        <w:footnoteReference w:id="794"/>
      </w:r>
      <w:r w:rsidRPr="00540FCE">
        <w:rPr>
          <w:lang w:val="fr-CH"/>
        </w:rPr>
        <w:t>.</w:t>
      </w:r>
    </w:p>
    <w:p w14:paraId="7CF201F6" w14:textId="77777777" w:rsidR="0093751D" w:rsidRPr="00DD63D7" w:rsidRDefault="0093751D" w:rsidP="00540FCE">
      <w:pPr>
        <w:pStyle w:val="BodyText"/>
        <w:tabs>
          <w:tab w:val="left" w:pos="1559"/>
          <w:tab w:val="left" w:pos="1984"/>
          <w:tab w:val="left" w:leader="dot" w:pos="7654"/>
          <w:tab w:val="right" w:pos="8929"/>
        </w:tabs>
        <w:spacing w:line="240" w:lineRule="atLeast"/>
        <w:ind w:left="1138" w:right="1138" w:firstLine="0"/>
      </w:pPr>
      <w:r w:rsidRPr="00540FCE">
        <w:rPr>
          <w:lang w:val="fr-CH"/>
        </w:rPr>
        <w:t>Tous ces viols ont été commis en usant soit de la force ou de la menace de</w:t>
      </w:r>
      <w:r w:rsidRPr="00DD63D7">
        <w:t xml:space="preserve"> la force, ou bien à la faveur d’un environnement coercitif, notamment lorsque les femmes et filles étaient en captivité dans des fermes.</w:t>
      </w:r>
    </w:p>
    <w:p w14:paraId="6B4234B9" w14:textId="33B795E9" w:rsidR="0093751D" w:rsidRPr="006D5135" w:rsidRDefault="0093751D" w:rsidP="00540FCE">
      <w:pPr>
        <w:pStyle w:val="Heading5"/>
        <w:numPr>
          <w:ilvl w:val="0"/>
          <w:numId w:val="0"/>
        </w:numPr>
        <w:tabs>
          <w:tab w:val="clear" w:pos="1984"/>
          <w:tab w:val="left" w:pos="2340"/>
        </w:tabs>
        <w:spacing w:before="120" w:after="120"/>
        <w:ind w:left="2160" w:right="1138"/>
        <w:contextualSpacing w:val="0"/>
        <w:rPr>
          <w:i w:val="0"/>
          <w:u w:val="single"/>
        </w:rPr>
      </w:pPr>
      <w:r w:rsidRPr="00540FCE">
        <w:rPr>
          <w:b w:val="0"/>
          <w:u w:val="single"/>
        </w:rPr>
        <w:t>Réduction en esclavage, y compris sexuel (Art. 7(1)(c) et (g) du Statut de Rome ; Art. 222(3) et (8) du Code pénal de la RDC)</w:t>
      </w:r>
      <w:r w:rsidRPr="007F1170">
        <w:rPr>
          <w:rStyle w:val="FootnoteReference"/>
        </w:rPr>
        <w:footnoteReference w:id="795"/>
      </w:r>
    </w:p>
    <w:p w14:paraId="65ED8EDF" w14:textId="79958E4B" w:rsidR="0093751D" w:rsidRPr="00540FCE" w:rsidRDefault="0093751D" w:rsidP="00540FCE">
      <w:pPr>
        <w:pStyle w:val="BodyText"/>
        <w:tabs>
          <w:tab w:val="left" w:pos="1559"/>
          <w:tab w:val="left" w:pos="1984"/>
          <w:tab w:val="left" w:leader="dot" w:pos="7654"/>
          <w:tab w:val="right" w:pos="8929"/>
        </w:tabs>
        <w:spacing w:line="240" w:lineRule="atLeast"/>
        <w:ind w:left="1138" w:right="1138" w:firstLine="0"/>
        <w:rPr>
          <w:lang w:val="fr-CH"/>
        </w:rPr>
      </w:pPr>
      <w:r w:rsidRPr="004204F6">
        <w:t xml:space="preserve">Des miliciens Bana Mura ont sélectionné des femmes et des filles </w:t>
      </w:r>
      <w:r w:rsidR="00051090">
        <w:t>l</w:t>
      </w:r>
      <w:r w:rsidRPr="004204F6">
        <w:t>ubas en âge de procréer et les ont gardées en captivité, parfois avec leurs enfants, dans des fermes situées dans le groupement de Muyeji. Celles-ci n’ont pas uniquement été privées de leur liberté, mais ont systématiquement été violées de manière répétitive et certain</w:t>
      </w:r>
      <w:r>
        <w:t>e</w:t>
      </w:r>
      <w:r w:rsidRPr="004204F6">
        <w:t xml:space="preserve">s d’entre elles ont été forcées de travailler dans les champs ou de </w:t>
      </w:r>
      <w:r w:rsidRPr="00540FCE">
        <w:rPr>
          <w:lang w:val="fr-CH"/>
        </w:rPr>
        <w:t xml:space="preserve">vendre des produits au marché. De très jeunes filles et garçons </w:t>
      </w:r>
      <w:r w:rsidR="00051090" w:rsidRPr="00540FCE">
        <w:rPr>
          <w:lang w:val="fr-CH"/>
        </w:rPr>
        <w:t>l</w:t>
      </w:r>
      <w:r w:rsidRPr="00540FCE">
        <w:rPr>
          <w:lang w:val="fr-CH"/>
        </w:rPr>
        <w:t>ubas ont également été détenus dans ces fermes. Divers indicateurs</w:t>
      </w:r>
      <w:r w:rsidRPr="007F1170">
        <w:rPr>
          <w:rStyle w:val="FootnoteReference"/>
        </w:rPr>
        <w:footnoteReference w:id="796"/>
      </w:r>
      <w:r w:rsidRPr="00540FCE">
        <w:rPr>
          <w:lang w:val="fr-CH"/>
        </w:rPr>
        <w:t xml:space="preserve"> permettent de déterminer que les miliciens Bana Mura ont exercé sur ces femmes, ces filles et ces garçons l’un quelconque ou l’ensemble des pouvoirs liés au droit de propriété équivalant à une réduction en esclavage, y compris sexuel, constitutive de crime contre l’humanité.</w:t>
      </w:r>
    </w:p>
    <w:p w14:paraId="658EEFFB" w14:textId="77777777" w:rsidR="0093751D" w:rsidRPr="00540FCE" w:rsidRDefault="0093751D" w:rsidP="00540FCE">
      <w:pPr>
        <w:pStyle w:val="BodyText"/>
        <w:tabs>
          <w:tab w:val="left" w:pos="1559"/>
          <w:tab w:val="left" w:pos="1984"/>
          <w:tab w:val="left" w:leader="dot" w:pos="7654"/>
          <w:tab w:val="right" w:pos="8929"/>
        </w:tabs>
        <w:spacing w:line="240" w:lineRule="atLeast"/>
        <w:ind w:left="1138" w:right="1138" w:firstLine="0"/>
        <w:rPr>
          <w:lang w:val="fr-CH"/>
        </w:rPr>
      </w:pPr>
      <w:r w:rsidRPr="00540FCE">
        <w:rPr>
          <w:lang w:val="fr-CH"/>
        </w:rPr>
        <w:t>Premièrement, la manière dont ces femmes et filles ont été sélectionnées est illustrative des pouvoirs liés au droit de propriété exercés sur elles par les miliciens Bana Mura. En effet, alors qu’elles fuyaient les violences ou lorsque leurs villages ont été attaqués, ces femmes et ces filles ont été sélectionnées du fait de leur âge de procréer comme si elles étaient des objets. Ainsi une d’entre elle rapporte que, lors de son arrestation, un milicien lui a dit : « nous allons tuer ton mari, tu vas être notre femme ». Une fois arrivée à la ferme, les miliciens sélectionnaient les femmes et disaient : « toi, tu seras ma femme, toi aussi ». Plusieurs miliciens ont ainsi choisi une ou des femmes parmi le groupe de femmes avec lequel elle avait été capturée</w:t>
      </w:r>
      <w:r w:rsidRPr="007F1170">
        <w:rPr>
          <w:rStyle w:val="FootnoteReference"/>
        </w:rPr>
        <w:footnoteReference w:id="797"/>
      </w:r>
      <w:r w:rsidRPr="00540FCE">
        <w:rPr>
          <w:lang w:val="fr-CH"/>
        </w:rPr>
        <w:t>. Une autre femme raconte que le milicien qui l’a sélectionnée a dit : « Moi j’ai beaucoup combattu, mais vous ne m’avez jamais payé. Donc moi, je vais la prendre comme récompense »</w:t>
      </w:r>
      <w:r w:rsidRPr="007F1170">
        <w:rPr>
          <w:rStyle w:val="FootnoteReference"/>
        </w:rPr>
        <w:footnoteReference w:id="798"/>
      </w:r>
      <w:r w:rsidRPr="00540FCE">
        <w:rPr>
          <w:lang w:val="fr-CH"/>
        </w:rPr>
        <w:t>.</w:t>
      </w:r>
    </w:p>
    <w:p w14:paraId="37994A66" w14:textId="77777777" w:rsidR="0093751D" w:rsidRPr="00540FCE" w:rsidRDefault="0093751D" w:rsidP="00540FCE">
      <w:pPr>
        <w:pStyle w:val="BodyText"/>
        <w:tabs>
          <w:tab w:val="left" w:pos="1559"/>
          <w:tab w:val="left" w:pos="1984"/>
          <w:tab w:val="left" w:leader="dot" w:pos="7654"/>
          <w:tab w:val="right" w:pos="8929"/>
        </w:tabs>
        <w:spacing w:line="240" w:lineRule="atLeast"/>
        <w:ind w:left="1138" w:right="1138" w:firstLine="0"/>
        <w:rPr>
          <w:lang w:val="fr-CH"/>
        </w:rPr>
      </w:pPr>
      <w:r w:rsidRPr="00540FCE">
        <w:rPr>
          <w:lang w:val="fr-CH"/>
        </w:rPr>
        <w:t>Par ailleurs, ces femmes et filles – ainsi que ces jeunes enfants – étaient gardées en captivité et leurs mouvements contrôlés. En effet, des miliciens les surveillaient non seulement lorsqu’elles étaient à l’intérieur des fermes, mais également lorsqu’elles travaillaient au champ ou devaient aller vendre des produits au marché. Une femme explique : « A la ferme, j’étais entravée, torturée matin et soir. J’étais comme une esclave avec d’autres à travailler dans les champs et puiser de l’eau »</w:t>
      </w:r>
      <w:r w:rsidRPr="007F1170">
        <w:rPr>
          <w:rStyle w:val="FootnoteReference"/>
        </w:rPr>
        <w:footnoteReference w:id="799"/>
      </w:r>
      <w:r w:rsidRPr="00540FCE">
        <w:rPr>
          <w:lang w:val="fr-CH"/>
        </w:rPr>
        <w:t>.</w:t>
      </w:r>
    </w:p>
    <w:p w14:paraId="0EC7F935" w14:textId="7980BA32" w:rsidR="0093751D" w:rsidRPr="00540FCE" w:rsidRDefault="0093751D" w:rsidP="00540FCE">
      <w:pPr>
        <w:pStyle w:val="BodyText"/>
        <w:tabs>
          <w:tab w:val="left" w:pos="1559"/>
          <w:tab w:val="left" w:pos="1984"/>
          <w:tab w:val="left" w:leader="dot" w:pos="7654"/>
          <w:tab w:val="right" w:pos="8929"/>
        </w:tabs>
        <w:spacing w:line="240" w:lineRule="atLeast"/>
        <w:ind w:left="1138" w:right="1138" w:firstLine="0"/>
        <w:rPr>
          <w:lang w:val="fr-CH"/>
        </w:rPr>
      </w:pPr>
      <w:r w:rsidRPr="00540FCE">
        <w:rPr>
          <w:lang w:val="fr-CH"/>
        </w:rPr>
        <w:t xml:space="preserve">En plus du travail forcé aux champs ou au marché imposés sur ces femmes et filles, les pouvoirs liés au droit de propriété exercés sur ces dernières sont aussi mis en exergue par le contrôle de leur sexualité, les traitements cruels et les sévices que certaines ont subis, ainsi que le recours à la force ou d’autres formes de contrainte auxquelles elles ont été soumises. Les femmes et filles ont ainsi été systématiquement violées de manière répétées, parfois quotidiennement, allant même jusqu’à trois ou quatre fois par jour et plusieurs fois par nuit dans certains cas, et ceci pendant des mois. Ces viols ont été commis en faisant usage de la force, de la contrainte ou de l’environnement coercitif dans lequel elles se trouvaient. Ainsi, une femme </w:t>
      </w:r>
      <w:r w:rsidR="004A163E" w:rsidRPr="00540FCE">
        <w:rPr>
          <w:lang w:val="fr-CH"/>
        </w:rPr>
        <w:t>l</w:t>
      </w:r>
      <w:r w:rsidRPr="00540FCE">
        <w:rPr>
          <w:lang w:val="fr-CH"/>
        </w:rPr>
        <w:t>uba décrit que, lors de son premier viol, le milicien avait une machette et une arme à feu et l’a menacée de mort si elle refusait. Une autre femme explique que la première fois elle a résisté. Le milicien lui « a dit : ‘tu es ma femme et tu ne retourneras pas chez toi’. Il [l]’a déshabillée. Puis il [l]’a frappée avec des cordes sur les bras, sur le dos, sur les jambes. Il [l]’a cognée contre le muret, [la] saisissant par le cou » jusqu’à ce qu’elle cède. Elle explique : « Je voulais sauver ma vie donc j’ai accepté. Il m’a allongée sur une natte par terre et il s’est couché sur moi pour me pénétrer de force dans le sexe »</w:t>
      </w:r>
      <w:r w:rsidRPr="007F1170">
        <w:rPr>
          <w:rStyle w:val="FootnoteReference"/>
        </w:rPr>
        <w:footnoteReference w:id="800"/>
      </w:r>
      <w:r w:rsidRPr="00540FCE">
        <w:rPr>
          <w:lang w:val="fr-CH"/>
        </w:rPr>
        <w:t>. Par ailleurs, plusieurs de ces miliciens ont revendiqué des droits exclusifs sur ces victimes, les décrivant comme étant leurs femmes.</w:t>
      </w:r>
    </w:p>
    <w:p w14:paraId="28B02B0A" w14:textId="77777777" w:rsidR="0093751D" w:rsidRPr="00D66E25" w:rsidRDefault="0093751D" w:rsidP="00540FCE">
      <w:pPr>
        <w:pStyle w:val="BodyText"/>
        <w:tabs>
          <w:tab w:val="left" w:pos="1559"/>
          <w:tab w:val="left" w:pos="1984"/>
          <w:tab w:val="left" w:leader="dot" w:pos="7654"/>
          <w:tab w:val="right" w:pos="8929"/>
        </w:tabs>
        <w:spacing w:line="240" w:lineRule="atLeast"/>
        <w:ind w:left="1138" w:right="1138" w:firstLine="0"/>
      </w:pPr>
      <w:r w:rsidRPr="00540FCE">
        <w:rPr>
          <w:lang w:val="fr-CH"/>
        </w:rPr>
        <w:t>Finalement, bien qu’il ressort des témoignages de certaines femmes que les miliciens qui les ont réduites en esclavage, détenues illégalement et violées de manière répétitives avaient l’intention qu’elles tombent enceinte et qu’elles mettent au monde leurs enfants, l’EEI n’a pas collecté suffisamment</w:t>
      </w:r>
      <w:r w:rsidRPr="003162A8">
        <w:t xml:space="preserve"> de preu</w:t>
      </w:r>
      <w:r w:rsidRPr="007D7A02">
        <w:t>ves de cas où le ou les miliciens, sachant que les femmes avaient été mises enceinte de force, ont eu</w:t>
      </w:r>
      <w:r w:rsidRPr="00D66E25">
        <w:t xml:space="preserve"> l’intention spécifique de les détenir illégalement afin de modifier la composition ethnique d’une population ou de commettre d’autres violations graves du droit international. Dès lors, l’EEI n’a pas pu prouver que le crime de grossesse forcée constitutive de crime contre l’humanité avait été commis.</w:t>
      </w:r>
    </w:p>
    <w:p w14:paraId="096FEEBC" w14:textId="531A6B0B" w:rsidR="0093751D" w:rsidRPr="006D5135" w:rsidRDefault="0093751D" w:rsidP="00540FCE">
      <w:pPr>
        <w:pStyle w:val="Heading5"/>
        <w:numPr>
          <w:ilvl w:val="0"/>
          <w:numId w:val="0"/>
        </w:numPr>
        <w:tabs>
          <w:tab w:val="clear" w:pos="1984"/>
          <w:tab w:val="left" w:pos="2340"/>
        </w:tabs>
        <w:spacing w:before="120" w:after="120"/>
        <w:ind w:left="2160" w:right="1138"/>
        <w:contextualSpacing w:val="0"/>
        <w:rPr>
          <w:i w:val="0"/>
          <w:u w:val="single"/>
        </w:rPr>
      </w:pPr>
      <w:r w:rsidRPr="00540FCE">
        <w:rPr>
          <w:b w:val="0"/>
          <w:u w:val="single"/>
        </w:rPr>
        <w:t>Torture (Art. 7(1)(f) du Statut de Rome ; Art. 222(6) du Code pénal de la RDC)</w:t>
      </w:r>
      <w:r w:rsidRPr="007F1170">
        <w:rPr>
          <w:rStyle w:val="FootnoteReference"/>
        </w:rPr>
        <w:footnoteReference w:id="801"/>
      </w:r>
    </w:p>
    <w:p w14:paraId="26265C71" w14:textId="77777777" w:rsidR="0093751D" w:rsidRPr="004204F6" w:rsidRDefault="0093751D" w:rsidP="00540FCE">
      <w:pPr>
        <w:pStyle w:val="BodyText"/>
        <w:tabs>
          <w:tab w:val="left" w:pos="1559"/>
          <w:tab w:val="left" w:pos="1984"/>
          <w:tab w:val="left" w:leader="dot" w:pos="7654"/>
          <w:tab w:val="right" w:pos="8929"/>
        </w:tabs>
        <w:spacing w:line="240" w:lineRule="atLeast"/>
        <w:ind w:left="1138" w:right="1138" w:firstLine="0"/>
      </w:pPr>
      <w:r w:rsidRPr="004204F6">
        <w:t>Dans d’innombrables cas, des miliciens Bana Mura ont intentionnellement infligé à des personnes – sous leur garde ou leur contrôle – une douleur ou des souffrances, physiques ou mentales, aiguës qui peuvent être qualifiées de torture constitutive de crime contre l’humanité.</w:t>
      </w:r>
    </w:p>
    <w:p w14:paraId="28B53318" w14:textId="77777777" w:rsidR="0093751D" w:rsidRPr="004204F6" w:rsidRDefault="0093751D" w:rsidP="00540FCE">
      <w:pPr>
        <w:pStyle w:val="BodyText"/>
        <w:tabs>
          <w:tab w:val="left" w:pos="1559"/>
          <w:tab w:val="left" w:pos="1984"/>
          <w:tab w:val="left" w:leader="dot" w:pos="7654"/>
          <w:tab w:val="right" w:pos="8929"/>
        </w:tabs>
        <w:spacing w:line="240" w:lineRule="atLeast"/>
        <w:ind w:left="1138" w:right="1138" w:firstLine="0"/>
      </w:pPr>
      <w:r w:rsidRPr="004204F6">
        <w:t>Parmi les actes de torture les plus répétitifs commis par des miliciens Bana Mura, il convient de relever les cas suivants : (i) les cas où des miliciens ont frappé à l’aide de machettes</w:t>
      </w:r>
      <w:r>
        <w:t>, poignardé</w:t>
      </w:r>
      <w:r w:rsidRPr="004204F6">
        <w:t xml:space="preserve"> </w:t>
      </w:r>
      <w:r>
        <w:t>à l’aide</w:t>
      </w:r>
      <w:r w:rsidRPr="004204F6">
        <w:t xml:space="preserve"> de couteaux, mutilés, amputés – y compris les seins de femmes – ou encore brûlés des civils sous leur contrôle ; (ii) les cas de viols décrits ci-dessus, y compris à l’aide d’objets, qui ont non seulement infligés des souffrances physiques mais aussi psychologiques aiguës aux victimes de ces crimes ; et (iii) les cas où un ou plusieurs membres d’une famille ont été forcés d’assister au viol, au meurtre, à la mutilation ou à l’amputation d’un autre membre de leur famille.</w:t>
      </w:r>
    </w:p>
    <w:p w14:paraId="4A75E39A" w14:textId="2F37D3D5" w:rsidR="0093751D" w:rsidRDefault="0093751D" w:rsidP="00540FCE">
      <w:pPr>
        <w:pStyle w:val="BodyText"/>
        <w:tabs>
          <w:tab w:val="left" w:pos="1559"/>
          <w:tab w:val="left" w:pos="1984"/>
          <w:tab w:val="left" w:leader="dot" w:pos="7654"/>
          <w:tab w:val="right" w:pos="8929"/>
        </w:tabs>
        <w:spacing w:line="240" w:lineRule="atLeast"/>
        <w:ind w:left="1138" w:right="1138" w:firstLine="0"/>
      </w:pPr>
      <w:r w:rsidRPr="004204F6">
        <w:t xml:space="preserve">Les actes de torture commis par les miliciens Bana Mura font preuve d’une violence et d’une cruauté inouïes. Il convient d’en donner quelques exemples. Une femme </w:t>
      </w:r>
      <w:r w:rsidR="004A163E">
        <w:t>l</w:t>
      </w:r>
      <w:r w:rsidRPr="004204F6">
        <w:t>uba raconte qu’en avril 2017 lors de l’attaque de son village, quatre miliciens sont entrés de force chez elle. Elle explique : « [ils] défoncent la porte de la maison et me trouvent avec mes quatre enfants. […] D’un coup de machette, l’un cherchant à me fendre la tête, me blesse le long du visage du front aux lèvres en me cassant une incisive de la mâchoire supérieure, car j’ai essayé d’esquiver. Ensuite il m’envoie un second coup qu</w:t>
      </w:r>
      <w:r>
        <w:t>e par ré</w:t>
      </w:r>
      <w:r w:rsidRPr="004204F6">
        <w:t>flexe, j’ai essayé de caler de mon bras droit qui reçoit le coup, ce qui me casse l’os de l’avant-bras droit. Ensuite, ils ont blessé chacun des quatre enfants âgés de 4 à 14 ans, à différentes parties du corps, principalement la tête et les bras. Le cinquième, 2 ans et 6 mois, benjamin de la fratrie, […] a, lui, été tué, sectionné en deux à la machette à la hauteur de l’abdomen. Ils extraient ensuite ses entrailles (intestins), me réunissent avec les autres enfants, nous font asseoir, et enroulent ces intestins autour de nous et ressortent. Nous sommes restés sur place de 12 à 23 heures, profondément traumatisés »</w:t>
      </w:r>
      <w:r w:rsidRPr="007F1170">
        <w:rPr>
          <w:rStyle w:val="FootnoteReference"/>
        </w:rPr>
        <w:footnoteReference w:id="802"/>
      </w:r>
      <w:r w:rsidRPr="004204F6">
        <w:t>.</w:t>
      </w:r>
      <w:r>
        <w:t xml:space="preserve"> Une femme </w:t>
      </w:r>
      <w:r w:rsidR="00DF202E">
        <w:t>p</w:t>
      </w:r>
      <w:r>
        <w:t>ende fuyant les violences avec sa famille et interceptée par huit miliciens Bana Mura explique : « </w:t>
      </w:r>
      <w:r w:rsidRPr="00870D98">
        <w:t xml:space="preserve">Ils ont su que mon mari </w:t>
      </w:r>
      <w:r>
        <w:t>était de la tribu L</w:t>
      </w:r>
      <w:r w:rsidRPr="00870D98">
        <w:t>ub</w:t>
      </w:r>
      <w:r>
        <w:t>a. Ils ont alors exigé que mon é</w:t>
      </w:r>
      <w:r w:rsidRPr="00870D98">
        <w:t>poux ait des relations sexuelles avec nos filles, ce qu’il a refusé. Ils sont rentrés dans une colère, et l’ont battu avec du bois, des machettes et l’ont finalement égorgé. Pendant que j’ét</w:t>
      </w:r>
      <w:r>
        <w:t>ais par terre avec mon bébé de quatre</w:t>
      </w:r>
      <w:r w:rsidRPr="00870D98">
        <w:t xml:space="preserve"> mois au dos, l’un me l’a arraché du dos et a tenu le bébé par la gorge et </w:t>
      </w:r>
      <w:r>
        <w:t>l’</w:t>
      </w:r>
      <w:r w:rsidRPr="00870D98">
        <w:t>a frappé contre un arbre avant de le jeter par terre. Il a ensuite pri</w:t>
      </w:r>
      <w:r>
        <w:t>s</w:t>
      </w:r>
      <w:r w:rsidRPr="00870D98">
        <w:t xml:space="preserve"> une pelle et voulait frapper à nouveau mon bébé lorsque je suis intervenue. Un autre m’a alors poignardée dans la cuisse gauche et dans la fesse gauche ensuite dans la fesse droite. Par terre, ils m’ont bâillonné la bouche avant que l’un d’eux me viole. Un second suivait lorsque j’ai senti un coup comme un m</w:t>
      </w:r>
      <w:r>
        <w:t>é</w:t>
      </w:r>
      <w:r w:rsidRPr="00870D98">
        <w:t>tal chaud dans ma c</w:t>
      </w:r>
      <w:r>
        <w:t>ô</w:t>
      </w:r>
      <w:r w:rsidRPr="00870D98">
        <w:t>te droite et j’ai perdu connaissance</w:t>
      </w:r>
      <w:r>
        <w:t> »</w:t>
      </w:r>
      <w:r w:rsidRPr="007F1170">
        <w:rPr>
          <w:rStyle w:val="FootnoteReference"/>
        </w:rPr>
        <w:footnoteReference w:id="803"/>
      </w:r>
      <w:r w:rsidRPr="00870D98">
        <w:t>.</w:t>
      </w:r>
    </w:p>
    <w:p w14:paraId="27A97A84" w14:textId="56C3F1AB" w:rsidR="0093751D" w:rsidRPr="00540FCE" w:rsidRDefault="0093751D" w:rsidP="00540FCE">
      <w:pPr>
        <w:pStyle w:val="Heading5"/>
        <w:numPr>
          <w:ilvl w:val="0"/>
          <w:numId w:val="0"/>
        </w:numPr>
        <w:tabs>
          <w:tab w:val="clear" w:pos="1984"/>
          <w:tab w:val="left" w:pos="2340"/>
        </w:tabs>
        <w:spacing w:before="120" w:after="120"/>
        <w:ind w:left="2160" w:right="1138"/>
        <w:contextualSpacing w:val="0"/>
        <w:rPr>
          <w:b w:val="0"/>
          <w:u w:val="single"/>
        </w:rPr>
      </w:pPr>
      <w:r w:rsidRPr="00540FCE">
        <w:rPr>
          <w:b w:val="0"/>
          <w:u w:val="single"/>
        </w:rPr>
        <w:t>Autres actes inhumains (Art. 7(1)(k) du Statut de Rome ; Art. 222(12) du Code pénal de la RDC)</w:t>
      </w:r>
      <w:r w:rsidRPr="007F1170">
        <w:rPr>
          <w:rStyle w:val="FootnoteReference"/>
        </w:rPr>
        <w:footnoteReference w:id="804"/>
      </w:r>
    </w:p>
    <w:p w14:paraId="2BCDDF30" w14:textId="77777777" w:rsidR="0093751D" w:rsidRDefault="0093751D" w:rsidP="00540FCE">
      <w:pPr>
        <w:pStyle w:val="BodyText"/>
        <w:tabs>
          <w:tab w:val="left" w:pos="1559"/>
          <w:tab w:val="left" w:pos="1984"/>
          <w:tab w:val="left" w:leader="dot" w:pos="7654"/>
          <w:tab w:val="right" w:pos="8929"/>
        </w:tabs>
        <w:spacing w:line="240" w:lineRule="atLeast"/>
        <w:ind w:left="1138" w:right="1138" w:firstLine="0"/>
      </w:pPr>
      <w:r>
        <w:t xml:space="preserve">En plus des nombreux actes de tortures décrits dans la </w:t>
      </w:r>
      <w:r w:rsidRPr="0067512C">
        <w:t xml:space="preserve">section précédente, dans d’autres cas, </w:t>
      </w:r>
      <w:r>
        <w:t>des miliciens Bana Mura</w:t>
      </w:r>
      <w:r w:rsidRPr="0067512C">
        <w:t xml:space="preserve"> ont, par un acte inhumain, intentionnellement infligé de grandes souffrances ou porté gravement atteinte à l’intégrité corporelle ou à la santé physique ou mentale de leurs victimes. Ces actes peuvent être qualifiés d’autres actes inhumains constitutifs de crimes contre l’humanité.</w:t>
      </w:r>
    </w:p>
    <w:p w14:paraId="13F807FC" w14:textId="0BC6542B" w:rsidR="0093751D" w:rsidRDefault="0093751D" w:rsidP="00540FCE">
      <w:pPr>
        <w:pStyle w:val="BodyText"/>
        <w:tabs>
          <w:tab w:val="left" w:pos="1559"/>
          <w:tab w:val="left" w:pos="1984"/>
          <w:tab w:val="left" w:leader="dot" w:pos="7654"/>
          <w:tab w:val="right" w:pos="8929"/>
        </w:tabs>
        <w:spacing w:line="240" w:lineRule="atLeast"/>
        <w:ind w:left="1138" w:right="1138" w:firstLine="0"/>
      </w:pPr>
      <w:r>
        <w:t>Parmi la multitude d’actes inhumains commis par les miliciens Bana Mura, certains sont emblématiques de la cruauté et de l’inhumanité dont ils ont fait preuve. Ainsi, des miliciens Bana Mura ont notamment éventré à la machette une femme enceinte sur laquelle ils venaient de tirer, puis ont tourné leur machette et en ont sorti les fœtus des jumeaux qu’elle attendait avant de les tuer</w:t>
      </w:r>
      <w:r w:rsidRPr="007F1170">
        <w:rPr>
          <w:rStyle w:val="FootnoteReference"/>
        </w:rPr>
        <w:footnoteReference w:id="805"/>
      </w:r>
      <w:r>
        <w:t xml:space="preserve">. Ils ont également éventré d’autres civils </w:t>
      </w:r>
      <w:r w:rsidR="004A163E">
        <w:t>l</w:t>
      </w:r>
      <w:r>
        <w:t>ubas qu’ils avaient précédemment tués à la machette</w:t>
      </w:r>
      <w:r w:rsidRPr="007F1170">
        <w:rPr>
          <w:rStyle w:val="FootnoteReference"/>
        </w:rPr>
        <w:footnoteReference w:id="806"/>
      </w:r>
      <w:r>
        <w:t>. Les miliciens Bana Mura ont également procédé à l’ablation d’organes sexuels de cadavres de leurs victimes qu’ils ont ensuite déposés sur ceux-ci. Par exemple, des pénis d’hommes coupés ont ainsi été déposés sur le front de leurs cadavres et des vagins de femmes tuées ont été coupés et, dans un cas, déposé sur le sein du cadavre.</w:t>
      </w:r>
    </w:p>
    <w:p w14:paraId="2D571654" w14:textId="447BD023" w:rsidR="0093751D" w:rsidRPr="00540FCE" w:rsidRDefault="0093751D" w:rsidP="00540FCE">
      <w:pPr>
        <w:pStyle w:val="Heading5"/>
        <w:numPr>
          <w:ilvl w:val="0"/>
          <w:numId w:val="0"/>
        </w:numPr>
        <w:tabs>
          <w:tab w:val="clear" w:pos="1984"/>
          <w:tab w:val="left" w:pos="2340"/>
        </w:tabs>
        <w:spacing w:before="120" w:after="120"/>
        <w:ind w:left="2160" w:right="1138"/>
        <w:contextualSpacing w:val="0"/>
        <w:rPr>
          <w:b w:val="0"/>
          <w:u w:val="single"/>
        </w:rPr>
      </w:pPr>
      <w:r w:rsidRPr="00540FCE">
        <w:rPr>
          <w:b w:val="0"/>
          <w:u w:val="single"/>
        </w:rPr>
        <w:t>Transfert forcé de population (Art. 7(1)(d) du Statut de Rome ; Art. 222(4) du Code pénal de la RDC)</w:t>
      </w:r>
      <w:r w:rsidRPr="007F1170">
        <w:rPr>
          <w:rStyle w:val="FootnoteReference"/>
        </w:rPr>
        <w:footnoteReference w:id="807"/>
      </w:r>
    </w:p>
    <w:p w14:paraId="01006ECF" w14:textId="68248E9B" w:rsidR="0093751D" w:rsidRPr="001F7EF9" w:rsidRDefault="0093751D" w:rsidP="00540FCE">
      <w:pPr>
        <w:pStyle w:val="BodyText"/>
        <w:tabs>
          <w:tab w:val="left" w:pos="1559"/>
          <w:tab w:val="left" w:pos="1984"/>
          <w:tab w:val="left" w:leader="dot" w:pos="7654"/>
          <w:tab w:val="right" w:pos="8929"/>
        </w:tabs>
        <w:spacing w:line="240" w:lineRule="atLeast"/>
        <w:ind w:left="1138" w:right="1138" w:firstLine="0"/>
      </w:pPr>
      <w:r>
        <w:rPr>
          <w:lang w:val="fr-CH"/>
        </w:rPr>
        <w:t xml:space="preserve">Alors que les membres de la population civile </w:t>
      </w:r>
      <w:r w:rsidR="004A163E">
        <w:rPr>
          <w:lang w:val="fr-CH"/>
        </w:rPr>
        <w:t>l</w:t>
      </w:r>
      <w:r>
        <w:rPr>
          <w:lang w:val="fr-CH"/>
        </w:rPr>
        <w:t xml:space="preserve">uba était légalement présents sur le territoire de Kamonia, province du Kasaï, où ils habitaient, les milices Bana Mura ont, sans motif admis en droit international, transféré de force en dehors de ce territoire un nombre considérable de membres de </w:t>
      </w:r>
      <w:r w:rsidRPr="00540FCE">
        <w:t>cette</w:t>
      </w:r>
      <w:r>
        <w:rPr>
          <w:lang w:val="fr-CH"/>
        </w:rPr>
        <w:t xml:space="preserve"> population. Ce transfert forcé s’est fait à la faveur du climat coercitif provoqué par les attaques que les miliciens Bana Mura ont systématiquement lancées contre la population civile de l’ethnie </w:t>
      </w:r>
      <w:r w:rsidR="004A163E">
        <w:rPr>
          <w:lang w:val="fr-CH"/>
        </w:rPr>
        <w:t>l</w:t>
      </w:r>
      <w:r>
        <w:rPr>
          <w:lang w:val="fr-CH"/>
        </w:rPr>
        <w:t xml:space="preserve">uba et les crimes commis à leur encontre sur le territoire de Kamonia ainsi que les discours haineux, tels que ceux leur disant « Rentrez chez vous ! </w:t>
      </w:r>
      <w:r w:rsidR="00EC5C9A">
        <w:rPr>
          <w:lang w:val="fr-CH"/>
        </w:rPr>
        <w:t>Ça</w:t>
      </w:r>
      <w:r>
        <w:rPr>
          <w:lang w:val="fr-CH"/>
        </w:rPr>
        <w:t>, ce n’est pas votre terre ! ». En effet, face à la commission d’attaques</w:t>
      </w:r>
      <w:r w:rsidRPr="001F7EF9">
        <w:t xml:space="preserve"> consistant à éliminer la présence de la population civile </w:t>
      </w:r>
      <w:r w:rsidR="004A163E">
        <w:t>l</w:t>
      </w:r>
      <w:r w:rsidRPr="001F7EF9">
        <w:t xml:space="preserve">uba du territoire de Kamonia en attaquant leurs villages et </w:t>
      </w:r>
      <w:r>
        <w:t xml:space="preserve">en </w:t>
      </w:r>
      <w:r w:rsidRPr="001F7EF9">
        <w:t xml:space="preserve">commettant à leur l’encontre une multitude d’actes de violence, y compris des massacres, </w:t>
      </w:r>
      <w:r>
        <w:t xml:space="preserve">et </w:t>
      </w:r>
      <w:r w:rsidRPr="001F7EF9">
        <w:t>en incendiant leurs habitations ou lieux de refuge</w:t>
      </w:r>
      <w:r>
        <w:t>,</w:t>
      </w:r>
      <w:r w:rsidRPr="001F7EF9">
        <w:t xml:space="preserve"> les Lubas </w:t>
      </w:r>
      <w:r>
        <w:t>n’ont pas eu d’autre choix que de fuir le territoire de Kamonia</w:t>
      </w:r>
      <w:r w:rsidRPr="001F7EF9">
        <w:t>.</w:t>
      </w:r>
    </w:p>
    <w:p w14:paraId="08A7A9F5" w14:textId="33D53106" w:rsidR="0093751D" w:rsidRPr="00540FCE" w:rsidRDefault="0093751D" w:rsidP="00540FCE">
      <w:pPr>
        <w:pStyle w:val="Heading5"/>
        <w:numPr>
          <w:ilvl w:val="0"/>
          <w:numId w:val="0"/>
        </w:numPr>
        <w:tabs>
          <w:tab w:val="clear" w:pos="1984"/>
          <w:tab w:val="left" w:pos="2340"/>
        </w:tabs>
        <w:spacing w:before="120" w:after="120"/>
        <w:ind w:left="2160" w:right="1138"/>
        <w:contextualSpacing w:val="0"/>
        <w:rPr>
          <w:b w:val="0"/>
          <w:u w:val="single"/>
        </w:rPr>
      </w:pPr>
      <w:r w:rsidRPr="00540FCE">
        <w:rPr>
          <w:b w:val="0"/>
          <w:u w:val="single"/>
        </w:rPr>
        <w:t>Persécutions (Art. 7(1)(h) du Statut de Rome ; Art. 222(9) du Code pénal de la RDC)</w:t>
      </w:r>
      <w:r w:rsidRPr="007F1170">
        <w:rPr>
          <w:rStyle w:val="FootnoteReference"/>
        </w:rPr>
        <w:footnoteReference w:id="808"/>
      </w:r>
    </w:p>
    <w:p w14:paraId="232FDCAC" w14:textId="77777777" w:rsidR="0093751D" w:rsidRDefault="0093751D" w:rsidP="00540FCE">
      <w:pPr>
        <w:pStyle w:val="BodyText"/>
        <w:tabs>
          <w:tab w:val="left" w:pos="1559"/>
          <w:tab w:val="left" w:pos="1984"/>
          <w:tab w:val="left" w:leader="dot" w:pos="7654"/>
          <w:tab w:val="right" w:pos="8929"/>
        </w:tabs>
        <w:spacing w:line="240" w:lineRule="atLeast"/>
        <w:ind w:left="1138" w:right="1138" w:firstLine="0"/>
      </w:pPr>
      <w:r>
        <w:t xml:space="preserve">La persécution constitutive de crimes contre l’humanité s’entend du </w:t>
      </w:r>
      <w:r w:rsidRPr="00540FCE">
        <w:rPr>
          <w:lang w:val="fr-CH"/>
        </w:rPr>
        <w:t>«</w:t>
      </w:r>
      <w:r>
        <w:t> déni intentionnel et grave de droits fondamentaux en violation du droit international, pour des motifs liés à l’identité du groupe ou de la collectivité qui en fait l’objet »</w:t>
      </w:r>
      <w:r w:rsidRPr="007F1170">
        <w:rPr>
          <w:rStyle w:val="FootnoteReference"/>
        </w:rPr>
        <w:footnoteReference w:id="809"/>
      </w:r>
      <w:r>
        <w:t>. Ce déni intentionnel et grave de droits fondamentaux doit se matérialiser par la commission d’autres crimes internationaux, par exemples des crimes contre l’humanité, ciblant un groupe ou une collectivité – ou des personnes en raison de leur appartenance à ceux-ci – identifiable pour des motifs notamment d’ordre politique ou ethnique.</w:t>
      </w:r>
    </w:p>
    <w:p w14:paraId="7E316818" w14:textId="262F22F9" w:rsidR="0093751D" w:rsidRDefault="0093751D" w:rsidP="00540FCE">
      <w:pPr>
        <w:pStyle w:val="BodyText"/>
        <w:tabs>
          <w:tab w:val="left" w:pos="1559"/>
          <w:tab w:val="left" w:pos="1984"/>
          <w:tab w:val="left" w:leader="dot" w:pos="7654"/>
          <w:tab w:val="right" w:pos="8929"/>
        </w:tabs>
        <w:spacing w:line="240" w:lineRule="atLeast"/>
        <w:ind w:left="1138" w:right="1138" w:firstLine="0"/>
      </w:pPr>
      <w:r>
        <w:t xml:space="preserve">Les crimes contre l’humanité commis depuis le mois de mars 2017 sur le territoire de Kamonia, province du Kasaï, par les milices Bana Mura et qui viennent d’être décrits ci-dessus ont systématiquement visé la population civile, principalement de l’ethnie </w:t>
      </w:r>
      <w:r w:rsidR="004A163E">
        <w:t>l</w:t>
      </w:r>
      <w:r>
        <w:t>uba. Cette collectivité était visée pour des motifs d’ordre politique et ethnique. Les motifs d’ordre politique proviennent du fait que la communauté ciblée est perçue comme affiliée ou soutenant la milice et le mouvement politico-coutumier Kamuina Nsapu qui vise les représentants et symboles de l’Etat. En d’autres termes, la communauté ciblée est perçue comme étant opposée aux autorités étatiques. Par ailleurs, les discours de haine des miliciens Bana Mura envers cette collectivité leur disant qu’elle n’est pas chez elle permet aussi de prouver l’intention discriminatoire à l’encontre de cette collectivité.</w:t>
      </w:r>
    </w:p>
    <w:p w14:paraId="48734C5A" w14:textId="6897EE1A" w:rsidR="0093751D" w:rsidRPr="00FE5E8D" w:rsidRDefault="0093751D" w:rsidP="00BC668B">
      <w:pPr>
        <w:pStyle w:val="Heading2"/>
        <w:spacing w:before="360" w:line="270" w:lineRule="exact"/>
        <w:ind w:left="1138" w:right="1138" w:hanging="571"/>
        <w:rPr>
          <w:b w:val="0"/>
          <w:sz w:val="24"/>
          <w:szCs w:val="24"/>
        </w:rPr>
      </w:pPr>
      <w:bookmarkStart w:id="85" w:name="_Toc513980395"/>
      <w:bookmarkStart w:id="86" w:name="_Toc518027534"/>
      <w:r w:rsidRPr="00FE5E8D">
        <w:rPr>
          <w:sz w:val="24"/>
          <w:szCs w:val="24"/>
        </w:rPr>
        <w:t xml:space="preserve">Crimes de </w:t>
      </w:r>
      <w:r w:rsidRPr="00540FCE">
        <w:rPr>
          <w:sz w:val="24"/>
          <w:szCs w:val="24"/>
          <w:lang w:val="fr-FR"/>
        </w:rPr>
        <w:t>guerre</w:t>
      </w:r>
      <w:bookmarkEnd w:id="85"/>
      <w:bookmarkEnd w:id="86"/>
    </w:p>
    <w:p w14:paraId="0A450306" w14:textId="16437538" w:rsidR="0093751D" w:rsidRPr="00540FCE" w:rsidRDefault="0093751D" w:rsidP="00540FCE">
      <w:pPr>
        <w:pStyle w:val="BodyText"/>
        <w:tabs>
          <w:tab w:val="left" w:pos="1559"/>
          <w:tab w:val="left" w:pos="1984"/>
          <w:tab w:val="left" w:leader="dot" w:pos="7654"/>
          <w:tab w:val="right" w:pos="8929"/>
        </w:tabs>
        <w:spacing w:line="240" w:lineRule="atLeast"/>
        <w:ind w:left="1138" w:right="1138" w:firstLine="0"/>
      </w:pPr>
      <w:r w:rsidRPr="006D3B37">
        <w:rPr>
          <w:lang w:val="fr-CH"/>
        </w:rPr>
        <w:t>Les article</w:t>
      </w:r>
      <w:r w:rsidR="00283907">
        <w:rPr>
          <w:lang w:val="fr-CH"/>
        </w:rPr>
        <w:t>s</w:t>
      </w:r>
      <w:r w:rsidRPr="006D3B37">
        <w:rPr>
          <w:lang w:val="fr-CH"/>
        </w:rPr>
        <w:t xml:space="preserve"> 8(2)(c) et (e) du Statut de Rome </w:t>
      </w:r>
      <w:r w:rsidRPr="00A159E7">
        <w:rPr>
          <w:lang w:val="fr-CH"/>
        </w:rPr>
        <w:t>et l’article 22</w:t>
      </w:r>
      <w:r>
        <w:rPr>
          <w:lang w:val="fr-CH"/>
        </w:rPr>
        <w:t>3</w:t>
      </w:r>
      <w:r w:rsidRPr="00A159E7">
        <w:rPr>
          <w:lang w:val="fr-CH"/>
        </w:rPr>
        <w:t xml:space="preserve"> du Code pénal de la RDC </w:t>
      </w:r>
      <w:r w:rsidRPr="006D3B37">
        <w:rPr>
          <w:lang w:val="fr-CH"/>
        </w:rPr>
        <w:t xml:space="preserve">définissent les crimes de guerre commis dans des conflits armés non-internationaux. L’article 8(2)(c) du Statut de Rome </w:t>
      </w:r>
      <w:r w:rsidR="005A7257">
        <w:rPr>
          <w:lang w:val="fr-CH"/>
        </w:rPr>
        <w:t xml:space="preserve">et les </w:t>
      </w:r>
      <w:r w:rsidRPr="00A159E7">
        <w:rPr>
          <w:lang w:val="fr-CH"/>
        </w:rPr>
        <w:t>article</w:t>
      </w:r>
      <w:r w:rsidR="005A7257">
        <w:rPr>
          <w:lang w:val="fr-CH"/>
        </w:rPr>
        <w:t>s</w:t>
      </w:r>
      <w:r w:rsidRPr="00A159E7">
        <w:rPr>
          <w:lang w:val="fr-CH"/>
        </w:rPr>
        <w:t xml:space="preserve"> 22</w:t>
      </w:r>
      <w:r>
        <w:rPr>
          <w:lang w:val="fr-CH"/>
        </w:rPr>
        <w:t>3(3) et (4)</w:t>
      </w:r>
      <w:r w:rsidRPr="00A159E7">
        <w:rPr>
          <w:lang w:val="fr-CH"/>
        </w:rPr>
        <w:t xml:space="preserve"> du Code pénal de la RDC </w:t>
      </w:r>
      <w:r w:rsidRPr="006D3B37">
        <w:rPr>
          <w:lang w:val="fr-CH"/>
        </w:rPr>
        <w:t>incrimine</w:t>
      </w:r>
      <w:r>
        <w:rPr>
          <w:lang w:val="fr-CH"/>
        </w:rPr>
        <w:t>nt</w:t>
      </w:r>
      <w:r w:rsidRPr="006D3B37">
        <w:rPr>
          <w:lang w:val="fr-CH"/>
        </w:rPr>
        <w:t xml:space="preserve"> les violations de l’article 3 commun aux quatre Conventions de Genève de 1949. L’article 8(2)(e)</w:t>
      </w:r>
      <w:r>
        <w:rPr>
          <w:lang w:val="fr-CH"/>
        </w:rPr>
        <w:t xml:space="preserve"> du Statut de Rome et l’article 223(5)</w:t>
      </w:r>
      <w:r w:rsidRPr="006D3B37">
        <w:rPr>
          <w:lang w:val="fr-CH"/>
        </w:rPr>
        <w:t xml:space="preserve"> repren</w:t>
      </w:r>
      <w:r>
        <w:rPr>
          <w:lang w:val="fr-CH"/>
        </w:rPr>
        <w:t>nent</w:t>
      </w:r>
      <w:r w:rsidRPr="006D3B37">
        <w:rPr>
          <w:lang w:val="fr-CH"/>
        </w:rPr>
        <w:t xml:space="preserve"> toutes les autres violations graves des lois et coutumes applicables aux conflits </w:t>
      </w:r>
      <w:r w:rsidRPr="00540FCE">
        <w:t>armés non-internationaux. Ces dernières sont tirées soit du Protocole Additionnel II de 1977 ou des violations des lois et coutumes de la guerre applicables en cas de conflit armé non-international</w:t>
      </w:r>
      <w:r w:rsidRPr="007F1170">
        <w:rPr>
          <w:rStyle w:val="FootnoteReference"/>
        </w:rPr>
        <w:footnoteReference w:id="810"/>
      </w:r>
      <w:r w:rsidRPr="00540FCE">
        <w:t>. Pour leur part, les articles 8(2)(d) et (f) du Statut de Rome comprennent des clauses d’exclusions pour les situations de troubles et tensions internes, telles que les émeutes, les actes isolés et sporadiques de violence ou les actes de nature similaire.</w:t>
      </w:r>
    </w:p>
    <w:p w14:paraId="1491A6FE" w14:textId="77777777" w:rsidR="0093751D" w:rsidRPr="00193916" w:rsidRDefault="0093751D" w:rsidP="00540FCE">
      <w:pPr>
        <w:pStyle w:val="BodyText"/>
        <w:tabs>
          <w:tab w:val="left" w:pos="1559"/>
          <w:tab w:val="left" w:pos="1984"/>
          <w:tab w:val="left" w:leader="dot" w:pos="7654"/>
          <w:tab w:val="right" w:pos="8929"/>
        </w:tabs>
        <w:spacing w:line="240" w:lineRule="atLeast"/>
        <w:ind w:left="1138" w:right="1138" w:firstLine="0"/>
      </w:pPr>
      <w:r w:rsidRPr="00540FCE">
        <w:t>Trois conditions contextuelles doivent être réunies pour qu’il y ait un crime de guerre : (i) l’existence d’un conflit armé ; (ii) un lien de rattachement entre le crime commis et le conflit armé ; et (iii) la connaissance de la part de l’auteur du crime des circonstances de fait établissant l’existence d’un conflit armé.</w:t>
      </w:r>
    </w:p>
    <w:p w14:paraId="32C01F63" w14:textId="77777777" w:rsidR="0093751D" w:rsidRPr="00540FCE" w:rsidRDefault="0093751D" w:rsidP="00540FCE">
      <w:pPr>
        <w:pStyle w:val="BodyText"/>
        <w:tabs>
          <w:tab w:val="left" w:pos="1559"/>
          <w:tab w:val="left" w:pos="1984"/>
          <w:tab w:val="left" w:leader="dot" w:pos="7654"/>
          <w:tab w:val="right" w:pos="8929"/>
        </w:tabs>
        <w:spacing w:line="240" w:lineRule="atLeast"/>
        <w:ind w:left="1138" w:right="1138" w:firstLine="0"/>
      </w:pPr>
      <w:r w:rsidRPr="00540FCE">
        <w:t>Comme l’a souligné la CPI, à la différence du Protocole additionnel II de 1977 aux quatre Conventions de Genève, l’article 8(2)(f) du Statut de Rome exige seulement l’existence d’un conflit opposant de manière prolongée des groupes armés organisés, et non pas que ces groupes armés exercent sur une partie du territoire un contrôle tel qu’il leur permette de mener des opérations militaires continues et concertées</w:t>
      </w:r>
      <w:bookmarkStart w:id="87" w:name="_Ref516326824"/>
      <w:r w:rsidRPr="007F1170">
        <w:rPr>
          <w:rStyle w:val="FootnoteReference"/>
        </w:rPr>
        <w:footnoteReference w:id="811"/>
      </w:r>
      <w:bookmarkEnd w:id="87"/>
      <w:r w:rsidRPr="00540FCE">
        <w:t>. En outre, l’exigence énoncée à l’article 1(1) du Protocole additionnel II de 1977 que les groupes armés organisés soient sous la conduite d’un commandement responsable n’est pas incorporée par l’article 8(2)(f) du Statut de Rome</w:t>
      </w:r>
      <w:r w:rsidRPr="007F1170">
        <w:rPr>
          <w:rStyle w:val="FootnoteReference"/>
        </w:rPr>
        <w:footnoteReference w:id="812"/>
      </w:r>
      <w:r w:rsidRPr="00540FCE">
        <w:t>. A la place, les groupes armés organisés doivent présenter un degré d’organisation suffisant pour leur permettre de mener un conflit armé prolongé</w:t>
      </w:r>
      <w:r w:rsidRPr="007F1170">
        <w:rPr>
          <w:rStyle w:val="FootnoteReference"/>
        </w:rPr>
        <w:footnoteReference w:id="813"/>
      </w:r>
      <w:r w:rsidRPr="00540FCE">
        <w:t>.</w:t>
      </w:r>
    </w:p>
    <w:p w14:paraId="0F80ECE3" w14:textId="70286356" w:rsidR="0093751D" w:rsidRPr="00540FCE" w:rsidRDefault="0093751D" w:rsidP="00540FCE">
      <w:pPr>
        <w:pStyle w:val="BodyText"/>
        <w:tabs>
          <w:tab w:val="left" w:pos="1559"/>
          <w:tab w:val="left" w:pos="1984"/>
          <w:tab w:val="left" w:leader="dot" w:pos="7654"/>
          <w:tab w:val="right" w:pos="8929"/>
        </w:tabs>
        <w:spacing w:line="240" w:lineRule="atLeast"/>
        <w:ind w:left="1138" w:right="1138" w:firstLine="0"/>
      </w:pPr>
      <w:r w:rsidRPr="00540FCE">
        <w:t>Les crimes de guerre se distinguent des infractions criminelles ordinaires par le contexte dans lequel ils sont commis. Il doit en effet exister un lien de rattachement substantiel entre le crime et le conflit armé, d’où l’insertion des termes « dans le contexte de et était associé à un conflit armé » non-international dans les éléments des crimes. Comme l’a rappelé la Chambre d’appel du TPIY, un « crime de guerre n’est pas nécessairement un acte planifié ou le fruit d’une politique quelconque. Un lien de cause à effet n’est pas exigé entre le conflit armé et la perpétration du crime mais il faut, à tout le moins, que l’existence du conflit armé ait considérablement pesé sur la capacité de l’auteur du crime à le commettre, sa décision de le commettre, la manière dont il l’a commis ou le but dans lequel il l’a commis »</w:t>
      </w:r>
      <w:r w:rsidRPr="007F1170">
        <w:rPr>
          <w:rStyle w:val="FootnoteReference"/>
        </w:rPr>
        <w:footnoteReference w:id="814"/>
      </w:r>
      <w:r w:rsidRPr="00540FCE">
        <w:t>. Afin de déterminer si un crime donné est suffisamment lié au conflit armé, les indices suivants peuvent être utiles : (i) le fait que l’auteur soit un combattant ; (ii) le fait que la victime ne soit pas un combattant ou appartienne au camp adverse ; (iii) le fait que l’acte pourrait être considéré comme servant l’objectif ultime d’une campagne ou stratégie militaire ; et (iv) le fait que la commission du crime participe des fonctions officielles de son auteur ou s’inscrive dans leur contexte</w:t>
      </w:r>
      <w:r w:rsidRPr="007F1170">
        <w:rPr>
          <w:rStyle w:val="FootnoteReference"/>
        </w:rPr>
        <w:footnoteReference w:id="815"/>
      </w:r>
      <w:r w:rsidRPr="00540FCE">
        <w:t>.</w:t>
      </w:r>
    </w:p>
    <w:p w14:paraId="600C84B9" w14:textId="64FF78D9" w:rsidR="0093751D" w:rsidRPr="006904C2" w:rsidRDefault="0093751D" w:rsidP="00540FCE">
      <w:pPr>
        <w:pStyle w:val="BodyText"/>
        <w:tabs>
          <w:tab w:val="left" w:pos="1559"/>
          <w:tab w:val="left" w:pos="1984"/>
          <w:tab w:val="left" w:leader="dot" w:pos="7654"/>
          <w:tab w:val="right" w:pos="8929"/>
        </w:tabs>
        <w:spacing w:line="240" w:lineRule="atLeast"/>
        <w:ind w:left="1138" w:right="1138" w:firstLine="0"/>
        <w:rPr>
          <w:lang w:val="fr-CH"/>
        </w:rPr>
      </w:pPr>
      <w:r w:rsidRPr="00540FCE">
        <w:t>Le dernier élément contextuel est que l’auteur du crime doit connaître les circonstances de fait établissant l’existence d’un conflit armé ainsi que le lien entre son comportement et le conflit armé. Cet élément doit être lu en conjonction avec l’introduction des éléments des crimes figurant à l’article 8 du Statut de Rome, qui clarifie premièrement qu’</w:t>
      </w:r>
      <w:r w:rsidR="0098782B">
        <w:t xml:space="preserve"> </w:t>
      </w:r>
      <w:r w:rsidRPr="00540FCE">
        <w:t>« [i]l n’est pas nécessaire d’établir que l’auteur a déterminé sur le plan juridique l’existence d’un conflit armé ou le caractère international ou non international du conflit ». De ce point de vue, il n’est par conséquent pas nécessaire d’établir que l’auteur du crime a eu connaissance des faits établissant le caractère international ou non international du conflit. Il suffit simplement que l’auteur</w:t>
      </w:r>
      <w:r w:rsidRPr="0055724E">
        <w:rPr>
          <w:lang w:val="fr-CH"/>
        </w:rPr>
        <w:t xml:space="preserve"> du crime ait eu la connaissance des circonstances de fait établissant l’existence d’un conflit armé, ce qui est implicite dans le deuxième élément contextuel des crimes de guerre qui contient les termes « a eu lieu dans le contexte de et était associé à ».</w:t>
      </w:r>
    </w:p>
    <w:p w14:paraId="5B4C9941" w14:textId="4970FD20" w:rsidR="0093751D" w:rsidRPr="00FE5E8D" w:rsidRDefault="0093751D" w:rsidP="00BC668B">
      <w:pPr>
        <w:pStyle w:val="Heading3"/>
        <w:spacing w:before="240" w:line="240" w:lineRule="exact"/>
        <w:ind w:left="1138" w:right="1138" w:hanging="571"/>
        <w:rPr>
          <w:b/>
        </w:rPr>
      </w:pPr>
      <w:bookmarkStart w:id="88" w:name="_Toc513980396"/>
      <w:r w:rsidRPr="00FE5E8D">
        <w:rPr>
          <w:b/>
        </w:rPr>
        <w:t>Éléments contextuels</w:t>
      </w:r>
      <w:bookmarkEnd w:id="88"/>
    </w:p>
    <w:p w14:paraId="24A0299B" w14:textId="12883671" w:rsidR="0093751D" w:rsidRPr="00FE5E8D" w:rsidRDefault="00540FCE" w:rsidP="00540FCE">
      <w:pPr>
        <w:pStyle w:val="BodyText"/>
        <w:numPr>
          <w:ilvl w:val="0"/>
          <w:numId w:val="0"/>
        </w:numPr>
        <w:tabs>
          <w:tab w:val="left" w:pos="1559"/>
          <w:tab w:val="left" w:pos="1984"/>
          <w:tab w:val="left" w:leader="dot" w:pos="7654"/>
          <w:tab w:val="right" w:pos="8929"/>
        </w:tabs>
        <w:spacing w:line="240" w:lineRule="atLeast"/>
        <w:ind w:left="1138" w:right="1138"/>
        <w:rPr>
          <w:i/>
        </w:rPr>
      </w:pPr>
      <w:r>
        <w:rPr>
          <w:i/>
        </w:rPr>
        <w:t>a.</w:t>
      </w:r>
      <w:r>
        <w:rPr>
          <w:i/>
        </w:rPr>
        <w:tab/>
      </w:r>
      <w:r w:rsidR="0093751D" w:rsidRPr="00FE5E8D">
        <w:rPr>
          <w:i/>
        </w:rPr>
        <w:t>Existence d’un conflit armé ne présentant pas un caractère international</w:t>
      </w:r>
    </w:p>
    <w:p w14:paraId="2F68F4BA" w14:textId="238628BC" w:rsidR="0093751D" w:rsidRPr="00902481" w:rsidRDefault="0093751D" w:rsidP="00540FCE">
      <w:pPr>
        <w:pStyle w:val="BodyText"/>
        <w:tabs>
          <w:tab w:val="left" w:pos="1559"/>
          <w:tab w:val="left" w:pos="1984"/>
          <w:tab w:val="left" w:leader="dot" w:pos="7654"/>
          <w:tab w:val="right" w:pos="8929"/>
        </w:tabs>
        <w:spacing w:line="240" w:lineRule="atLeast"/>
        <w:ind w:left="1138" w:right="1138" w:firstLine="0"/>
      </w:pPr>
      <w:r>
        <w:t>A</w:t>
      </w:r>
      <w:r w:rsidRPr="001F7EF9">
        <w:t xml:space="preserve"> partir d’août 2016 et durant l’époque des faits visés dans le présent rapport, il existait dans la région du Kasaï un conflit opposant </w:t>
      </w:r>
      <w:r>
        <w:t>les forces de défense et de sécurité de la RDC e</w:t>
      </w:r>
      <w:r w:rsidRPr="001F7EF9">
        <w:t>t la milice Kamuina Nsapu.</w:t>
      </w:r>
      <w:r>
        <w:t xml:space="preserve"> L</w:t>
      </w:r>
      <w:r w:rsidRPr="00902481">
        <w:t>es caractéristiques d</w:t>
      </w:r>
      <w:r>
        <w:t>e ce</w:t>
      </w:r>
      <w:r w:rsidRPr="00902481">
        <w:t xml:space="preserve"> conflit sont typiques d’une « guerre asymétrique »</w:t>
      </w:r>
      <w:r w:rsidR="00C03957">
        <w:t>, une guerre qui oppose la force armée d’un Etat à un groupe armé de force inégale</w:t>
      </w:r>
      <w:r w:rsidRPr="00902481">
        <w:t>. Il s’agit essentiellement d’un conflit violent entre, d’une part, des forces armées et de sécurité étatiques et, d’autre part, une milice moins équipée, moins nombreuse mais toutefois résistante. L’asymétrie du conflit s’illustre également sous la forme d’une « guerre irrégulière » qui révèle une lutte violente entre des acteurs étatiques et non-étatiques pour promouvoir leur légitimité et leur influence sur les populations concernées.</w:t>
      </w:r>
    </w:p>
    <w:p w14:paraId="6881601B" w14:textId="77777777" w:rsidR="0093751D" w:rsidRPr="00902481" w:rsidRDefault="0093751D" w:rsidP="00540FCE">
      <w:pPr>
        <w:pStyle w:val="BodyText"/>
        <w:tabs>
          <w:tab w:val="left" w:pos="1559"/>
          <w:tab w:val="left" w:pos="1984"/>
          <w:tab w:val="left" w:leader="dot" w:pos="7654"/>
          <w:tab w:val="right" w:pos="8929"/>
        </w:tabs>
        <w:spacing w:line="240" w:lineRule="atLeast"/>
        <w:ind w:left="1138" w:right="1138" w:firstLine="0"/>
      </w:pPr>
      <w:r w:rsidRPr="00902481">
        <w:t xml:space="preserve">De plus, l’aspect irrégulier de ce conflit est renforcé par l’invocation, l’utilisation et la tentative de manipulation à des fins tactiques de soi-disant forces surnaturelles, considérées par la plupart des combattants des deux côtés comme une puissante ressource d’autoprotection en cas de danger, en particulier lors de l’entrée dans le combat. Par conséquent, ce conflit s’illustre également par la consommation – </w:t>
      </w:r>
      <w:r>
        <w:t>souvent</w:t>
      </w:r>
      <w:r w:rsidRPr="00902481">
        <w:t xml:space="preserve"> forcée – de drogues et la commission d’actes d’extrême cruauté (amputation</w:t>
      </w:r>
      <w:r>
        <w:t>s</w:t>
      </w:r>
      <w:r w:rsidRPr="00902481">
        <w:t xml:space="preserve">, décapitations, </w:t>
      </w:r>
      <w:r>
        <w:t>actes d’</w:t>
      </w:r>
      <w:r w:rsidRPr="00902481">
        <w:t>anthropophagie, exposition des enfants au combat et à la mort, etc.) afin de réaliser certains rituels propres à ce conflit.</w:t>
      </w:r>
    </w:p>
    <w:p w14:paraId="4650D229" w14:textId="77777777" w:rsidR="0093751D" w:rsidRPr="00E27AAC" w:rsidRDefault="0093751D" w:rsidP="00540FCE">
      <w:pPr>
        <w:pStyle w:val="BodyText"/>
        <w:tabs>
          <w:tab w:val="left" w:pos="1559"/>
          <w:tab w:val="left" w:pos="1984"/>
          <w:tab w:val="left" w:leader="dot" w:pos="7654"/>
          <w:tab w:val="right" w:pos="8929"/>
        </w:tabs>
        <w:spacing w:line="240" w:lineRule="atLeast"/>
        <w:ind w:left="1138" w:right="1138" w:firstLine="0"/>
      </w:pPr>
      <w:r w:rsidRPr="00902481">
        <w:t>Afin d’appréhender si cette guerre s’apparente à un conflit armé non-international, il convient dès lors de l’envisager à la lumière des deux critères permettant d’établ</w:t>
      </w:r>
      <w:r>
        <w:t>ir l’existence d’un tel conflit, à savoir : (i) un niveau minimum d’organisation des parties ; et (ii) l’intensité de la violence</w:t>
      </w:r>
      <w:bookmarkStart w:id="89" w:name="_Ref516327020"/>
      <w:r w:rsidRPr="007F1170">
        <w:rPr>
          <w:rStyle w:val="FootnoteReference"/>
        </w:rPr>
        <w:footnoteReference w:id="816"/>
      </w:r>
      <w:bookmarkEnd w:id="89"/>
      <w:r>
        <w:t>.</w:t>
      </w:r>
    </w:p>
    <w:p w14:paraId="259B4D62" w14:textId="77777777" w:rsidR="0093751D" w:rsidRPr="008B38DD" w:rsidRDefault="0093751D" w:rsidP="007A1810">
      <w:pPr>
        <w:pStyle w:val="Heading5"/>
        <w:numPr>
          <w:ilvl w:val="0"/>
          <w:numId w:val="11"/>
        </w:numPr>
        <w:tabs>
          <w:tab w:val="clear" w:pos="1984"/>
          <w:tab w:val="left" w:pos="2340"/>
        </w:tabs>
        <w:spacing w:before="120" w:after="120"/>
        <w:ind w:firstLine="1440"/>
        <w:contextualSpacing w:val="0"/>
        <w:rPr>
          <w:b w:val="0"/>
        </w:rPr>
      </w:pPr>
      <w:r w:rsidRPr="008B38DD">
        <w:rPr>
          <w:b w:val="0"/>
        </w:rPr>
        <w:t>Niveau minimum d’organisation des parties</w:t>
      </w:r>
    </w:p>
    <w:p w14:paraId="51F45DF3" w14:textId="47ACB67A" w:rsidR="0093751D" w:rsidRPr="00E27AAC" w:rsidRDefault="0093751D" w:rsidP="008B38DD">
      <w:pPr>
        <w:pStyle w:val="BodyText"/>
        <w:tabs>
          <w:tab w:val="left" w:pos="1559"/>
          <w:tab w:val="left" w:pos="1984"/>
          <w:tab w:val="left" w:leader="dot" w:pos="7654"/>
          <w:tab w:val="right" w:pos="8929"/>
        </w:tabs>
        <w:spacing w:line="240" w:lineRule="atLeast"/>
        <w:ind w:left="1138" w:right="1138" w:firstLine="0"/>
        <w:rPr>
          <w:lang w:val="fr-CH"/>
        </w:rPr>
      </w:pPr>
      <w:r w:rsidRPr="00E27AAC">
        <w:t xml:space="preserve">Comme mentionné précédemment dans </w:t>
      </w:r>
      <w:r>
        <w:t>ce rapport</w:t>
      </w:r>
      <w:r w:rsidRPr="00E27AAC">
        <w:t>, le chef coutumier Kamuina Nsapu, Jean Prince Mpandi, a créé une milice et lancé officiellement son mouvement le 28 juillet 2016 qu’il définit comme « politico-coutumier », où le système coutumier traditionnel Bashilange va de pair avec son action politique. A</w:t>
      </w:r>
      <w:r w:rsidR="009808FC">
        <w:t>lors qu’il se réfère</w:t>
      </w:r>
      <w:r w:rsidRPr="00E27AAC">
        <w:t xml:space="preserve"> aux pratiques ancestrales, y compris à la</w:t>
      </w:r>
      <w:r w:rsidR="009808FC">
        <w:t xml:space="preserve"> sorcellerie et à des</w:t>
      </w:r>
      <w:r w:rsidRPr="00E27AAC">
        <w:t xml:space="preserve"> forces </w:t>
      </w:r>
      <w:r w:rsidR="009808FC">
        <w:t xml:space="preserve">considerées </w:t>
      </w:r>
      <w:r w:rsidRPr="00E27AAC">
        <w:t>surnaturelles, son mouvement politique visa à établir sa légitimité sur la terre convoitée de manière ancestrale par les Bashilange et prend la forme d’u</w:t>
      </w:r>
      <w:r w:rsidR="009808FC">
        <w:t>ne idéologie politique</w:t>
      </w:r>
      <w:r w:rsidRPr="00E27AAC">
        <w:t xml:space="preserve"> qui nie l’existence des autorités étatiques présentes sur cette terre qui se trouve à cheval sur les provinces du Kasaï </w:t>
      </w:r>
      <w:r w:rsidR="00E442FD">
        <w:t>C</w:t>
      </w:r>
      <w:r w:rsidRPr="00E27AAC">
        <w:t xml:space="preserve">entral, du Kasaï, du Kasaï </w:t>
      </w:r>
      <w:r w:rsidR="00E442FD">
        <w:t>O</w:t>
      </w:r>
      <w:r w:rsidR="00E442FD" w:rsidRPr="00E27AAC">
        <w:t xml:space="preserve">riental </w:t>
      </w:r>
      <w:r w:rsidRPr="00E27AAC">
        <w:t>et de Loma</w:t>
      </w:r>
      <w:r>
        <w:t>m</w:t>
      </w:r>
      <w:r w:rsidRPr="00E27AAC">
        <w:t>i.</w:t>
      </w:r>
    </w:p>
    <w:p w14:paraId="26C519B5" w14:textId="77777777" w:rsidR="0093751D" w:rsidRPr="00E27AAC" w:rsidRDefault="0093751D" w:rsidP="008B38DD">
      <w:pPr>
        <w:pStyle w:val="BodyText"/>
        <w:tabs>
          <w:tab w:val="left" w:pos="1559"/>
          <w:tab w:val="left" w:pos="1984"/>
          <w:tab w:val="left" w:leader="dot" w:pos="7654"/>
          <w:tab w:val="right" w:pos="8929"/>
        </w:tabs>
        <w:spacing w:line="240" w:lineRule="atLeast"/>
        <w:ind w:left="1138" w:right="1138" w:firstLine="0"/>
      </w:pPr>
      <w:r w:rsidRPr="00E27AAC">
        <w:t>Bien que peu connue du grand public</w:t>
      </w:r>
      <w:r w:rsidRPr="004A46EF">
        <w:t>, l’existence d’une chaîne de commandement</w:t>
      </w:r>
      <w:r w:rsidRPr="00E27AAC">
        <w:t xml:space="preserve"> au sein de la milice Kamuina Nsapu ressort du travail d’enquête de l’</w:t>
      </w:r>
      <w:r>
        <w:t>EEI</w:t>
      </w:r>
      <w:r w:rsidRPr="00E27AAC">
        <w:t>. En effet, les combattants Kamuina Nsapu ont des chaînes de commandement structurées autant au niveau de leur stratégie qu’au niveau de la mise en œuvre tactique de cette dernière.</w:t>
      </w:r>
    </w:p>
    <w:p w14:paraId="7277F3D7" w14:textId="2B0F2C46" w:rsidR="0093751D" w:rsidRPr="00E27AAC" w:rsidRDefault="0093751D" w:rsidP="008B38DD">
      <w:pPr>
        <w:pStyle w:val="BodyText"/>
        <w:tabs>
          <w:tab w:val="left" w:pos="1559"/>
          <w:tab w:val="left" w:pos="1984"/>
          <w:tab w:val="left" w:leader="dot" w:pos="7654"/>
          <w:tab w:val="right" w:pos="8929"/>
        </w:tabs>
        <w:spacing w:line="240" w:lineRule="atLeast"/>
        <w:ind w:left="1138" w:right="1138" w:firstLine="0"/>
      </w:pPr>
      <w:r w:rsidRPr="00E27AAC">
        <w:t>Du point stratégique, d’après les combattants Kamuina Nsapu eux-mêmes, ils sont dirigés par le chef coutumier Kamuina Nsapu, Jean Prince Mpandi, puis, après la mort de ce dernier, par l’esprit du défunt, dont la pensée est exprimée à travers 12 « apôtres »</w:t>
      </w:r>
      <w:r w:rsidRPr="007F1170">
        <w:rPr>
          <w:rStyle w:val="FootnoteReference"/>
        </w:rPr>
        <w:footnoteReference w:id="817"/>
      </w:r>
      <w:r w:rsidRPr="00E27AAC">
        <w:t xml:space="preserve"> ; des sorciers vêtus de robes rouges qui apportent la plus haute orientation stratégique au mouvement. Directement en-dessous d’eux se trouve le « gardien du pouvoir », un chef traditionnel de </w:t>
      </w:r>
      <w:r w:rsidR="00006825" w:rsidRPr="00586BE7">
        <w:t>Bashila</w:t>
      </w:r>
      <w:r w:rsidRPr="00E27AAC">
        <w:t xml:space="preserve"> Kasanga très respecté, qui joue le rôle de porte-parole principal de la milice et s’occupe des questions stratégiques quotidiennes pour l’ensemble du mouvement. Il est soutenu dans ces fonctions par un conseil de sages opérant autour d’un arbre sacré, qui sert les objectifs équivalent à ceux d'un état-major général présent dans un quartier général. Ainsi, les apôtres ont le droit de désigner « les généraux ». Ces dernie</w:t>
      </w:r>
      <w:r w:rsidR="007427CB">
        <w:t>r</w:t>
      </w:r>
      <w:r w:rsidRPr="00E27AAC">
        <w:t>s opèrent comme commandants tactiques du mouvement. Une fois choisi, chaque général sélectionne un village ou un groupement où il s’installe et, muni d’une potion rituelle fournie par l’apôtre qui l’a sélectionné, effectue une levée mystique en « baptisant » le chef coutumier du village et des « troupes » qu’il a choisi de recruter. Le rituel nommé « baptême » qui formellement incorpore dans la milice les nouveaux combattants suit toujours le même rituel et se déroule toujours au tshiota.</w:t>
      </w:r>
    </w:p>
    <w:p w14:paraId="7ED27D0E" w14:textId="60AA9F48" w:rsidR="0093751D" w:rsidRPr="00E27AAC" w:rsidRDefault="0093751D" w:rsidP="008B38DD">
      <w:pPr>
        <w:pStyle w:val="BodyText"/>
        <w:tabs>
          <w:tab w:val="left" w:pos="1559"/>
          <w:tab w:val="left" w:pos="1984"/>
          <w:tab w:val="left" w:leader="dot" w:pos="7654"/>
          <w:tab w:val="right" w:pos="8929"/>
        </w:tabs>
        <w:spacing w:line="240" w:lineRule="atLeast"/>
        <w:ind w:left="1138" w:right="1138" w:firstLine="0"/>
      </w:pPr>
      <w:r w:rsidRPr="00E27AAC">
        <w:t>Du point de vue de la mise en œuvre tactique de la stratégie du mouvement, la milice est composée de plusieurs groupes opérationnels indépendants. La structure type de ces groupes est formée : (i) d’un « président », qui est un chef coutumier qui agit comme un « commissaire politique »</w:t>
      </w:r>
      <w:r w:rsidR="00EC5C9A">
        <w:t xml:space="preserve"> </w:t>
      </w:r>
      <w:r w:rsidRPr="00E27AAC">
        <w:t>; (ii) d’un « général », qui équivaut à un commandant tactique du groupe</w:t>
      </w:r>
      <w:r w:rsidR="0098782B">
        <w:t xml:space="preserve"> </w:t>
      </w:r>
      <w:r w:rsidRPr="00E27AAC">
        <w:t xml:space="preserve">; (iii) d’environ une dizaine d’éléments, des combattants adultes hommes et femmes; (iv) d’un nombre moins élevé d’éléments mineurs, des garçons; et (v) jusqu’à cinq </w:t>
      </w:r>
      <w:r w:rsidR="00DB37FF">
        <w:t>«</w:t>
      </w:r>
      <w:r w:rsidR="00DB37FF" w:rsidRPr="00DB37FF">
        <w:t> </w:t>
      </w:r>
      <w:r w:rsidRPr="00DB37FF">
        <w:t>ya mama</w:t>
      </w:r>
      <w:r w:rsidR="00DB37FF" w:rsidRPr="00DB37FF">
        <w:t> »</w:t>
      </w:r>
      <w:r w:rsidRPr="00E27AAC">
        <w:t>, des petites filles. Il est fréquent que le président ait des secrétaires, tandis que le général a un « adjoint », qui est également son adjoint dans la chaîne de commandement. Il convient toutefois de note</w:t>
      </w:r>
      <w:r>
        <w:t>r</w:t>
      </w:r>
      <w:r w:rsidRPr="00E27AAC">
        <w:t xml:space="preserve"> que la structure a évolué dans le temps et en fonctions de l’évolution de leurs tactiques de combat et des moyens à leur disposition.</w:t>
      </w:r>
    </w:p>
    <w:p w14:paraId="6C148F53" w14:textId="04162589" w:rsidR="0093751D" w:rsidRPr="00E27AAC" w:rsidRDefault="0093751D" w:rsidP="008B38DD">
      <w:pPr>
        <w:pStyle w:val="BodyText"/>
        <w:tabs>
          <w:tab w:val="left" w:pos="1559"/>
          <w:tab w:val="left" w:pos="1984"/>
          <w:tab w:val="left" w:leader="dot" w:pos="7654"/>
          <w:tab w:val="right" w:pos="8929"/>
        </w:tabs>
        <w:spacing w:line="240" w:lineRule="atLeast"/>
        <w:ind w:left="1138" w:right="1138" w:firstLine="0"/>
      </w:pPr>
      <w:r w:rsidRPr="00E27AAC">
        <w:t xml:space="preserve">La milice Kamuina Nsapu a également </w:t>
      </w:r>
      <w:r w:rsidRPr="000412A4">
        <w:t>la capacité de recruter et former de nouveaux combattants.</w:t>
      </w:r>
      <w:r w:rsidRPr="00E27AAC">
        <w:t xml:space="preserve"> Comme mentionné précédemment dans </w:t>
      </w:r>
      <w:r>
        <w:t>ce rapport</w:t>
      </w:r>
      <w:r w:rsidRPr="00E27AAC">
        <w:t>, à partir de mai 2016, la milice Kamuina Nsapu a recruté massivement de nouveaux combattants d’abord sur le territoire de Dibaya</w:t>
      </w:r>
      <w:r>
        <w:t>,</w:t>
      </w:r>
      <w:r w:rsidRPr="00E27AAC">
        <w:t xml:space="preserve"> province du Kasaï </w:t>
      </w:r>
      <w:r w:rsidR="00E442FD">
        <w:t>C</w:t>
      </w:r>
      <w:r w:rsidRPr="00E27AAC">
        <w:t>entral</w:t>
      </w:r>
      <w:r>
        <w:t>,</w:t>
      </w:r>
      <w:r w:rsidRPr="00E27AAC">
        <w:t xml:space="preserve"> avant de procéder à des recrutements sur d’autres territoires de cette province ainsi que dans les provinces du Kasaï et du Kasaï </w:t>
      </w:r>
      <w:r w:rsidR="00935C03">
        <w:t>O</w:t>
      </w:r>
      <w:r w:rsidRPr="00E27AAC">
        <w:t xml:space="preserve">riental. Une des caractéristiques de la milice Kamuina Nsapu est sa capacité à notamment recruter et utiliser des enfants comme soldats. </w:t>
      </w:r>
      <w:r w:rsidR="007427CB">
        <w:t>D’après le Fonds des Nation</w:t>
      </w:r>
      <w:r w:rsidR="004F6A0C">
        <w:t>s Unies pour l'enfance (UNICEF)</w:t>
      </w:r>
      <w:r w:rsidR="007D7A02" w:rsidRPr="00C17129">
        <w:t xml:space="preserve"> au 30 août 2017, 1</w:t>
      </w:r>
      <w:r w:rsidR="0098782B">
        <w:t xml:space="preserve"> </w:t>
      </w:r>
      <w:r w:rsidR="007D7A02" w:rsidRPr="00C17129">
        <w:t xml:space="preserve">220 garçons et 658 filles </w:t>
      </w:r>
      <w:r w:rsidR="007427CB">
        <w:t xml:space="preserve">auraient ainsi été </w:t>
      </w:r>
      <w:r w:rsidR="007D7A02" w:rsidRPr="00C17129">
        <w:t>recrutés et utilisés par la milice Kamuina Nsapu</w:t>
      </w:r>
      <w:r w:rsidR="007D7A02" w:rsidRPr="007F1170">
        <w:rPr>
          <w:rStyle w:val="FootnoteReference"/>
        </w:rPr>
        <w:footnoteReference w:id="818"/>
      </w:r>
      <w:r w:rsidR="007D7A02" w:rsidRPr="00C17129">
        <w:t xml:space="preserve">. </w:t>
      </w:r>
    </w:p>
    <w:p w14:paraId="6BCB4C20" w14:textId="641F9F99" w:rsidR="0093751D" w:rsidRPr="00E27AAC" w:rsidRDefault="0093751D" w:rsidP="008B38DD">
      <w:pPr>
        <w:pStyle w:val="BodyText"/>
        <w:tabs>
          <w:tab w:val="left" w:pos="1559"/>
          <w:tab w:val="left" w:pos="1984"/>
          <w:tab w:val="left" w:leader="dot" w:pos="7654"/>
          <w:tab w:val="right" w:pos="8929"/>
        </w:tabs>
        <w:spacing w:line="240" w:lineRule="atLeast"/>
        <w:ind w:left="1138" w:right="1138" w:firstLine="0"/>
      </w:pPr>
      <w:r w:rsidRPr="00E27AAC">
        <w:t>La formation des nouveaux combattants</w:t>
      </w:r>
      <w:r w:rsidR="00C03957">
        <w:t>, bien que sommaire, existe bel et bien</w:t>
      </w:r>
      <w:r w:rsidRPr="00E27AAC">
        <w:t xml:space="preserve">. Après avoir montré qu’ils peuvent utiliser l’arme qui leur est assignée, les « recrues » sont envoyées au combat en suivant les ordres spécifiques donnés par le général en charge du groupe et son adjoint. </w:t>
      </w:r>
      <w:r>
        <w:t xml:space="preserve">Avant </w:t>
      </w:r>
      <w:r w:rsidRPr="00E27AAC">
        <w:t>chaque combat, la tactique à appliquer est expliquée de manière détaillée. La tactique initiale de combat utilisée pour monter au front implique trois échelons linéaires successifs composés premi</w:t>
      </w:r>
      <w:r w:rsidR="0098782B">
        <w:t xml:space="preserve">èrement de petites filles, les </w:t>
      </w:r>
      <w:r w:rsidR="00DB37FF">
        <w:t>« </w:t>
      </w:r>
      <w:r w:rsidRPr="00DB37FF">
        <w:t>ya mama</w:t>
      </w:r>
      <w:r w:rsidR="00DB37FF">
        <w:t> »</w:t>
      </w:r>
      <w:r w:rsidRPr="00E27AAC">
        <w:t xml:space="preserve"> qui</w:t>
      </w:r>
      <w:r>
        <w:t>,</w:t>
      </w:r>
      <w:r w:rsidRPr="00E27AAC">
        <w:t xml:space="preserve"> selon les croyances mystiques</w:t>
      </w:r>
      <w:r>
        <w:t>,</w:t>
      </w:r>
      <w:r w:rsidRPr="00E27AAC">
        <w:t xml:space="preserve"> sont censées récolter les </w:t>
      </w:r>
      <w:r w:rsidR="0098782B">
        <w:t>balle</w:t>
      </w:r>
      <w:r w:rsidRPr="00E27AAC">
        <w:t>s de l’ennemi dans leurs jupes, deuxièmemen</w:t>
      </w:r>
      <w:r w:rsidRPr="00EE1833">
        <w:rPr>
          <w:rStyle w:val="BodyTextChar"/>
        </w:rPr>
        <w:t>t</w:t>
      </w:r>
      <w:r w:rsidRPr="00E27AAC">
        <w:t xml:space="preserve"> de jeunes garçons armés d’armes blanches ou de bâtons magiques, et finalement de combattants adultes armés de fusils traditionnels ou de chasse qui se rapprocheront ou non de l’ennemi en fonction de la puissance de feu de ce dernier. Au fur et à mesure de l’intensification du conflit, la milice Kamuina Nsapu a eu recours à d’autres tactiques de combats, notamment à des manœuvres d’enveloppement basiques. L’envoi au combat de chaque recrue est toujours précédé d’un rituel au tshiota.</w:t>
      </w:r>
    </w:p>
    <w:p w14:paraId="713453E5" w14:textId="7B95684D" w:rsidR="0093751D" w:rsidRPr="00E27AAC" w:rsidRDefault="0093751D" w:rsidP="008B38DD">
      <w:pPr>
        <w:pStyle w:val="BodyText"/>
        <w:tabs>
          <w:tab w:val="left" w:pos="1559"/>
          <w:tab w:val="left" w:pos="1984"/>
          <w:tab w:val="left" w:leader="dot" w:pos="7654"/>
          <w:tab w:val="right" w:pos="8929"/>
        </w:tabs>
        <w:spacing w:line="240" w:lineRule="atLeast"/>
        <w:ind w:left="1138" w:right="1138" w:firstLine="0"/>
      </w:pPr>
      <w:r w:rsidRPr="000412A4">
        <w:t>La capacité d’équiper des nouvelles recrues ainsi que celle de se procurer des armes et autres équipements destinés aux combats sont,</w:t>
      </w:r>
      <w:r w:rsidRPr="00E27AAC">
        <w:t xml:space="preserve"> en quelque sorte, simples. Les fusils traditionnels – « mousquets » – et les fusils de chasse – « calibre 12 » – sont répandus dans tout le Kasaï. Ils sont fiables et efficaces sur de courtes distances. La poudre à canon nécessaire aux fusils traditionnels est une marchandise courante pour extraire les minéraux dans la région et les munitions des fusils sont fabriquées </w:t>
      </w:r>
      <w:r w:rsidR="007427CB">
        <w:t>dans l</w:t>
      </w:r>
      <w:r w:rsidRPr="00E27AAC">
        <w:t xml:space="preserve">es villages en faisant fondre n’importe quel minerai. Les munitions des fusils de chasse sont également abondantes dans la région et peuvent être facilement achetées sans contrôle gouvernemental. Certains AK-47 volés aux </w:t>
      </w:r>
      <w:r>
        <w:t>FARDC</w:t>
      </w:r>
      <w:r w:rsidRPr="00E27AAC">
        <w:t xml:space="preserve"> font également partie de l'arsenal de la milice Kamuina Nsapu. Par ailleurs, les machettes, flèches et lances utilisées par la milice lors de ses attaques sont disponibles partout. </w:t>
      </w:r>
      <w:r>
        <w:t xml:space="preserve">En outre, </w:t>
      </w:r>
      <w:r w:rsidRPr="00E27AAC">
        <w:t>la milice a également été capable de s’approvisionner en armement militaire plus lourd lors d’attaque</w:t>
      </w:r>
      <w:r>
        <w:t>s</w:t>
      </w:r>
      <w:r w:rsidRPr="00E27AAC">
        <w:t xml:space="preserve"> contre certains convois des </w:t>
      </w:r>
      <w:r w:rsidRPr="00533331">
        <w:t>forces de défense et de sécurité, comme par exemple lors de la saisie</w:t>
      </w:r>
      <w:r w:rsidRPr="00F236D4">
        <w:t xml:space="preserve"> de deux camions de la </w:t>
      </w:r>
      <w:r w:rsidRPr="00CB2CDD">
        <w:t>LNI</w:t>
      </w:r>
      <w:r w:rsidRPr="00533331">
        <w:t xml:space="preserve"> aux environs du 24 mars 2017 sur l’axe entre Tshikapa-Kananga transportant un arsenal de combat important contenant</w:t>
      </w:r>
      <w:r w:rsidRPr="00E27AAC">
        <w:t xml:space="preserve"> notamment des </w:t>
      </w:r>
      <w:r w:rsidR="007427CB">
        <w:t>armes automatiques</w:t>
      </w:r>
      <w:r w:rsidR="0024549D">
        <w:t xml:space="preserve"> et munitions</w:t>
      </w:r>
      <w:r w:rsidRPr="007F1170">
        <w:rPr>
          <w:rStyle w:val="FootnoteReference"/>
        </w:rPr>
        <w:footnoteReference w:id="819"/>
      </w:r>
      <w:r w:rsidRPr="00E27AAC">
        <w:t>.</w:t>
      </w:r>
    </w:p>
    <w:p w14:paraId="7F836429" w14:textId="77777777" w:rsidR="0093751D" w:rsidRPr="00E27AAC" w:rsidRDefault="0093751D" w:rsidP="008B38DD">
      <w:pPr>
        <w:pStyle w:val="BodyText"/>
        <w:tabs>
          <w:tab w:val="left" w:pos="1559"/>
          <w:tab w:val="left" w:pos="1984"/>
          <w:tab w:val="left" w:leader="dot" w:pos="7654"/>
          <w:tab w:val="right" w:pos="8929"/>
        </w:tabs>
        <w:spacing w:line="240" w:lineRule="atLeast"/>
        <w:ind w:left="1138" w:right="1138" w:firstLine="0"/>
      </w:pPr>
      <w:bookmarkStart w:id="90" w:name="_Ref517875349"/>
      <w:r w:rsidRPr="008E1D2D">
        <w:t>Alors que dans une guerre irrégulière les combattants des groupes non-étatiques ne portent souvent pas de signes distinctifs mais se fondent avec le reste de la population afin d’éviter d’être identifiés, les combattants de la milice Kamuina Nsapu sont</w:t>
      </w:r>
      <w:r w:rsidRPr="00E27AAC">
        <w:t xml:space="preserve"> désireux d’être clairement perçus comme des membres du mouvement en portant ostensiblement des t-shirts ou jupes rouges, et/ou un ruban rouge autour de la tête qui est parfois ornée de rameaux, avec ou sans couteau coincé dans le ruban ou la couronne de rameaux qu’ils portent. Dans certains cas, certains membres de la milice arborent aussi de la chaux ou du kaolin blanc sur leur visage.</w:t>
      </w:r>
      <w:bookmarkEnd w:id="90"/>
    </w:p>
    <w:p w14:paraId="6EA66F5B" w14:textId="1A5732A9" w:rsidR="0093751D" w:rsidRPr="008D7495" w:rsidRDefault="0093751D" w:rsidP="008B38DD">
      <w:pPr>
        <w:pStyle w:val="BodyText"/>
        <w:tabs>
          <w:tab w:val="left" w:pos="1559"/>
          <w:tab w:val="left" w:pos="1984"/>
          <w:tab w:val="left" w:leader="dot" w:pos="7654"/>
          <w:tab w:val="right" w:pos="8929"/>
        </w:tabs>
        <w:spacing w:line="240" w:lineRule="atLeast"/>
        <w:ind w:left="1138" w:right="1138" w:firstLine="0"/>
      </w:pPr>
      <w:r w:rsidRPr="008D7495">
        <w:t xml:space="preserve">Le réseau de téléphonie mobile est bien développé dans la région du Kasaï. Ainsi, les téléphones portables assurent un moyen de communication </w:t>
      </w:r>
      <w:r w:rsidR="007427CB">
        <w:t xml:space="preserve">efficace et </w:t>
      </w:r>
      <w:r w:rsidRPr="008D7495">
        <w:t>bon marché et servent de matériel de communication principal pour relier la direction stratégique du mouvement avec les différents groupes de combat opérationnels, ainsi qu</w:t>
      </w:r>
      <w:r w:rsidR="007427CB">
        <w:t>’</w:t>
      </w:r>
      <w:r w:rsidRPr="008D7495">
        <w:t>e</w:t>
      </w:r>
      <w:r w:rsidR="007427CB">
        <w:t>ntre</w:t>
      </w:r>
      <w:r w:rsidRPr="008D7495">
        <w:t xml:space="preserve"> ces groupes. Ce moyen de communication, bien que simple, est essentiel afin d’assurer les mouvements logistiques de la milice et de transmettre les renseignements sur les forces ennemies.</w:t>
      </w:r>
    </w:p>
    <w:p w14:paraId="020AD6A5" w14:textId="747AADA7" w:rsidR="0093751D" w:rsidRPr="00E27AAC" w:rsidRDefault="0093751D" w:rsidP="008B38DD">
      <w:pPr>
        <w:pStyle w:val="BodyText"/>
        <w:tabs>
          <w:tab w:val="left" w:pos="1559"/>
          <w:tab w:val="left" w:pos="1984"/>
          <w:tab w:val="left" w:leader="dot" w:pos="7654"/>
          <w:tab w:val="right" w:pos="8929"/>
        </w:tabs>
        <w:spacing w:line="240" w:lineRule="atLeast"/>
        <w:ind w:left="1138" w:right="1138" w:firstLine="0"/>
      </w:pPr>
      <w:r w:rsidRPr="00E27AAC">
        <w:t xml:space="preserve">Bien qu’il n’y ait pas de règlement interne écrit au sein de la milice Kamuina Nsapu, il existe une tradition orale </w:t>
      </w:r>
      <w:r>
        <w:t xml:space="preserve">bien connue de </w:t>
      </w:r>
      <w:r w:rsidRPr="00E27AAC">
        <w:t xml:space="preserve">tous les </w:t>
      </w:r>
      <w:r>
        <w:t>miliciens</w:t>
      </w:r>
      <w:r w:rsidRPr="00E27AAC">
        <w:t xml:space="preserve"> décrivant ce qu’un combattant baptisé devrait et ne devrait pas faire, y compris avant les phases de combats. Les interdits comprennent notamment de ne pas toucher à l’argent d’autrui, de ne pas voler, de ne pas tuer quelqu’un de son propre groupe, de ne pas prendre la femme d’autrui, de ne pas fixer ou toucher une femme ni d’avoir de relations sexuelles avant le combat, de ne pas tromper et de ne pas manger certains aliments spécifiques</w:t>
      </w:r>
      <w:r w:rsidRPr="007F1170">
        <w:rPr>
          <w:rStyle w:val="FootnoteReference"/>
        </w:rPr>
        <w:footnoteReference w:id="820"/>
      </w:r>
      <w:r w:rsidRPr="00E27AAC">
        <w:t>. La même tradition orale prévoit également les sanctions disciplinaires pour les violations des ordres donnés et le non-respect des interdits. Ces sanctions disciplinaires et leur mise en œuvre en pratique, renforcée par la crainte de sanctions mystiques, servent notamment à s’assurer de l’exécution des ordres donnés au sein de la milice</w:t>
      </w:r>
      <w:r w:rsidRPr="007F1170">
        <w:rPr>
          <w:rStyle w:val="FootnoteReference"/>
        </w:rPr>
        <w:footnoteReference w:id="821"/>
      </w:r>
      <w:r w:rsidR="00333C18">
        <w:t xml:space="preserve"> et témoignent d’une certaine organisation</w:t>
      </w:r>
      <w:r w:rsidRPr="00E27AAC">
        <w:t>.</w:t>
      </w:r>
    </w:p>
    <w:p w14:paraId="74D930A9" w14:textId="77777777" w:rsidR="0093751D" w:rsidRPr="00E27AAC" w:rsidRDefault="0093751D" w:rsidP="008B38DD">
      <w:pPr>
        <w:pStyle w:val="BodyText"/>
        <w:tabs>
          <w:tab w:val="left" w:pos="1559"/>
          <w:tab w:val="left" w:pos="1984"/>
          <w:tab w:val="left" w:leader="dot" w:pos="7654"/>
          <w:tab w:val="right" w:pos="8929"/>
        </w:tabs>
        <w:spacing w:line="240" w:lineRule="atLeast"/>
        <w:ind w:left="1138" w:right="1138" w:firstLine="0"/>
      </w:pPr>
      <w:r w:rsidRPr="00E27AAC">
        <w:t>Au début de la campagne, des communiqués publics ont été émis par le chef Kamuina Nsapu, Jean-Prince Mpandi, principalement en diffusant par le biais de téléphones portables et d’internet des vidéos de ses discours aux membres du mouvement afin de faire connaître l’idéologie et les buts du mouvement, de recruter de nouveaux combattants et d’appeler à la résistance contre les autorités étatiques. Après la mort du chef Kamuina Nsapu, les communiqués officiels ont été faits oralement et transmis par des messagers spéciaux qui venaient dans les villages et, au nom des autorités du mouvement, exhortaient le chef coutumier dudit village à se joindre au mouvement ; s’assurant également de la transmission de ce communiqué au sein de la population.</w:t>
      </w:r>
    </w:p>
    <w:p w14:paraId="4B2CB07E" w14:textId="1E3F3225" w:rsidR="0093751D" w:rsidRPr="006A70D8" w:rsidRDefault="0093751D" w:rsidP="008B38DD">
      <w:pPr>
        <w:pStyle w:val="BodyText"/>
        <w:tabs>
          <w:tab w:val="left" w:pos="1559"/>
          <w:tab w:val="left" w:pos="1984"/>
          <w:tab w:val="left" w:leader="dot" w:pos="7654"/>
          <w:tab w:val="right" w:pos="8929"/>
        </w:tabs>
        <w:spacing w:line="240" w:lineRule="atLeast"/>
        <w:ind w:left="1138" w:right="1138" w:firstLine="0"/>
      </w:pPr>
      <w:r w:rsidRPr="006A70D8">
        <w:t xml:space="preserve">La capacité de la milice Kamuina Nsapu à définir une stratégie militaire cohérente, à contrôler le territoire, ainsi qu’à planifier et lancer des opérations militaires coordonnées ressort de manière claire de plusieurs opérations décrites précédemment dans </w:t>
      </w:r>
      <w:r>
        <w:t>ce rapport</w:t>
      </w:r>
      <w:r w:rsidRPr="006A70D8">
        <w:t xml:space="preserve">. </w:t>
      </w:r>
      <w:r>
        <w:t>Par exemple, l</w:t>
      </w:r>
      <w:r w:rsidRPr="006A70D8">
        <w:t>es détails de l’attaque menée</w:t>
      </w:r>
      <w:r w:rsidRPr="002928C6">
        <w:t xml:space="preserve"> </w:t>
      </w:r>
      <w:r>
        <w:t>en mars</w:t>
      </w:r>
      <w:r w:rsidRPr="006A70D8">
        <w:t xml:space="preserve"> 2017 par la milice contre la ville de Luebo, province du Kasaï, permettent notamment de mettre cette capacité en exergue. Lors de cette attaque, deux généraux de la milice Kamuina Nsapu avaient initialement comme objectif stratégique militaire de prendre la ville en entrant par des directions différentes. Leur tactique – consistant en une manœuvre d’enveloppement – ayant été déjouée par l’engagement des éléments </w:t>
      </w:r>
      <w:r w:rsidRPr="002928C6">
        <w:t xml:space="preserve">des </w:t>
      </w:r>
      <w:r w:rsidRPr="00EE1833">
        <w:t>FARDC</w:t>
      </w:r>
      <w:r w:rsidRPr="006A70D8">
        <w:t xml:space="preserve"> présents dans cette ville, les généraux décidèrent de retirer leurs troupes afin d’attendre le renfort de troupes supplémentaires de la milice en chemin vers la ville. Ayant obtenu des renseignements sur le départ des FARDC de la ville, ils lancèrent alors une attaque dirigée par divers généraux contre les éléments de la </w:t>
      </w:r>
      <w:r w:rsidRPr="00FA6BBC">
        <w:t>PNC,</w:t>
      </w:r>
      <w:r w:rsidRPr="006A70D8">
        <w:t xml:space="preserve"> seule force de sécurité encore présente alors à Luebo</w:t>
      </w:r>
      <w:r w:rsidR="007427CB">
        <w:t xml:space="preserve"> mais néanmoins peu armée</w:t>
      </w:r>
      <w:r>
        <w:t> ;</w:t>
      </w:r>
      <w:r w:rsidRPr="006A70D8">
        <w:t xml:space="preserve"> leur permettant ainsi de saisir et conquérir la ville et de maintenir leur présence et contrôler ce territoire pendant une quinzaine de jours.</w:t>
      </w:r>
    </w:p>
    <w:p w14:paraId="0C7BAE50" w14:textId="3F75BB8E" w:rsidR="0093751D" w:rsidRPr="00CD4FC3" w:rsidRDefault="0093751D" w:rsidP="008B38DD">
      <w:pPr>
        <w:pStyle w:val="BodyText"/>
        <w:tabs>
          <w:tab w:val="left" w:pos="1559"/>
          <w:tab w:val="left" w:pos="1984"/>
          <w:tab w:val="left" w:leader="dot" w:pos="7654"/>
          <w:tab w:val="right" w:pos="8929"/>
        </w:tabs>
        <w:spacing w:line="240" w:lineRule="atLeast"/>
        <w:ind w:left="1138" w:right="1138" w:firstLine="0"/>
      </w:pPr>
      <w:r w:rsidRPr="00CD4FC3">
        <w:t>La milice Kamuina Nsapu a également la capacité de mener des opérations militaires à grande échelle, c’est-à-dire de mener des actions militaires engageant les forces de l’Etat de manière simultanée dans des points très éloignés géographiquement</w:t>
      </w:r>
      <w:r>
        <w:t xml:space="preserve">. </w:t>
      </w:r>
      <w:r w:rsidRPr="00CD4FC3">
        <w:t xml:space="preserve">Divers facteurs </w:t>
      </w:r>
      <w:r>
        <w:t xml:space="preserve">y </w:t>
      </w:r>
      <w:r w:rsidRPr="00CD4FC3">
        <w:t xml:space="preserve">contribuent. Premièrement, la population </w:t>
      </w:r>
      <w:r w:rsidR="00006825" w:rsidRPr="00586BE7">
        <w:t>Bashila</w:t>
      </w:r>
      <w:r w:rsidRPr="00CD4FC3">
        <w:t xml:space="preserve"> Kasanga</w:t>
      </w:r>
      <w:r w:rsidR="00132DE2">
        <w:t xml:space="preserve"> et plus largement la population Bashilange</w:t>
      </w:r>
      <w:r w:rsidRPr="00CD4FC3">
        <w:t xml:space="preserve"> propre à être acquise à la cause et donc à rejoindre le mouvement Kamuina Nsapu est</w:t>
      </w:r>
      <w:r w:rsidR="00132DE2">
        <w:t xml:space="preserve"> majoritaire au Kasaï et</w:t>
      </w:r>
      <w:r w:rsidRPr="00CD4FC3">
        <w:t xml:space="preserve"> présente sur </w:t>
      </w:r>
      <w:r w:rsidR="00565C02">
        <w:t>une grande partie</w:t>
      </w:r>
      <w:r w:rsidRPr="00CD4FC3">
        <w:t xml:space="preserve"> du théâtre des opérations. Par conséquent, la milice a accès à de la main d’œuvre pour lancer des attaques contre les forces étatiques sur l’ensemble de l’étendue de son théâtre d’opération sans devoir recourir à de grands mouvements de troupes. Le fait que le processus de recrutement par baptême de nouveaux combattants soit extrêmement rapide favorise </w:t>
      </w:r>
      <w:r>
        <w:t xml:space="preserve">également </w:t>
      </w:r>
      <w:r w:rsidRPr="00CD4FC3">
        <w:t xml:space="preserve">la disponibilité de troupes de manière presque immédiate dans le temps. Finalement, la disponibilité et l’efficacité du réseau de téléphonie mobile couvrant toute la région correspondant au théâtre des opérations permet d’assurer la simultanéité des attaques et de faciliter l’échange de renseignements sur les mouvements des forces </w:t>
      </w:r>
      <w:r>
        <w:t>ennemies</w:t>
      </w:r>
      <w:r w:rsidRPr="00CD4FC3">
        <w:t>.</w:t>
      </w:r>
    </w:p>
    <w:p w14:paraId="7FDAF30C" w14:textId="22A8FAC6" w:rsidR="0093751D" w:rsidRPr="00E27AAC" w:rsidRDefault="0093751D" w:rsidP="008B38DD">
      <w:pPr>
        <w:pStyle w:val="BodyText"/>
        <w:tabs>
          <w:tab w:val="left" w:pos="1559"/>
          <w:tab w:val="left" w:pos="1984"/>
          <w:tab w:val="left" w:leader="dot" w:pos="7654"/>
          <w:tab w:val="right" w:pos="8929"/>
        </w:tabs>
        <w:spacing w:line="240" w:lineRule="atLeast"/>
        <w:ind w:left="1138" w:right="1138" w:firstLine="0"/>
      </w:pPr>
      <w:r w:rsidRPr="00E27AAC">
        <w:t xml:space="preserve">En outre, </w:t>
      </w:r>
      <w:r w:rsidRPr="0029282A">
        <w:t>malgré l’asymétrie d</w:t>
      </w:r>
      <w:r>
        <w:t>u conflit</w:t>
      </w:r>
      <w:r w:rsidRPr="0029282A">
        <w:t xml:space="preserve">, la milice Kamuina Nsapu </w:t>
      </w:r>
      <w:r>
        <w:t>est</w:t>
      </w:r>
      <w:r w:rsidRPr="0029282A">
        <w:t xml:space="preserve"> capable de mener des attaques contre des cibles militaires tactiques suivant une stratégie militaire cohérente visant notamment à s’attaquer aux symboles de l’Etat.</w:t>
      </w:r>
      <w:r>
        <w:t xml:space="preserve"> Parmi d’autres exemples, on notera </w:t>
      </w:r>
      <w:r w:rsidRPr="00E27AAC">
        <w:t xml:space="preserve">l’attaque </w:t>
      </w:r>
      <w:r w:rsidR="007427CB">
        <w:t>de</w:t>
      </w:r>
      <w:r w:rsidR="007427CB" w:rsidRPr="00E27AAC">
        <w:t xml:space="preserve"> </w:t>
      </w:r>
      <w:r w:rsidRPr="00E27AAC">
        <w:t xml:space="preserve">l’aéroport de Kananga, province du Kasaï </w:t>
      </w:r>
      <w:r w:rsidR="00E442FD">
        <w:t>C</w:t>
      </w:r>
      <w:r w:rsidRPr="00E27AAC">
        <w:t xml:space="preserve">entral, les 22 et 23 septembre 2016 ainsi que plus généralement les attaques commises contre la ville elle-même </w:t>
      </w:r>
      <w:r>
        <w:t xml:space="preserve">durant les premiers mois de </w:t>
      </w:r>
      <w:r w:rsidRPr="00E27AAC">
        <w:t xml:space="preserve">2017 ; la destruction des bureaux des FARDC, de la </w:t>
      </w:r>
      <w:r w:rsidRPr="00CB2CDD">
        <w:t>CENI</w:t>
      </w:r>
      <w:r w:rsidRPr="00E27AAC">
        <w:t xml:space="preserve"> et de l’administration territoriale à Kena Nkuna, province du Kasaï </w:t>
      </w:r>
      <w:r w:rsidR="00E442FD">
        <w:t>O</w:t>
      </w:r>
      <w:r w:rsidRPr="00E27AAC">
        <w:t>riental, le 14 octobre 2016 ; la destruction de l’Etat-major de la PNC à Bukonde dans le territoire de Dibaya</w:t>
      </w:r>
      <w:r>
        <w:t>,</w:t>
      </w:r>
      <w:r w:rsidRPr="00E27AAC">
        <w:t xml:space="preserve"> province du Kasaï </w:t>
      </w:r>
      <w:r w:rsidR="00E442FD">
        <w:t>C</w:t>
      </w:r>
      <w:r w:rsidRPr="00E27AAC">
        <w:t>entral, le 8 décembre 2016 ; ainsi que l’attaque contre 37 éléments de la LNI et la saisie de deux camions contenant du matériel de guerre, dans la province du Kasaï</w:t>
      </w:r>
      <w:r>
        <w:t xml:space="preserve">, aux alentours du 24 </w:t>
      </w:r>
      <w:r w:rsidRPr="00E27AAC">
        <w:t>mars 2017.</w:t>
      </w:r>
    </w:p>
    <w:p w14:paraId="0DAB1836" w14:textId="22318E90" w:rsidR="0093751D" w:rsidRPr="00E27AAC" w:rsidRDefault="0093751D" w:rsidP="008B38DD">
      <w:pPr>
        <w:pStyle w:val="BodyText"/>
        <w:tabs>
          <w:tab w:val="left" w:pos="1559"/>
          <w:tab w:val="left" w:pos="1984"/>
          <w:tab w:val="left" w:leader="dot" w:pos="7654"/>
          <w:tab w:val="right" w:pos="8929"/>
        </w:tabs>
        <w:spacing w:line="240" w:lineRule="atLeast"/>
        <w:ind w:left="1138" w:right="1138" w:firstLine="0"/>
      </w:pPr>
      <w:r w:rsidRPr="00E27AAC">
        <w:t xml:space="preserve">Finalement, la milice Kamuina Nsapu a </w:t>
      </w:r>
      <w:r w:rsidRPr="00672B9A">
        <w:t>également la capacité de déployer et regrouper des troupes en fonction des besoins stratégiques. Cela est notam</w:t>
      </w:r>
      <w:r w:rsidRPr="00E27AAC">
        <w:t xml:space="preserve">ment illustré par le fait que des éléments de la milice recrutés dans le territoire de Dibaya, province du Kasaï </w:t>
      </w:r>
      <w:r w:rsidR="00E442FD">
        <w:t>C</w:t>
      </w:r>
      <w:r w:rsidRPr="00E27AAC">
        <w:t xml:space="preserve">entral, aient été envoyés en renfort pour mener des combats dans le territoire de Kabeya-Kamwanga, province du Kasaï </w:t>
      </w:r>
      <w:r w:rsidR="00E442FD">
        <w:t>O</w:t>
      </w:r>
      <w:r w:rsidRPr="00E27AAC">
        <w:t xml:space="preserve">riental, ou encore par le fait que certains haut-dirigeants du mouvement aient été identifiés lors des principales attaques commises aussi bien dans la province du Kasaï </w:t>
      </w:r>
      <w:r w:rsidR="00E442FD">
        <w:t>C</w:t>
      </w:r>
      <w:r w:rsidRPr="00E27AAC">
        <w:t xml:space="preserve">entral, que dans celles du Kasaï </w:t>
      </w:r>
      <w:r w:rsidR="00E442FD">
        <w:t>O</w:t>
      </w:r>
      <w:r w:rsidR="00E442FD" w:rsidRPr="00E27AAC">
        <w:t xml:space="preserve">riental </w:t>
      </w:r>
      <w:r w:rsidRPr="00E27AAC">
        <w:t>et du Kasaï.</w:t>
      </w:r>
    </w:p>
    <w:p w14:paraId="77CC850A" w14:textId="47A93CA5" w:rsidR="0093751D" w:rsidRPr="00FE5E8D" w:rsidRDefault="007427CB" w:rsidP="007A1810">
      <w:pPr>
        <w:pStyle w:val="Heading5"/>
        <w:numPr>
          <w:ilvl w:val="0"/>
          <w:numId w:val="11"/>
        </w:numPr>
        <w:tabs>
          <w:tab w:val="clear" w:pos="1984"/>
          <w:tab w:val="left" w:pos="2340"/>
        </w:tabs>
        <w:spacing w:before="120" w:after="120"/>
        <w:ind w:firstLine="1440"/>
        <w:contextualSpacing w:val="0"/>
        <w:rPr>
          <w:b w:val="0"/>
        </w:rPr>
      </w:pPr>
      <w:r>
        <w:rPr>
          <w:b w:val="0"/>
        </w:rPr>
        <w:t>Intensité de la violence</w:t>
      </w:r>
      <w:r w:rsidRPr="00FE5E8D">
        <w:rPr>
          <w:b w:val="0"/>
        </w:rPr>
        <w:t xml:space="preserve"> </w:t>
      </w:r>
    </w:p>
    <w:p w14:paraId="7C18BE06" w14:textId="4288610E" w:rsidR="0093751D" w:rsidRPr="00BE058C" w:rsidRDefault="0093751D" w:rsidP="008B38DD">
      <w:pPr>
        <w:pStyle w:val="BodyText"/>
        <w:tabs>
          <w:tab w:val="left" w:pos="1559"/>
          <w:tab w:val="left" w:pos="1984"/>
          <w:tab w:val="left" w:leader="dot" w:pos="7654"/>
          <w:tab w:val="right" w:pos="8929"/>
        </w:tabs>
        <w:spacing w:line="240" w:lineRule="atLeast"/>
        <w:ind w:left="1138" w:right="1138" w:firstLine="0"/>
      </w:pPr>
      <w:r>
        <w:t>L</w:t>
      </w:r>
      <w:r w:rsidRPr="00586BE7">
        <w:t>a confrontation ouverte entre la milice Kamu</w:t>
      </w:r>
      <w:r>
        <w:t>i</w:t>
      </w:r>
      <w:r w:rsidRPr="00586BE7">
        <w:t xml:space="preserve">na Nsapu et les forces de </w:t>
      </w:r>
      <w:r>
        <w:t xml:space="preserve">défense et de </w:t>
      </w:r>
      <w:r w:rsidRPr="00586BE7">
        <w:t xml:space="preserve">sécurité étatiques a débuté en juin 2016 par l’érection de barrages routiers et de points de contrôle dans le territoire de Dibaya, province du Kasaï </w:t>
      </w:r>
      <w:r w:rsidR="00E442FD">
        <w:t>C</w:t>
      </w:r>
      <w:r w:rsidRPr="00586BE7">
        <w:t xml:space="preserve">entral, afin de contrôler la circulation des éléments des </w:t>
      </w:r>
      <w:r>
        <w:t>FARDC</w:t>
      </w:r>
      <w:r w:rsidRPr="00586BE7">
        <w:t xml:space="preserve"> et autres agents de l’État. Elle s’est ensuite rapidement transformée en affrontements armés impliquant des massacres de civils, des incendies de villages entiers et des attaques armées contre tous les représentants et symboles de l’autorité étatique, endommageant ou détruisant de nombreux bâtiments publics, y compris des écoles, des centres de santé, des églises, des commissariats de police et des bureaux ou lieux hébergeant des éléments des FARDC. </w:t>
      </w:r>
      <w:r>
        <w:t>A</w:t>
      </w:r>
      <w:r w:rsidRPr="00586BE7">
        <w:t>près la mort du chef coutumier Kamuina Nsapu, Jean-Prince Mpandi, en août 2016</w:t>
      </w:r>
      <w:r>
        <w:t>,</w:t>
      </w:r>
      <w:r w:rsidRPr="00586BE7">
        <w:t xml:space="preserve"> le conflit s’est encore intensifié notamment </w:t>
      </w:r>
      <w:r w:rsidRPr="00BE058C">
        <w:t xml:space="preserve">du point de vue du nombre, de la fréquence et de la gravité des affrontements armés et s’est également propagé à l’ensemble du territoire géographique composé des </w:t>
      </w:r>
      <w:r w:rsidR="00006825" w:rsidRPr="00586BE7">
        <w:t>Bashila</w:t>
      </w:r>
      <w:r w:rsidRPr="00BE058C">
        <w:t xml:space="preserve"> Kasanga au sein de la région du Kasaï, qui s’étend sur quatre provinces ; un territoire d’environ la taille du Libéria et peuplé d’environ 5 millions de personnes.</w:t>
      </w:r>
    </w:p>
    <w:p w14:paraId="5C3EF3E0" w14:textId="734C3414" w:rsidR="0093751D" w:rsidRPr="00586BE7" w:rsidRDefault="0093751D" w:rsidP="008B38DD">
      <w:pPr>
        <w:pStyle w:val="BodyText"/>
        <w:tabs>
          <w:tab w:val="left" w:pos="1559"/>
          <w:tab w:val="left" w:pos="1984"/>
          <w:tab w:val="left" w:leader="dot" w:pos="7654"/>
          <w:tab w:val="right" w:pos="8929"/>
        </w:tabs>
        <w:spacing w:line="240" w:lineRule="atLeast"/>
        <w:ind w:left="1138" w:right="1138" w:firstLine="0"/>
      </w:pPr>
      <w:r w:rsidRPr="00586BE7">
        <w:t xml:space="preserve">Bien que l’ampleur des massacres et des destructions depuis </w:t>
      </w:r>
      <w:r w:rsidRPr="00BE058C">
        <w:t>juillet</w:t>
      </w:r>
      <w:r w:rsidRPr="00586BE7">
        <w:t xml:space="preserve"> 2017 se soit quelque peu amoindrie, le conflit se poursuit deux années après qu’il ait éclaté et des tueries continuent des deux côtés tout comme les destructions et les déplacements de populations liés à ces incidents. Avec un bilan actuel de plusieurs milliers de morts, d’environ 1,4 million de déplacés internes et d’environ 35</w:t>
      </w:r>
      <w:r w:rsidR="0098782B">
        <w:t xml:space="preserve"> </w:t>
      </w:r>
      <w:r w:rsidRPr="00586BE7">
        <w:t xml:space="preserve">000 réfugiés en Angola, le conflit dans la région du Kasaï choque par le </w:t>
      </w:r>
      <w:r w:rsidRPr="00BE058C">
        <w:t>nombre de victimes et le nombre de civils ayant fui les combats</w:t>
      </w:r>
      <w:r w:rsidRPr="00586BE7">
        <w:t>.</w:t>
      </w:r>
    </w:p>
    <w:p w14:paraId="761EB06A" w14:textId="051B9218" w:rsidR="0093751D" w:rsidRPr="00586BE7" w:rsidRDefault="0093751D" w:rsidP="008B38DD">
      <w:pPr>
        <w:pStyle w:val="BodyText"/>
        <w:tabs>
          <w:tab w:val="left" w:pos="1559"/>
          <w:tab w:val="left" w:pos="1984"/>
          <w:tab w:val="left" w:leader="dot" w:pos="7654"/>
          <w:tab w:val="right" w:pos="8929"/>
        </w:tabs>
        <w:spacing w:line="240" w:lineRule="atLeast"/>
        <w:ind w:left="1138" w:right="1138" w:firstLine="0"/>
      </w:pPr>
      <w:r w:rsidRPr="00586BE7">
        <w:t>Dès le début, le conflit a mobilisé non-seulement des agents de la PNC, mais aussi des éléments des FARDC. En effet, le 9 août 2016 déjà, un contingent de la 21</w:t>
      </w:r>
      <w:r w:rsidRPr="00E06F8D">
        <w:rPr>
          <w:vertAlign w:val="superscript"/>
        </w:rPr>
        <w:t>ème</w:t>
      </w:r>
      <w:r w:rsidRPr="00586BE7">
        <w:t xml:space="preserve"> région militaire provenant de la zone de Mbuji-Mayi, province du Kasaï </w:t>
      </w:r>
      <w:r w:rsidR="00870653">
        <w:t>O</w:t>
      </w:r>
      <w:r w:rsidRPr="00586BE7">
        <w:t xml:space="preserve">riental, atterrit à l’aéroport de Kananga, capitale de la province du Kasaï </w:t>
      </w:r>
      <w:r w:rsidR="00E442FD">
        <w:t>C</w:t>
      </w:r>
      <w:r w:rsidRPr="00586BE7">
        <w:t>entral, afin de renforcer les FARDC du 2011</w:t>
      </w:r>
      <w:r w:rsidRPr="00E06F8D">
        <w:rPr>
          <w:vertAlign w:val="superscript"/>
        </w:rPr>
        <w:t>ème</w:t>
      </w:r>
      <w:r w:rsidRPr="00586BE7">
        <w:t xml:space="preserve"> régiment déjà présents. Très rapidement, le conflit a mobilisé environ 3</w:t>
      </w:r>
      <w:r w:rsidR="0098782B">
        <w:t xml:space="preserve"> </w:t>
      </w:r>
      <w:r w:rsidRPr="00586BE7">
        <w:t xml:space="preserve">500 éléments des FARDC, commandés à partir de Mbuji-Mayi, province du Kasaï </w:t>
      </w:r>
      <w:r w:rsidR="00870653">
        <w:t>O</w:t>
      </w:r>
      <w:r w:rsidRPr="00586BE7">
        <w:t>riental, ainsi que tous les agents de la PNC présents dans la région du Kasaï. En décembre 2016, le déploiement des FARDC a atteint un nombre de 7</w:t>
      </w:r>
      <w:r w:rsidR="0098782B">
        <w:t xml:space="preserve"> </w:t>
      </w:r>
      <w:r w:rsidRPr="00586BE7">
        <w:t xml:space="preserve">000 éléments, les poussant à déplacer leur poste de commandement à Kananga. Afin de faire face à l’intensité de la violence, le 9 mars 2017, </w:t>
      </w:r>
      <w:r>
        <w:t xml:space="preserve">un secteur </w:t>
      </w:r>
      <w:r w:rsidRPr="00BE058C">
        <w:t>militaire opérationnel a été</w:t>
      </w:r>
      <w:r w:rsidRPr="00586BE7">
        <w:t xml:space="preserve"> créé par l’Ordonnance n° 17/002</w:t>
      </w:r>
      <w:r w:rsidRPr="007F1170">
        <w:rPr>
          <w:rStyle w:val="FootnoteReference"/>
        </w:rPr>
        <w:footnoteReference w:id="822"/>
      </w:r>
      <w:r w:rsidRPr="00586BE7">
        <w:t xml:space="preserve">. </w:t>
      </w:r>
      <w:r>
        <w:t>De plus,</w:t>
      </w:r>
      <w:r w:rsidRPr="00586BE7">
        <w:t xml:space="preserve"> la PNC a eu recours à la LNI afin de faire face à cette situation. Si le chiffre de 7</w:t>
      </w:r>
      <w:r w:rsidR="0098782B">
        <w:t xml:space="preserve"> </w:t>
      </w:r>
      <w:r w:rsidRPr="00586BE7">
        <w:t>000 éléments a ensuite été réduit à partir d’octobre 2017, le nombre de FARDC actuellement déployés dans la région s’élève t</w:t>
      </w:r>
      <w:r>
        <w:t>oujours à 4</w:t>
      </w:r>
      <w:r w:rsidR="0098782B">
        <w:t xml:space="preserve"> </w:t>
      </w:r>
      <w:r>
        <w:t>500 éléments et le s</w:t>
      </w:r>
      <w:r w:rsidRPr="00586BE7">
        <w:t>ecteur opérationnel</w:t>
      </w:r>
      <w:r>
        <w:t xml:space="preserve"> militaire</w:t>
      </w:r>
      <w:r w:rsidRPr="00586BE7">
        <w:t xml:space="preserve"> est toujours en place.</w:t>
      </w:r>
    </w:p>
    <w:p w14:paraId="1262BCC2" w14:textId="526A72A0" w:rsidR="0093751D" w:rsidRPr="00586BE7" w:rsidRDefault="0093751D" w:rsidP="008B38DD">
      <w:pPr>
        <w:pStyle w:val="BodyText"/>
        <w:tabs>
          <w:tab w:val="left" w:pos="1559"/>
          <w:tab w:val="left" w:pos="1984"/>
          <w:tab w:val="left" w:leader="dot" w:pos="7654"/>
          <w:tab w:val="right" w:pos="8929"/>
        </w:tabs>
        <w:spacing w:line="240" w:lineRule="atLeast"/>
        <w:ind w:left="1138" w:right="1138" w:firstLine="0"/>
      </w:pPr>
      <w:r w:rsidRPr="00586BE7">
        <w:t>Alors que le nombre de personnes mobilisées en tant que combattants par la milice Kamuina Nsapu dépasse</w:t>
      </w:r>
      <w:r w:rsidR="007427CB">
        <w:t>rait</w:t>
      </w:r>
      <w:r w:rsidRPr="00586BE7">
        <w:t xml:space="preserve"> 3</w:t>
      </w:r>
      <w:r w:rsidR="008946FE">
        <w:t xml:space="preserve"> </w:t>
      </w:r>
      <w:r w:rsidRPr="00586BE7">
        <w:t>500, la pertinence du nombre de combattants au sein de la milice doit être relativisée par rapport à la guerre qu’</w:t>
      </w:r>
      <w:r>
        <w:t>elle</w:t>
      </w:r>
      <w:r w:rsidRPr="00586BE7">
        <w:t xml:space="preserve"> mène</w:t>
      </w:r>
      <w:r>
        <w:t> ;</w:t>
      </w:r>
      <w:r w:rsidRPr="00586BE7">
        <w:t xml:space="preserve"> le plus important dans ce conflit étant la capacité de la milice à accéder à de la main d’œuvre sur l’ensemble de l’étendue de son théâtre d’opération et d’incorporer rapidement de nouveaux combattants par un processus de baptême extrêmement rapide qui favorise la disponibilité de troupes de manière presque immédiate dans le temps. </w:t>
      </w:r>
      <w:r>
        <w:t xml:space="preserve">Cela </w:t>
      </w:r>
      <w:r w:rsidR="000E1844">
        <w:t>constitue un défi</w:t>
      </w:r>
      <w:r w:rsidRPr="00586BE7">
        <w:t xml:space="preserve"> pour la capacité logistique et opérationnelle des FARDC ; incapable</w:t>
      </w:r>
      <w:r>
        <w:t>s</w:t>
      </w:r>
      <w:r w:rsidRPr="00586BE7">
        <w:t xml:space="preserve"> d’être tout le temps à tous les endroits sur le théâtre des opérations.</w:t>
      </w:r>
    </w:p>
    <w:p w14:paraId="70F027D4" w14:textId="0B30B1EC" w:rsidR="0093751D" w:rsidRPr="00586BE7" w:rsidRDefault="0093751D" w:rsidP="008B38DD">
      <w:pPr>
        <w:pStyle w:val="BodyText"/>
        <w:tabs>
          <w:tab w:val="left" w:pos="1559"/>
          <w:tab w:val="left" w:pos="1984"/>
          <w:tab w:val="left" w:leader="dot" w:pos="7654"/>
          <w:tab w:val="right" w:pos="8929"/>
        </w:tabs>
        <w:spacing w:line="240" w:lineRule="atLeast"/>
        <w:ind w:left="1138" w:right="1138" w:firstLine="0"/>
      </w:pPr>
      <w:r w:rsidRPr="00586BE7">
        <w:t>L’armement utilisé dans cette guerre irrégulière est de deux sortes. Du point de vue militaire, l’équipement de la milice Kamuina Nsapu est composé d’armes plutôt simples et adaptées à la taille de ses divers combattants : bâtons, machettes, arcs et flèches,</w:t>
      </w:r>
      <w:r>
        <w:t xml:space="preserve"> lances, fusils traditionnels (</w:t>
      </w:r>
      <w:r w:rsidRPr="00586BE7">
        <w:t>« mousquets »</w:t>
      </w:r>
      <w:r>
        <w:t>)</w:t>
      </w:r>
      <w:r w:rsidRPr="00586BE7">
        <w:t xml:space="preserve">, fusils de chasse </w:t>
      </w:r>
      <w:r>
        <w:t>(</w:t>
      </w:r>
      <w:r w:rsidRPr="00586BE7">
        <w:t>« calibre 12 »</w:t>
      </w:r>
      <w:r>
        <w:t>)</w:t>
      </w:r>
      <w:r w:rsidRPr="00586BE7">
        <w:t xml:space="preserve"> et AK</w:t>
      </w:r>
      <w:r w:rsidRPr="00586BE7">
        <w:noBreakHyphen/>
        <w:t xml:space="preserve">47. Néanmoins, il convient de rappeler qu’en parallèle à l’intensification des combats, la milice a également été capable de s’approvisionner en armement militaire plus lourd lors d’attaques contre certains convois des forces de </w:t>
      </w:r>
      <w:r>
        <w:t xml:space="preserve">défense et de </w:t>
      </w:r>
      <w:r w:rsidRPr="00586BE7">
        <w:t>sécurité</w:t>
      </w:r>
      <w:r w:rsidRPr="007F1170">
        <w:rPr>
          <w:rStyle w:val="FootnoteReference"/>
        </w:rPr>
        <w:footnoteReference w:id="823"/>
      </w:r>
      <w:r w:rsidRPr="00586BE7">
        <w:t xml:space="preserve">. Du côté des forces étatiques, il convient de souligner l’utilisation d’armement plus lourd, comprenant notamment des </w:t>
      </w:r>
      <w:r w:rsidR="0098782B">
        <w:t>armes automatiques, du type</w:t>
      </w:r>
      <w:r w:rsidRPr="00586BE7">
        <w:t xml:space="preserve"> AK47, et des lance-roquettes.</w:t>
      </w:r>
    </w:p>
    <w:p w14:paraId="4834E98D" w14:textId="77777777" w:rsidR="0093751D" w:rsidRPr="00586BE7" w:rsidRDefault="0093751D" w:rsidP="008B38DD">
      <w:pPr>
        <w:pStyle w:val="BodyText"/>
        <w:tabs>
          <w:tab w:val="left" w:pos="1559"/>
          <w:tab w:val="left" w:pos="1984"/>
          <w:tab w:val="left" w:leader="dot" w:pos="7654"/>
          <w:tab w:val="right" w:pos="8929"/>
        </w:tabs>
        <w:spacing w:line="240" w:lineRule="atLeast"/>
        <w:ind w:left="1138" w:right="1138" w:firstLine="0"/>
      </w:pPr>
      <w:r w:rsidRPr="00586BE7">
        <w:t>L’autre type d’armement auquel la milice Kamuina Nsapu a recours est de type surnaturel. Le baptême des combattants Kamuina Nsapu est considéré pouvoir fournir à ces derniers différents degrés de protection lorsqu’ils mènent des opérations militaires. Cette influence surnaturelle étant reconnue par les forces étatiques présentes dans la région, des informations fournies à l’</w:t>
      </w:r>
      <w:r>
        <w:t>EEI</w:t>
      </w:r>
      <w:r w:rsidRPr="00586BE7">
        <w:t xml:space="preserve"> indique</w:t>
      </w:r>
      <w:r>
        <w:t>nt</w:t>
      </w:r>
      <w:r w:rsidRPr="00586BE7">
        <w:t xml:space="preserve"> qu’un certain nombre d’officiers, même très haut gradés, des FARDC auraient subi un baptême semblable afin d’insuffler le sentiment d’invulnérabilité parmi leurs troupes. En réponse à ce développement et dans un esprit d’escalade de cet armement psychologique, en janvier 2018, la milice Kamuina Nsapu aurait institué un nouveau type de baptême, considéré comme plus puissant, afin de l’emporter sur celui des </w:t>
      </w:r>
      <w:r>
        <w:t>FARDC</w:t>
      </w:r>
      <w:r w:rsidRPr="00586BE7">
        <w:t>.</w:t>
      </w:r>
    </w:p>
    <w:p w14:paraId="30F091AD" w14:textId="4E09269A" w:rsidR="0093751D" w:rsidRPr="00586BE7" w:rsidRDefault="0093751D" w:rsidP="008B38DD">
      <w:pPr>
        <w:pStyle w:val="BodyText"/>
        <w:tabs>
          <w:tab w:val="left" w:pos="1559"/>
          <w:tab w:val="left" w:pos="1984"/>
          <w:tab w:val="left" w:leader="dot" w:pos="7654"/>
          <w:tab w:val="right" w:pos="8929"/>
        </w:tabs>
        <w:spacing w:line="240" w:lineRule="atLeast"/>
        <w:ind w:left="1138" w:right="1138" w:firstLine="0"/>
        <w:rPr>
          <w:i/>
        </w:rPr>
      </w:pPr>
      <w:r>
        <w:t>L</w:t>
      </w:r>
      <w:r w:rsidRPr="00586BE7">
        <w:t xml:space="preserve">e fait d’être organisé en petites unités n’empêche pas la milice Kamuina Nsapu de développer et contrôler certaines lignes de front. Similairement au mouvement ancestral des </w:t>
      </w:r>
      <w:r w:rsidR="004A163E">
        <w:t>L</w:t>
      </w:r>
      <w:r w:rsidR="004A163E" w:rsidRPr="00586BE7">
        <w:t>uba</w:t>
      </w:r>
      <w:r w:rsidR="004A163E">
        <w:t>s</w:t>
      </w:r>
      <w:r w:rsidR="004A163E" w:rsidRPr="00586BE7">
        <w:t xml:space="preserve"> </w:t>
      </w:r>
      <w:r w:rsidRPr="00586BE7">
        <w:t xml:space="preserve">en direction de l’ouest, les combattants de la milice Kamuina Nsapu ont, à partir de mai 2017, forcé tous les </w:t>
      </w:r>
      <w:r w:rsidR="00651768">
        <w:t>Chokwe</w:t>
      </w:r>
      <w:r w:rsidR="00A34D85">
        <w:t>s</w:t>
      </w:r>
      <w:r w:rsidRPr="00586BE7">
        <w:t xml:space="preserve"> vivant au nord-est de Tshikapa à fuir vers la rive ouest de la rivière Kasaï. Jusqu’à aujourd’hui, les combattants Kamuina Nsapu ont maintenu cette ligne de front qui correspond ethniquement à la limite du territoire occupé par les Bashila Kasanga.</w:t>
      </w:r>
    </w:p>
    <w:p w14:paraId="18117051" w14:textId="77777777" w:rsidR="0093751D" w:rsidRPr="00FE5E8D" w:rsidRDefault="0093751D" w:rsidP="007A1810">
      <w:pPr>
        <w:pStyle w:val="Heading5"/>
        <w:numPr>
          <w:ilvl w:val="0"/>
          <w:numId w:val="11"/>
        </w:numPr>
        <w:tabs>
          <w:tab w:val="clear" w:pos="1984"/>
          <w:tab w:val="left" w:pos="2340"/>
        </w:tabs>
        <w:spacing w:before="120" w:after="120"/>
        <w:ind w:firstLine="1440"/>
        <w:contextualSpacing w:val="0"/>
        <w:rPr>
          <w:b w:val="0"/>
        </w:rPr>
      </w:pPr>
      <w:r w:rsidRPr="00FE5E8D">
        <w:rPr>
          <w:b w:val="0"/>
        </w:rPr>
        <w:t>Conclusion sur l’existence d’un conflit armé non-international</w:t>
      </w:r>
    </w:p>
    <w:p w14:paraId="700E9E6D" w14:textId="77777777" w:rsidR="0093751D" w:rsidRPr="001F7EF9" w:rsidRDefault="0093751D" w:rsidP="008B38DD">
      <w:pPr>
        <w:pStyle w:val="BodyText"/>
        <w:tabs>
          <w:tab w:val="left" w:pos="1559"/>
          <w:tab w:val="left" w:pos="1984"/>
          <w:tab w:val="left" w:leader="dot" w:pos="7654"/>
          <w:tab w:val="right" w:pos="8929"/>
        </w:tabs>
        <w:spacing w:line="240" w:lineRule="atLeast"/>
        <w:ind w:left="1138" w:right="1138" w:firstLine="0"/>
      </w:pPr>
      <w:r>
        <w:t>L</w:t>
      </w:r>
      <w:r w:rsidRPr="00902481">
        <w:t>’</w:t>
      </w:r>
      <w:r>
        <w:t>EEI</w:t>
      </w:r>
      <w:r w:rsidRPr="00902481">
        <w:t xml:space="preserve"> </w:t>
      </w:r>
      <w:r w:rsidRPr="001F7EF9">
        <w:t xml:space="preserve">a des motifs raisonnables de croire </w:t>
      </w:r>
      <w:r>
        <w:t xml:space="preserve">que </w:t>
      </w:r>
      <w:r w:rsidRPr="00E27AAC">
        <w:t xml:space="preserve">la milice Kamuina Nsapu était un groupe armé bénéficiant d’un niveau </w:t>
      </w:r>
      <w:r>
        <w:t xml:space="preserve">minimum </w:t>
      </w:r>
      <w:r w:rsidRPr="00E27AAC">
        <w:t>d’organisation</w:t>
      </w:r>
      <w:r>
        <w:t xml:space="preserve"> et </w:t>
      </w:r>
      <w:r w:rsidRPr="00586BE7">
        <w:t>que l’intensité de la violence avait atteint un niveau suffisant pour établir l’existence d’un conflit armé non-international</w:t>
      </w:r>
      <w:r>
        <w:t xml:space="preserve"> en droit international humanitaire</w:t>
      </w:r>
      <w:r w:rsidRPr="00586BE7">
        <w:t>.</w:t>
      </w:r>
      <w:r>
        <w:t xml:space="preserve"> Elle est donc de l’avis </w:t>
      </w:r>
      <w:r w:rsidRPr="00902481">
        <w:t xml:space="preserve">qu’à partir d’août 2016 et durant l’époque des faits visés dans le présent rapport, il existait </w:t>
      </w:r>
      <w:r w:rsidRPr="001F7EF9">
        <w:t xml:space="preserve">dans la région du Kasaï </w:t>
      </w:r>
      <w:r w:rsidRPr="00902481">
        <w:t xml:space="preserve">un conflit armé non-international </w:t>
      </w:r>
      <w:r>
        <w:t xml:space="preserve">prolongé </w:t>
      </w:r>
      <w:r w:rsidRPr="00902481">
        <w:t xml:space="preserve">opposant les </w:t>
      </w:r>
      <w:r>
        <w:t xml:space="preserve">FARDC, soutenus par la PNC, </w:t>
      </w:r>
      <w:r w:rsidRPr="00902481">
        <w:t>et la milice Kamuina Nsapu.</w:t>
      </w:r>
    </w:p>
    <w:p w14:paraId="7BE0B4FA" w14:textId="00EDFBA1" w:rsidR="0093751D" w:rsidRPr="00FE5E8D" w:rsidRDefault="008B38DD" w:rsidP="008B38DD">
      <w:pPr>
        <w:pStyle w:val="BodyText"/>
        <w:numPr>
          <w:ilvl w:val="0"/>
          <w:numId w:val="0"/>
        </w:numPr>
        <w:tabs>
          <w:tab w:val="left" w:pos="1559"/>
          <w:tab w:val="left" w:pos="1984"/>
          <w:tab w:val="left" w:leader="dot" w:pos="7654"/>
          <w:tab w:val="right" w:pos="8929"/>
        </w:tabs>
        <w:spacing w:line="240" w:lineRule="atLeast"/>
        <w:ind w:left="1138" w:right="1138"/>
        <w:rPr>
          <w:i/>
        </w:rPr>
      </w:pPr>
      <w:r>
        <w:rPr>
          <w:i/>
        </w:rPr>
        <w:t>b.</w:t>
      </w:r>
      <w:r>
        <w:rPr>
          <w:i/>
        </w:rPr>
        <w:tab/>
      </w:r>
      <w:r w:rsidR="0093751D" w:rsidRPr="00FE5E8D">
        <w:rPr>
          <w:i/>
        </w:rPr>
        <w:t>Lien de rattachement entre les crimes et le conflit armé</w:t>
      </w:r>
    </w:p>
    <w:p w14:paraId="768BE4E9" w14:textId="77777777" w:rsidR="0093751D" w:rsidRPr="001F7EF9" w:rsidRDefault="0093751D" w:rsidP="008B38DD">
      <w:pPr>
        <w:pStyle w:val="BodyText"/>
        <w:tabs>
          <w:tab w:val="left" w:pos="1559"/>
          <w:tab w:val="left" w:pos="1984"/>
          <w:tab w:val="left" w:leader="dot" w:pos="7654"/>
          <w:tab w:val="right" w:pos="8929"/>
        </w:tabs>
        <w:spacing w:line="240" w:lineRule="atLeast"/>
        <w:ind w:left="1138" w:right="1138" w:firstLine="0"/>
      </w:pPr>
      <w:r>
        <w:t>L</w:t>
      </w:r>
      <w:r w:rsidRPr="001F7EF9">
        <w:t xml:space="preserve">es crimes commis par </w:t>
      </w:r>
      <w:r>
        <w:t>des éléments d</w:t>
      </w:r>
      <w:r w:rsidRPr="001F7EF9">
        <w:t xml:space="preserve">es </w:t>
      </w:r>
      <w:r>
        <w:t>FARDC</w:t>
      </w:r>
      <w:r w:rsidRPr="001F7EF9">
        <w:t xml:space="preserve"> et de la milice Kamuina Nsapu l’ont été dans le contexte de et étaient associés au conflit armé non-international opposant les deux parties.</w:t>
      </w:r>
      <w:r>
        <w:t xml:space="preserve"> </w:t>
      </w:r>
      <w:r w:rsidRPr="001F7EF9">
        <w:t>Les facteurs suivants lui permettant de faire cette détermination : (i) les auteurs des crimes commis étaient, pour la majorité, des éléments des FARDC et de la milice Kamuina Nsapu qui étaient des combattants au moment de la commission desdits crimes ; (ii) un large éventail des crimes commis l’ont été durant les affrontements opposant les deux parties au conflit ou immédiatement avant ou après; (iii)</w:t>
      </w:r>
      <w:r>
        <w:t> </w:t>
      </w:r>
      <w:r w:rsidRPr="001F7EF9">
        <w:t>les victimes de leurs crimes étaient soit des civils soit des personnes appartenant au camp adverse ayant été mises hors de combat ; (iv)</w:t>
      </w:r>
      <w:r>
        <w:t> </w:t>
      </w:r>
      <w:r w:rsidRPr="001F7EF9">
        <w:t xml:space="preserve">les crimes commis par les </w:t>
      </w:r>
      <w:r>
        <w:t>FARDC</w:t>
      </w:r>
      <w:r w:rsidRPr="001F7EF9">
        <w:t>, dans la majorité des cas, serv</w:t>
      </w:r>
      <w:r>
        <w:t>e</w:t>
      </w:r>
      <w:r w:rsidRPr="001F7EF9">
        <w:t>nt l’objectif ultime de la stratégie militaire visant à combattre la milice Kamuina Nsapu dans la région du Kasaï</w:t>
      </w:r>
      <w:r>
        <w:t> ; ils sont en effet co</w:t>
      </w:r>
      <w:r w:rsidRPr="001F7EF9">
        <w:t xml:space="preserve">mpris dans le cadre d’une campagne de répression des membres de cette milice ou lui étant assimilée, alors que ceux commis par la milice Kamuina Nsapu peuvent, dans la majorité des cas, être considérés comme servant l’objectif ultime de </w:t>
      </w:r>
      <w:r>
        <w:t xml:space="preserve">son mouvement ; </w:t>
      </w:r>
      <w:r w:rsidRPr="001F7EF9">
        <w:t xml:space="preserve">et (v) la commission de la majorité de ces crimes participent des fonctions « officielles » de leurs auteurs soit en tant que membres des </w:t>
      </w:r>
      <w:r>
        <w:t>FARDC</w:t>
      </w:r>
      <w:r w:rsidRPr="001F7EF9">
        <w:t xml:space="preserve"> ou en tant qu’éléments de la milice Kamuina Nsapu.</w:t>
      </w:r>
    </w:p>
    <w:p w14:paraId="6FD9B5DA" w14:textId="492828D5" w:rsidR="0093751D" w:rsidRPr="00FE5E8D" w:rsidRDefault="008B38DD" w:rsidP="008B38DD">
      <w:pPr>
        <w:pStyle w:val="BodyText"/>
        <w:numPr>
          <w:ilvl w:val="0"/>
          <w:numId w:val="0"/>
        </w:numPr>
        <w:tabs>
          <w:tab w:val="left" w:pos="1559"/>
          <w:tab w:val="left" w:pos="1984"/>
          <w:tab w:val="left" w:leader="dot" w:pos="7654"/>
          <w:tab w:val="right" w:pos="8929"/>
        </w:tabs>
        <w:spacing w:line="240" w:lineRule="atLeast"/>
        <w:ind w:left="1138" w:right="1138"/>
        <w:rPr>
          <w:i/>
        </w:rPr>
      </w:pPr>
      <w:r>
        <w:rPr>
          <w:i/>
        </w:rPr>
        <w:t>c.</w:t>
      </w:r>
      <w:r>
        <w:rPr>
          <w:i/>
        </w:rPr>
        <w:tab/>
      </w:r>
      <w:r w:rsidR="0093751D" w:rsidRPr="00FE5E8D">
        <w:rPr>
          <w:i/>
        </w:rPr>
        <w:t>Connaissances des circonstances de fait établissant l’existence d’un conflit armé</w:t>
      </w:r>
    </w:p>
    <w:p w14:paraId="0E226C1A" w14:textId="77777777" w:rsidR="0093751D" w:rsidRPr="001F7EF9" w:rsidRDefault="0093751D" w:rsidP="008B38DD">
      <w:pPr>
        <w:pStyle w:val="BodyText"/>
        <w:tabs>
          <w:tab w:val="left" w:pos="1559"/>
          <w:tab w:val="left" w:pos="1984"/>
          <w:tab w:val="left" w:leader="dot" w:pos="7654"/>
          <w:tab w:val="right" w:pos="8929"/>
        </w:tabs>
        <w:spacing w:line="240" w:lineRule="atLeast"/>
        <w:ind w:left="1138" w:right="1138" w:firstLine="0"/>
      </w:pPr>
      <w:r w:rsidRPr="001F7EF9">
        <w:t xml:space="preserve">Vu l’ampleur du conflit armé entre les </w:t>
      </w:r>
      <w:r>
        <w:t>FARDC</w:t>
      </w:r>
      <w:r w:rsidRPr="001F7EF9">
        <w:t xml:space="preserve"> </w:t>
      </w:r>
      <w:r>
        <w:t xml:space="preserve">et la milice Kamuina Nsapu dans </w:t>
      </w:r>
      <w:r w:rsidRPr="001F7EF9">
        <w:t>quatre provinces pendant une période prolongée et l’impact qu’il a eu au niveau régional, notamment le déplacement de 1,4 millions de déplacés internes, la destruction de villages entiers et, à partir du 9 mars 2017, la création d’un secteur opérationnel militaire dans la région, il est difficile d’imaginer, dans le contexte propre à l’espèce, que les auteurs présumés de ces crimes pouvaient ignorer les circonstances de fait permettant d’établir l’existence d’un conflit armé.</w:t>
      </w:r>
    </w:p>
    <w:p w14:paraId="5999D751" w14:textId="5EFB2402" w:rsidR="0093751D" w:rsidRPr="00FE5E8D" w:rsidRDefault="0093751D" w:rsidP="00BC668B">
      <w:pPr>
        <w:pStyle w:val="Heading3"/>
        <w:spacing w:before="240" w:line="240" w:lineRule="exact"/>
        <w:ind w:left="1138" w:right="1138" w:hanging="571"/>
        <w:rPr>
          <w:b/>
        </w:rPr>
      </w:pPr>
      <w:bookmarkStart w:id="91" w:name="_Toc513980397"/>
      <w:r w:rsidRPr="00FE5E8D">
        <w:rPr>
          <w:b/>
        </w:rPr>
        <w:t>Typologie des crimes commis</w:t>
      </w:r>
      <w:bookmarkEnd w:id="91"/>
    </w:p>
    <w:p w14:paraId="7DE62F44" w14:textId="7D4D204E" w:rsidR="0093751D" w:rsidRPr="00FE5E8D" w:rsidRDefault="008B38DD" w:rsidP="008B38DD">
      <w:pPr>
        <w:pStyle w:val="BodyText"/>
        <w:numPr>
          <w:ilvl w:val="0"/>
          <w:numId w:val="0"/>
        </w:numPr>
        <w:tabs>
          <w:tab w:val="left" w:pos="1559"/>
          <w:tab w:val="left" w:pos="1984"/>
          <w:tab w:val="left" w:leader="dot" w:pos="7654"/>
          <w:tab w:val="right" w:pos="8929"/>
        </w:tabs>
        <w:spacing w:line="240" w:lineRule="atLeast"/>
        <w:ind w:left="1138" w:right="1138"/>
        <w:rPr>
          <w:i/>
        </w:rPr>
      </w:pPr>
      <w:r>
        <w:rPr>
          <w:i/>
        </w:rPr>
        <w:t>a.</w:t>
      </w:r>
      <w:r>
        <w:rPr>
          <w:i/>
        </w:rPr>
        <w:tab/>
      </w:r>
      <w:r w:rsidR="0093751D" w:rsidRPr="00FE5E8D">
        <w:rPr>
          <w:i/>
        </w:rPr>
        <w:t>Par les FARDC</w:t>
      </w:r>
    </w:p>
    <w:p w14:paraId="02B032AD" w14:textId="77777777" w:rsidR="0093751D" w:rsidRDefault="0093751D" w:rsidP="008B38DD">
      <w:pPr>
        <w:pStyle w:val="BodyText"/>
        <w:tabs>
          <w:tab w:val="left" w:pos="1559"/>
          <w:tab w:val="left" w:pos="1984"/>
          <w:tab w:val="left" w:leader="dot" w:pos="7654"/>
          <w:tab w:val="right" w:pos="8929"/>
        </w:tabs>
        <w:spacing w:line="240" w:lineRule="atLeast"/>
        <w:ind w:left="1138" w:right="1138" w:firstLine="0"/>
      </w:pPr>
      <w:r w:rsidRPr="00C7305F">
        <w:t>Les éléments contextuels des crimes de guerre étant d’après elle réunis, l’</w:t>
      </w:r>
      <w:r>
        <w:t>EEI</w:t>
      </w:r>
      <w:r w:rsidRPr="00C7305F">
        <w:t xml:space="preserve"> a des motifs raisonnables de croire que des éléments des </w:t>
      </w:r>
      <w:r>
        <w:t>FARDC</w:t>
      </w:r>
      <w:r w:rsidRPr="00C7305F">
        <w:t xml:space="preserve"> ont </w:t>
      </w:r>
      <w:r>
        <w:t xml:space="preserve">notamment </w:t>
      </w:r>
      <w:r w:rsidRPr="00C7305F">
        <w:t xml:space="preserve">commis </w:t>
      </w:r>
      <w:r>
        <w:t>les crimes de guerre suivants :</w:t>
      </w:r>
    </w:p>
    <w:p w14:paraId="3C94CAC6" w14:textId="5466985D" w:rsidR="0093751D" w:rsidRDefault="0093751D" w:rsidP="008B38DD">
      <w:pPr>
        <w:pStyle w:val="Heading5"/>
        <w:numPr>
          <w:ilvl w:val="0"/>
          <w:numId w:val="0"/>
        </w:numPr>
        <w:tabs>
          <w:tab w:val="clear" w:pos="1984"/>
          <w:tab w:val="left" w:pos="2340"/>
        </w:tabs>
        <w:spacing w:before="120" w:after="120"/>
        <w:ind w:left="2160" w:right="1138"/>
        <w:contextualSpacing w:val="0"/>
        <w:rPr>
          <w:i w:val="0"/>
          <w:u w:val="single"/>
        </w:rPr>
      </w:pPr>
      <w:r w:rsidRPr="008B38DD">
        <w:rPr>
          <w:b w:val="0"/>
          <w:u w:val="single"/>
        </w:rPr>
        <w:t>Meurtre constitutif d’atteinte à la vie</w:t>
      </w:r>
      <w:bookmarkStart w:id="92" w:name="_Ref515457262"/>
      <w:r w:rsidRPr="008B38DD">
        <w:rPr>
          <w:b w:val="0"/>
          <w:u w:val="single"/>
        </w:rPr>
        <w:t xml:space="preserve"> (Art. 8(2)(c)(i) du Statut de Rome ; Art. 223(3)(a) du Code pénal de la RDC)</w:t>
      </w:r>
      <w:r w:rsidRPr="007F1170">
        <w:rPr>
          <w:rStyle w:val="FootnoteReference"/>
        </w:rPr>
        <w:footnoteReference w:id="824"/>
      </w:r>
      <w:bookmarkEnd w:id="92"/>
    </w:p>
    <w:p w14:paraId="3333E30D" w14:textId="77777777" w:rsidR="0093751D" w:rsidRDefault="0093751D" w:rsidP="008B38DD">
      <w:pPr>
        <w:pStyle w:val="BodyText"/>
        <w:tabs>
          <w:tab w:val="left" w:pos="1559"/>
          <w:tab w:val="left" w:pos="1984"/>
          <w:tab w:val="left" w:leader="dot" w:pos="7654"/>
          <w:tab w:val="right" w:pos="8929"/>
        </w:tabs>
        <w:spacing w:line="240" w:lineRule="atLeast"/>
        <w:ind w:left="1138" w:right="1138" w:firstLine="0"/>
      </w:pPr>
      <w:r w:rsidRPr="00B9299B">
        <w:t xml:space="preserve">Les </w:t>
      </w:r>
      <w:r>
        <w:t xml:space="preserve">meurtres des membres de la population civile ne prenant pas activement part aux hostilités </w:t>
      </w:r>
      <w:r w:rsidRPr="00B9299B">
        <w:t xml:space="preserve">commis par des éléments des FARDC et </w:t>
      </w:r>
      <w:r>
        <w:t>ayant été</w:t>
      </w:r>
      <w:r w:rsidRPr="00B9299B">
        <w:t xml:space="preserve"> qualifiés de crimes contre l’humanité</w:t>
      </w:r>
      <w:r>
        <w:t xml:space="preserve"> ci-dessus</w:t>
      </w:r>
      <w:r w:rsidRPr="007F1170">
        <w:rPr>
          <w:rStyle w:val="FootnoteReference"/>
        </w:rPr>
        <w:footnoteReference w:id="825"/>
      </w:r>
      <w:r w:rsidRPr="00B9299B">
        <w:t xml:space="preserve"> constituent également des </w:t>
      </w:r>
      <w:r>
        <w:t xml:space="preserve">meurtres </w:t>
      </w:r>
      <w:r w:rsidRPr="00B9299B">
        <w:t>constitutifs d</w:t>
      </w:r>
      <w:r>
        <w:t>’atteintes à la vie qui sont des</w:t>
      </w:r>
      <w:r w:rsidRPr="00B9299B">
        <w:t xml:space="preserve"> crime</w:t>
      </w:r>
      <w:r>
        <w:t>s</w:t>
      </w:r>
      <w:r w:rsidRPr="00B9299B">
        <w:t xml:space="preserve"> de guerre.</w:t>
      </w:r>
      <w:r>
        <w:t xml:space="preserve"> Sont également qualifiables d’atteintes à la vie constitutives de crimes de guerre, </w:t>
      </w:r>
      <w:r w:rsidRPr="00594AF4">
        <w:t>les</w:t>
      </w:r>
      <w:r>
        <w:t xml:space="preserve"> meurtres des éléments de la milice Kamuina Nsapu, en majorité des filles et des garçons, étant hors de combat. Cela inclut notamment les enfants qui ont été blessés par balles et gisant au sol dans l’incapacité de se défendre et qui ont été achevés froidement à bout portant par des éléments des FARDC comme cela ressort de nombreux témoignages et de plusieurs vidéos filmant ces crimes.</w:t>
      </w:r>
    </w:p>
    <w:p w14:paraId="689A4163" w14:textId="77777777" w:rsidR="0093751D" w:rsidRDefault="0093751D" w:rsidP="008B38DD">
      <w:pPr>
        <w:pStyle w:val="BodyText"/>
        <w:tabs>
          <w:tab w:val="left" w:pos="1559"/>
          <w:tab w:val="left" w:pos="1984"/>
          <w:tab w:val="left" w:leader="dot" w:pos="7654"/>
          <w:tab w:val="right" w:pos="8929"/>
        </w:tabs>
        <w:spacing w:line="240" w:lineRule="atLeast"/>
        <w:ind w:left="1138" w:right="1138" w:firstLine="0"/>
      </w:pPr>
      <w:r>
        <w:t>Par contre, les cas dans lesquels des éléments de la milice Kamuina Nsapu, y compris des filles et garçons, ont été tués par des FARDC alors qu’ils exerçaient une « fonction de combat continue »</w:t>
      </w:r>
      <w:bookmarkStart w:id="93" w:name="_Ref516408607"/>
      <w:r w:rsidRPr="007F1170">
        <w:rPr>
          <w:rStyle w:val="FootnoteReference"/>
        </w:rPr>
        <w:footnoteReference w:id="826"/>
      </w:r>
      <w:bookmarkEnd w:id="93"/>
      <w:r>
        <w:t xml:space="preserve"> ne constituent pas des atteintes à la vie constitutives de crime de guerre. En effet, ces éléments de la milice</w:t>
      </w:r>
      <w:r w:rsidRPr="000B316D">
        <w:t xml:space="preserve"> perdent le bénéfice de l’immunité contre les attaques directes – </w:t>
      </w:r>
      <w:r>
        <w:t xml:space="preserve">en d’autres termes d’être tués – </w:t>
      </w:r>
      <w:r w:rsidRPr="000B316D">
        <w:t>aussi</w:t>
      </w:r>
      <w:r>
        <w:t xml:space="preserve"> </w:t>
      </w:r>
      <w:r w:rsidRPr="000B316D">
        <w:t>longtemps</w:t>
      </w:r>
      <w:r>
        <w:t xml:space="preserve"> </w:t>
      </w:r>
      <w:r w:rsidRPr="000B316D">
        <w:t>qu’ils assument leur fonction de combat continue</w:t>
      </w:r>
      <w:bookmarkStart w:id="94" w:name="_Ref516413539"/>
      <w:r>
        <w:t>, peu importe leur âge ou le fait qu’ils aient été contraints d’assumer cette fonction</w:t>
      </w:r>
      <w:r w:rsidRPr="007F1170">
        <w:rPr>
          <w:rStyle w:val="FootnoteReference"/>
        </w:rPr>
        <w:footnoteReference w:id="827"/>
      </w:r>
      <w:bookmarkEnd w:id="94"/>
      <w:r>
        <w:t>. Il en va de même des cas où des personnes civiles ont été tuées par des FARDC pendant la durée où ils participaient directement aux hostilités, peu importe leur âge ou le fait qu’ils aient été contraints de participer directement aux hostilités</w:t>
      </w:r>
      <w:r w:rsidRPr="007F1170">
        <w:rPr>
          <w:rStyle w:val="FootnoteReference"/>
        </w:rPr>
        <w:footnoteReference w:id="828"/>
      </w:r>
      <w:r>
        <w:t>. Ces derniers cas ne constituent également pas des crimes de guerre</w:t>
      </w:r>
      <w:r w:rsidRPr="007F1170">
        <w:rPr>
          <w:rStyle w:val="FootnoteReference"/>
        </w:rPr>
        <w:footnoteReference w:id="829"/>
      </w:r>
      <w:r>
        <w:t>.</w:t>
      </w:r>
    </w:p>
    <w:p w14:paraId="00CB60BD" w14:textId="4A4DF701" w:rsidR="0093751D" w:rsidRPr="008B38DD" w:rsidRDefault="0093751D" w:rsidP="008B38DD">
      <w:pPr>
        <w:pStyle w:val="Heading5"/>
        <w:numPr>
          <w:ilvl w:val="0"/>
          <w:numId w:val="0"/>
        </w:numPr>
        <w:tabs>
          <w:tab w:val="clear" w:pos="1984"/>
          <w:tab w:val="left" w:pos="2340"/>
        </w:tabs>
        <w:spacing w:before="120" w:after="120"/>
        <w:ind w:left="2160" w:right="1138"/>
        <w:contextualSpacing w:val="0"/>
        <w:rPr>
          <w:b w:val="0"/>
          <w:i w:val="0"/>
          <w:u w:val="single"/>
        </w:rPr>
      </w:pPr>
      <w:r w:rsidRPr="008B38DD">
        <w:rPr>
          <w:b w:val="0"/>
          <w:u w:val="single"/>
        </w:rPr>
        <w:t>Traitements cruels</w:t>
      </w:r>
      <w:bookmarkStart w:id="95" w:name="_Ref516472566"/>
      <w:r w:rsidRPr="007F1170">
        <w:rPr>
          <w:rStyle w:val="FootnoteReference"/>
        </w:rPr>
        <w:footnoteReference w:id="830"/>
      </w:r>
      <w:bookmarkEnd w:id="95"/>
      <w:r w:rsidRPr="008B38DD">
        <w:rPr>
          <w:b w:val="0"/>
          <w:u w:val="single"/>
        </w:rPr>
        <w:t xml:space="preserve"> et torture</w:t>
      </w:r>
      <w:bookmarkStart w:id="96" w:name="_Ref515459198"/>
      <w:r w:rsidRPr="007F1170">
        <w:rPr>
          <w:rStyle w:val="FootnoteReference"/>
        </w:rPr>
        <w:footnoteReference w:id="831"/>
      </w:r>
      <w:bookmarkEnd w:id="96"/>
      <w:r w:rsidRPr="008B38DD">
        <w:rPr>
          <w:b w:val="0"/>
          <w:u w:val="single"/>
        </w:rPr>
        <w:t xml:space="preserve"> constitutifs d’atteinte à l’intégrité corporelle</w:t>
      </w:r>
      <w:bookmarkStart w:id="97" w:name="_Ref515457317"/>
      <w:r w:rsidRPr="008B38DD">
        <w:rPr>
          <w:b w:val="0"/>
          <w:u w:val="single"/>
        </w:rPr>
        <w:t xml:space="preserve"> (Art. 8(2)(c)(i) du Statut de Rome ; Art. 223(3)(a) du Code pénal de la RDC</w:t>
      </w:r>
      <w:bookmarkEnd w:id="97"/>
      <w:r w:rsidRPr="008B38DD">
        <w:rPr>
          <w:b w:val="0"/>
          <w:u w:val="single"/>
        </w:rPr>
        <w:t>)</w:t>
      </w:r>
    </w:p>
    <w:p w14:paraId="154AEA1C" w14:textId="77777777" w:rsidR="0093751D" w:rsidRPr="00261E8F" w:rsidRDefault="0093751D" w:rsidP="008B38DD">
      <w:pPr>
        <w:pStyle w:val="BodyText"/>
        <w:tabs>
          <w:tab w:val="left" w:pos="1559"/>
          <w:tab w:val="left" w:pos="1984"/>
          <w:tab w:val="left" w:leader="dot" w:pos="7654"/>
          <w:tab w:val="right" w:pos="8929"/>
        </w:tabs>
        <w:spacing w:line="240" w:lineRule="atLeast"/>
        <w:ind w:left="1138" w:right="1138" w:firstLine="0"/>
      </w:pPr>
      <w:r w:rsidRPr="00261E8F">
        <w:t>Les tortures et autres actes inhumains commis par des membres des forces de défense et de sécurité et ayant été qualifiés de crimes contre l’humanité ci-dessus</w:t>
      </w:r>
      <w:r w:rsidRPr="007F1170">
        <w:rPr>
          <w:rStyle w:val="FootnoteReference"/>
        </w:rPr>
        <w:footnoteReference w:id="832"/>
      </w:r>
      <w:r w:rsidRPr="00261E8F">
        <w:t xml:space="preserve"> constituent également des traitements cruels constitutifs d’atteintes à l’intégrité corporelle qui sont des crimes de guerre. Lorsque les douleurs ou souffrances aiguës, physiques ou mentales, ont été infligées par les membres des forces de défense et de sécurité afin, notamment, de punir, d’intimider ou de contraindre, ces mêmes actes constituent des tortures constitutives d’atteintes à l’intégrité corporelle qualifiables de crimes de guerre. C’est par exemple le cas de ces actes lorsqu’ils ont été commis lors d’opérations punitives.</w:t>
      </w:r>
    </w:p>
    <w:p w14:paraId="7603F788" w14:textId="32C2308F" w:rsidR="0093751D" w:rsidRDefault="0093751D" w:rsidP="008B38DD">
      <w:pPr>
        <w:pStyle w:val="Heading5"/>
        <w:numPr>
          <w:ilvl w:val="0"/>
          <w:numId w:val="0"/>
        </w:numPr>
        <w:tabs>
          <w:tab w:val="clear" w:pos="1984"/>
          <w:tab w:val="left" w:pos="2340"/>
        </w:tabs>
        <w:spacing w:before="120" w:after="120"/>
        <w:ind w:left="2160" w:right="1138"/>
        <w:contextualSpacing w:val="0"/>
        <w:rPr>
          <w:i w:val="0"/>
          <w:u w:val="single"/>
        </w:rPr>
      </w:pPr>
      <w:r w:rsidRPr="008B38DD">
        <w:rPr>
          <w:b w:val="0"/>
          <w:u w:val="single"/>
        </w:rPr>
        <w:t>Le fait de diriger intentionnellement des attaques contre la population civile en tant que telle ou contre des personnes civiles qui ne participent pas directement aux hostilités</w:t>
      </w:r>
      <w:bookmarkStart w:id="98" w:name="_Ref515457425"/>
      <w:r w:rsidRPr="008B38DD">
        <w:rPr>
          <w:b w:val="0"/>
          <w:u w:val="single"/>
        </w:rPr>
        <w:t xml:space="preserve"> (Art. 8(2)(e)(i) du Statut de Rome ; Art. 223(5)(a) du Code pénal de la RDC)</w:t>
      </w:r>
      <w:r w:rsidRPr="007F1170">
        <w:rPr>
          <w:rStyle w:val="FootnoteReference"/>
        </w:rPr>
        <w:footnoteReference w:id="833"/>
      </w:r>
      <w:bookmarkEnd w:id="98"/>
    </w:p>
    <w:p w14:paraId="113C0D10" w14:textId="5F1B6420" w:rsidR="0093751D" w:rsidRDefault="0093751D" w:rsidP="008B38DD">
      <w:pPr>
        <w:pStyle w:val="BodyText"/>
        <w:tabs>
          <w:tab w:val="left" w:pos="1559"/>
          <w:tab w:val="left" w:pos="1984"/>
          <w:tab w:val="left" w:leader="dot" w:pos="7654"/>
          <w:tab w:val="right" w:pos="8929"/>
        </w:tabs>
        <w:spacing w:line="240" w:lineRule="atLeast"/>
        <w:ind w:left="1138" w:right="1138" w:firstLine="0"/>
      </w:pPr>
      <w:r w:rsidRPr="00821C91">
        <w:t>Comme mentionné ci-dessus</w:t>
      </w:r>
      <w:r w:rsidRPr="007F1170">
        <w:rPr>
          <w:rStyle w:val="FootnoteReference"/>
        </w:rPr>
        <w:footnoteReference w:id="834"/>
      </w:r>
      <w:r w:rsidRPr="00821C91">
        <w:t xml:space="preserve">, </w:t>
      </w:r>
      <w:r>
        <w:t>des éléments FARDC ont</w:t>
      </w:r>
      <w:r w:rsidRPr="00821C91">
        <w:t xml:space="preserve"> intentionnellement lancé d’innombrables attaques dont l’objectif était de prendre pour cible des civils </w:t>
      </w:r>
      <w:r>
        <w:t xml:space="preserve">de l’ethnie </w:t>
      </w:r>
      <w:r w:rsidR="004A163E">
        <w:t>l</w:t>
      </w:r>
      <w:r>
        <w:t xml:space="preserve">uba ou identifiés comme tels en raison de leur soutien supposé à la milice Kamuina Nsapu alors même que ces derniers </w:t>
      </w:r>
      <w:r w:rsidRPr="00821C91">
        <w:t>ne prena</w:t>
      </w:r>
      <w:r>
        <w:t>ie</w:t>
      </w:r>
      <w:r w:rsidRPr="00821C91">
        <w:t>nt pas directement part aux hostilités</w:t>
      </w:r>
      <w:r>
        <w:t>. Ces attaques ont</w:t>
      </w:r>
      <w:r w:rsidRPr="00821C91">
        <w:t xml:space="preserve"> notamment</w:t>
      </w:r>
      <w:r>
        <w:t xml:space="preserve"> eu lieu lorsqu’ils sont arrivés dans des villages composés à majorité de Lubas et ont attaqué les membres de la population civile qui vaquaient à leurs occupations alors qu’il n’y avait pas de miliciens Kamuina Nsapu ou lorsque, durant des opérations porte</w:t>
      </w:r>
      <w:r w:rsidR="009C4DA1">
        <w:t xml:space="preserve"> </w:t>
      </w:r>
      <w:r>
        <w:t>à</w:t>
      </w:r>
      <w:r w:rsidR="009C4DA1">
        <w:t xml:space="preserve"> </w:t>
      </w:r>
      <w:r>
        <w:t>porte, ils ont ciblé des civils</w:t>
      </w:r>
      <w:r w:rsidRPr="00821C91">
        <w:t>.</w:t>
      </w:r>
    </w:p>
    <w:p w14:paraId="47CDE937" w14:textId="77777777" w:rsidR="0093751D" w:rsidRPr="00CE2C4A" w:rsidRDefault="0093751D" w:rsidP="008B38DD">
      <w:pPr>
        <w:pStyle w:val="BodyText"/>
        <w:tabs>
          <w:tab w:val="left" w:pos="1559"/>
          <w:tab w:val="left" w:pos="1984"/>
          <w:tab w:val="left" w:leader="dot" w:pos="7654"/>
          <w:tab w:val="right" w:pos="8929"/>
        </w:tabs>
        <w:spacing w:line="240" w:lineRule="atLeast"/>
        <w:ind w:left="1138" w:right="1138" w:firstLine="0"/>
      </w:pPr>
      <w:r>
        <w:t xml:space="preserve">En ce qui </w:t>
      </w:r>
      <w:r w:rsidRPr="00594AF4">
        <w:t>concerne</w:t>
      </w:r>
      <w:r>
        <w:t xml:space="preserve"> les nombreuses attaques indiscriminées qui ont été menées par les FARDC durant le conflit armé, elles ne relèvent pas toutes automatiquement de ce crime. Les seules susceptibles de relever de ce crime sont celles qui intentionnellement visaient la population civile ou des civils, ce qui est notamment le cas lorsque les dommages causés aux civils sont si importants qu’il apparaît que les FARDC avaient l’intention de prendre des objectifs civils pour cible. En revanche, l</w:t>
      </w:r>
      <w:r w:rsidRPr="00CE2C4A">
        <w:t>es situations dans lesquelles l’attaque est dirigée c</w:t>
      </w:r>
      <w:r>
        <w:t>ontre un objectif militaire mais que d</w:t>
      </w:r>
      <w:r w:rsidRPr="00CE2C4A">
        <w:t>es civ</w:t>
      </w:r>
      <w:r>
        <w:t xml:space="preserve">ils sont touchés incidemment ne peuvent pas être constitutives </w:t>
      </w:r>
      <w:r w:rsidRPr="00CE2C4A">
        <w:t>d</w:t>
      </w:r>
      <w:r>
        <w:t>e ce crime</w:t>
      </w:r>
      <w:r w:rsidRPr="007F1170">
        <w:rPr>
          <w:rStyle w:val="FootnoteReference"/>
        </w:rPr>
        <w:footnoteReference w:id="835"/>
      </w:r>
      <w:r>
        <w:t>.</w:t>
      </w:r>
    </w:p>
    <w:p w14:paraId="4178CAFB" w14:textId="6DBBBB9D" w:rsidR="0093751D" w:rsidRPr="008B38DD" w:rsidRDefault="0093751D" w:rsidP="008B38DD">
      <w:pPr>
        <w:pStyle w:val="Heading5"/>
        <w:numPr>
          <w:ilvl w:val="0"/>
          <w:numId w:val="0"/>
        </w:numPr>
        <w:tabs>
          <w:tab w:val="clear" w:pos="1984"/>
          <w:tab w:val="left" w:pos="2340"/>
        </w:tabs>
        <w:spacing w:before="120" w:after="120"/>
        <w:ind w:left="2160" w:right="1138"/>
        <w:contextualSpacing w:val="0"/>
        <w:rPr>
          <w:b w:val="0"/>
          <w:u w:val="single"/>
        </w:rPr>
      </w:pPr>
      <w:r w:rsidRPr="008B38DD">
        <w:rPr>
          <w:b w:val="0"/>
          <w:u w:val="single"/>
        </w:rPr>
        <w:t>Pillage d’une ville ou d’une localité (Art. 8(2)(e)(v) du Statut de Rome ; Art. 223(5)(e) du Code pénal de la RDC)</w:t>
      </w:r>
      <w:r w:rsidRPr="007F1170">
        <w:rPr>
          <w:rStyle w:val="FootnoteReference"/>
        </w:rPr>
        <w:footnoteReference w:id="836"/>
      </w:r>
    </w:p>
    <w:p w14:paraId="520FDD84" w14:textId="77777777" w:rsidR="0093751D" w:rsidRDefault="0093751D" w:rsidP="008B38DD">
      <w:pPr>
        <w:pStyle w:val="BodyText"/>
        <w:tabs>
          <w:tab w:val="left" w:pos="1559"/>
          <w:tab w:val="left" w:pos="1984"/>
          <w:tab w:val="left" w:leader="dot" w:pos="7654"/>
          <w:tab w:val="right" w:pos="8929"/>
        </w:tabs>
        <w:spacing w:line="240" w:lineRule="atLeast"/>
        <w:ind w:left="1138" w:right="1138" w:firstLine="0"/>
      </w:pPr>
      <w:r w:rsidRPr="00E90EB1">
        <w:t xml:space="preserve">Lors de leur déploiement dans de nombreuses villes ou villages dans la région du Kasaï où </w:t>
      </w:r>
      <w:r>
        <w:t>ils ont</w:t>
      </w:r>
      <w:r w:rsidRPr="00E90EB1">
        <w:t xml:space="preserve"> affronté la milice Kamuina Nsapu, des éléments des FARDC se sont systématiquement appropriés à des fins privées ou personnelles, et ce sans le consentement de leurs propriétaires légitimes, toutes sortes de biens appartenant à des membres de la population civile, notamment des motos, des vélos, des chèvres, des porcs, des volailles, des machines à coudre, des bidons de carburants, du matériel information et bureautique. Ils ont aussi pillé des maisons et des boutiques en</w:t>
      </w:r>
      <w:r>
        <w:t>tiè</w:t>
      </w:r>
      <w:r w:rsidRPr="00E90EB1">
        <w:t>r</w:t>
      </w:r>
      <w:r>
        <w:t>ement</w:t>
      </w:r>
      <w:r w:rsidRPr="00E90EB1">
        <w:t>.</w:t>
      </w:r>
    </w:p>
    <w:p w14:paraId="45B20518" w14:textId="77777777" w:rsidR="0093751D" w:rsidRPr="008B38DD" w:rsidRDefault="0093751D" w:rsidP="008B38DD">
      <w:pPr>
        <w:pStyle w:val="Heading5"/>
        <w:numPr>
          <w:ilvl w:val="0"/>
          <w:numId w:val="0"/>
        </w:numPr>
        <w:tabs>
          <w:tab w:val="clear" w:pos="1984"/>
          <w:tab w:val="left" w:pos="2340"/>
        </w:tabs>
        <w:spacing w:before="120" w:after="120"/>
        <w:ind w:left="2160" w:right="1138"/>
        <w:contextualSpacing w:val="0"/>
        <w:rPr>
          <w:b w:val="0"/>
          <w:u w:val="single"/>
        </w:rPr>
      </w:pPr>
      <w:r w:rsidRPr="008B38DD">
        <w:rPr>
          <w:b w:val="0"/>
          <w:u w:val="single"/>
        </w:rPr>
        <w:t>Viol ou toute autre forme de violence sexuelle de gravité comparable</w:t>
      </w:r>
      <w:bookmarkStart w:id="99" w:name="_Ref515457470"/>
      <w:r w:rsidRPr="008B38DD">
        <w:rPr>
          <w:b w:val="0"/>
          <w:u w:val="single"/>
        </w:rPr>
        <w:t xml:space="preserve"> (Art. 8(2)(e)(vi) du Statut de Rome ; Art. 223(5)(f) du Code pénal de la RDC</w:t>
      </w:r>
      <w:bookmarkStart w:id="100" w:name="_Ref516677093"/>
      <w:bookmarkEnd w:id="99"/>
      <w:r w:rsidRPr="008B38DD">
        <w:rPr>
          <w:b w:val="0"/>
          <w:u w:val="single"/>
        </w:rPr>
        <w:t>)</w:t>
      </w:r>
      <w:r w:rsidRPr="007F1170">
        <w:rPr>
          <w:rStyle w:val="FootnoteReference"/>
        </w:rPr>
        <w:footnoteReference w:id="837"/>
      </w:r>
      <w:bookmarkEnd w:id="100"/>
      <w:r w:rsidRPr="008B38DD">
        <w:rPr>
          <w:b w:val="0"/>
          <w:u w:val="single"/>
        </w:rPr>
        <w:t> :</w:t>
      </w:r>
    </w:p>
    <w:p w14:paraId="597A3206" w14:textId="77777777" w:rsidR="0093751D" w:rsidRPr="00FC6260" w:rsidRDefault="0093751D" w:rsidP="008B38DD">
      <w:pPr>
        <w:pStyle w:val="BodyText"/>
        <w:tabs>
          <w:tab w:val="left" w:pos="1559"/>
          <w:tab w:val="left" w:pos="1984"/>
          <w:tab w:val="left" w:leader="dot" w:pos="7654"/>
          <w:tab w:val="right" w:pos="8929"/>
        </w:tabs>
        <w:spacing w:line="240" w:lineRule="atLeast"/>
        <w:ind w:left="1138" w:right="1138" w:firstLine="0"/>
      </w:pPr>
      <w:r w:rsidRPr="00B9299B">
        <w:t xml:space="preserve">Les viols </w:t>
      </w:r>
      <w:r w:rsidRPr="00FC6260">
        <w:t>et autres formes de violences sexuelles commis par des éléments des FARDC et ayant été qualifiés de crimes contre l’humanité ci-dessus</w:t>
      </w:r>
      <w:r w:rsidRPr="007F1170">
        <w:rPr>
          <w:rStyle w:val="FootnoteReference"/>
        </w:rPr>
        <w:footnoteReference w:id="838"/>
      </w:r>
      <w:r w:rsidRPr="00FC6260">
        <w:t xml:space="preserve"> constituent également des viols et d’autres formes de violences sexuelles constitutifs de crime de guerre.</w:t>
      </w:r>
    </w:p>
    <w:p w14:paraId="3FDDF4E2" w14:textId="2BE31E9E" w:rsidR="0093751D" w:rsidRPr="00FE5E8D" w:rsidRDefault="00C94D55" w:rsidP="00C94D55">
      <w:pPr>
        <w:pStyle w:val="BodyText"/>
        <w:numPr>
          <w:ilvl w:val="0"/>
          <w:numId w:val="0"/>
        </w:numPr>
        <w:tabs>
          <w:tab w:val="left" w:pos="1559"/>
          <w:tab w:val="left" w:pos="1984"/>
          <w:tab w:val="left" w:leader="dot" w:pos="7654"/>
          <w:tab w:val="right" w:pos="8929"/>
        </w:tabs>
        <w:spacing w:line="240" w:lineRule="atLeast"/>
        <w:ind w:left="1138" w:right="1138"/>
        <w:rPr>
          <w:i/>
        </w:rPr>
      </w:pPr>
      <w:r>
        <w:rPr>
          <w:i/>
        </w:rPr>
        <w:t>b.</w:t>
      </w:r>
      <w:r>
        <w:rPr>
          <w:i/>
        </w:rPr>
        <w:tab/>
      </w:r>
      <w:r w:rsidR="0093751D" w:rsidRPr="00FE5E8D">
        <w:rPr>
          <w:i/>
        </w:rPr>
        <w:t>Par la milice Kamuina Nsapu</w:t>
      </w:r>
    </w:p>
    <w:p w14:paraId="410860BC" w14:textId="77777777" w:rsidR="0093751D" w:rsidRDefault="0093751D" w:rsidP="00C94D55">
      <w:pPr>
        <w:pStyle w:val="BodyText"/>
        <w:tabs>
          <w:tab w:val="left" w:pos="1559"/>
          <w:tab w:val="left" w:pos="1984"/>
          <w:tab w:val="left" w:leader="dot" w:pos="7654"/>
          <w:tab w:val="right" w:pos="8929"/>
        </w:tabs>
        <w:spacing w:line="240" w:lineRule="atLeast"/>
        <w:ind w:left="1138" w:right="1138" w:firstLine="0"/>
      </w:pPr>
      <w:r w:rsidRPr="00A75745">
        <w:t>Les éléments contextuels des crimes de guerre étant d’après elle réunis, l’</w:t>
      </w:r>
      <w:r>
        <w:t>EEI</w:t>
      </w:r>
      <w:r w:rsidRPr="00A75745">
        <w:t xml:space="preserve"> a des motifs raisonnables de croire que des éléments de la milice Kamuina Nsapu ont </w:t>
      </w:r>
      <w:r>
        <w:t xml:space="preserve">notamment </w:t>
      </w:r>
      <w:r w:rsidRPr="00A75745">
        <w:t xml:space="preserve">commis </w:t>
      </w:r>
      <w:r>
        <w:t>les crimes de guerre suivants :</w:t>
      </w:r>
    </w:p>
    <w:p w14:paraId="7973F5F1" w14:textId="1B1A6100" w:rsidR="0093751D" w:rsidRPr="00C94D55" w:rsidRDefault="0093751D" w:rsidP="00C94D55">
      <w:pPr>
        <w:pStyle w:val="Heading5"/>
        <w:numPr>
          <w:ilvl w:val="0"/>
          <w:numId w:val="0"/>
        </w:numPr>
        <w:tabs>
          <w:tab w:val="clear" w:pos="1984"/>
          <w:tab w:val="left" w:pos="2340"/>
        </w:tabs>
        <w:spacing w:before="120" w:after="120"/>
        <w:ind w:left="2160" w:right="1138"/>
        <w:contextualSpacing w:val="0"/>
        <w:rPr>
          <w:b w:val="0"/>
          <w:u w:val="single"/>
        </w:rPr>
      </w:pPr>
      <w:r w:rsidRPr="00C94D55">
        <w:rPr>
          <w:b w:val="0"/>
          <w:u w:val="single"/>
        </w:rPr>
        <w:t>Meurtre constitutif d’atteinte à la vie (Art. 8(2)(c)(i) du Statut de Rome ; Art. 223(3)(a) du Code pénal de la RDC)</w:t>
      </w:r>
      <w:r w:rsidRPr="007F1170">
        <w:rPr>
          <w:rStyle w:val="FootnoteReference"/>
        </w:rPr>
        <w:footnoteReference w:id="839"/>
      </w:r>
    </w:p>
    <w:p w14:paraId="70AF2319" w14:textId="106EEF17" w:rsidR="0093751D" w:rsidRDefault="0093751D" w:rsidP="00C94D55">
      <w:pPr>
        <w:pStyle w:val="BodyText"/>
        <w:tabs>
          <w:tab w:val="left" w:pos="1559"/>
          <w:tab w:val="left" w:pos="1984"/>
          <w:tab w:val="left" w:leader="dot" w:pos="7654"/>
          <w:tab w:val="right" w:pos="8929"/>
        </w:tabs>
        <w:spacing w:line="240" w:lineRule="atLeast"/>
        <w:ind w:left="1138" w:right="1138" w:firstLine="0"/>
      </w:pPr>
      <w:r w:rsidRPr="00B9299B">
        <w:t xml:space="preserve">Les </w:t>
      </w:r>
      <w:r>
        <w:t xml:space="preserve">meurtres des membres de la population civile ne prenant pas activement part aux hostilités </w:t>
      </w:r>
      <w:r w:rsidRPr="00B9299B">
        <w:t>commis par des éléments de</w:t>
      </w:r>
      <w:r>
        <w:t xml:space="preserve"> la milice Kamuina Nsapu</w:t>
      </w:r>
      <w:r w:rsidRPr="00B9299B">
        <w:t xml:space="preserve"> et </w:t>
      </w:r>
      <w:r>
        <w:t>ayant été</w:t>
      </w:r>
      <w:r w:rsidRPr="00B9299B">
        <w:t xml:space="preserve"> qualifiés de crimes contre l’humanité</w:t>
      </w:r>
      <w:r>
        <w:t xml:space="preserve"> ci-dessus</w:t>
      </w:r>
      <w:r w:rsidRPr="007F1170">
        <w:rPr>
          <w:rStyle w:val="FootnoteReference"/>
        </w:rPr>
        <w:footnoteReference w:id="840"/>
      </w:r>
      <w:r w:rsidRPr="00B9299B">
        <w:t xml:space="preserve"> constituent également des </w:t>
      </w:r>
      <w:r>
        <w:t xml:space="preserve">meurtres </w:t>
      </w:r>
      <w:r w:rsidRPr="00B9299B">
        <w:t>constitutifs d</w:t>
      </w:r>
      <w:r>
        <w:t>’atteintes à la vie qui sont des</w:t>
      </w:r>
      <w:r w:rsidRPr="00B9299B">
        <w:t xml:space="preserve"> crime</w:t>
      </w:r>
      <w:r>
        <w:t>s</w:t>
      </w:r>
      <w:r w:rsidRPr="00B9299B">
        <w:t xml:space="preserve"> de guerre.</w:t>
      </w:r>
      <w:r>
        <w:t xml:space="preserve"> Sont également qualifiables d’atteintes à la vie constitutives de crimes de guerre, les meurtres d’éléments des FARDC et de la PNC étant hors de combat, y compris lorsqu’ils sont au pouvoir de la milice ou lorsqu’ils sont en état d’incapacité du fait de leurs blessures et en conséquence incapables de se défendre, à condition qu’ils s’abstiennent de tout acte d’hostilité et ne tente pas de s’évader. Cela inclut par exemple le meurtre des éléments de la LNI</w:t>
      </w:r>
      <w:r w:rsidR="00533331">
        <w:t xml:space="preserve"> </w:t>
      </w:r>
      <w:r>
        <w:t>capturés le 24 mars 2017.</w:t>
      </w:r>
    </w:p>
    <w:p w14:paraId="09E25C5D" w14:textId="4CBACB7D" w:rsidR="0093751D" w:rsidRPr="00C94D55" w:rsidRDefault="0093751D" w:rsidP="00C94D55">
      <w:pPr>
        <w:pStyle w:val="Heading5"/>
        <w:numPr>
          <w:ilvl w:val="0"/>
          <w:numId w:val="0"/>
        </w:numPr>
        <w:tabs>
          <w:tab w:val="clear" w:pos="1984"/>
          <w:tab w:val="left" w:pos="2340"/>
        </w:tabs>
        <w:spacing w:before="120" w:after="120"/>
        <w:ind w:left="2160" w:right="1138"/>
        <w:contextualSpacing w:val="0"/>
        <w:rPr>
          <w:b w:val="0"/>
        </w:rPr>
      </w:pPr>
      <w:r w:rsidRPr="00C94D55">
        <w:rPr>
          <w:b w:val="0"/>
          <w:u w:val="single"/>
        </w:rPr>
        <w:t>Mutilation constitutive d’atteinte à l’intégrité corporelle</w:t>
      </w:r>
      <w:r w:rsidRPr="007F1170">
        <w:rPr>
          <w:rStyle w:val="FootnoteReference"/>
        </w:rPr>
        <w:footnoteReference w:id="841"/>
      </w:r>
      <w:r w:rsidRPr="00C94D55">
        <w:rPr>
          <w:b w:val="0"/>
          <w:u w:val="single"/>
        </w:rPr>
        <w:t xml:space="preserve"> et Mutilation</w:t>
      </w:r>
      <w:r w:rsidRPr="007F1170">
        <w:rPr>
          <w:rStyle w:val="FootnoteReference"/>
        </w:rPr>
        <w:footnoteReference w:id="842"/>
      </w:r>
      <w:r w:rsidRPr="00C94D55">
        <w:rPr>
          <w:b w:val="0"/>
          <w:u w:val="single"/>
        </w:rPr>
        <w:t xml:space="preserve"> (Art. 8(2)(c)(i) et 8(2)(e)(xi) du Statut de Rome ; Art. 223(3)(a) et 223(</w:t>
      </w:r>
      <w:r w:rsidR="00C94D55">
        <w:rPr>
          <w:b w:val="0"/>
          <w:u w:val="single"/>
        </w:rPr>
        <w:t>5)(k) du Code pénal de la RDC)</w:t>
      </w:r>
    </w:p>
    <w:p w14:paraId="4BFE0D03" w14:textId="77777777" w:rsidR="0093751D" w:rsidRPr="00B328D6" w:rsidRDefault="0093751D" w:rsidP="00C94D55">
      <w:pPr>
        <w:pStyle w:val="BodyText"/>
        <w:tabs>
          <w:tab w:val="left" w:pos="1559"/>
          <w:tab w:val="left" w:pos="1984"/>
          <w:tab w:val="left" w:leader="dot" w:pos="7654"/>
          <w:tab w:val="right" w:pos="8929"/>
        </w:tabs>
        <w:spacing w:line="240" w:lineRule="atLeast"/>
        <w:ind w:left="1138" w:right="1138" w:firstLine="0"/>
      </w:pPr>
      <w:r>
        <w:t>Les cas d’amputations de parties du corps – telles que les mains, pieds, bras, jambes, seins, clitoris, pénis – et de défigurations permanentes de civils ou d’éléments des force de défense et de sécurité au pouvoir de la milice Kamuina Nsapu qui ont rendus infirmes de façon permanente leurs victimes et ayant été qualifiés de tortures ou d’autres acte inhumains constitutifs de crimes contre l’humanité ci-dessus</w:t>
      </w:r>
      <w:r w:rsidRPr="007F1170">
        <w:rPr>
          <w:rStyle w:val="FootnoteReference"/>
        </w:rPr>
        <w:footnoteReference w:id="843"/>
      </w:r>
      <w:r>
        <w:t xml:space="preserve"> constituent également des mutilations constitutives d’atteintes à l’intégrité corporelle qui sont des crimes de guerre en vertu de l’article 8(2)(c)(i) du Statut de Rome et 223(3)(a) du Code pénal de la RDC. Les mêmes actes qui ont causé la mort de leurs victimes, ou compromis gravement leur santé physique ou mentale, sont des mutilations constitutives de crimes de guerre en vertu de l’article 8(2)(e)(xi) du Statut de Rome et 223(5)(k) du Code pénal de la RDC.</w:t>
      </w:r>
    </w:p>
    <w:p w14:paraId="6C4612E4" w14:textId="3CD845B0" w:rsidR="0093751D" w:rsidRDefault="0093751D" w:rsidP="00C94D55">
      <w:pPr>
        <w:pStyle w:val="Heading5"/>
        <w:numPr>
          <w:ilvl w:val="0"/>
          <w:numId w:val="0"/>
        </w:numPr>
        <w:tabs>
          <w:tab w:val="clear" w:pos="1984"/>
          <w:tab w:val="left" w:pos="2340"/>
        </w:tabs>
        <w:spacing w:before="120" w:after="120"/>
        <w:ind w:left="2160" w:right="1138"/>
        <w:contextualSpacing w:val="0"/>
        <w:rPr>
          <w:i w:val="0"/>
          <w:u w:val="single"/>
        </w:rPr>
      </w:pPr>
      <w:r w:rsidRPr="00C94D55">
        <w:rPr>
          <w:b w:val="0"/>
          <w:u w:val="single"/>
        </w:rPr>
        <w:t>Traitements cruels et torture constitutifs d’atteinte à l’intégrité corporelle (Art. 8(2)(c)(i) du Statut de Rome ; Art. 223(3)(a) du Code pénal de la RDC)</w:t>
      </w:r>
      <w:r w:rsidRPr="007F1170">
        <w:rPr>
          <w:rStyle w:val="FootnoteReference"/>
        </w:rPr>
        <w:footnoteReference w:id="844"/>
      </w:r>
    </w:p>
    <w:p w14:paraId="574F96C2" w14:textId="77777777" w:rsidR="0093751D" w:rsidRDefault="0093751D" w:rsidP="00C94D55">
      <w:pPr>
        <w:pStyle w:val="BodyText"/>
        <w:tabs>
          <w:tab w:val="left" w:pos="1559"/>
          <w:tab w:val="left" w:pos="1984"/>
          <w:tab w:val="left" w:leader="dot" w:pos="7654"/>
          <w:tab w:val="right" w:pos="8929"/>
        </w:tabs>
        <w:spacing w:line="240" w:lineRule="atLeast"/>
        <w:ind w:left="1138" w:right="1138" w:firstLine="0"/>
      </w:pPr>
      <w:r>
        <w:t xml:space="preserve">Les tortures et les autres actes inhumains </w:t>
      </w:r>
      <w:r w:rsidRPr="00B9299B">
        <w:t xml:space="preserve">commis par des </w:t>
      </w:r>
      <w:r>
        <w:t>miliciens Kamuina Nsapu et ayant été qualifiés de crimes contre l’humanité ci-dessus</w:t>
      </w:r>
      <w:r w:rsidRPr="007F1170">
        <w:rPr>
          <w:rStyle w:val="FootnoteReference"/>
        </w:rPr>
        <w:footnoteReference w:id="845"/>
      </w:r>
      <w:r>
        <w:t xml:space="preserve"> constituent également des traitements cruels constitutifs d’atteintes à l’intégrité corporelle qui sont des crimes de guerre. Lorsque les douleurs ou souffrances aiguës, physiques ou mentales, ont été infligées par les membres de la milice afin, notamment, de punir, d’intimider ou de contraindre, ces mêmes actes constituent des tortures constitutives d’atteintes à l’intégrité corporelle qualifiables de crimes de guerre. C’est par exemple le cas du double viol infligé à la propriétaire d’un restaurant et à son beau-fils à Luebo, province du Kasaï, début avril 2017 afin de la punir d’avoir vendu de la nourriture interdite aux miliciens</w:t>
      </w:r>
      <w:r w:rsidRPr="007F1170">
        <w:rPr>
          <w:rStyle w:val="FootnoteReference"/>
        </w:rPr>
        <w:footnoteReference w:id="846"/>
      </w:r>
      <w:r>
        <w:t>, mais également de nombreux actes décrits ci-dessus qui ont été commis soit dans le but d’intimider et de contraindre la population civile à rejoindre la milice soit afin de la punir d’avoir refusé d’y adhérer.</w:t>
      </w:r>
    </w:p>
    <w:p w14:paraId="235779E7" w14:textId="683FD25B" w:rsidR="0093751D" w:rsidRDefault="0093751D" w:rsidP="00C94D55">
      <w:pPr>
        <w:pStyle w:val="Heading5"/>
        <w:numPr>
          <w:ilvl w:val="0"/>
          <w:numId w:val="0"/>
        </w:numPr>
        <w:tabs>
          <w:tab w:val="clear" w:pos="1984"/>
          <w:tab w:val="left" w:pos="2340"/>
        </w:tabs>
        <w:spacing w:before="120" w:after="120"/>
        <w:ind w:left="2160" w:right="1138"/>
        <w:contextualSpacing w:val="0"/>
        <w:rPr>
          <w:i w:val="0"/>
          <w:u w:val="single"/>
        </w:rPr>
      </w:pPr>
      <w:r w:rsidRPr="00C94D55">
        <w:rPr>
          <w:b w:val="0"/>
          <w:u w:val="single"/>
        </w:rPr>
        <w:t>Le fait de diriger intentionnellement des attaques contre la population civile en tant que telle ou contre des personnes civiles qui ne participent pas directement aux hostilités (Art. 8(2)(e)(i) du Statut de Rome ; Art. 223(5)(a) du Code pénal de la RDC)</w:t>
      </w:r>
      <w:r w:rsidRPr="007F1170">
        <w:rPr>
          <w:rStyle w:val="FootnoteReference"/>
        </w:rPr>
        <w:footnoteReference w:id="847"/>
      </w:r>
    </w:p>
    <w:p w14:paraId="6DEC5C32" w14:textId="74797085" w:rsidR="0093751D" w:rsidRPr="001F7EF9" w:rsidRDefault="0093751D" w:rsidP="00C94D55">
      <w:pPr>
        <w:pStyle w:val="BodyText"/>
        <w:tabs>
          <w:tab w:val="left" w:pos="1559"/>
          <w:tab w:val="left" w:pos="1984"/>
          <w:tab w:val="left" w:leader="dot" w:pos="7654"/>
          <w:tab w:val="right" w:pos="8929"/>
        </w:tabs>
        <w:spacing w:line="240" w:lineRule="atLeast"/>
        <w:ind w:left="1138" w:right="1138" w:firstLine="0"/>
      </w:pPr>
      <w:r w:rsidRPr="00821C91">
        <w:t>Comme mentionné ci-dessus</w:t>
      </w:r>
      <w:r w:rsidRPr="007F1170">
        <w:rPr>
          <w:rStyle w:val="FootnoteReference"/>
        </w:rPr>
        <w:footnoteReference w:id="848"/>
      </w:r>
      <w:r w:rsidRPr="00821C91">
        <w:t xml:space="preserve">, la milice Kamuina Nsapu a intentionnellement lancé d’innombrables attaques dont l’objectif était de prendre pour cible une population civile en général ou des civils ne prenant pas directement part aux hostilités, notamment : (i) des filles et garçons ainsi que </w:t>
      </w:r>
      <w:r>
        <w:t xml:space="preserve">des </w:t>
      </w:r>
      <w:r w:rsidRPr="00821C91">
        <w:t>adultes pour les recruter de force dans la milice ; (ii)</w:t>
      </w:r>
      <w:r>
        <w:t> </w:t>
      </w:r>
      <w:r w:rsidRPr="00821C91">
        <w:t>les représentants et fonctionnaires de l’État et tous les civils leur étant</w:t>
      </w:r>
      <w:r>
        <w:t>,</w:t>
      </w:r>
      <w:r w:rsidRPr="00821C91">
        <w:t xml:space="preserve"> à tort ou à raison</w:t>
      </w:r>
      <w:r>
        <w:t>,</w:t>
      </w:r>
      <w:r w:rsidRPr="00821C91">
        <w:t xml:space="preserve"> assimilés ; (iii) la population civile des villages et groupements qui aurait refusé d’adhérer à son mouvement ; et dans le territoire de Kamonia, province du Kasaï (iv) la population civile n’appartenant pas à l’ethnie </w:t>
      </w:r>
      <w:r w:rsidR="004A163E">
        <w:t>l</w:t>
      </w:r>
      <w:r w:rsidRPr="00821C91">
        <w:t xml:space="preserve">uba et ne parlant pas le </w:t>
      </w:r>
      <w:r w:rsidR="004A163E">
        <w:t>t</w:t>
      </w:r>
      <w:r w:rsidRPr="00821C91">
        <w:t>shiluba.</w:t>
      </w:r>
    </w:p>
    <w:p w14:paraId="1F99DCBB" w14:textId="46A8CD88" w:rsidR="0093751D" w:rsidRPr="002A0E2E" w:rsidRDefault="0093751D" w:rsidP="00C94D55">
      <w:pPr>
        <w:pStyle w:val="Heading5"/>
        <w:numPr>
          <w:ilvl w:val="0"/>
          <w:numId w:val="0"/>
        </w:numPr>
        <w:tabs>
          <w:tab w:val="clear" w:pos="1984"/>
          <w:tab w:val="left" w:pos="2340"/>
        </w:tabs>
        <w:spacing w:before="120" w:after="120"/>
        <w:ind w:left="2160" w:right="1138"/>
        <w:contextualSpacing w:val="0"/>
        <w:rPr>
          <w:i w:val="0"/>
          <w:u w:val="single"/>
        </w:rPr>
      </w:pPr>
      <w:r w:rsidRPr="00C94D55">
        <w:rPr>
          <w:b w:val="0"/>
          <w:u w:val="single"/>
        </w:rPr>
        <w:t>Le fait de diriger intentionnellement des attaques contre des bâtiments consacrés à la religion et à l’enseignement ainsi que des hôpitaux qui n’étaient pas des objectifs militaires (Art. 8(2)(e)(iv) du Statut de Rome ; Art. 223(5)(d) du Code pénal de la RDC)</w:t>
      </w:r>
      <w:r w:rsidRPr="007F1170">
        <w:rPr>
          <w:rStyle w:val="FootnoteReference"/>
        </w:rPr>
        <w:footnoteReference w:id="849"/>
      </w:r>
    </w:p>
    <w:p w14:paraId="6CB5C16E" w14:textId="77777777" w:rsidR="0093751D" w:rsidRDefault="0093751D" w:rsidP="00C94D55">
      <w:pPr>
        <w:pStyle w:val="BodyText"/>
        <w:tabs>
          <w:tab w:val="left" w:pos="1559"/>
          <w:tab w:val="left" w:pos="1984"/>
          <w:tab w:val="left" w:leader="dot" w:pos="7654"/>
          <w:tab w:val="right" w:pos="8929"/>
        </w:tabs>
        <w:spacing w:line="240" w:lineRule="atLeast"/>
        <w:ind w:left="1138" w:right="1138" w:firstLine="0"/>
      </w:pPr>
      <w:r>
        <w:t>Dans de nombreuses localités, du fait qu’ils étaient assimilés à des bâtiments publics représentant l’autorité de l’Etat, des éléments de la milice Kamuina Nsapu ont intentionnellement lancé des attaques dont l’objectif était un ou plusieurs bâtiments consacrés à la religion, à l’enseignement, ainsi que des hôpitaux et des lieux où des malades ou des blessés sont rassemblés, tant bien même qu’ils ne représentaient pas des objectifs militaires</w:t>
      </w:r>
      <w:r w:rsidRPr="007F1170">
        <w:rPr>
          <w:rStyle w:val="FootnoteReference"/>
        </w:rPr>
        <w:footnoteReference w:id="850"/>
      </w:r>
      <w:r>
        <w:t>.</w:t>
      </w:r>
    </w:p>
    <w:p w14:paraId="13CA8E74" w14:textId="7D983950" w:rsidR="0093751D" w:rsidRDefault="0093751D" w:rsidP="00C94D55">
      <w:pPr>
        <w:pStyle w:val="BodyText"/>
        <w:tabs>
          <w:tab w:val="left" w:pos="1559"/>
          <w:tab w:val="left" w:pos="1984"/>
          <w:tab w:val="left" w:leader="dot" w:pos="7654"/>
          <w:tab w:val="right" w:pos="8929"/>
        </w:tabs>
        <w:spacing w:line="240" w:lineRule="atLeast"/>
        <w:ind w:left="1138" w:right="1138" w:firstLine="0"/>
      </w:pPr>
      <w:r>
        <w:t xml:space="preserve">Depuis, le début de la crise en août 2016 jusqu’en février 2018, </w:t>
      </w:r>
      <w:r w:rsidR="00EB0DA2">
        <w:t>l’UNICEF</w:t>
      </w:r>
      <w:r w:rsidR="00273560">
        <w:t xml:space="preserve"> </w:t>
      </w:r>
      <w:r>
        <w:t>a ainsi recensé des attaques contre 416 écoles et 224 hôpitaux ou structures de santé</w:t>
      </w:r>
      <w:r w:rsidRPr="007F1170">
        <w:rPr>
          <w:rStyle w:val="FootnoteReference"/>
        </w:rPr>
        <w:footnoteReference w:id="851"/>
      </w:r>
      <w:r>
        <w:t xml:space="preserve">. Si ces attaques se sont produites dans 17 territoires des cinq provinces du Kasaï, la province du Kasaï </w:t>
      </w:r>
      <w:r w:rsidR="00E442FD">
        <w:t>C</w:t>
      </w:r>
      <w:r>
        <w:t xml:space="preserve">entral – berceau du mouvement et de la milice Kamuina Nsapu – a subi le plus grand nombre de ces attaques. Bien que l’EEI n’ait pas pu identifier les auteurs de l’ensemble de ces attaques, elle a conclu que des éléments de la milice ont commis ce crime de guerre, notamment sur le territoire de Luiza, dans la province du Kasaï </w:t>
      </w:r>
      <w:r w:rsidR="00E442FD">
        <w:t>C</w:t>
      </w:r>
      <w:r>
        <w:t>entral, à partir de 2017 où les bâtime</w:t>
      </w:r>
      <w:r w:rsidR="009C4DA1">
        <w:t>nts de l’E</w:t>
      </w:r>
      <w:r>
        <w:t>glise catholique ont été une cible privilégie de la milice d</w:t>
      </w:r>
      <w:r w:rsidRPr="00DE3EBE">
        <w:t>e multiples écoles ont été détruites</w:t>
      </w:r>
      <w:r>
        <w:t>, y compris</w:t>
      </w:r>
      <w:r w:rsidRPr="00DE3EBE">
        <w:t xml:space="preserve"> à Kamushiku, Kadongo et Malando</w:t>
      </w:r>
      <w:r>
        <w:t>, ainsi que dans le ville de Luebo, dans la province du Kasaï, à partir du 31 mars 2017 où l</w:t>
      </w:r>
      <w:r w:rsidRPr="002D7843">
        <w:t xml:space="preserve">a plupart des bâtiments </w:t>
      </w:r>
      <w:r>
        <w:t xml:space="preserve">appartenant à </w:t>
      </w:r>
      <w:r w:rsidR="009C4DA1">
        <w:t>l’E</w:t>
      </w:r>
      <w:r w:rsidRPr="002D7843">
        <w:t>glise catholique, ainsi que plusieurs écoles, ont été détruits et brûlés</w:t>
      </w:r>
      <w:r>
        <w:t>, alors que les FARDC n’étaient pas présent dans la ville à cette date</w:t>
      </w:r>
      <w:r w:rsidRPr="002D7843">
        <w:t>.</w:t>
      </w:r>
    </w:p>
    <w:p w14:paraId="5CC7A46C" w14:textId="5E2AC21D" w:rsidR="0093751D" w:rsidRPr="00C94D55" w:rsidRDefault="0093751D" w:rsidP="00C94D55">
      <w:pPr>
        <w:pStyle w:val="Heading5"/>
        <w:numPr>
          <w:ilvl w:val="0"/>
          <w:numId w:val="0"/>
        </w:numPr>
        <w:tabs>
          <w:tab w:val="clear" w:pos="1984"/>
          <w:tab w:val="left" w:pos="2340"/>
        </w:tabs>
        <w:spacing w:before="120" w:after="120"/>
        <w:ind w:left="2160" w:right="1138"/>
        <w:contextualSpacing w:val="0"/>
        <w:rPr>
          <w:b w:val="0"/>
          <w:u w:val="single"/>
        </w:rPr>
      </w:pPr>
      <w:r w:rsidRPr="00C94D55">
        <w:rPr>
          <w:b w:val="0"/>
          <w:u w:val="single"/>
        </w:rPr>
        <w:t>Viol ou toute autre forme de violence sexuelle de gravité comparable (Art. 8(2)(e)(vi) du Statut de Rome ; Art. 223(5)(f) du Code pénal de la RDC)</w:t>
      </w:r>
      <w:r w:rsidRPr="007F1170">
        <w:rPr>
          <w:rStyle w:val="FootnoteReference"/>
        </w:rPr>
        <w:footnoteReference w:id="852"/>
      </w:r>
    </w:p>
    <w:p w14:paraId="71FBAA7C" w14:textId="77777777" w:rsidR="0093751D" w:rsidRPr="00B9299B" w:rsidRDefault="0093751D" w:rsidP="00C94D55">
      <w:pPr>
        <w:pStyle w:val="BodyText"/>
        <w:tabs>
          <w:tab w:val="left" w:pos="1559"/>
          <w:tab w:val="left" w:pos="1984"/>
          <w:tab w:val="left" w:leader="dot" w:pos="7654"/>
          <w:tab w:val="right" w:pos="8929"/>
        </w:tabs>
        <w:spacing w:line="240" w:lineRule="atLeast"/>
        <w:ind w:left="1138" w:right="1138" w:firstLine="0"/>
      </w:pPr>
      <w:r w:rsidRPr="00B9299B">
        <w:t xml:space="preserve">Les viols </w:t>
      </w:r>
      <w:r w:rsidRPr="000A4EFF">
        <w:t>et autres formes de violences sexuelles</w:t>
      </w:r>
      <w:r>
        <w:t xml:space="preserve"> </w:t>
      </w:r>
      <w:r w:rsidRPr="00B9299B">
        <w:t>commis par des éléments de</w:t>
      </w:r>
      <w:r>
        <w:t xml:space="preserve"> la milice Kamuina Nsapu e</w:t>
      </w:r>
      <w:r w:rsidRPr="00B9299B">
        <w:t xml:space="preserve">t </w:t>
      </w:r>
      <w:r>
        <w:t>ayant été</w:t>
      </w:r>
      <w:r w:rsidRPr="00B9299B">
        <w:t xml:space="preserve"> qualifiés de crimes contre l’humanité</w:t>
      </w:r>
      <w:r>
        <w:t xml:space="preserve"> ci-dessus</w:t>
      </w:r>
      <w:r w:rsidRPr="007F1170">
        <w:rPr>
          <w:rStyle w:val="FootnoteReference"/>
        </w:rPr>
        <w:footnoteReference w:id="853"/>
      </w:r>
      <w:r w:rsidRPr="00B9299B">
        <w:t xml:space="preserve"> constituent également de</w:t>
      </w:r>
      <w:r>
        <w:t>s</w:t>
      </w:r>
      <w:r w:rsidRPr="00B9299B">
        <w:t xml:space="preserve"> crime</w:t>
      </w:r>
      <w:r>
        <w:t>s</w:t>
      </w:r>
      <w:r w:rsidRPr="00B9299B">
        <w:t xml:space="preserve"> de guerre</w:t>
      </w:r>
      <w:r>
        <w:t>, y compris lorsqu’ils ont été commis par des membres de la milice Kamuina Nsapu sur des femmes et des filles ayant été contraintes de devenir des membres de la milice et donc faisant partie de leurs propres troupes</w:t>
      </w:r>
      <w:r w:rsidRPr="007F1170">
        <w:rPr>
          <w:rStyle w:val="FootnoteReference"/>
        </w:rPr>
        <w:footnoteReference w:id="854"/>
      </w:r>
      <w:r>
        <w:t>.</w:t>
      </w:r>
    </w:p>
    <w:p w14:paraId="5EC83C6C" w14:textId="2E966CBF" w:rsidR="0093751D" w:rsidRPr="00C94D55" w:rsidRDefault="0093751D" w:rsidP="00C94D55">
      <w:pPr>
        <w:pStyle w:val="Heading5"/>
        <w:numPr>
          <w:ilvl w:val="0"/>
          <w:numId w:val="0"/>
        </w:numPr>
        <w:tabs>
          <w:tab w:val="clear" w:pos="1984"/>
          <w:tab w:val="left" w:pos="2340"/>
        </w:tabs>
        <w:spacing w:before="120" w:after="120"/>
        <w:ind w:left="2160" w:right="1138"/>
        <w:contextualSpacing w:val="0"/>
        <w:rPr>
          <w:b w:val="0"/>
          <w:u w:val="single"/>
        </w:rPr>
      </w:pPr>
      <w:r w:rsidRPr="00C94D55">
        <w:rPr>
          <w:b w:val="0"/>
          <w:u w:val="single"/>
        </w:rPr>
        <w:t>Le fait de procéder à la conscription ou à l’enrôlement d’enfants de moins de 15/18 ans dans la milice ou de les faire participer activement à des hostilités (Art. 8(2)(e)(vii) du Statut de Rome ; Art. 223(5)(g) du Code pénal de la RDC)</w:t>
      </w:r>
      <w:r w:rsidRPr="007F1170">
        <w:rPr>
          <w:rStyle w:val="FootnoteReference"/>
        </w:rPr>
        <w:footnoteReference w:id="855"/>
      </w:r>
    </w:p>
    <w:p w14:paraId="42C2F24C" w14:textId="77777777" w:rsidR="0093751D" w:rsidRPr="00704A95" w:rsidRDefault="0093751D" w:rsidP="00C94D55">
      <w:pPr>
        <w:pStyle w:val="BodyText"/>
        <w:tabs>
          <w:tab w:val="left" w:pos="1559"/>
          <w:tab w:val="left" w:pos="1984"/>
          <w:tab w:val="left" w:leader="dot" w:pos="7654"/>
          <w:tab w:val="right" w:pos="8929"/>
        </w:tabs>
        <w:spacing w:line="240" w:lineRule="atLeast"/>
        <w:ind w:left="1138" w:right="1138" w:firstLine="0"/>
      </w:pPr>
      <w:r w:rsidRPr="00704A95">
        <w:t>A partir du début du conflit armé en août 2016 et jusqu’à ce jour, l’expansion rapide de la milice Kamuina Nsapu s’est propagée grâce à un système bien organisé de recrutement d’enfants. En effet, des éléments de ce groupe armé ont procédé à la conscription – et dans une moindre mesure à l’enrôlement – d’enfants partout où la milice s’est implantée ou a été active. Nombre de ces enfants ont également participé activement aux hostilités.</w:t>
      </w:r>
    </w:p>
    <w:p w14:paraId="4BD61923" w14:textId="2537EB21" w:rsidR="0093751D" w:rsidRPr="00704A95" w:rsidRDefault="0093751D" w:rsidP="00C94D55">
      <w:pPr>
        <w:pStyle w:val="BodyText"/>
        <w:tabs>
          <w:tab w:val="left" w:pos="1559"/>
          <w:tab w:val="left" w:pos="1984"/>
          <w:tab w:val="left" w:leader="dot" w:pos="7654"/>
          <w:tab w:val="right" w:pos="8929"/>
        </w:tabs>
        <w:spacing w:line="240" w:lineRule="atLeast"/>
        <w:ind w:left="1138" w:right="1138" w:firstLine="0"/>
      </w:pPr>
      <w:r w:rsidRPr="00704A95">
        <w:t>Si la conscription réfère à un recrutement forcé, l’enrôlement se réfère à un recrutement volontaire. En d’autres termes, le consentement de l’enfant n’est pas un moyen de défense valide</w:t>
      </w:r>
      <w:r w:rsidRPr="007F1170">
        <w:rPr>
          <w:rStyle w:val="FootnoteReference"/>
        </w:rPr>
        <w:footnoteReference w:id="856"/>
      </w:r>
      <w:r w:rsidRPr="00704A95">
        <w:t xml:space="preserve">. Dès lors, ce crime de guerre a été commis aussi bien lorsque les enfants ont rejoint la milice Kamuina Nsapu de manière « volontaire » – par exemple sur le territoire de Luiza, province du Kasaï </w:t>
      </w:r>
      <w:r w:rsidR="00E442FD">
        <w:t>C</w:t>
      </w:r>
      <w:r w:rsidRPr="00704A95">
        <w:t xml:space="preserve">entral, où à partir de janvier 2017, des enfants ont rejoint la milice car ils se sont vus promettre une scolarité gratuite pour quiconque tuerait des militaires ou encore dans la ville de Luebo, province du Kasaï, où </w:t>
      </w:r>
      <w:r>
        <w:t>en mars-</w:t>
      </w:r>
      <w:r w:rsidRPr="00704A95">
        <w:t>avril 2017 ils se sont vus promettre 300 dollars américains, des voitures et/ou un travail – que lorsqu</w:t>
      </w:r>
      <w:r w:rsidR="00EB0DA2">
        <w:t>‘</w:t>
      </w:r>
      <w:r w:rsidRPr="00704A95">
        <w:t>ils y ont été forcés, comme ce fut systématiquement le cas dans la province de Lomami où ceux qui refusaient ont été décapités. Par ailleurs, la troisième forme de ce crime de guerre a aussi été commise lorsque des éléments de la milice ont fait participer activement aux hosti</w:t>
      </w:r>
      <w:r>
        <w:t>lités des enfants,</w:t>
      </w:r>
      <w:r w:rsidRPr="00704A95">
        <w:t xml:space="preserve"> </w:t>
      </w:r>
      <w:r>
        <w:t xml:space="preserve">c’est-à-dire </w:t>
      </w:r>
      <w:r w:rsidRPr="00704A95">
        <w:t>non</w:t>
      </w:r>
      <w:r>
        <w:t xml:space="preserve"> </w:t>
      </w:r>
      <w:r w:rsidRPr="00704A95">
        <w:t xml:space="preserve">seulement lorsque les filles et garçons </w:t>
      </w:r>
      <w:r>
        <w:t>étaient utilisés comme combattants,</w:t>
      </w:r>
      <w:r w:rsidRPr="00704A95">
        <w:t xml:space="preserve"> mais aussi lorsqu’ils assumaient une multitude de rôles d’appui aux combats</w:t>
      </w:r>
      <w:r>
        <w:t xml:space="preserve"> et que ces activités avaient un lien manifeste avec les hostilités</w:t>
      </w:r>
      <w:r w:rsidRPr="00704A95">
        <w:t>.</w:t>
      </w:r>
    </w:p>
    <w:p w14:paraId="6F8F3126" w14:textId="601C3A3D" w:rsidR="0093751D" w:rsidRPr="00704A95" w:rsidRDefault="0093751D" w:rsidP="00C94D55">
      <w:pPr>
        <w:pStyle w:val="BodyText"/>
        <w:tabs>
          <w:tab w:val="left" w:pos="1559"/>
          <w:tab w:val="left" w:pos="1984"/>
          <w:tab w:val="left" w:leader="dot" w:pos="7654"/>
          <w:tab w:val="right" w:pos="8929"/>
        </w:tabs>
        <w:spacing w:line="240" w:lineRule="atLeast"/>
        <w:ind w:left="1138" w:right="1138" w:firstLine="0"/>
      </w:pPr>
      <w:r w:rsidRPr="00704A95">
        <w:t>Tandis que l’article 8(2)(e)(vii) du Statut de Rome impose que les enfants soient âgés de moins de 15 ans, l’article 223(5)(g) du Code pénal de la RDC mettant en œuvre ce crime en droit interne impose qu’ils soient âgés de moins de 18 ans. La milice Kamuina Nsapu a essentiellement recruté et utilisé de jeunes enfants de moins de 15 ans et</w:t>
      </w:r>
      <w:r>
        <w:t>,</w:t>
      </w:r>
      <w:r w:rsidRPr="00704A95">
        <w:t xml:space="preserve"> dans une moindre mesure</w:t>
      </w:r>
      <w:r>
        <w:t>,</w:t>
      </w:r>
      <w:r w:rsidRPr="00704A95">
        <w:t xml:space="preserve"> de moins de 18</w:t>
      </w:r>
      <w:r>
        <w:t xml:space="preserve"> </w:t>
      </w:r>
      <w:r w:rsidRPr="00704A95">
        <w:t xml:space="preserve">ans. Etant donné que le </w:t>
      </w:r>
      <w:r w:rsidRPr="00704A95">
        <w:rPr>
          <w:i/>
        </w:rPr>
        <w:t>modus operandi</w:t>
      </w:r>
      <w:r w:rsidRPr="00704A95">
        <w:t xml:space="preserve"> de la milice consistait essentiellement à recruter des jeunes filles, les </w:t>
      </w:r>
      <w:r w:rsidR="00DB37FF" w:rsidRPr="00DB37FF">
        <w:t>« </w:t>
      </w:r>
      <w:r w:rsidRPr="00DB37FF">
        <w:t>ya mama</w:t>
      </w:r>
      <w:r w:rsidR="00DB37FF" w:rsidRPr="00DB37FF">
        <w:t> »</w:t>
      </w:r>
      <w:r w:rsidRPr="00DB37FF">
        <w:t>,</w:t>
      </w:r>
      <w:r w:rsidRPr="00704A95">
        <w:t xml:space="preserve"> et de jeunes garçons pour les utiliser de manière active dans les combats, et vu l’ampleur du nombre d’enfants recrutés et utilisés par la milice – au 30 août 2017, l’UNICEF avait dénombré 1</w:t>
      </w:r>
      <w:r w:rsidR="00E81F02">
        <w:t xml:space="preserve"> </w:t>
      </w:r>
      <w:r w:rsidRPr="00704A95">
        <w:t xml:space="preserve">220 garçons et 658 filles recrutés et utilisés par la milice, mais l’EEI estime que leur nombre est beaucoup plus élevé et que le recrutement continue notamment dans la province du Kasaï </w:t>
      </w:r>
      <w:r w:rsidR="00E442FD">
        <w:t>C</w:t>
      </w:r>
      <w:r w:rsidRPr="00704A95">
        <w:t>entral – l’EEI est d’avis qu’il est difficile d’imaginer que les auteurs présumés de ce crime ne savaient pas que les victimes avaient moins que 15 ans étant donné qu</w:t>
      </w:r>
      <w:r>
        <w:t xml:space="preserve">e leur stratégie visait à </w:t>
      </w:r>
      <w:r w:rsidRPr="00704A95">
        <w:t>intentionnellement recrut</w:t>
      </w:r>
      <w:r>
        <w:t>er</w:t>
      </w:r>
      <w:r w:rsidRPr="00704A95">
        <w:t xml:space="preserve"> de </w:t>
      </w:r>
      <w:r>
        <w:t xml:space="preserve">très </w:t>
      </w:r>
      <w:r w:rsidRPr="00704A95">
        <w:t>jeunes enfants.</w:t>
      </w:r>
    </w:p>
    <w:p w14:paraId="635D6C0C" w14:textId="4F06702F" w:rsidR="0093751D" w:rsidRPr="00FE5E8D" w:rsidRDefault="0093751D" w:rsidP="00BC668B">
      <w:pPr>
        <w:pStyle w:val="Heading2"/>
        <w:spacing w:before="360" w:line="270" w:lineRule="exact"/>
        <w:ind w:left="1138" w:right="1138" w:hanging="571"/>
        <w:rPr>
          <w:b w:val="0"/>
          <w:sz w:val="24"/>
          <w:szCs w:val="24"/>
        </w:rPr>
      </w:pPr>
      <w:bookmarkStart w:id="101" w:name="_Toc513980399"/>
      <w:bookmarkStart w:id="102" w:name="_Toc518027535"/>
      <w:r w:rsidRPr="00FE5E8D">
        <w:rPr>
          <w:sz w:val="24"/>
          <w:szCs w:val="24"/>
        </w:rPr>
        <w:t>Violations des droits de l’homme</w:t>
      </w:r>
      <w:bookmarkEnd w:id="101"/>
      <w:bookmarkEnd w:id="102"/>
    </w:p>
    <w:p w14:paraId="12070245" w14:textId="77777777" w:rsidR="0093751D" w:rsidRPr="00FB74AB" w:rsidRDefault="0093751D" w:rsidP="00C94D55">
      <w:pPr>
        <w:pStyle w:val="BodyText"/>
        <w:tabs>
          <w:tab w:val="left" w:pos="1559"/>
          <w:tab w:val="left" w:pos="1984"/>
          <w:tab w:val="left" w:leader="dot" w:pos="7654"/>
          <w:tab w:val="right" w:pos="8929"/>
        </w:tabs>
        <w:spacing w:line="240" w:lineRule="atLeast"/>
        <w:ind w:left="1138" w:right="1138" w:firstLine="0"/>
      </w:pPr>
      <w:r w:rsidRPr="00AF6E4D">
        <w:t>Les crimes établis ci-dessus permettent également de conclure que les droits de l’homme suivants ont notamment été violé</w:t>
      </w:r>
      <w:r>
        <w:t>s :</w:t>
      </w:r>
      <w:r w:rsidRPr="00AF6E4D">
        <w:t xml:space="preserve"> droit à la vie, droit à l’intégrité physique ou mentale, réduction en esclavage, interdiction du recrutement et de l’utilisation d’enfants soldats, droit à la liberté et à la sécurité, et liberté de circulation. Ces violations ont eu un impact direct sur la jouissance des droits économiques, sociaux et culturels de la population du Kasaï.</w:t>
      </w:r>
    </w:p>
    <w:p w14:paraId="31EED8D9" w14:textId="77777777" w:rsidR="0093751D" w:rsidRPr="00FB74AB" w:rsidRDefault="0093751D" w:rsidP="00C94D55">
      <w:pPr>
        <w:pStyle w:val="BodyText"/>
        <w:tabs>
          <w:tab w:val="left" w:pos="1559"/>
          <w:tab w:val="left" w:pos="1984"/>
          <w:tab w:val="left" w:leader="dot" w:pos="7654"/>
          <w:tab w:val="right" w:pos="8929"/>
        </w:tabs>
        <w:spacing w:line="240" w:lineRule="atLeast"/>
        <w:ind w:left="1138" w:right="1138" w:firstLine="0"/>
      </w:pPr>
      <w:r w:rsidRPr="00FB74AB">
        <w:t>En droit international, l’État est responsable du comportement de ses organes quelle que soit les fonctions exercées par ceux-ci, la position qu’ils occupent dans l’organisation de l’Etat, et leur nature (en tant qu’organe du gouvernement central ou d’une collectivité territoriale de l’Etat)</w:t>
      </w:r>
      <w:r w:rsidRPr="007F1170">
        <w:rPr>
          <w:rStyle w:val="FootnoteReference"/>
        </w:rPr>
        <w:footnoteReference w:id="857"/>
      </w:r>
      <w:r w:rsidRPr="00FB74AB">
        <w:t xml:space="preserve">. L’EEI est d’avis que les crimes commis par les forces de défense et de sécurité de la RDC énumérés ci-dessus constituent également des violations du droit international des droits de l’homme attribuable à la RDC et engageant sa responsabilité internationale </w:t>
      </w:r>
    </w:p>
    <w:p w14:paraId="3301D71F" w14:textId="6A5E6AEF" w:rsidR="0093751D" w:rsidRPr="00FB74AB" w:rsidRDefault="0093751D" w:rsidP="00C94D55">
      <w:pPr>
        <w:pStyle w:val="BodyText"/>
        <w:tabs>
          <w:tab w:val="left" w:pos="1559"/>
          <w:tab w:val="left" w:pos="1984"/>
          <w:tab w:val="left" w:leader="dot" w:pos="7654"/>
          <w:tab w:val="right" w:pos="8929"/>
        </w:tabs>
        <w:spacing w:line="240" w:lineRule="atLeast"/>
        <w:ind w:left="1138" w:right="1138" w:firstLine="0"/>
      </w:pPr>
      <w:r w:rsidRPr="00FB74AB">
        <w:t>Les atteintes aux droits de l’homme commi</w:t>
      </w:r>
      <w:r w:rsidR="00E81F02">
        <w:t>se</w:t>
      </w:r>
      <w:r w:rsidRPr="00FB74AB">
        <w:t>s par la milice Kamuina Nsapu et les milices Bana Mura ne peuvent pas être attribué</w:t>
      </w:r>
      <w:r w:rsidR="00E81F02">
        <w:t>e</w:t>
      </w:r>
      <w:r w:rsidRPr="00FB74AB">
        <w:t>s à la RDC, car la milice Kamuina Nsapu et/ou les milices Bana Mura : (i) n’ont pas été habilité</w:t>
      </w:r>
      <w:r w:rsidR="00E81F02">
        <w:t>e</w:t>
      </w:r>
      <w:r w:rsidRPr="00FB74AB">
        <w:t>s par le droit de cet Etat à exercer des prérogatives de puissance publique</w:t>
      </w:r>
      <w:r w:rsidRPr="007F1170">
        <w:rPr>
          <w:rStyle w:val="FootnoteReference"/>
        </w:rPr>
        <w:footnoteReference w:id="858"/>
      </w:r>
      <w:r w:rsidRPr="00FB74AB">
        <w:t xml:space="preserve"> ; (ii) n’agissaient pas sous la « totale dépendance » de l’Etat, dont </w:t>
      </w:r>
      <w:r w:rsidR="00E81F02">
        <w:t>elle</w:t>
      </w:r>
      <w:r w:rsidRPr="00FB74AB">
        <w:t>s n’étaient, en somme, qu’un simple instrument</w:t>
      </w:r>
      <w:r w:rsidRPr="007F1170">
        <w:rPr>
          <w:rStyle w:val="FootnoteReference"/>
        </w:rPr>
        <w:footnoteReference w:id="859"/>
      </w:r>
      <w:r w:rsidRPr="00FB74AB">
        <w:t> ; et (iii) n’agissaient pas en fait sur les instructions ou les directives ou sous le contrôle d’un Etat</w:t>
      </w:r>
      <w:r w:rsidRPr="007F1170">
        <w:rPr>
          <w:rStyle w:val="FootnoteReference"/>
        </w:rPr>
        <w:footnoteReference w:id="860"/>
      </w:r>
      <w:r w:rsidRPr="00FB74AB">
        <w:t>. La RDC n’a pas non plus reconnu et adopté leurs comportements illicites comme étant le sien</w:t>
      </w:r>
      <w:r w:rsidRPr="007F1170">
        <w:rPr>
          <w:rStyle w:val="FootnoteReference"/>
        </w:rPr>
        <w:footnoteReference w:id="861"/>
      </w:r>
      <w:r w:rsidRPr="00FB74AB">
        <w:t>. En arrivant à ces conclusions, l’EEI rappelle que, bien que dans certains cas, les forces de défense et de sécurité de la RDC ont agi de pair avec les milices Bana Mura, ils se sont aussi affrontés.</w:t>
      </w:r>
    </w:p>
    <w:p w14:paraId="68A69561" w14:textId="77777777" w:rsidR="0093751D" w:rsidRPr="00FB74AB" w:rsidRDefault="0093751D" w:rsidP="00C94D55">
      <w:pPr>
        <w:pStyle w:val="BodyText"/>
        <w:tabs>
          <w:tab w:val="left" w:pos="1559"/>
          <w:tab w:val="left" w:pos="1984"/>
          <w:tab w:val="left" w:leader="dot" w:pos="7654"/>
          <w:tab w:val="right" w:pos="8929"/>
        </w:tabs>
        <w:spacing w:line="240" w:lineRule="atLeast"/>
        <w:ind w:left="1138" w:right="1138" w:firstLine="0"/>
      </w:pPr>
      <w:r w:rsidRPr="00FB74AB">
        <w:t>Cela étant dit, en droit international des droits de l’homme, les États n’ont pas uniquement l’obligation de respecter les droits contenus dans les instruments internationaux auxquels ils sont parties, mais également celle de protéger les individus contre toute violation ou atteinte à ces droits et celle de mettre en œuvre ces droits. Dès lors, la RDC peut voir sa responsabilité internationale engagée pour avoir manqué à son obligation de protéger les droits de l’homme, étant donné qu’elle a laissé commettre sur son territoire par des groupes non-étatiques des atteintes aux droits de l’homme, n’ayant toujours pas pris les mesures nécessaires pour que des enquêtes soient menées sur ces atteintes et que leurs auteurs soient arrêtés. L’État est également tenu de veiller à ce que les auteurs de violations répondent de leurs actes devant les juridictions nationales et que les victimes, quand cela est nécessaire, reçoivent une compensation. Pour l’heure, en ce qui concerne la majorité des incidents illustrés dans ce rapport, la RDC a failli à ses obligations.</w:t>
      </w:r>
    </w:p>
    <w:p w14:paraId="7991CD9F" w14:textId="3FDE1078" w:rsidR="008C7B98" w:rsidRPr="00060038" w:rsidRDefault="008C7B98" w:rsidP="00BC668B">
      <w:pPr>
        <w:pStyle w:val="Heading1"/>
        <w:spacing w:before="360" w:after="240" w:line="300" w:lineRule="exact"/>
        <w:ind w:left="1124" w:right="1138" w:hanging="273"/>
      </w:pPr>
      <w:bookmarkStart w:id="103" w:name="_Toc518027536"/>
      <w:r w:rsidRPr="00060038">
        <w:t>Situation actuelle</w:t>
      </w:r>
      <w:bookmarkEnd w:id="103"/>
    </w:p>
    <w:p w14:paraId="5A0D325E" w14:textId="0D321846" w:rsidR="004817CC" w:rsidRPr="0049283E" w:rsidRDefault="004817CC" w:rsidP="00C94D55">
      <w:pPr>
        <w:pStyle w:val="BodyText"/>
        <w:tabs>
          <w:tab w:val="left" w:pos="1559"/>
          <w:tab w:val="left" w:pos="1984"/>
          <w:tab w:val="left" w:leader="dot" w:pos="7654"/>
          <w:tab w:val="right" w:pos="8929"/>
        </w:tabs>
        <w:spacing w:line="240" w:lineRule="atLeast"/>
        <w:ind w:left="1138" w:right="1138" w:firstLine="0"/>
      </w:pPr>
      <w:r w:rsidRPr="0049283E">
        <w:t>Si à</w:t>
      </w:r>
      <w:r w:rsidR="00060038" w:rsidRPr="0049283E">
        <w:t xml:space="preserve"> partir d’août 2017, le niveau de violence</w:t>
      </w:r>
      <w:r w:rsidR="00E81F02">
        <w:t>s</w:t>
      </w:r>
      <w:r w:rsidR="00060038" w:rsidRPr="0049283E">
        <w:t xml:space="preserve"> a diminué dans toutes les provinces du Kasaï</w:t>
      </w:r>
      <w:r w:rsidRPr="0049283E">
        <w:t>, les</w:t>
      </w:r>
      <w:r w:rsidR="00E81F02">
        <w:t xml:space="preserve"> actes de violence</w:t>
      </w:r>
      <w:r w:rsidR="00060038" w:rsidRPr="0049283E">
        <w:t xml:space="preserve"> liés à la crise continuent d’être rapportés </w:t>
      </w:r>
      <w:r w:rsidR="00066F0B" w:rsidRPr="0049283E">
        <w:t>de manière régulière</w:t>
      </w:r>
      <w:r w:rsidR="00066F0B">
        <w:t>,</w:t>
      </w:r>
      <w:r w:rsidR="00066F0B" w:rsidRPr="00066F0B">
        <w:t xml:space="preserve"> </w:t>
      </w:r>
      <w:r w:rsidR="00060038" w:rsidRPr="0049283E">
        <w:t>indiquant que les causes du conflit n’ont pas été adressées</w:t>
      </w:r>
      <w:r w:rsidR="006460C1">
        <w:t>, malgré la tenue, en septembre 2017</w:t>
      </w:r>
      <w:r w:rsidR="005C066F">
        <w:t>,</w:t>
      </w:r>
      <w:r w:rsidR="006460C1">
        <w:t xml:space="preserve"> d`une conférence sur la paix au Grand-Kasaï</w:t>
      </w:r>
      <w:r w:rsidR="00060038" w:rsidRPr="0049283E">
        <w:t xml:space="preserve">. </w:t>
      </w:r>
      <w:r w:rsidRPr="0049283E">
        <w:t>Une partie des personnes déplacées par les violences ont pu rentrer chez elles</w:t>
      </w:r>
      <w:r w:rsidR="00066F0B">
        <w:t xml:space="preserve"> et dans certains villages les enfants ont pu reprendre l’école</w:t>
      </w:r>
      <w:r w:rsidR="00391DDF" w:rsidRPr="007F1170">
        <w:rPr>
          <w:rStyle w:val="FootnoteReference"/>
        </w:rPr>
        <w:footnoteReference w:id="862"/>
      </w:r>
      <w:r w:rsidR="00066F0B">
        <w:t xml:space="preserve"> ; cela n’est cependant pas le cas partout. </w:t>
      </w:r>
      <w:r w:rsidR="00731357">
        <w:t xml:space="preserve">L’EEI a concentré ses efforts </w:t>
      </w:r>
      <w:r w:rsidR="00066F0B">
        <w:t>dans la documentation des</w:t>
      </w:r>
      <w:r w:rsidR="00731357">
        <w:t xml:space="preserve"> crimes et </w:t>
      </w:r>
      <w:r w:rsidR="00066F0B">
        <w:t>d</w:t>
      </w:r>
      <w:r w:rsidR="00731357">
        <w:t xml:space="preserve">es violations des droits de l’homme les plus graves pendant toute la durée de la crise au Kasaï, </w:t>
      </w:r>
      <w:r w:rsidR="00066F0B">
        <w:t>mais</w:t>
      </w:r>
      <w:r w:rsidR="00731357">
        <w:t xml:space="preserve"> n’a pas pu documenter de manière systématique les allégations reçues pendant la période la plus récente.</w:t>
      </w:r>
    </w:p>
    <w:p w14:paraId="18DE4492" w14:textId="7446EA34" w:rsidR="00CB2B94" w:rsidRPr="0049283E" w:rsidRDefault="00060038" w:rsidP="00C94D55">
      <w:pPr>
        <w:pStyle w:val="BodyText"/>
        <w:tabs>
          <w:tab w:val="left" w:pos="1559"/>
          <w:tab w:val="left" w:pos="1984"/>
          <w:tab w:val="left" w:leader="dot" w:pos="7654"/>
          <w:tab w:val="right" w:pos="8929"/>
        </w:tabs>
        <w:spacing w:line="240" w:lineRule="atLeast"/>
        <w:ind w:left="1138" w:right="1138" w:firstLine="0"/>
      </w:pPr>
      <w:r w:rsidRPr="0049283E">
        <w:t>Les FARDC ont continué à faire un usage excessif de la force dans</w:t>
      </w:r>
      <w:r w:rsidR="00CB2B94" w:rsidRPr="0049283E">
        <w:t xml:space="preserve"> la poursuite des </w:t>
      </w:r>
      <w:r w:rsidRPr="0049283E">
        <w:t xml:space="preserve">opérations contre la milice Kamuina Nsapu. Des personnes suspectées sans fondement d’appartenir à la milice continuent d’être détenues, battues ou tuées. Des villages où la présence des miliciens est suspectée ont été pillés ou incendiés. </w:t>
      </w:r>
      <w:r w:rsidR="00CB2B94" w:rsidRPr="0049283E">
        <w:t xml:space="preserve">Par exemple, le 30 novembre 2017, dans le territoire de Kamonia, province </w:t>
      </w:r>
      <w:r w:rsidR="00666F70">
        <w:t>du</w:t>
      </w:r>
      <w:r w:rsidR="00666F70" w:rsidRPr="0049283E">
        <w:t xml:space="preserve"> </w:t>
      </w:r>
      <w:r w:rsidR="00CB2B94" w:rsidRPr="0049283E">
        <w:t>Kasa</w:t>
      </w:r>
      <w:r w:rsidR="006560CD">
        <w:t>ï</w:t>
      </w:r>
      <w:r w:rsidR="00CB2B94" w:rsidRPr="0049283E">
        <w:t xml:space="preserve">, </w:t>
      </w:r>
      <w:r w:rsidR="00666F70">
        <w:t>des</w:t>
      </w:r>
      <w:r w:rsidR="00CB2B94" w:rsidRPr="0049283E">
        <w:t xml:space="preserve"> FARDC </w:t>
      </w:r>
      <w:r w:rsidR="00066F0B">
        <w:t>ont</w:t>
      </w:r>
      <w:r w:rsidR="00CB2B94" w:rsidRPr="0049283E">
        <w:t xml:space="preserve"> fait irruption dans le village de Kabeya Lumbu, après une distribution de vivres d’une organisation humanitaire. A la fin de la distribution, </w:t>
      </w:r>
      <w:r w:rsidR="00666F70">
        <w:t>les FARDC</w:t>
      </w:r>
      <w:r w:rsidR="00666F70" w:rsidRPr="0049283E">
        <w:t xml:space="preserve"> </w:t>
      </w:r>
      <w:r w:rsidR="00CB2B94" w:rsidRPr="0049283E">
        <w:t>s</w:t>
      </w:r>
      <w:r w:rsidR="001908BC">
        <w:t>o</w:t>
      </w:r>
      <w:r w:rsidR="00CB2B94" w:rsidRPr="0049283E">
        <w:t xml:space="preserve">nt arrivés à bord d’un véhicule et </w:t>
      </w:r>
      <w:r w:rsidR="001908BC">
        <w:t>o</w:t>
      </w:r>
      <w:r w:rsidR="00CB2B94" w:rsidRPr="0049283E">
        <w:t xml:space="preserve">nt ouvert le feu sur la population près du marché du village, où la distribution avait eu lieu. Plusieurs personnes </w:t>
      </w:r>
      <w:r w:rsidR="001908BC">
        <w:t>o</w:t>
      </w:r>
      <w:r w:rsidR="00CB2B94" w:rsidRPr="0049283E">
        <w:t>nt été tuées et blessées. La population de ce village avait déjà fui après de nombreux affrontements dans le village entre la milice Kamuina Nsapu, toujours présente dans la zone, et les forces de défense et sécurité en 2016 et 2017</w:t>
      </w:r>
      <w:r w:rsidR="00666F70">
        <w:t xml:space="preserve"> et venait de rentrer au village</w:t>
      </w:r>
      <w:r w:rsidR="001908BC" w:rsidRPr="007F1170">
        <w:rPr>
          <w:rStyle w:val="FootnoteReference"/>
        </w:rPr>
        <w:footnoteReference w:id="863"/>
      </w:r>
      <w:r w:rsidR="00391DDF">
        <w:t>.</w:t>
      </w:r>
      <w:r w:rsidR="00CB2B94" w:rsidRPr="0049283E">
        <w:t xml:space="preserve"> </w:t>
      </w:r>
    </w:p>
    <w:p w14:paraId="3242FBC5" w14:textId="42C2D3D1" w:rsidR="00CB2B94" w:rsidRDefault="00CB2B94" w:rsidP="00C94D55">
      <w:pPr>
        <w:pStyle w:val="BodyText"/>
        <w:tabs>
          <w:tab w:val="left" w:pos="1559"/>
          <w:tab w:val="left" w:pos="1984"/>
          <w:tab w:val="left" w:leader="dot" w:pos="7654"/>
          <w:tab w:val="right" w:pos="8929"/>
        </w:tabs>
        <w:spacing w:line="240" w:lineRule="atLeast"/>
        <w:ind w:left="1138" w:right="1138" w:firstLine="0"/>
      </w:pPr>
      <w:r w:rsidRPr="0049283E">
        <w:t>L’EEI a relevé des cas isolés de personnes, y compris des enfants, qui auraient été tués de manière arbitraire par les FARDC, accusées d’appartenir à la milice Kamuina Nsapu</w:t>
      </w:r>
      <w:r w:rsidR="003B313C" w:rsidRPr="007F1170">
        <w:rPr>
          <w:rStyle w:val="FootnoteReference"/>
        </w:rPr>
        <w:footnoteReference w:id="864"/>
      </w:r>
      <w:r w:rsidRPr="0049283E">
        <w:t>. Les FARDC auraient continué à piller et incendier des villages où il y avait une présence suspectée des miliciens</w:t>
      </w:r>
      <w:r w:rsidR="003B313C" w:rsidRPr="007F1170">
        <w:rPr>
          <w:rStyle w:val="FootnoteReference"/>
        </w:rPr>
        <w:footnoteReference w:id="865"/>
      </w:r>
      <w:r w:rsidRPr="0049283E">
        <w:t xml:space="preserve">. De manière générale, la forte présence militaire dans le Kasaï a continué à engendrer </w:t>
      </w:r>
      <w:r w:rsidR="00666F70">
        <w:t xml:space="preserve">des extorsions et </w:t>
      </w:r>
      <w:r w:rsidR="00C629F7">
        <w:t>le</w:t>
      </w:r>
      <w:r w:rsidR="00C629F7" w:rsidRPr="0049283E">
        <w:t xml:space="preserve"> </w:t>
      </w:r>
      <w:r w:rsidRPr="0049283E">
        <w:t>harcèlement de la population aux barrières tenues par des FARDC. Par exemple, le 23 mai 2018</w:t>
      </w:r>
      <w:r w:rsidR="00666F70">
        <w:t>,</w:t>
      </w:r>
      <w:r w:rsidRPr="0049283E">
        <w:t xml:space="preserve"> </w:t>
      </w:r>
      <w:r w:rsidR="00666F70">
        <w:t>des</w:t>
      </w:r>
      <w:r w:rsidR="00283907">
        <w:t xml:space="preserve"> </w:t>
      </w:r>
      <w:r w:rsidRPr="0049283E">
        <w:t xml:space="preserve">FARDC seraient venus tôt le matin dans le village de Tshimpidinga, territoire de Dibaya, </w:t>
      </w:r>
      <w:r w:rsidR="00676F91" w:rsidRPr="0049283E">
        <w:t>o</w:t>
      </w:r>
      <w:r w:rsidR="00676F91">
        <w:t>ù</w:t>
      </w:r>
      <w:r w:rsidR="00676F91" w:rsidRPr="0049283E">
        <w:t xml:space="preserve"> </w:t>
      </w:r>
      <w:r w:rsidRPr="0049283E">
        <w:t>ils auraient arrêté de manière arbitraire au moins deux hommes</w:t>
      </w:r>
      <w:r w:rsidR="003B313C" w:rsidRPr="007F1170">
        <w:rPr>
          <w:rStyle w:val="FootnoteReference"/>
        </w:rPr>
        <w:footnoteReference w:id="866"/>
      </w:r>
      <w:r w:rsidRPr="0049283E">
        <w:t>.</w:t>
      </w:r>
    </w:p>
    <w:p w14:paraId="5EEF2D67" w14:textId="0BB84CFB" w:rsidR="00CB2B94" w:rsidRDefault="00CB2B94" w:rsidP="00C94D55">
      <w:pPr>
        <w:pStyle w:val="BodyText"/>
        <w:tabs>
          <w:tab w:val="left" w:pos="1559"/>
          <w:tab w:val="left" w:pos="1984"/>
          <w:tab w:val="left" w:leader="dot" w:pos="7654"/>
          <w:tab w:val="right" w:pos="8929"/>
        </w:tabs>
        <w:spacing w:line="240" w:lineRule="atLeast"/>
        <w:ind w:left="1138" w:right="1138" w:firstLine="0"/>
      </w:pPr>
      <w:r>
        <w:t xml:space="preserve">Dans la ville de Kananga et ses environs, entre janvier et avril 2018, </w:t>
      </w:r>
      <w:r w:rsidR="00676F91">
        <w:t>des</w:t>
      </w:r>
      <w:r>
        <w:t xml:space="preserve"> FARDC ont </w:t>
      </w:r>
      <w:r w:rsidR="00595C6A">
        <w:t xml:space="preserve">détenu </w:t>
      </w:r>
      <w:r>
        <w:t xml:space="preserve">de manière arbitraire des douzaines de personnes suspectées d’être </w:t>
      </w:r>
      <w:r w:rsidR="00595C6A">
        <w:t>des miliciens</w:t>
      </w:r>
      <w:r>
        <w:t xml:space="preserve"> Kamuina Nsapu. Dans beaucoup des cas, des personnes ont été arrêtées par des militaires à bord d’un</w:t>
      </w:r>
      <w:r w:rsidR="00595C6A">
        <w:t xml:space="preserve"> pick-up </w:t>
      </w:r>
      <w:r>
        <w:t xml:space="preserve">de couleur blanche, sans plaque d’immatriculation, et emmenées aux cachots à </w:t>
      </w:r>
      <w:r w:rsidR="00676F91">
        <w:t>l’</w:t>
      </w:r>
      <w:r w:rsidR="00595C6A">
        <w:t>EFO</w:t>
      </w:r>
      <w:r>
        <w:t>. Certaines victimes ont été frappées par des militaires et détenues dans des conditions inhumain</w:t>
      </w:r>
      <w:r w:rsidR="00676F91">
        <w:t>e</w:t>
      </w:r>
      <w:r>
        <w:t>s ou dégradant</w:t>
      </w:r>
      <w:r w:rsidR="00676F91">
        <w:t>e</w:t>
      </w:r>
      <w:r>
        <w:t>s et au-delà du délai légal de garde à vue. Des sommes exorbitantes ont été exigées par des militaires afin de libérer les détenus</w:t>
      </w:r>
      <w:r w:rsidR="00595C6A" w:rsidRPr="007F1170">
        <w:rPr>
          <w:rStyle w:val="FootnoteReference"/>
        </w:rPr>
        <w:footnoteReference w:id="867"/>
      </w:r>
      <w:r>
        <w:t>.</w:t>
      </w:r>
    </w:p>
    <w:p w14:paraId="019061EB" w14:textId="0905F246" w:rsidR="00CB2B94" w:rsidRDefault="00CB2B94" w:rsidP="00C94D55">
      <w:pPr>
        <w:pStyle w:val="BodyText"/>
        <w:tabs>
          <w:tab w:val="left" w:pos="1559"/>
          <w:tab w:val="left" w:pos="1984"/>
          <w:tab w:val="left" w:leader="dot" w:pos="7654"/>
          <w:tab w:val="right" w:pos="8929"/>
        </w:tabs>
        <w:spacing w:line="240" w:lineRule="atLeast"/>
        <w:ind w:left="1138" w:right="1138" w:firstLine="0"/>
      </w:pPr>
      <w:r>
        <w:t>Dans la partie sud du territoire de Kamonia, province de Kasaï, les personnes, principalement des Luba</w:t>
      </w:r>
      <w:r w:rsidR="004A163E">
        <w:t>s</w:t>
      </w:r>
      <w:r w:rsidR="00E81F02">
        <w:t>, qui retournaient d’</w:t>
      </w:r>
      <w:r>
        <w:t xml:space="preserve">Angola, ont été extorquées et harcelées à des barrières érigées par les autorités congolaises et </w:t>
      </w:r>
      <w:r w:rsidR="00676F91">
        <w:t xml:space="preserve">des </w:t>
      </w:r>
      <w:r>
        <w:t xml:space="preserve">miliciens Bana Mura sur les routes fréquentées par les </w:t>
      </w:r>
      <w:r w:rsidR="00595C6A">
        <w:t>déplacés</w:t>
      </w:r>
      <w:r>
        <w:t xml:space="preserve">. La présence des miliciens Bana Mura dans cette zone aurait empêché des personnes </w:t>
      </w:r>
      <w:r w:rsidR="004A163E">
        <w:t>l</w:t>
      </w:r>
      <w:r>
        <w:t>uba</w:t>
      </w:r>
      <w:r w:rsidR="004A163E">
        <w:t>s</w:t>
      </w:r>
      <w:r>
        <w:t xml:space="preserve"> de rentrer et se réinstaller dans leurs villages d’origine, et aurait occasionné leur déplacement vers la province de Kasaï Central.</w:t>
      </w:r>
      <w:r w:rsidR="002B67C9">
        <w:t xml:space="preserve"> Cette situation perdure.</w:t>
      </w:r>
      <w:r>
        <w:t xml:space="preserve"> De vives tensions entre les </w:t>
      </w:r>
      <w:r w:rsidR="00651768">
        <w:t>Chokwe</w:t>
      </w:r>
      <w:r w:rsidR="00A34D85">
        <w:t>s</w:t>
      </w:r>
      <w:r>
        <w:t xml:space="preserve"> et </w:t>
      </w:r>
      <w:r w:rsidR="00676F91">
        <w:t xml:space="preserve">les </w:t>
      </w:r>
      <w:r>
        <w:t>Luba</w:t>
      </w:r>
      <w:r w:rsidR="004A163E">
        <w:t>s</w:t>
      </w:r>
      <w:r>
        <w:t xml:space="preserve"> dans cette partie du territoire de Kamonia se sont manifestées</w:t>
      </w:r>
      <w:r w:rsidR="002B67C9">
        <w:t xml:space="preserve"> et continuent de se manifester</w:t>
      </w:r>
      <w:r>
        <w:t xml:space="preserve"> </w:t>
      </w:r>
      <w:r w:rsidR="002B67C9">
        <w:t>par d</w:t>
      </w:r>
      <w:r>
        <w:t xml:space="preserve">es attaques sur des villages par </w:t>
      </w:r>
      <w:r w:rsidR="002B67C9">
        <w:t>des miliciens</w:t>
      </w:r>
      <w:r>
        <w:t xml:space="preserve"> Bana Mura et des affrontements entre les miliciens Bana Mura et les Luba</w:t>
      </w:r>
      <w:r w:rsidR="004A163E">
        <w:t>s</w:t>
      </w:r>
      <w:r>
        <w:t xml:space="preserve"> concernant l’accès aux sites miniers</w:t>
      </w:r>
      <w:r w:rsidR="00595C6A" w:rsidRPr="007F1170">
        <w:rPr>
          <w:rStyle w:val="FootnoteReference"/>
        </w:rPr>
        <w:footnoteReference w:id="868"/>
      </w:r>
      <w:r>
        <w:t>.</w:t>
      </w:r>
      <w:r w:rsidR="002B67C9">
        <w:t xml:space="preserve"> Par ailleurs, </w:t>
      </w:r>
      <w:r w:rsidR="005E4DFF">
        <w:t>d</w:t>
      </w:r>
      <w:r w:rsidR="002B67C9">
        <w:t>es allégations récentes</w:t>
      </w:r>
      <w:r w:rsidR="005E4DFF">
        <w:t>, qui restent à vérifier, suggèrent</w:t>
      </w:r>
      <w:r w:rsidR="002B67C9">
        <w:t xml:space="preserve"> que les milices Bana Mura continueraient de recevoir des armes et tiendraient des réunions secrètes </w:t>
      </w:r>
      <w:r w:rsidR="0060278B">
        <w:t xml:space="preserve">dans la ville de Tshikapa et la cité de Kamonia </w:t>
      </w:r>
      <w:r w:rsidR="002B67C9">
        <w:t>d</w:t>
      </w:r>
      <w:r w:rsidR="0060278B">
        <w:t>ont</w:t>
      </w:r>
      <w:r w:rsidR="002B67C9">
        <w:t xml:space="preserve"> le but </w:t>
      </w:r>
      <w:r w:rsidR="0060278B">
        <w:t xml:space="preserve">serait </w:t>
      </w:r>
      <w:r w:rsidR="002B67C9">
        <w:t>de préparer des actions cib</w:t>
      </w:r>
      <w:r w:rsidR="00283907">
        <w:t>l</w:t>
      </w:r>
      <w:r w:rsidR="002B67C9">
        <w:t>ant les Lubas</w:t>
      </w:r>
      <w:r w:rsidR="0060278B" w:rsidRPr="007F1170">
        <w:rPr>
          <w:rStyle w:val="FootnoteReference"/>
        </w:rPr>
        <w:footnoteReference w:id="869"/>
      </w:r>
      <w:r w:rsidR="0060278B">
        <w:t xml:space="preserve">. </w:t>
      </w:r>
      <w:r w:rsidR="002B67C9">
        <w:t xml:space="preserve"> </w:t>
      </w:r>
    </w:p>
    <w:p w14:paraId="464DE3E8" w14:textId="3358D167" w:rsidR="00CB2B94" w:rsidRDefault="00CB2B94" w:rsidP="00C94D55">
      <w:pPr>
        <w:pStyle w:val="BodyText"/>
        <w:tabs>
          <w:tab w:val="left" w:pos="1559"/>
          <w:tab w:val="left" w:pos="1984"/>
          <w:tab w:val="left" w:leader="dot" w:pos="7654"/>
          <w:tab w:val="right" w:pos="8929"/>
        </w:tabs>
        <w:spacing w:line="240" w:lineRule="atLeast"/>
        <w:ind w:left="1138" w:right="1138" w:firstLine="0"/>
      </w:pPr>
      <w:r>
        <w:t xml:space="preserve">Pendant cette période </w:t>
      </w:r>
      <w:r w:rsidR="00676F91">
        <w:t>l’EEI</w:t>
      </w:r>
      <w:r>
        <w:t xml:space="preserve"> a documenté des cas des femmes Luba</w:t>
      </w:r>
      <w:r w:rsidR="004A163E">
        <w:t>s</w:t>
      </w:r>
      <w:r>
        <w:t xml:space="preserve"> qui continuent à être réduites à une situation d’esclavage</w:t>
      </w:r>
      <w:r w:rsidR="00676F91">
        <w:t>, notamment sexuel,</w:t>
      </w:r>
      <w:r>
        <w:t xml:space="preserve"> par des </w:t>
      </w:r>
      <w:r w:rsidR="007643AA" w:rsidRPr="00733083">
        <w:t xml:space="preserve">membres de l'ethnie </w:t>
      </w:r>
      <w:r w:rsidR="00651768">
        <w:t>chokwe</w:t>
      </w:r>
      <w:r w:rsidR="007643AA" w:rsidDel="007643AA">
        <w:t xml:space="preserve"> </w:t>
      </w:r>
      <w:r>
        <w:t>dans le territoire de Kamonia, province de Kasaï</w:t>
      </w:r>
      <w:r w:rsidR="00595C6A" w:rsidRPr="007F1170">
        <w:rPr>
          <w:rStyle w:val="FootnoteReference"/>
        </w:rPr>
        <w:footnoteReference w:id="870"/>
      </w:r>
      <w:r w:rsidR="00595C6A">
        <w:t>.</w:t>
      </w:r>
      <w:r>
        <w:t xml:space="preserve"> Malgré des efforts de plaidoyer </w:t>
      </w:r>
      <w:r w:rsidR="00676F91">
        <w:t>de la MONUSCO</w:t>
      </w:r>
      <w:r>
        <w:t>, la réaction des forces de</w:t>
      </w:r>
      <w:r w:rsidR="00676F91">
        <w:t xml:space="preserve"> défense et de</w:t>
      </w:r>
      <w:r>
        <w:t xml:space="preserve"> sécurité congolaises face à ces crimes reste insuffisante. </w:t>
      </w:r>
    </w:p>
    <w:p w14:paraId="141A8C19" w14:textId="6947FC84" w:rsidR="00733083" w:rsidRPr="0049283E" w:rsidRDefault="00733083" w:rsidP="00C94D55">
      <w:pPr>
        <w:pStyle w:val="BodyText"/>
        <w:tabs>
          <w:tab w:val="left" w:pos="1559"/>
          <w:tab w:val="left" w:pos="1984"/>
          <w:tab w:val="left" w:leader="dot" w:pos="7654"/>
          <w:tab w:val="right" w:pos="8929"/>
        </w:tabs>
        <w:spacing w:line="240" w:lineRule="atLeast"/>
        <w:ind w:left="1138" w:right="1138" w:firstLine="0"/>
      </w:pPr>
      <w:r>
        <w:t>Depuis décembre 2017, au moins 16 personnes auraient été tué</w:t>
      </w:r>
      <w:r w:rsidR="00676F91">
        <w:t>e</w:t>
      </w:r>
      <w:r>
        <w:t>s</w:t>
      </w:r>
      <w:r w:rsidR="00676F91">
        <w:t>,</w:t>
      </w:r>
      <w:r>
        <w:t xml:space="preserve"> des maisons incendiées et des milliers de</w:t>
      </w:r>
      <w:r w:rsidR="00E81F02">
        <w:t xml:space="preserve"> personnes déplacées suite à de</w:t>
      </w:r>
      <w:r>
        <w:t xml:space="preserve"> multiples affrontements entre des miliciens d’ethnie Bakete associés à la milice Kamuina Nsapu et </w:t>
      </w:r>
      <w:r w:rsidR="007643AA">
        <w:t>les</w:t>
      </w:r>
      <w:r>
        <w:t xml:space="preserve"> FARDC, soutenus par la population d’ethnie Bakuba, dans la zone de Kakenge, territoire de Mweka, province </w:t>
      </w:r>
      <w:r w:rsidR="007643AA">
        <w:t xml:space="preserve">du </w:t>
      </w:r>
      <w:r w:rsidRPr="0049283E">
        <w:t>Kasaï</w:t>
      </w:r>
      <w:r w:rsidR="007643AA" w:rsidRPr="007F1170">
        <w:rPr>
          <w:rStyle w:val="FootnoteReference"/>
        </w:rPr>
        <w:footnoteReference w:id="871"/>
      </w:r>
      <w:r w:rsidRPr="0049283E">
        <w:t>.</w:t>
      </w:r>
    </w:p>
    <w:p w14:paraId="6A935002" w14:textId="5FBCF528" w:rsidR="00060038" w:rsidRDefault="00060038" w:rsidP="00C94D55">
      <w:pPr>
        <w:pStyle w:val="BodyText"/>
        <w:tabs>
          <w:tab w:val="left" w:pos="1559"/>
          <w:tab w:val="left" w:pos="1984"/>
          <w:tab w:val="left" w:leader="dot" w:pos="7654"/>
          <w:tab w:val="right" w:pos="8929"/>
        </w:tabs>
        <w:spacing w:line="240" w:lineRule="atLeast"/>
        <w:ind w:left="1138" w:right="1138" w:firstLine="0"/>
      </w:pPr>
      <w:r w:rsidRPr="0049283E">
        <w:t xml:space="preserve">La milice Kamuina Nsapu est restée active, surtout au Kasaï Central et continue de recruter, y compris des enfants, et à mener des attaques </w:t>
      </w:r>
      <w:r w:rsidR="00733083" w:rsidRPr="0049283E">
        <w:t xml:space="preserve">même si leur </w:t>
      </w:r>
      <w:r w:rsidRPr="0049283E">
        <w:t>ampleur a diminué</w:t>
      </w:r>
      <w:r w:rsidR="003B313C" w:rsidRPr="007F1170">
        <w:rPr>
          <w:rStyle w:val="FootnoteReference"/>
        </w:rPr>
        <w:footnoteReference w:id="872"/>
      </w:r>
      <w:r w:rsidRPr="0049283E">
        <w:t>. Par exemple, dans la nuit du 30 avril 2018, des miliciens ont attaqué et tué le chef coutumier par intérim du village de Kamuina Nsapu, qui était proche des autorités provinciales, ainsi que trois membres de sa famille</w:t>
      </w:r>
      <w:r w:rsidR="00733083" w:rsidRPr="0049283E">
        <w:t>. Le 9 mai 2018 des miliciens Kamuina Nsapu auraient tué par décapitation quatre personnes dans le village de Mulombela, territoire de Dibaya et le 26 mai 2018 des miliciens Kamuina Nsapu auraient tué trois femmes par décapitation dans le village de Dibaya, territoire de Dibaya</w:t>
      </w:r>
      <w:r w:rsidR="003B313C" w:rsidRPr="007F1170">
        <w:rPr>
          <w:rStyle w:val="FootnoteReference"/>
        </w:rPr>
        <w:footnoteReference w:id="873"/>
      </w:r>
      <w:r w:rsidR="00733083" w:rsidRPr="0049283E">
        <w:t>.</w:t>
      </w:r>
      <w:r w:rsidR="007643AA">
        <w:t xml:space="preserve"> </w:t>
      </w:r>
    </w:p>
    <w:p w14:paraId="351EC446" w14:textId="32C4AC6E" w:rsidR="005E4DFF" w:rsidRPr="0049283E" w:rsidRDefault="007643AA" w:rsidP="00C94D55">
      <w:pPr>
        <w:pStyle w:val="BodyText"/>
        <w:tabs>
          <w:tab w:val="left" w:pos="1559"/>
          <w:tab w:val="left" w:pos="1984"/>
          <w:tab w:val="left" w:leader="dot" w:pos="7654"/>
          <w:tab w:val="right" w:pos="8929"/>
        </w:tabs>
        <w:spacing w:line="240" w:lineRule="atLeast"/>
        <w:ind w:left="1138" w:right="1138" w:firstLine="0"/>
      </w:pPr>
      <w:r w:rsidRPr="001772B0">
        <w:t xml:space="preserve">Le durcissement </w:t>
      </w:r>
      <w:r w:rsidRPr="0049283E">
        <w:t>du conflit va dépendre de la capacité de la milice Kamuina Nsapu à attirer des fonds en échange de protection, de liberté de circulation ou d’opérer une activité économique, notamment pour l’exploitation des diamants et de minéraux stratégiques dans leur aire d’influence. Le conflit pourrait également s’étendre si le peuple Bashila Kasanga de la région Lunda-Nord de l’Angola décidait de soutenir l’effort de guerre des Bashilange dont ils sont parents. Le conflit au Kasaï représente une menace au plan national.</w:t>
      </w:r>
    </w:p>
    <w:p w14:paraId="338D0BD2" w14:textId="5E52BFEF" w:rsidR="00DD3122" w:rsidRPr="00B4103A" w:rsidRDefault="00DD3122" w:rsidP="00C94D55">
      <w:pPr>
        <w:pStyle w:val="BodyText"/>
        <w:tabs>
          <w:tab w:val="left" w:pos="1559"/>
          <w:tab w:val="left" w:pos="1984"/>
          <w:tab w:val="left" w:leader="dot" w:pos="7654"/>
          <w:tab w:val="right" w:pos="8929"/>
        </w:tabs>
        <w:spacing w:line="240" w:lineRule="atLeast"/>
        <w:ind w:left="1138" w:right="1138" w:firstLine="0"/>
        <w:rPr>
          <w:lang w:eastAsia="fr-FR"/>
        </w:rPr>
      </w:pPr>
      <w:r w:rsidRPr="00B4103A">
        <w:t>La situation politique en RDC reste tendue et il n’est pas exclu que les derniers développements puissent avoir une influence sur la situation au Kasaï. Les élections législatives et présidentielles sont prévues le 23 décembre 2018. La constitution limitant à deux le nombre de mandats présidentiel, l’actuel</w:t>
      </w:r>
      <w:r w:rsidR="00C629F7">
        <w:t xml:space="preserve"> président</w:t>
      </w:r>
      <w:r w:rsidRPr="00B4103A">
        <w:t xml:space="preserve"> Joseph Kabila n'est pas autorisé à se représenter. Cependant, à ce jour, </w:t>
      </w:r>
      <w:r w:rsidR="00C629F7">
        <w:t>le P</w:t>
      </w:r>
      <w:r w:rsidRPr="00B4103A">
        <w:t>résident ne s’est pas encore prononcé sur une éventuelle troisième candidature</w:t>
      </w:r>
      <w:r w:rsidRPr="007F1170">
        <w:rPr>
          <w:rStyle w:val="FootnoteReference"/>
        </w:rPr>
        <w:footnoteReference w:id="874"/>
      </w:r>
      <w:r w:rsidRPr="00B4103A">
        <w:t xml:space="preserve">. Par ailleurs, un projet de loi qui vise à introduire de nouvelles restrictions sur les activités des organisations non gouvernementales nationales et internationales en RDC devrait être </w:t>
      </w:r>
      <w:r w:rsidR="00B4103A" w:rsidRPr="00B4103A">
        <w:t xml:space="preserve">bientôt </w:t>
      </w:r>
      <w:r w:rsidRPr="00B4103A">
        <w:t>examiné par le Parlement. Dans sa forme actuelle, le projet de loi risque de réduire l’espace civique</w:t>
      </w:r>
      <w:r w:rsidR="00C629F7">
        <w:t>,</w:t>
      </w:r>
      <w:r w:rsidRPr="00B4103A">
        <w:t xml:space="preserve"> la liberté d'association dans le pays</w:t>
      </w:r>
      <w:r w:rsidR="00C629F7">
        <w:t xml:space="preserve"> et la présence d’</w:t>
      </w:r>
      <w:r w:rsidR="00C629F7" w:rsidRPr="00B4103A">
        <w:t xml:space="preserve">organisations non gouvernementales </w:t>
      </w:r>
      <w:r w:rsidR="00C629F7">
        <w:t>sur le terrain</w:t>
      </w:r>
      <w:r w:rsidR="00B4103A" w:rsidRPr="007F1170">
        <w:rPr>
          <w:rStyle w:val="FootnoteReference"/>
        </w:rPr>
        <w:footnoteReference w:id="875"/>
      </w:r>
      <w:r w:rsidRPr="00B4103A">
        <w:t>. Dans un communiqué de presse, les experts des droits de l’homme de l’ONU estiment que « toutes ces exigences [du projet de loi] menacent la capacité de la société civile à mener leurs activités, et soulignent une volonté de museler les voix dissidentes »</w:t>
      </w:r>
      <w:r w:rsidR="00B4103A" w:rsidRPr="007F1170">
        <w:rPr>
          <w:rStyle w:val="FootnoteReference"/>
        </w:rPr>
        <w:footnoteReference w:id="876"/>
      </w:r>
      <w:r w:rsidRPr="00B4103A">
        <w:t>.</w:t>
      </w:r>
    </w:p>
    <w:p w14:paraId="7E72F144" w14:textId="4396D09F" w:rsidR="003D51E1" w:rsidRPr="00C17129" w:rsidRDefault="003D51E1" w:rsidP="00BC668B">
      <w:pPr>
        <w:pStyle w:val="Heading1"/>
        <w:spacing w:before="360" w:after="240" w:line="300" w:lineRule="exact"/>
        <w:ind w:left="1124" w:right="1138" w:hanging="273"/>
      </w:pPr>
      <w:bookmarkStart w:id="104" w:name="_Toc518027537"/>
      <w:r w:rsidRPr="00C17129">
        <w:t>Conséquences</w:t>
      </w:r>
      <w:bookmarkEnd w:id="104"/>
    </w:p>
    <w:p w14:paraId="7D8E3832" w14:textId="1A81E6A7" w:rsidR="003D51E1" w:rsidRPr="00FE5E8D" w:rsidRDefault="003D51E1" w:rsidP="00BC668B">
      <w:pPr>
        <w:pStyle w:val="Heading2"/>
        <w:spacing w:before="360" w:line="270" w:lineRule="exact"/>
        <w:ind w:left="1138" w:right="1138" w:hanging="571"/>
        <w:rPr>
          <w:sz w:val="24"/>
          <w:szCs w:val="24"/>
          <w:lang w:val="fr-FR"/>
        </w:rPr>
      </w:pPr>
      <w:bookmarkStart w:id="105" w:name="_Toc518027538"/>
      <w:r w:rsidRPr="00FE5E8D">
        <w:rPr>
          <w:sz w:val="24"/>
          <w:szCs w:val="24"/>
          <w:lang w:val="fr-FR"/>
        </w:rPr>
        <w:t xml:space="preserve">Conséquences </w:t>
      </w:r>
      <w:r w:rsidRPr="00DC0C44">
        <w:rPr>
          <w:sz w:val="24"/>
          <w:szCs w:val="24"/>
        </w:rPr>
        <w:t>humanitaires</w:t>
      </w:r>
      <w:bookmarkEnd w:id="105"/>
    </w:p>
    <w:p w14:paraId="56AD5834" w14:textId="09AF306B" w:rsidR="003D51E1" w:rsidRPr="00C17129" w:rsidRDefault="003D51E1" w:rsidP="00DC0C44">
      <w:pPr>
        <w:pStyle w:val="BodyText"/>
        <w:tabs>
          <w:tab w:val="left" w:pos="1559"/>
          <w:tab w:val="left" w:pos="1984"/>
          <w:tab w:val="left" w:leader="dot" w:pos="7654"/>
          <w:tab w:val="right" w:pos="8929"/>
        </w:tabs>
        <w:spacing w:line="240" w:lineRule="atLeast"/>
        <w:ind w:left="1138" w:right="1138" w:firstLine="0"/>
      </w:pPr>
      <w:r w:rsidRPr="00C17129">
        <w:t xml:space="preserve">Au cours de son travail, </w:t>
      </w:r>
      <w:r w:rsidR="00A41F60">
        <w:t xml:space="preserve">l’EEI </w:t>
      </w:r>
      <w:r w:rsidRPr="00C17129">
        <w:t>a été alarmée par la situation humanitaire, en particulier la situation très précaire dans laquelle se trouvent les populations déplacées en raison des violences. La réponse financière à la crise humanitaire reste bien inférieure aux besoins. Si en raison d’infrastructures peu développées, l’accès aux populations dans le besoin dans le Kasaï demeure un défi pour les acteurs humanitaires, il faut noter</w:t>
      </w:r>
      <w:r w:rsidR="00E81F02">
        <w:t xml:space="preserve"> que</w:t>
      </w:r>
      <w:r w:rsidRPr="00C17129">
        <w:t xml:space="preserve"> les autorités nationales ainsi que provinciales ont parfois refusé l’accès aux agences humanitaires des </w:t>
      </w:r>
      <w:r w:rsidR="0039050B">
        <w:t>N</w:t>
      </w:r>
      <w:r w:rsidRPr="00C17129">
        <w:t xml:space="preserve">ations </w:t>
      </w:r>
      <w:r w:rsidR="0039050B">
        <w:t>U</w:t>
      </w:r>
      <w:r w:rsidRPr="00C17129">
        <w:t>nies, sous prétexte que le Kasaï était considéré comme une zone d’opération militaire où les humanitaires ne pouvaient aller</w:t>
      </w:r>
      <w:r w:rsidRPr="007F1170">
        <w:rPr>
          <w:rStyle w:val="FootnoteReference"/>
        </w:rPr>
        <w:footnoteReference w:id="877"/>
      </w:r>
      <w:r w:rsidRPr="00C17129">
        <w:t>.</w:t>
      </w:r>
    </w:p>
    <w:p w14:paraId="531DAFD6" w14:textId="3C0BAFD9" w:rsidR="003D51E1" w:rsidRPr="00C17129" w:rsidRDefault="003D51E1" w:rsidP="00DC0C44">
      <w:pPr>
        <w:pStyle w:val="BodyText"/>
        <w:tabs>
          <w:tab w:val="left" w:pos="1559"/>
          <w:tab w:val="left" w:pos="1984"/>
          <w:tab w:val="left" w:leader="dot" w:pos="7654"/>
          <w:tab w:val="right" w:pos="8929"/>
        </w:tabs>
        <w:spacing w:line="240" w:lineRule="atLeast"/>
        <w:ind w:left="1138" w:right="1138" w:firstLine="0"/>
      </w:pPr>
      <w:bookmarkStart w:id="106" w:name="_Ref517880885"/>
      <w:r w:rsidRPr="00C17129">
        <w:t>D’après le Bureau de la coordination des affaires humanitaires des Nations Unies, 3,8</w:t>
      </w:r>
      <w:r w:rsidR="00D73685">
        <w:t> </w:t>
      </w:r>
      <w:r w:rsidRPr="00C17129">
        <w:t xml:space="preserve">millions de personnes dont 2,3 millions d’enfants, ont besoin d’une aide humanitaire dans la région du Kasaï. Outre le cri d’alarme lancé par les organisations humanitaires, </w:t>
      </w:r>
      <w:r w:rsidR="0039050B">
        <w:t>l’EEI</w:t>
      </w:r>
      <w:r w:rsidRPr="00C17129">
        <w:t xml:space="preserve"> a pu se rendre compte par elle-même des besoins d’assistance humanitaire des populations affectées par les violences. Depuis 2016, les violences </w:t>
      </w:r>
      <w:r w:rsidR="0039050B">
        <w:t>au</w:t>
      </w:r>
      <w:r w:rsidRPr="00C17129">
        <w:t xml:space="preserve"> Kasaï ont provoqué une crise humanitaire aigüe et sans précédent, occasionnant le déplacement de près de 1,4</w:t>
      </w:r>
      <w:r w:rsidR="00D73685">
        <w:t> </w:t>
      </w:r>
      <w:r w:rsidRPr="00C17129">
        <w:t>millions de personnes, dont 700</w:t>
      </w:r>
      <w:r w:rsidR="00E81F02">
        <w:t xml:space="preserve"> </w:t>
      </w:r>
      <w:r w:rsidRPr="00C17129">
        <w:t>000 enfants ; 35</w:t>
      </w:r>
      <w:r w:rsidR="00E81F02">
        <w:t xml:space="preserve"> </w:t>
      </w:r>
      <w:r w:rsidRPr="00C17129">
        <w:t>000 personnes se sont réfugiées en Angola</w:t>
      </w:r>
      <w:r w:rsidRPr="007F1170">
        <w:rPr>
          <w:rStyle w:val="FootnoteReference"/>
        </w:rPr>
        <w:footnoteReference w:id="878"/>
      </w:r>
      <w:r w:rsidRPr="00C17129">
        <w:t>. 762</w:t>
      </w:r>
      <w:r w:rsidR="00D73685">
        <w:t> </w:t>
      </w:r>
      <w:r w:rsidRPr="00C17129">
        <w:t>000 demeurent encore déplacées internes</w:t>
      </w:r>
      <w:r w:rsidRPr="007F1170">
        <w:rPr>
          <w:rStyle w:val="FootnoteReference"/>
        </w:rPr>
        <w:footnoteReference w:id="879"/>
      </w:r>
      <w:r w:rsidRPr="00C17129">
        <w:t>. Les premières évaluations faites par les acteurs humanitaires à partir de mai 2017 ont relevé une situation désastreuse</w:t>
      </w:r>
      <w:r w:rsidRPr="007F1170">
        <w:rPr>
          <w:rStyle w:val="FootnoteReference"/>
        </w:rPr>
        <w:footnoteReference w:id="880"/>
      </w:r>
      <w:r w:rsidRPr="00C17129">
        <w:t>. Suite aux violences, la population a perdu l’accès à ses moyens d’existence et aux denrées alimentaires de base, aux soins médicaux et à l’éducation. Certains villages ne sont plus ravitaillés et les prix des denrées de base ont augmenté à tel point qu’une partie de la population ne peut plus se les procurer. Selon les chiffres du</w:t>
      </w:r>
      <w:r w:rsidR="007B1EDD">
        <w:t xml:space="preserve"> </w:t>
      </w:r>
      <w:r w:rsidR="007B1EDD" w:rsidRPr="008F2FEC">
        <w:t>Programme alimentaire mondial</w:t>
      </w:r>
      <w:r w:rsidRPr="00C17129">
        <w:t xml:space="preserve"> </w:t>
      </w:r>
      <w:r w:rsidR="007B1EDD">
        <w:t>(</w:t>
      </w:r>
      <w:r w:rsidRPr="00E81F02">
        <w:t>PAM</w:t>
      </w:r>
      <w:r w:rsidR="007B1EDD">
        <w:t>)</w:t>
      </w:r>
      <w:r w:rsidR="009634AE">
        <w:t xml:space="preserve"> et de l</w:t>
      </w:r>
      <w:r w:rsidR="009634AE" w:rsidRPr="009634AE">
        <w:t>’Organisation pour l’alimentation et l’agriculture</w:t>
      </w:r>
      <w:r w:rsidRPr="00C17129">
        <w:t>, environ 3,2 millions de personnes dans la région souffrent encore d'insécurité alimentaire et ont du mal à se nourrir ; Il s’agit en majorité d’enfants et de femme</w:t>
      </w:r>
      <w:r w:rsidR="0040182F">
        <w:t>s. 14% de ces personnes dont de nombreux</w:t>
      </w:r>
      <w:r w:rsidRPr="00C17129">
        <w:t xml:space="preserve"> enfant</w:t>
      </w:r>
      <w:r w:rsidR="006275BD" w:rsidRPr="00C17129">
        <w:t>s</w:t>
      </w:r>
      <w:r w:rsidRPr="00C17129">
        <w:t xml:space="preserve"> souffrent d’insécurité alimentaire sévère</w:t>
      </w:r>
      <w:r w:rsidRPr="007F1170">
        <w:rPr>
          <w:rStyle w:val="FootnoteReference"/>
        </w:rPr>
        <w:footnoteReference w:id="881"/>
      </w:r>
      <w:r w:rsidRPr="00C17129">
        <w:t>. Cela est directement lié à la crise</w:t>
      </w:r>
      <w:r w:rsidRPr="007F1170">
        <w:rPr>
          <w:rStyle w:val="FootnoteReference"/>
        </w:rPr>
        <w:footnoteReference w:id="882"/>
      </w:r>
      <w:r w:rsidRPr="00C17129">
        <w:t xml:space="preserve">. Selon </w:t>
      </w:r>
      <w:r w:rsidRPr="002D31A9">
        <w:t>l’UNICEF,</w:t>
      </w:r>
      <w:r w:rsidRPr="00C17129">
        <w:t xml:space="preserve"> 416 écoles et 224 centres de santé ont été attaqués depuis le début de la crise au Kasaï</w:t>
      </w:r>
      <w:r w:rsidRPr="007F1170">
        <w:rPr>
          <w:rStyle w:val="FootnoteReference"/>
        </w:rPr>
        <w:footnoteReference w:id="883"/>
      </w:r>
      <w:r w:rsidRPr="00C17129">
        <w:t xml:space="preserve">. Plus de la moitié des attaques contre les écoles et près de la moitié de celles contre les centres de santé ont eu lieu au Kasaï </w:t>
      </w:r>
      <w:r w:rsidR="00E442FD">
        <w:t>C</w:t>
      </w:r>
      <w:r w:rsidR="00E442FD" w:rsidRPr="00C17129">
        <w:t>entral</w:t>
      </w:r>
      <w:r w:rsidRPr="00C17129">
        <w:t>, ainsi qu’à Kamonia et Luebo dans la province du Kasaï.</w:t>
      </w:r>
      <w:bookmarkEnd w:id="106"/>
    </w:p>
    <w:p w14:paraId="34EF82A1" w14:textId="7A92664B" w:rsidR="003D51E1" w:rsidRPr="00C17129" w:rsidRDefault="003D51E1" w:rsidP="00DC0C44">
      <w:pPr>
        <w:pStyle w:val="BodyText"/>
        <w:tabs>
          <w:tab w:val="left" w:pos="1559"/>
          <w:tab w:val="left" w:pos="1984"/>
          <w:tab w:val="left" w:leader="dot" w:pos="7654"/>
          <w:tab w:val="right" w:pos="8929"/>
        </w:tabs>
        <w:spacing w:line="240" w:lineRule="atLeast"/>
        <w:ind w:left="1138" w:right="1138" w:firstLine="0"/>
      </w:pPr>
      <w:r w:rsidRPr="00C17129">
        <w:t xml:space="preserve">De nombreuses personnes déplacées par les violences interviewées par </w:t>
      </w:r>
      <w:r w:rsidR="005E32E5">
        <w:t>l’EEI</w:t>
      </w:r>
      <w:r w:rsidRPr="00C17129">
        <w:t xml:space="preserve"> ont souvent passé plusieurs semaines voire plusieurs mois dans des conditions extrêmement difficiles se cachant dans la brousse, avant de pouvoir atteindre des centres urbanisés. De nombreuses personnes, dont beaucoup d’enfants</w:t>
      </w:r>
      <w:r w:rsidR="005E32E5">
        <w:t xml:space="preserve"> et des femmes enceintes</w:t>
      </w:r>
      <w:r w:rsidRPr="00C17129">
        <w:t>, sont tombées malades et sont mort</w:t>
      </w:r>
      <w:r w:rsidR="00854584">
        <w:t>e</w:t>
      </w:r>
      <w:r w:rsidRPr="00C17129">
        <w:t>s faute d’accès à des centres de santé, de la nourriture de base et de l’eau potable</w:t>
      </w:r>
      <w:r w:rsidR="005E32E5" w:rsidRPr="007F1170">
        <w:rPr>
          <w:rStyle w:val="FootnoteReference"/>
        </w:rPr>
        <w:footnoteReference w:id="884"/>
      </w:r>
      <w:r w:rsidRPr="00C17129">
        <w:t xml:space="preserve">. Des épidémies de rougeole et de choleras ont fait des victimes. Lorsqu’elles ne peuvent être hébergées par la famille ou des connaissances, les personnes déplacées, souvent des femmes et des enfants, totalement démunies, passent leurs nuits dehors ou dans des églises, avec un minimum d’assistance et de secours. </w:t>
      </w:r>
    </w:p>
    <w:p w14:paraId="637324D1" w14:textId="46E1A804" w:rsidR="003D51E1" w:rsidRPr="00C17129" w:rsidRDefault="003D51E1" w:rsidP="00DC0C44">
      <w:pPr>
        <w:pStyle w:val="BodyText"/>
        <w:tabs>
          <w:tab w:val="left" w:pos="1559"/>
          <w:tab w:val="left" w:pos="1984"/>
          <w:tab w:val="left" w:leader="dot" w:pos="7654"/>
          <w:tab w:val="right" w:pos="8929"/>
        </w:tabs>
        <w:spacing w:line="240" w:lineRule="atLeast"/>
        <w:ind w:left="1138" w:right="1138" w:firstLine="0"/>
      </w:pPr>
      <w:r w:rsidRPr="00C17129">
        <w:t>En raison des destructions des villages et des tensions ethniques dans le sud de la province du Kasaï, cert</w:t>
      </w:r>
      <w:r w:rsidR="00E81F02">
        <w:t>aines personnes retournées d’</w:t>
      </w:r>
      <w:r w:rsidRPr="00C17129">
        <w:t>Angola où elles étaient réfugiées n’ont pas pu rentrer dans leurs villages d’origine</w:t>
      </w:r>
      <w:r w:rsidRPr="007F1170">
        <w:rPr>
          <w:rStyle w:val="FootnoteReference"/>
        </w:rPr>
        <w:footnoteReference w:id="885"/>
      </w:r>
      <w:r w:rsidRPr="00C17129">
        <w:t>. La présence des barrières sur les routes, mises en place par des acteurs armés, a des conséquences négatives sur l’accès aux champs et les déplacements aux marchés, les habitants et surtout les femmes ayant peur pour leur sécurité. La perception des taxes illégales aux barrières diminue l’activité économique et fait augmenter les prix des produits de première nécessité</w:t>
      </w:r>
      <w:r w:rsidRPr="007F1170">
        <w:rPr>
          <w:rStyle w:val="FootnoteReference"/>
        </w:rPr>
        <w:footnoteReference w:id="886"/>
      </w:r>
      <w:r w:rsidRPr="00C17129">
        <w:t>.</w:t>
      </w:r>
    </w:p>
    <w:p w14:paraId="535846F5" w14:textId="07F1D948" w:rsidR="003D51E1" w:rsidRPr="00B30C53" w:rsidRDefault="003D51E1" w:rsidP="00BC668B">
      <w:pPr>
        <w:pStyle w:val="Heading2"/>
        <w:spacing w:before="360" w:line="270" w:lineRule="exact"/>
        <w:ind w:left="1138" w:right="1138" w:hanging="571"/>
        <w:rPr>
          <w:sz w:val="24"/>
          <w:szCs w:val="24"/>
          <w:lang w:val="fr-FR"/>
        </w:rPr>
      </w:pPr>
      <w:bookmarkStart w:id="107" w:name="_Toc518027539"/>
      <w:r w:rsidRPr="00B30C53">
        <w:rPr>
          <w:sz w:val="24"/>
          <w:szCs w:val="24"/>
          <w:lang w:val="fr-FR"/>
        </w:rPr>
        <w:t>Conséquences sur les enfants</w:t>
      </w:r>
      <w:bookmarkEnd w:id="107"/>
    </w:p>
    <w:p w14:paraId="7CA70775" w14:textId="7BCA2F8C" w:rsidR="003D51E1" w:rsidRPr="00C17129" w:rsidRDefault="003D51E1" w:rsidP="00DC0C44">
      <w:pPr>
        <w:pStyle w:val="BodyText"/>
        <w:tabs>
          <w:tab w:val="left" w:pos="1559"/>
          <w:tab w:val="left" w:pos="1984"/>
          <w:tab w:val="left" w:leader="dot" w:pos="7654"/>
          <w:tab w:val="right" w:pos="8929"/>
        </w:tabs>
        <w:spacing w:line="240" w:lineRule="atLeast"/>
        <w:ind w:left="1138" w:right="1138" w:firstLine="0"/>
      </w:pPr>
      <w:r w:rsidRPr="00C17129">
        <w:t>Les violences qui ont touché le Kasaï depuis avril 2016 ont affecté les enfants de manière disproportionnée. En effet, ceux-ci ont été à la fois les principales victimes des violences mais aussi le principal instrument de celles-ci. Malgré les difficultés d’accès, les acteurs de la protection de l’enfant avaient déjà identifié, au 30 août 2017, 1 220 garçons et 658 filles recrutés et utilisés par la milice Kamuina Nsapu</w:t>
      </w:r>
      <w:r w:rsidRPr="007F1170">
        <w:rPr>
          <w:rStyle w:val="FootnoteReference"/>
        </w:rPr>
        <w:footnoteReference w:id="887"/>
      </w:r>
      <w:r w:rsidRPr="00C17129">
        <w:t xml:space="preserve">. Au vu des témoignages collectés par </w:t>
      </w:r>
      <w:r w:rsidR="0039050B">
        <w:t>l’EEI</w:t>
      </w:r>
      <w:r w:rsidRPr="00C17129">
        <w:t xml:space="preserve">, il y a de sérieuses raisons de penser que la milice Kamuina Nsapu a recruté et utilisé un nombre beaucoup plus élevé d’enfants. De nouveaux cas de recrutements et d’utilisation d’enfants ont continué à être </w:t>
      </w:r>
      <w:r w:rsidR="0039050B">
        <w:t>rapportés</w:t>
      </w:r>
      <w:r w:rsidRPr="00C17129">
        <w:t xml:space="preserve"> depuis cette date y compris pour l’année 2018. </w:t>
      </w:r>
    </w:p>
    <w:p w14:paraId="2ED60745" w14:textId="7001B407" w:rsidR="003D51E1" w:rsidRPr="00C17129" w:rsidRDefault="003D51E1" w:rsidP="00DC0C44">
      <w:pPr>
        <w:pStyle w:val="BodyText"/>
        <w:tabs>
          <w:tab w:val="left" w:pos="1559"/>
          <w:tab w:val="left" w:pos="1984"/>
          <w:tab w:val="left" w:leader="dot" w:pos="7654"/>
          <w:tab w:val="right" w:pos="8929"/>
        </w:tabs>
        <w:spacing w:line="240" w:lineRule="atLeast"/>
        <w:ind w:left="1138" w:right="1138" w:firstLine="0"/>
      </w:pPr>
      <w:r w:rsidRPr="00C17129">
        <w:t>Des enfants ont été enlevés, blessés, mutilés, retenus, parfois de nombreux mois, ou exécutés par la milice Kamuina Nsapu. Certains ont vu leurs parents être décapités par les</w:t>
      </w:r>
      <w:r w:rsidR="00B24641">
        <w:t xml:space="preserve"> miliciens</w:t>
      </w:r>
      <w:r w:rsidRPr="00C17129">
        <w:t xml:space="preserve"> Kamuina Nsapu, ou leur mère violée par les membres </w:t>
      </w:r>
      <w:r w:rsidRPr="00B24641">
        <w:t xml:space="preserve">des </w:t>
      </w:r>
      <w:r w:rsidR="00B24641" w:rsidRPr="00CB2CDD">
        <w:t>f</w:t>
      </w:r>
      <w:r w:rsidRPr="00B24641">
        <w:t>orces de défense et de sécurité.</w:t>
      </w:r>
      <w:r w:rsidRPr="00C17129">
        <w:t xml:space="preserve"> La plupart d’entre eux ont été forcés à prendre part aux affrontements en première ligne avec des armes blanches, des bâtons, des fusils traditionnels ou sans arme. Ils ont été contraints de tuer. Ce sont au moins 401 mineurs qui ont été détenus en relation avec leur association </w:t>
      </w:r>
      <w:r w:rsidR="00B24641">
        <w:t>à la milice</w:t>
      </w:r>
      <w:r w:rsidR="00B24641" w:rsidRPr="00C17129">
        <w:t xml:space="preserve"> </w:t>
      </w:r>
      <w:r w:rsidRPr="00C17129">
        <w:t>Kamuina Nsapu</w:t>
      </w:r>
      <w:r w:rsidRPr="007F1170">
        <w:rPr>
          <w:rStyle w:val="FootnoteReference"/>
        </w:rPr>
        <w:footnoteReference w:id="888"/>
      </w:r>
      <w:r w:rsidRPr="00C17129">
        <w:t>. Les traumatismes physiques et psychologiques engendrés par cette situation demanderont une prise en charge pendant longtemps.</w:t>
      </w:r>
    </w:p>
    <w:p w14:paraId="63E1ADF8" w14:textId="0C645B52" w:rsidR="003D51E1" w:rsidRPr="00C17129" w:rsidRDefault="003D51E1" w:rsidP="00DC0C44">
      <w:pPr>
        <w:pStyle w:val="BodyText"/>
        <w:tabs>
          <w:tab w:val="left" w:pos="1559"/>
          <w:tab w:val="left" w:pos="1984"/>
          <w:tab w:val="left" w:leader="dot" w:pos="7654"/>
          <w:tab w:val="right" w:pos="8929"/>
        </w:tabs>
        <w:spacing w:line="240" w:lineRule="atLeast"/>
        <w:ind w:left="1138" w:right="1138" w:firstLine="0"/>
      </w:pPr>
      <w:r w:rsidRPr="00C17129">
        <w:t xml:space="preserve">Cette large utilisation d’enfants appartenant au même groupe ethnique dans le but de commettre des actes d’une extrême violence a eu de nombreuses conséquences sur l’ensemble de la communauté. En effet, </w:t>
      </w:r>
      <w:r w:rsidR="00B24641">
        <w:t>l’EEI</w:t>
      </w:r>
      <w:r w:rsidRPr="00C17129">
        <w:t xml:space="preserve"> a pu observer une véritable perte de confiance entre enfants et adultes. Les enfants, à qui la milice Kamuina Nsapu disait qu’ils étaient invincibles grâce aux fétiches, ont vu mourir leurs camarades ; à certains et certaines qui iraient combattre les militaires, les Kamuina Nsapu ont promis l’école gratuite.</w:t>
      </w:r>
    </w:p>
    <w:p w14:paraId="63DBDD01" w14:textId="3DC50CCC" w:rsidR="003D51E1" w:rsidRPr="00C17129" w:rsidRDefault="003D51E1" w:rsidP="00DC0C44">
      <w:pPr>
        <w:pStyle w:val="BodyText"/>
        <w:tabs>
          <w:tab w:val="left" w:pos="1559"/>
          <w:tab w:val="left" w:pos="1984"/>
          <w:tab w:val="left" w:leader="dot" w:pos="7654"/>
          <w:tab w:val="right" w:pos="8929"/>
        </w:tabs>
        <w:spacing w:line="240" w:lineRule="atLeast"/>
        <w:ind w:left="1138" w:right="1138" w:firstLine="0"/>
      </w:pPr>
      <w:r w:rsidRPr="00C17129">
        <w:t xml:space="preserve">Le recrutement et l’utilisation massive de garçons et de filles à des fonctions spécifiques par genre a aussi ancré l’idée que les petites filles recrutées </w:t>
      </w:r>
      <w:r w:rsidR="00B24641">
        <w:t>dans la milice</w:t>
      </w:r>
      <w:r w:rsidRPr="00C17129">
        <w:t xml:space="preserve"> Kamuina Nsapu, les </w:t>
      </w:r>
      <w:r w:rsidR="00DB37FF">
        <w:t>« </w:t>
      </w:r>
      <w:r w:rsidRPr="00DC0C44">
        <w:t>ya</w:t>
      </w:r>
      <w:r w:rsidR="00B24641" w:rsidRPr="00DC0C44">
        <w:t xml:space="preserve"> </w:t>
      </w:r>
      <w:r w:rsidRPr="00DC0C44">
        <w:t>mama</w:t>
      </w:r>
      <w:r w:rsidR="00DB37FF">
        <w:t> »</w:t>
      </w:r>
      <w:r w:rsidRPr="00C17129">
        <w:t xml:space="preserve">, avaient un pouvoir létal supérieur aux autres membres de la milice. Enfin, l’utilisation d’enfants en provenance d’un seul groupe ethnique dans le but de commettre des actes de violence </w:t>
      </w:r>
      <w:r w:rsidRPr="00D10AFD">
        <w:t>ciblant des agents de l’état</w:t>
      </w:r>
      <w:r w:rsidRPr="00C17129">
        <w:t xml:space="preserve"> a créé un climat de suspicion et de méfiance à l’égard de ces enfants de cette ethnie. On peut également penser que cela </w:t>
      </w:r>
      <w:r w:rsidR="00D10AFD">
        <w:t>pourrait être</w:t>
      </w:r>
      <w:r w:rsidRPr="00C17129">
        <w:t xml:space="preserve"> l’une des raisons pour lesquelles tant d’enfants </w:t>
      </w:r>
      <w:r w:rsidR="002D0097" w:rsidRPr="00C17129">
        <w:t>luba</w:t>
      </w:r>
      <w:r w:rsidR="004A163E">
        <w:t>s</w:t>
      </w:r>
      <w:r w:rsidRPr="00C17129">
        <w:t xml:space="preserve"> ont été victimes d’exécutions sommaires et extrajudiciaires parfois même dans leur sommeil. Plusieurs centaines d’autres seront arrêtés et détenus durant de nombreux mois. </w:t>
      </w:r>
    </w:p>
    <w:p w14:paraId="04BA6E5F" w14:textId="2D559E74" w:rsidR="003D51E1" w:rsidRPr="00666F70" w:rsidRDefault="003D51E1" w:rsidP="00DC0C44">
      <w:pPr>
        <w:pStyle w:val="BodyText"/>
        <w:tabs>
          <w:tab w:val="left" w:pos="1559"/>
          <w:tab w:val="left" w:pos="1984"/>
          <w:tab w:val="left" w:leader="dot" w:pos="7654"/>
          <w:tab w:val="right" w:pos="8929"/>
        </w:tabs>
        <w:spacing w:line="240" w:lineRule="atLeast"/>
        <w:ind w:left="1138" w:right="1138" w:firstLine="0"/>
      </w:pPr>
      <w:r w:rsidRPr="00666F70">
        <w:t>Le Bureau de la coordination des affaires humanitaires des Nations Unies a pu établir qu’en avril 2017, 1 185 600 enfants des Kasaï dont plus de 600</w:t>
      </w:r>
      <w:r w:rsidR="00114306">
        <w:t xml:space="preserve"> </w:t>
      </w:r>
      <w:r w:rsidRPr="00666F70">
        <w:t>000 filles avaient besoin d’aide d’urgence</w:t>
      </w:r>
      <w:r w:rsidRPr="007F1170">
        <w:rPr>
          <w:rStyle w:val="FootnoteReference"/>
        </w:rPr>
        <w:footnoteReference w:id="889"/>
      </w:r>
      <w:r w:rsidRPr="00666F70">
        <w:t>. En mai 2018, plus de 770</w:t>
      </w:r>
      <w:r w:rsidR="00114306">
        <w:t xml:space="preserve"> </w:t>
      </w:r>
      <w:r w:rsidRPr="00666F70">
        <w:t>000 des enfants de moins de 5 ans souffraient de malnutrition ; parmi eux, 400</w:t>
      </w:r>
      <w:r w:rsidR="00114306">
        <w:t xml:space="preserve"> </w:t>
      </w:r>
      <w:r w:rsidRPr="00666F70">
        <w:t>000 souffraient de malnutrition sévère demandant une attention médicale urgente.</w:t>
      </w:r>
      <w:r w:rsidRPr="007F1170">
        <w:rPr>
          <w:rStyle w:val="FootnoteReference"/>
        </w:rPr>
        <w:footnoteReference w:id="890"/>
      </w:r>
      <w:r w:rsidRPr="00666F70">
        <w:t xml:space="preserve"> </w:t>
      </w:r>
      <w:r w:rsidR="00666F70" w:rsidRPr="00C17129">
        <w:t xml:space="preserve">Selon </w:t>
      </w:r>
      <w:r w:rsidR="00666F70" w:rsidRPr="002D31A9">
        <w:t>l’</w:t>
      </w:r>
      <w:r w:rsidR="00666F70" w:rsidRPr="00CB2CDD">
        <w:t>UNICEF</w:t>
      </w:r>
      <w:r w:rsidR="00666F70" w:rsidRPr="002D31A9">
        <w:t>,</w:t>
      </w:r>
      <w:r w:rsidR="00666F70" w:rsidRPr="00C17129">
        <w:t xml:space="preserve"> 416 écoles ont été attaqués depuis le début de la crise au Kasaï</w:t>
      </w:r>
      <w:r w:rsidR="00666F70" w:rsidRPr="007F1170">
        <w:rPr>
          <w:rStyle w:val="FootnoteReference"/>
        </w:rPr>
        <w:footnoteReference w:id="891"/>
      </w:r>
      <w:r w:rsidR="00666F70" w:rsidRPr="00C17129">
        <w:t>.</w:t>
      </w:r>
      <w:r w:rsidRPr="00666F70">
        <w:t xml:space="preserve"> Au 31 mai 2017, UNICEF estimait qu’au moins 1 enfant sur 10 dans les provinces du Kasaï a eu la scolarité interrompue par les violences</w:t>
      </w:r>
      <w:r w:rsidRPr="007F1170">
        <w:rPr>
          <w:rStyle w:val="FootnoteReference"/>
        </w:rPr>
        <w:footnoteReference w:id="892"/>
      </w:r>
      <w:r w:rsidRPr="00666F70">
        <w:t>, les écoles et autres lieux d’enseignements étant parmi les cibles des attaques de la milice Kamuina Nsapu.</w:t>
      </w:r>
    </w:p>
    <w:p w14:paraId="7F28E16A" w14:textId="1EB58F8D" w:rsidR="003D51E1" w:rsidRPr="00C17129" w:rsidRDefault="003D51E1" w:rsidP="00DC0C44">
      <w:pPr>
        <w:pStyle w:val="BodyText"/>
        <w:tabs>
          <w:tab w:val="left" w:pos="1559"/>
          <w:tab w:val="left" w:pos="1984"/>
          <w:tab w:val="left" w:leader="dot" w:pos="7654"/>
          <w:tab w:val="right" w:pos="8929"/>
        </w:tabs>
        <w:spacing w:line="240" w:lineRule="atLeast"/>
        <w:ind w:left="1138" w:right="1138" w:firstLine="0"/>
      </w:pPr>
      <w:r w:rsidRPr="00C17129">
        <w:t>L’impact des déplacements de populations sur les enfants, le nombre important d’enfants séparés</w:t>
      </w:r>
      <w:r w:rsidR="00977C10">
        <w:t xml:space="preserve"> de leurs parents</w:t>
      </w:r>
      <w:r w:rsidRPr="00C17129">
        <w:t xml:space="preserve"> ou orphelins, la malnutrition sévère et la destruction massive et ciblée des écoles et des centres de santé auront des conséquences profondes et durables sur les capacités de développement des provinces affectées et du pays tout entier.</w:t>
      </w:r>
      <w:r w:rsidR="004119C6">
        <w:t xml:space="preserve"> </w:t>
      </w:r>
      <w:r w:rsidR="00114306">
        <w:t xml:space="preserve"> L</w:t>
      </w:r>
      <w:r w:rsidR="000E0DA5">
        <w:t>es centres urbanisés ont vu l’apparition de groupes d’enfants vivant dans les rues et commettant des larcins et agressions pour survivre</w:t>
      </w:r>
      <w:r w:rsidR="000E0DA5" w:rsidRPr="007F1170">
        <w:rPr>
          <w:rStyle w:val="FootnoteReference"/>
        </w:rPr>
        <w:footnoteReference w:id="893"/>
      </w:r>
      <w:r w:rsidR="000E0DA5">
        <w:t xml:space="preserve">. </w:t>
      </w:r>
      <w:r w:rsidR="00B32B64">
        <w:t xml:space="preserve">Certains enfants sortis de la milice Kamuina Nsapu ont exprimé la possibilité d’y retourner car ils vivaient actuellement dans des conditions très difficiles. Ainsi une jeune fille a indiqué penser retourner dans la milice car les drogues qu’on lui donnait lorsqu’elle était </w:t>
      </w:r>
      <w:r w:rsidR="00DB37FF">
        <w:t>« </w:t>
      </w:r>
      <w:r w:rsidR="00B32B64" w:rsidRPr="00DC0C44">
        <w:t>ya</w:t>
      </w:r>
      <w:r w:rsidR="00977C10" w:rsidRPr="00DC0C44">
        <w:t xml:space="preserve"> </w:t>
      </w:r>
      <w:r w:rsidR="00B32B64" w:rsidRPr="00DC0C44">
        <w:t>mama</w:t>
      </w:r>
      <w:r w:rsidR="00DB37FF">
        <w:t> »</w:t>
      </w:r>
      <w:r w:rsidR="00B32B64">
        <w:t xml:space="preserve"> servaient de coupe-faim alors qu’elle ne mangeait pas à sa faim depuis sa sortie de la milice</w:t>
      </w:r>
      <w:r w:rsidR="00552335" w:rsidRPr="007F1170">
        <w:rPr>
          <w:rStyle w:val="FootnoteReference"/>
        </w:rPr>
        <w:footnoteReference w:id="894"/>
      </w:r>
      <w:r w:rsidR="00B32B64">
        <w:t>.</w:t>
      </w:r>
    </w:p>
    <w:p w14:paraId="5E5C9478" w14:textId="2A4B074D" w:rsidR="003D51E1" w:rsidRPr="00B30C53" w:rsidRDefault="003D51E1" w:rsidP="00BC668B">
      <w:pPr>
        <w:pStyle w:val="Heading2"/>
        <w:spacing w:before="360" w:line="270" w:lineRule="exact"/>
        <w:ind w:left="1138" w:right="1138" w:hanging="571"/>
        <w:rPr>
          <w:sz w:val="24"/>
          <w:szCs w:val="24"/>
          <w:lang w:val="fr-FR"/>
        </w:rPr>
      </w:pPr>
      <w:bookmarkStart w:id="108" w:name="_Toc518027540"/>
      <w:r w:rsidRPr="00B30C53">
        <w:rPr>
          <w:sz w:val="24"/>
          <w:szCs w:val="24"/>
          <w:lang w:val="fr-FR"/>
        </w:rPr>
        <w:t>Conséquences sur les femmes</w:t>
      </w:r>
      <w:bookmarkEnd w:id="108"/>
    </w:p>
    <w:p w14:paraId="20B8AE44" w14:textId="3650E020" w:rsidR="003D51E1" w:rsidRPr="00C17129" w:rsidRDefault="003D51E1" w:rsidP="00DC0C44">
      <w:pPr>
        <w:pStyle w:val="BodyText"/>
        <w:tabs>
          <w:tab w:val="left" w:pos="1559"/>
          <w:tab w:val="left" w:pos="1984"/>
          <w:tab w:val="left" w:leader="dot" w:pos="7654"/>
          <w:tab w:val="right" w:pos="8929"/>
        </w:tabs>
        <w:spacing w:line="240" w:lineRule="atLeast"/>
        <w:ind w:left="1138" w:right="1138" w:firstLine="0"/>
      </w:pPr>
      <w:r w:rsidRPr="00C17129">
        <w:t>Sur les 45</w:t>
      </w:r>
      <w:r w:rsidR="00977C10">
        <w:t>4</w:t>
      </w:r>
      <w:r w:rsidRPr="00C17129">
        <w:t xml:space="preserve"> personnes qui ont partagé leur expérience avec </w:t>
      </w:r>
      <w:r w:rsidR="00977C10">
        <w:t>l’EEI</w:t>
      </w:r>
      <w:r w:rsidRPr="00C17129">
        <w:t>, au moins 45% ont mentionné qu’elles avaient été victimes de violences sexuelles par une ou plusieurs personnes, au cours d’une ou plusieurs occasions, ou qu’elles avaient été témoin connaissaient des personnes ayant subi de telles violences. La majorité des violences sexuelles commises sont des viols. Ces chiffrent doivent être lus au regard du fait que par peur de stigmatisation, beaucoup de victimes de viols n’osent pas parler de ce qu’il leur est arrivé. Cela démontre l’ampleur des violences sexuelles qui ont été commises au Kasaï depuis 2016 par tous</w:t>
      </w:r>
      <w:r w:rsidR="00114306">
        <w:t xml:space="preserve"> les</w:t>
      </w:r>
      <w:r w:rsidRPr="00C17129">
        <w:t xml:space="preserve"> acteurs du conflit. Ainsi, une femme raconte qu’en fuyant son village avec d’autres femmes, elles sont tombées sur un groupe d’hommes cagoulés ; elle a été violée par neuf d’entre eux et que vu son état, le dixième a renoncé</w:t>
      </w:r>
      <w:r w:rsidRPr="007F1170">
        <w:rPr>
          <w:rStyle w:val="FootnoteReference"/>
        </w:rPr>
        <w:footnoteReference w:id="895"/>
      </w:r>
      <w:r w:rsidR="00977C10">
        <w:t>.</w:t>
      </w:r>
    </w:p>
    <w:p w14:paraId="6802250B" w14:textId="42D5F9C4" w:rsidR="003D51E1" w:rsidRPr="00C17129" w:rsidRDefault="003D51E1" w:rsidP="00DC0C44">
      <w:pPr>
        <w:pStyle w:val="BodyText"/>
        <w:tabs>
          <w:tab w:val="left" w:pos="1559"/>
          <w:tab w:val="left" w:pos="1984"/>
          <w:tab w:val="left" w:leader="dot" w:pos="7654"/>
          <w:tab w:val="right" w:pos="8929"/>
        </w:tabs>
        <w:spacing w:line="240" w:lineRule="atLeast"/>
        <w:ind w:left="1138" w:right="1138" w:firstLine="0"/>
      </w:pPr>
      <w:r w:rsidRPr="00C17129">
        <w:t>Une grande partie des victimes n’a pas pu avoir accès à des soins médicaux dans les 72 heures après leur viol</w:t>
      </w:r>
      <w:r w:rsidRPr="007F1170">
        <w:rPr>
          <w:rStyle w:val="FootnoteReference"/>
        </w:rPr>
        <w:footnoteReference w:id="896"/>
      </w:r>
      <w:r w:rsidR="00977C10">
        <w:t>.</w:t>
      </w:r>
      <w:r w:rsidRPr="00C17129">
        <w:t xml:space="preserve"> Cela est parfois dû à l’impossibilité d’accéder à un centre de santé adapté surtout dans les endroits les plus isolés, certains ayant d’ailleurs été détruits dans les violences qui se sont produites depuis 2016, ou au coût d’un service que les victimes ne peuvent s’offrir</w:t>
      </w:r>
      <w:r w:rsidRPr="007F1170">
        <w:rPr>
          <w:rStyle w:val="FootnoteReference"/>
        </w:rPr>
        <w:footnoteReference w:id="897"/>
      </w:r>
      <w:r w:rsidRPr="00C17129">
        <w:t>. Ainsi beaucoup de survivants et de survivantes souffrent de séquelles physiques, dont des infections, fistules, déchirures vaginales ou annales ou d’autres problèmes gynécologiques récurrents, qui ont une incidence sur leur capacité à exercer les tâches domestiques ou une activité professionnelle nécessaire pour subvenir aux besoins de leur famille ; ils souffrent également de séquelles psychologiques</w:t>
      </w:r>
      <w:r w:rsidRPr="007F1170">
        <w:rPr>
          <w:rStyle w:val="FootnoteReference"/>
        </w:rPr>
        <w:footnoteReference w:id="898"/>
      </w:r>
      <w:r w:rsidRPr="00C17129">
        <w:t xml:space="preserve">. Ainsi en mars 2017, une femme qui était restée cachée trois semaines dans la brousse, </w:t>
      </w:r>
      <w:r w:rsidR="0035763B">
        <w:t>a été</w:t>
      </w:r>
      <w:r w:rsidRPr="00C17129">
        <w:t xml:space="preserve"> viol</w:t>
      </w:r>
      <w:r w:rsidR="0035763B">
        <w:t>ée</w:t>
      </w:r>
      <w:r w:rsidRPr="00C17129">
        <w:t xml:space="preserve"> par trois hommes alors qu’elle était partie chercher de la nourriture pour ses enfants. L’agression a été tellement violente qu’elle souffre d’un prolapsus utérin du troisième degré qui nécessite une opération chirurgicale à laquelle elle n’a pas accès</w:t>
      </w:r>
      <w:r w:rsidRPr="007F1170">
        <w:rPr>
          <w:rStyle w:val="FootnoteReference"/>
        </w:rPr>
        <w:footnoteReference w:id="899"/>
      </w:r>
      <w:r w:rsidRPr="00C17129">
        <w:t>. Puisque nombre de victimes n’ont pas eu accès à une attention médicale adaptée, elles ne savent pas si elles ont été affectées par des maladies sexuellement transmissibles tels le VIH</w:t>
      </w:r>
      <w:r w:rsidRPr="007F1170">
        <w:rPr>
          <w:rStyle w:val="FootnoteReference"/>
        </w:rPr>
        <w:footnoteReference w:id="900"/>
      </w:r>
      <w:r w:rsidRPr="00C17129">
        <w:t>.</w:t>
      </w:r>
    </w:p>
    <w:p w14:paraId="3553F5A2" w14:textId="366FF1EF" w:rsidR="003D51E1" w:rsidRPr="00C17129" w:rsidRDefault="003D51E1" w:rsidP="00DC0C44">
      <w:pPr>
        <w:pStyle w:val="BodyText"/>
        <w:tabs>
          <w:tab w:val="left" w:pos="1559"/>
          <w:tab w:val="left" w:pos="1984"/>
          <w:tab w:val="left" w:leader="dot" w:pos="7654"/>
          <w:tab w:val="right" w:pos="8929"/>
        </w:tabs>
        <w:spacing w:line="240" w:lineRule="atLeast"/>
        <w:ind w:left="1138" w:right="1138" w:firstLine="0"/>
      </w:pPr>
      <w:r w:rsidRPr="00C17129">
        <w:t>Des femmes qui étaient enceintes ont été violées ; certaines ont fait une fausse-couche ou ont accouché prématurément suite à ces viols</w:t>
      </w:r>
      <w:r w:rsidRPr="007F1170">
        <w:rPr>
          <w:rStyle w:val="FootnoteReference"/>
        </w:rPr>
        <w:footnoteReference w:id="901"/>
      </w:r>
      <w:r w:rsidRPr="00C17129">
        <w:t> ; d’autres sont décédées des suites de leur viol</w:t>
      </w:r>
      <w:r w:rsidRPr="007F1170">
        <w:rPr>
          <w:rStyle w:val="FootnoteReference"/>
        </w:rPr>
        <w:footnoteReference w:id="902"/>
      </w:r>
      <w:r w:rsidRPr="00C17129">
        <w:t>. Des femmes enceintes ont été tuées, éventrées et leur fœtus sortis</w:t>
      </w:r>
      <w:r w:rsidRPr="007F1170">
        <w:rPr>
          <w:rStyle w:val="FootnoteReference"/>
        </w:rPr>
        <w:footnoteReference w:id="903"/>
      </w:r>
      <w:r w:rsidRPr="00C17129">
        <w:t>. De nombreuses femmes ont fait état de la brutalité physique avec laquelle elles ont été violées</w:t>
      </w:r>
      <w:r w:rsidRPr="007F1170">
        <w:rPr>
          <w:rStyle w:val="FootnoteReference"/>
        </w:rPr>
        <w:footnoteReference w:id="904"/>
      </w:r>
      <w:r w:rsidRPr="00C17129">
        <w:t>. Certaines victimes ont été obligées de prodiguer des actes sexuels à un membre de leur famille en public. Ainsi une femme rapporte qu’un soir des militaires se sont présentés à son domicile et ont ordonné à son fils de 18 ans d’avoir un rapport sexuel avec elle. Comme il a refusé, il a été tué et elle a été violée par trois des assaillants</w:t>
      </w:r>
      <w:r w:rsidRPr="007F1170">
        <w:rPr>
          <w:rStyle w:val="FootnoteReference"/>
        </w:rPr>
        <w:footnoteReference w:id="905"/>
      </w:r>
      <w:r w:rsidRPr="00C17129">
        <w:t>. Un homme va être forcé d’avoir une relation sexuelle avec sa belle-mère devant la foule à Luebo. Cette scène va être filmée et diffusée sur les réseaux sociaux. Ils seront tous les deux tués et leurs cadavres mutilés</w:t>
      </w:r>
      <w:r w:rsidRPr="007F1170">
        <w:rPr>
          <w:rStyle w:val="FootnoteReference"/>
        </w:rPr>
        <w:footnoteReference w:id="906"/>
      </w:r>
      <w:r w:rsidR="00737C46">
        <w:t>.</w:t>
      </w:r>
      <w:r w:rsidRPr="00C17129">
        <w:t xml:space="preserve"> Une femme raconte qu’elle a été violée par trois hommes et que l’un l’a forcé à lui faire une fellation</w:t>
      </w:r>
      <w:r w:rsidRPr="007F1170">
        <w:rPr>
          <w:rStyle w:val="FootnoteReference"/>
        </w:rPr>
        <w:footnoteReference w:id="907"/>
      </w:r>
      <w:r w:rsidR="00737C46">
        <w:t>.</w:t>
      </w:r>
      <w:r w:rsidRPr="00C17129">
        <w:t xml:space="preserve"> D’autres sont tombées enceinte suite à leur viol</w:t>
      </w:r>
      <w:r w:rsidRPr="007F1170">
        <w:rPr>
          <w:rStyle w:val="FootnoteReference"/>
        </w:rPr>
        <w:footnoteReference w:id="908"/>
      </w:r>
      <w:r w:rsidRPr="00C17129">
        <w:t>. Un homme raconte comment il est devenu impuissant depuis que des miliciens Kamuina Nsapu ont forcé son domicile, qu’ils l’ont battu, et torturé notamment en liant un fil dans son pénis</w:t>
      </w:r>
      <w:r w:rsidRPr="007F1170">
        <w:rPr>
          <w:rStyle w:val="FootnoteReference"/>
        </w:rPr>
        <w:footnoteReference w:id="909"/>
      </w:r>
      <w:r w:rsidR="00737C46">
        <w:t>.</w:t>
      </w:r>
    </w:p>
    <w:p w14:paraId="71030B22" w14:textId="77777777" w:rsidR="003D51E1" w:rsidRPr="00C17129" w:rsidRDefault="003D51E1" w:rsidP="00DC0C44">
      <w:pPr>
        <w:pStyle w:val="BodyText"/>
        <w:tabs>
          <w:tab w:val="left" w:pos="1559"/>
          <w:tab w:val="left" w:pos="1984"/>
          <w:tab w:val="left" w:leader="dot" w:pos="7654"/>
          <w:tab w:val="right" w:pos="8929"/>
        </w:tabs>
        <w:spacing w:line="240" w:lineRule="atLeast"/>
        <w:ind w:left="1138" w:right="1138" w:firstLine="0"/>
      </w:pPr>
      <w:r w:rsidRPr="00C17129">
        <w:t>Les victimes de violences sexuelles au Kasaï font face à de nombreuses conséquences physiques, psycho-sociales et financières qui les affectent directement mais qui affectent aussi l’ensemble de la communauté, notamment à cause des nombreuses traditions et règles coutumières au Kasaï. Un nombre important de femmes ont été violées devant leurs enfants, leur mari ou d’autres membres de leur famille ou communauté</w:t>
      </w:r>
      <w:r w:rsidRPr="007F1170">
        <w:rPr>
          <w:rStyle w:val="FootnoteReference"/>
        </w:rPr>
        <w:footnoteReference w:id="910"/>
      </w:r>
      <w:r w:rsidRPr="00C17129">
        <w:t>. Un suivi psycho-social est également nécessaire pour ces personnes, victimes, elles aussi.</w:t>
      </w:r>
    </w:p>
    <w:p w14:paraId="1CCF1BE7" w14:textId="77777777" w:rsidR="003D51E1" w:rsidRPr="00C17129" w:rsidRDefault="003D51E1" w:rsidP="00DC0C44">
      <w:pPr>
        <w:pStyle w:val="BodyText"/>
        <w:tabs>
          <w:tab w:val="left" w:pos="1559"/>
          <w:tab w:val="left" w:pos="1984"/>
          <w:tab w:val="left" w:leader="dot" w:pos="7654"/>
          <w:tab w:val="right" w:pos="8929"/>
        </w:tabs>
        <w:spacing w:line="240" w:lineRule="atLeast"/>
        <w:ind w:left="1138" w:right="1138" w:firstLine="0"/>
      </w:pPr>
      <w:r w:rsidRPr="00C17129">
        <w:t>Certaines femmes et jeunes filles ont également été retenues contre leur gré de plusieurs jours à plusieurs mois dans un environnement où elles ont été violées de façon répétée, souvent plusieurs fois par jour. Certaines d’entre elles sont tombées enceintes suite à ces viols. Si certaines ont réussi à s’échapper ou ont été libérées, à ce jour, d’autres sont toujours retenues contre leur gré</w:t>
      </w:r>
      <w:r w:rsidRPr="007F1170">
        <w:rPr>
          <w:rStyle w:val="FootnoteReference"/>
        </w:rPr>
        <w:footnoteReference w:id="911"/>
      </w:r>
      <w:r w:rsidRPr="00C17129">
        <w:t>.</w:t>
      </w:r>
    </w:p>
    <w:p w14:paraId="506E2CD5" w14:textId="38C07660" w:rsidR="003D51E1" w:rsidRPr="00C17129" w:rsidRDefault="003D51E1" w:rsidP="00DC0C44">
      <w:pPr>
        <w:pStyle w:val="BodyText"/>
        <w:tabs>
          <w:tab w:val="left" w:pos="1559"/>
          <w:tab w:val="left" w:pos="1984"/>
          <w:tab w:val="left" w:leader="dot" w:pos="7654"/>
          <w:tab w:val="right" w:pos="8929"/>
        </w:tabs>
        <w:spacing w:line="240" w:lineRule="atLeast"/>
        <w:ind w:left="1138" w:right="1138" w:firstLine="0"/>
      </w:pPr>
      <w:r w:rsidRPr="00C17129">
        <w:t xml:space="preserve">De manière générale, les victimes de violences sexuelles, et plus précisément de viol que </w:t>
      </w:r>
      <w:r w:rsidR="00737C46">
        <w:t>l’EEI</w:t>
      </w:r>
      <w:r w:rsidRPr="00C17129">
        <w:t xml:space="preserve"> a pu rencontrer ont rarement porté plainte auprès des autorités congolaises. Le plus souvent elles ont indiqué un manque de confiance </w:t>
      </w:r>
      <w:r w:rsidR="00737C46">
        <w:t>dans</w:t>
      </w:r>
      <w:r w:rsidR="00737C46" w:rsidRPr="00C17129">
        <w:t xml:space="preserve"> </w:t>
      </w:r>
      <w:r w:rsidRPr="00C17129">
        <w:t>le système judiciaire, les coûts associés aux poursuites ou l’inutilité de la démarche</w:t>
      </w:r>
      <w:r w:rsidRPr="007F1170">
        <w:rPr>
          <w:rStyle w:val="FootnoteReference"/>
        </w:rPr>
        <w:footnoteReference w:id="912"/>
      </w:r>
      <w:r w:rsidRPr="00C17129">
        <w:t>. Elles ne voient pas ce que porter plainte pourrait leur apporter directement alors qu’elles considèrent les possibilités d’autonomisation économique et financière comme des réponses plus appropriées aux problèmes auxquels elles doivent faire face. Porter plainte augmente aussi le risque de stigmatisation et réduira pour une jeune fille ses chances de se marier ou augmentera pour une femme marié la possibilité de subir un divorce si la communauté ou leur mari viennent à apprendre ce qui leur est arrivé</w:t>
      </w:r>
      <w:r w:rsidRPr="007F1170">
        <w:rPr>
          <w:rStyle w:val="FootnoteReference"/>
        </w:rPr>
        <w:footnoteReference w:id="913"/>
      </w:r>
      <w:r w:rsidRPr="00C17129">
        <w:t xml:space="preserve">. En effet, les mesures de protection des témoins sont encore peu utilisées par les juridictions </w:t>
      </w:r>
      <w:r w:rsidR="00B30878">
        <w:t>au Kasaï</w:t>
      </w:r>
      <w:r w:rsidRPr="00C17129">
        <w:t xml:space="preserve"> malgré la loi</w:t>
      </w:r>
      <w:r w:rsidRPr="007F1170">
        <w:rPr>
          <w:rStyle w:val="FootnoteReference"/>
        </w:rPr>
        <w:footnoteReference w:id="914"/>
      </w:r>
      <w:r w:rsidR="00B30878">
        <w:t>.</w:t>
      </w:r>
      <w:r w:rsidRPr="00C17129">
        <w:t xml:space="preserve"> Les difficultés et coûts liés à l’exécution des jugements fait que les victimes, lorsqu’elles ont la possibilité de porter plainte et de voir la procédure aller jusqu’au jugement, reçoivent rarement les dommages-intérêts prononcés à leur bénéfice même lorsque l’Etat a été condamné </w:t>
      </w:r>
      <w:r w:rsidRPr="00DC0C44">
        <w:t>in solidum</w:t>
      </w:r>
      <w:r w:rsidRPr="00C17129">
        <w:t>.</w:t>
      </w:r>
    </w:p>
    <w:p w14:paraId="2DBABEE6" w14:textId="4E6585D1" w:rsidR="003D51E1" w:rsidRPr="00C17129" w:rsidRDefault="003D51E1" w:rsidP="00DC0C44">
      <w:pPr>
        <w:pStyle w:val="BodyText"/>
        <w:tabs>
          <w:tab w:val="left" w:pos="1559"/>
          <w:tab w:val="left" w:pos="1984"/>
          <w:tab w:val="left" w:leader="dot" w:pos="7654"/>
          <w:tab w:val="right" w:pos="8929"/>
        </w:tabs>
        <w:spacing w:line="240" w:lineRule="atLeast"/>
        <w:ind w:left="1138" w:right="1138" w:firstLine="0"/>
      </w:pPr>
      <w:r w:rsidRPr="00C17129">
        <w:t xml:space="preserve">Une femme raconte qu’après </w:t>
      </w:r>
      <w:r w:rsidR="0035763B">
        <w:t xml:space="preserve">avoir </w:t>
      </w:r>
      <w:r w:rsidRPr="00C17129">
        <w:t>été violée, sa belle-famille a considéré qu’elle avait enfreint la coutume</w:t>
      </w:r>
      <w:r w:rsidRPr="007F1170">
        <w:rPr>
          <w:rStyle w:val="FootnoteReference"/>
        </w:rPr>
        <w:footnoteReference w:id="915"/>
      </w:r>
      <w:r w:rsidRPr="00C17129">
        <w:t xml:space="preserve"> et qu’il devait donc y avoir divorce ; elle et sa famille ont dû rembourser la dot et elle, retourner dans sa famille.</w:t>
      </w:r>
      <w:r w:rsidRPr="007F1170">
        <w:rPr>
          <w:rStyle w:val="FootnoteReference"/>
        </w:rPr>
        <w:footnoteReference w:id="916"/>
      </w:r>
      <w:r w:rsidRPr="00C17129">
        <w:t xml:space="preserve"> Une femme, enceinte de 4 mois au moment de son viol, a</w:t>
      </w:r>
      <w:r w:rsidR="00114306">
        <w:t>,</w:t>
      </w:r>
      <w:r w:rsidRPr="00C17129">
        <w:t xml:space="preserve"> elle aussi</w:t>
      </w:r>
      <w:r w:rsidR="00114306">
        <w:t>,</w:t>
      </w:r>
      <w:r w:rsidRPr="00C17129">
        <w:t xml:space="preserve"> été chassée par son mari et a dû rembourser la dot ; elle a fait une fausse-couche quelques jours plus tard</w:t>
      </w:r>
      <w:r w:rsidRPr="007F1170">
        <w:rPr>
          <w:rStyle w:val="FootnoteReference"/>
        </w:rPr>
        <w:footnoteReference w:id="917"/>
      </w:r>
      <w:r w:rsidR="00B30878">
        <w:t>.</w:t>
      </w:r>
      <w:r w:rsidRPr="00C17129">
        <w:t xml:space="preserve"> Certains maris ont cependant renoncé au divorce après une cérémonie coutumière de purification</w:t>
      </w:r>
      <w:r w:rsidRPr="007F1170">
        <w:rPr>
          <w:rStyle w:val="FootnoteReference"/>
        </w:rPr>
        <w:footnoteReference w:id="918"/>
      </w:r>
      <w:r w:rsidRPr="00C17129">
        <w:t> ; malheureusement, toutes les femmes dans ce cas n'ont pas les moyens financiers de recourir à ce type de cérémonie traditionnelle</w:t>
      </w:r>
      <w:r w:rsidRPr="007F1170">
        <w:rPr>
          <w:rStyle w:val="FootnoteReference"/>
        </w:rPr>
        <w:footnoteReference w:id="919"/>
      </w:r>
      <w:r w:rsidR="00B30878">
        <w:t>.</w:t>
      </w:r>
      <w:r w:rsidRPr="00C17129">
        <w:t xml:space="preserve"> Dans un autre cas, le mari avait demandé aux deux familles de se mettre d’accord sur la réparation car il souhaitait demeurer avec sa femme et que selon lui elle n’avait pas commis d’adultère. Malheureusement peu après, il a été tué pendant le conflit et la belle-famille, blâmant son épouse, l’a chassée de la parcelle</w:t>
      </w:r>
      <w:r w:rsidRPr="007F1170">
        <w:rPr>
          <w:rStyle w:val="FootnoteReference"/>
        </w:rPr>
        <w:footnoteReference w:id="920"/>
      </w:r>
      <w:r w:rsidR="00B30878">
        <w:t>.</w:t>
      </w:r>
      <w:r w:rsidRPr="00C17129">
        <w:t xml:space="preserve"> Dans un autre cas, des militaires ont violé une femme et ont dit à son mari qu’ils avaient fait cela pour qu’il la leur donne ; elle est ensuite partie avec les militaires</w:t>
      </w:r>
      <w:r w:rsidRPr="007F1170">
        <w:rPr>
          <w:rStyle w:val="FootnoteReference"/>
        </w:rPr>
        <w:footnoteReference w:id="921"/>
      </w:r>
      <w:r w:rsidR="00B30878">
        <w:t>.</w:t>
      </w:r>
      <w:r w:rsidRPr="00C17129">
        <w:t xml:space="preserve"> Certaines femmes se retrouvent alors dans une précarité et une pauvreté accrues qui peuvent les exposer à devoir accorder des faveurs sexuelles pour survivre. </w:t>
      </w:r>
    </w:p>
    <w:p w14:paraId="703A3706" w14:textId="18C43811" w:rsidR="003D51E1" w:rsidRPr="00C17129" w:rsidRDefault="003D51E1" w:rsidP="00DC0C44">
      <w:pPr>
        <w:pStyle w:val="BodyText"/>
        <w:tabs>
          <w:tab w:val="left" w:pos="1559"/>
          <w:tab w:val="left" w:pos="1984"/>
          <w:tab w:val="left" w:leader="dot" w:pos="7654"/>
          <w:tab w:val="right" w:pos="8929"/>
        </w:tabs>
        <w:spacing w:line="240" w:lineRule="atLeast"/>
        <w:ind w:left="1138" w:right="1138" w:firstLine="0"/>
      </w:pPr>
      <w:r w:rsidRPr="00C17129">
        <w:t>D’autres crimes à connotation sexuelle ont également été commis. Il en est des nombreuses mutilations observées. Ainsi un témoin raconte qu’en mai 2017, elle a vu à Kamako un groupe de miliciens Kamuina Nsapu dont certains arboraient des sexes de femmes (clitoris et vagins) portés comme des médailles</w:t>
      </w:r>
      <w:r w:rsidRPr="007F1170">
        <w:rPr>
          <w:rStyle w:val="FootnoteReference"/>
        </w:rPr>
        <w:footnoteReference w:id="922"/>
      </w:r>
      <w:r w:rsidR="00114306">
        <w:t>. Certain</w:t>
      </w:r>
      <w:r w:rsidRPr="00C17129">
        <w:t>s témoins ont raconté avoir vu des personnes couper, et même cuisiner puis manger de la chair humaine, dont des pénis coupés sur des hommes vivants et des cadavres notamment de FARDC, et boire du sang humain</w:t>
      </w:r>
      <w:r w:rsidRPr="007F1170">
        <w:rPr>
          <w:rStyle w:val="FootnoteReference"/>
        </w:rPr>
        <w:footnoteReference w:id="923"/>
      </w:r>
      <w:r w:rsidRPr="00C17129">
        <w:t>. Des mutilations de sexes féminins et masculins ainsi que de poitrines de femmes ont été rapportées</w:t>
      </w:r>
      <w:r w:rsidRPr="007F1170">
        <w:rPr>
          <w:rStyle w:val="FootnoteReference"/>
        </w:rPr>
        <w:footnoteReference w:id="924"/>
      </w:r>
      <w:r w:rsidRPr="00C17129">
        <w:t>. Une femme raconte qu’elle et sa fille ont été déshabillées et certains ont subi des attouchements sexuels</w:t>
      </w:r>
      <w:r w:rsidRPr="007F1170">
        <w:rPr>
          <w:rStyle w:val="FootnoteReference"/>
        </w:rPr>
        <w:footnoteReference w:id="925"/>
      </w:r>
      <w:r w:rsidRPr="00C17129">
        <w:t>. Des femmes et des hommes sont déshabillés et exhibés en public, ce qui représente un grand tabou dans la communauté luba</w:t>
      </w:r>
      <w:r w:rsidRPr="007F1170">
        <w:rPr>
          <w:rStyle w:val="FootnoteReference"/>
        </w:rPr>
        <w:footnoteReference w:id="926"/>
      </w:r>
      <w:r w:rsidRPr="00C17129">
        <w:t>. En s’attaquant au sexe et à la poitrine des femmes, c’est le symbole de la femme qui est attaquée et indirectement la communauté. Par exemple, pour l’ethnie luba, de nombreuses croyances et règles et tabous sont attachées à ces symboles de la féminité et de la nudité.</w:t>
      </w:r>
    </w:p>
    <w:p w14:paraId="045DC73C" w14:textId="77777777" w:rsidR="003D51E1" w:rsidRPr="00C17129" w:rsidRDefault="003D51E1" w:rsidP="00DC0C44">
      <w:pPr>
        <w:pStyle w:val="BodyText"/>
        <w:tabs>
          <w:tab w:val="left" w:pos="1559"/>
          <w:tab w:val="left" w:pos="1984"/>
          <w:tab w:val="left" w:leader="dot" w:pos="7654"/>
          <w:tab w:val="right" w:pos="8929"/>
        </w:tabs>
        <w:spacing w:line="240" w:lineRule="atLeast"/>
        <w:ind w:left="1138" w:right="1138" w:firstLine="0"/>
      </w:pPr>
      <w:r w:rsidRPr="00C17129">
        <w:t>Depuis le début des violences au Kasaï, le nombre de divorces (divorces coutumiers car le mariage reste principalement coutumier dans cette région) a augmenté ainsi que les mariages précoces</w:t>
      </w:r>
      <w:r w:rsidRPr="007F1170">
        <w:rPr>
          <w:rStyle w:val="FootnoteReference"/>
        </w:rPr>
        <w:footnoteReference w:id="927"/>
      </w:r>
      <w:r w:rsidRPr="00C17129">
        <w:t>. Le sentiment de honte et la peur d’être rejetées et stigmatisées par sa famille et sa communauté pousse les survivantes de viols à ne pas parler publiquement de ce qu’elles ont subi. Elles ne peuvent alors recevoir de soins médicaux appropriés.</w:t>
      </w:r>
    </w:p>
    <w:p w14:paraId="1CB10B8F" w14:textId="3EF19426" w:rsidR="003D51E1" w:rsidRPr="00C17129" w:rsidRDefault="003D51E1" w:rsidP="00DC0C44">
      <w:pPr>
        <w:pStyle w:val="BodyText"/>
        <w:tabs>
          <w:tab w:val="left" w:pos="1559"/>
          <w:tab w:val="left" w:pos="1984"/>
          <w:tab w:val="left" w:leader="dot" w:pos="7654"/>
          <w:tab w:val="right" w:pos="8929"/>
        </w:tabs>
        <w:spacing w:line="240" w:lineRule="atLeast"/>
        <w:ind w:left="1138" w:right="1138" w:firstLine="0"/>
      </w:pPr>
      <w:r w:rsidRPr="00C17129">
        <w:t>En fuyant leurs villages à l’arrivé des miliciens ou des forces de sécurité, les femmes et les filles se sont retrouvées en situation de vulnérabilité et nombre d’entre elles ont été violées souvent par plusieurs individus</w:t>
      </w:r>
      <w:r w:rsidRPr="007F1170">
        <w:rPr>
          <w:rStyle w:val="FootnoteReference"/>
        </w:rPr>
        <w:footnoteReference w:id="928"/>
      </w:r>
      <w:r w:rsidRPr="00C17129">
        <w:t>, parfois à différentes reprises, et souvent par des agresseurs leur demandant de « choisir » entre mourir et être violées</w:t>
      </w:r>
      <w:r w:rsidRPr="007F1170">
        <w:rPr>
          <w:rStyle w:val="FootnoteReference"/>
        </w:rPr>
        <w:footnoteReference w:id="929"/>
      </w:r>
      <w:r w:rsidRPr="00C17129">
        <w:t>. Certaines ont été escortées par des hommes en arme mais lorsqu’elles étaient dans l’impossibilité de payer ce « service » elles ont été violées</w:t>
      </w:r>
      <w:r w:rsidRPr="007F1170">
        <w:rPr>
          <w:rStyle w:val="FootnoteReference"/>
        </w:rPr>
        <w:footnoteReference w:id="930"/>
      </w:r>
      <w:r w:rsidRPr="00C17129">
        <w:t>. Des femmes et des enfants sont morts faute de soins et de nourriture alors qu’ils se cachaient dans la brousse</w:t>
      </w:r>
      <w:r w:rsidRPr="007F1170">
        <w:rPr>
          <w:rStyle w:val="FootnoteReference"/>
        </w:rPr>
        <w:footnoteReference w:id="931"/>
      </w:r>
      <w:r w:rsidRPr="00C17129">
        <w:t>. Les personnes trop âgées ou malades pour fuir leur village sont mortes, parfois brûlées dans l’incendie de leur maison</w:t>
      </w:r>
      <w:r w:rsidRPr="007F1170">
        <w:rPr>
          <w:rStyle w:val="FootnoteReference"/>
        </w:rPr>
        <w:footnoteReference w:id="932"/>
      </w:r>
      <w:r w:rsidRPr="00C17129">
        <w:t>. Dans certains villages, des FARDC ont emmené des femmes et des filles avec eux à leur départ. L’endroit où se trouve certaines de ces femmes et ces filles est inconnu à ce jour</w:t>
      </w:r>
      <w:r w:rsidRPr="007F1170">
        <w:rPr>
          <w:rStyle w:val="FootnoteReference"/>
        </w:rPr>
        <w:footnoteReference w:id="933"/>
      </w:r>
      <w:r w:rsidR="00B30878">
        <w:t>.</w:t>
      </w:r>
    </w:p>
    <w:p w14:paraId="4F1540B8" w14:textId="7EB370EC" w:rsidR="003D51E1" w:rsidRPr="00C17129" w:rsidRDefault="003D51E1" w:rsidP="00DC0C44">
      <w:pPr>
        <w:pStyle w:val="BodyText"/>
        <w:tabs>
          <w:tab w:val="left" w:pos="1559"/>
          <w:tab w:val="left" w:pos="1984"/>
          <w:tab w:val="left" w:leader="dot" w:pos="7654"/>
          <w:tab w:val="right" w:pos="8929"/>
        </w:tabs>
        <w:spacing w:line="240" w:lineRule="atLeast"/>
        <w:ind w:left="1138" w:right="1138" w:firstLine="0"/>
      </w:pPr>
      <w:r w:rsidRPr="00C17129">
        <w:t xml:space="preserve">S’il existe notamment dans d’autres régions de la </w:t>
      </w:r>
      <w:r w:rsidR="00B30878">
        <w:t>RDC</w:t>
      </w:r>
      <w:r w:rsidRPr="00C17129">
        <w:t xml:space="preserve"> un ensemble de structures médicales, psycho-sociales et juridiques ainsi que des programmes d’assistance socio-économique pour les survivants de violences sexuelles, il existe encore peu de structures et de programmes de ce type au Kasaï pour répondre aux besoins. Certaines femmes chassées de leur parcelle par leur mari ou leur belle-famille suite à leur viol</w:t>
      </w:r>
      <w:r w:rsidRPr="007F1170">
        <w:rPr>
          <w:rStyle w:val="FootnoteReference"/>
        </w:rPr>
        <w:footnoteReference w:id="934"/>
      </w:r>
      <w:r w:rsidRPr="00C17129">
        <w:t xml:space="preserve">, dorment dans des églises et vivent d’expédients ce qui accroit leur vulnérabilité ; </w:t>
      </w:r>
      <w:r w:rsidR="00B30878">
        <w:t>s</w:t>
      </w:r>
      <w:r w:rsidRPr="00C17129">
        <w:t>ouffrant souvent de conséquences physique</w:t>
      </w:r>
      <w:r w:rsidR="00114306">
        <w:t>s</w:t>
      </w:r>
      <w:r w:rsidRPr="00C17129">
        <w:t xml:space="preserve"> d</w:t>
      </w:r>
      <w:r w:rsidR="00114306">
        <w:t>e ce</w:t>
      </w:r>
      <w:r w:rsidRPr="00C17129">
        <w:t xml:space="preserve"> viol qui rendent leur santé précaire, elles éprouvent des difficultés à exercer une activité professionnelle. Elles risquent alors, avec leurs enfants, de tomber dans un cercle vicieux de précarité et de pauvreté. </w:t>
      </w:r>
    </w:p>
    <w:p w14:paraId="7D60AF87" w14:textId="0644446B" w:rsidR="003D51E1" w:rsidRPr="00B30C53" w:rsidRDefault="003D51E1" w:rsidP="00BC668B">
      <w:pPr>
        <w:pStyle w:val="Heading2"/>
        <w:spacing w:before="360" w:line="270" w:lineRule="exact"/>
        <w:ind w:left="1138" w:right="1138" w:hanging="571"/>
        <w:rPr>
          <w:sz w:val="24"/>
          <w:szCs w:val="24"/>
          <w:lang w:val="fr-FR"/>
        </w:rPr>
      </w:pPr>
      <w:bookmarkStart w:id="109" w:name="_Toc518027541"/>
      <w:r w:rsidRPr="00B30C53">
        <w:rPr>
          <w:sz w:val="24"/>
          <w:szCs w:val="24"/>
          <w:lang w:val="fr-FR"/>
        </w:rPr>
        <w:t>Réponse judiciaire</w:t>
      </w:r>
      <w:bookmarkEnd w:id="109"/>
    </w:p>
    <w:p w14:paraId="577F104E" w14:textId="07BDD913" w:rsidR="00060038" w:rsidRDefault="003D51E1" w:rsidP="00DC0C44">
      <w:pPr>
        <w:pStyle w:val="BodyText"/>
        <w:tabs>
          <w:tab w:val="left" w:pos="1559"/>
          <w:tab w:val="left" w:pos="1984"/>
          <w:tab w:val="left" w:leader="dot" w:pos="7654"/>
          <w:tab w:val="right" w:pos="8929"/>
        </w:tabs>
        <w:spacing w:line="240" w:lineRule="atLeast"/>
        <w:ind w:left="1138" w:right="1138" w:firstLine="0"/>
      </w:pPr>
      <w:r w:rsidRPr="00C17129">
        <w:t xml:space="preserve">Afin de mieux comprendre la dynamique des violations et crimes commis au Kasaï depuis 2016, </w:t>
      </w:r>
      <w:r w:rsidR="00B30878">
        <w:t>l’EEI</w:t>
      </w:r>
      <w:r w:rsidRPr="00C17129">
        <w:t xml:space="preserve"> a suivi la réponse judiciaire face aux exactions commises. Elle a constaté que si des procédures liées aux évènements qui se sont déroulés au Kasaï depuis 2016 ont été ouvertes et quelques jugements rendus, un sérieux problème d’impunité subsiste au regard de l’ampleur et de la gravité des crimes, violations et atteintes aux droits de l’homme documentées dans ce rapport. En effet, au regard d</w:t>
      </w:r>
      <w:r w:rsidR="00114306">
        <w:t>u</w:t>
      </w:r>
      <w:r w:rsidRPr="00C17129">
        <w:t xml:space="preserve"> nombre d’incidents identifiés, peu de procédures judiciaires ont été initiées. Parmi les affaires déjà jugées ou en cours, une minorité met en cause les membres des forces de défense et de sécurité. Les procédures engagées contre les membres des forces de défense et de sécurité le sont le plus souvent que contre les éléments les moins gradés. </w:t>
      </w:r>
      <w:r w:rsidR="00CE4B4A">
        <w:t xml:space="preserve">L’absence d’un membre de la justice militaire au grade au moins égal à celui du commandant du secteur </w:t>
      </w:r>
      <w:r w:rsidR="00CE4B4A" w:rsidRPr="007F0D97">
        <w:t>opérationnel du Grand Kasaï</w:t>
      </w:r>
      <w:r w:rsidR="00CE4B4A">
        <w:t xml:space="preserve"> est un frein à la bonne administration de la justice. </w:t>
      </w:r>
      <w:r w:rsidRPr="00C17129">
        <w:t xml:space="preserve">Un travail rigoureux et d’envergure reste à accomplir au plan judiciaire pour que tous les auteurs des crimes liés à la vague de violence soient traduits en justice et que les très nombreuses victimes soient effectivement rétablies dans leurs droits. Ainsi le Procureur de la </w:t>
      </w:r>
      <w:r w:rsidR="00854584">
        <w:t>CPI</w:t>
      </w:r>
      <w:r w:rsidRPr="00C17129">
        <w:t xml:space="preserve">, où la situation en </w:t>
      </w:r>
      <w:r w:rsidR="00B30878">
        <w:t>RDC</w:t>
      </w:r>
      <w:r w:rsidRPr="00C17129">
        <w:t xml:space="preserve"> est déjà sous enquête, a exprimé sa préoccupat</w:t>
      </w:r>
      <w:r w:rsidR="00114306">
        <w:t>ion quant aux actes de violence</w:t>
      </w:r>
      <w:r w:rsidRPr="00C17129">
        <w:t xml:space="preserve"> commises dans les provinces du Kasaï et indiqué qu’elle continuait à suivre de près la situation</w:t>
      </w:r>
      <w:r w:rsidRPr="007F1170">
        <w:rPr>
          <w:rStyle w:val="FootnoteReference"/>
        </w:rPr>
        <w:footnoteReference w:id="935"/>
      </w:r>
      <w:r w:rsidR="00B30878">
        <w:t>.</w:t>
      </w:r>
    </w:p>
    <w:p w14:paraId="21231BB1" w14:textId="78EC575B" w:rsidR="000D6F73" w:rsidRDefault="00D10AFD" w:rsidP="00D73685">
      <w:pPr>
        <w:pStyle w:val="Heading1"/>
        <w:keepNext/>
        <w:spacing w:before="360" w:after="120" w:line="300" w:lineRule="exact"/>
        <w:ind w:left="1123" w:right="1140" w:hanging="272"/>
      </w:pPr>
      <w:bookmarkStart w:id="110" w:name="_Toc518027542"/>
      <w:r w:rsidRPr="00D10AFD">
        <w:t>Conclusions et recommandations</w:t>
      </w:r>
      <w:bookmarkEnd w:id="110"/>
    </w:p>
    <w:p w14:paraId="1DE03B44" w14:textId="7EE298CC" w:rsidR="000D6F73" w:rsidRPr="000D6F73" w:rsidRDefault="000D6F73" w:rsidP="00D73685">
      <w:pPr>
        <w:pStyle w:val="Heading2"/>
        <w:keepNext/>
        <w:spacing w:before="240" w:after="120" w:line="270" w:lineRule="exact"/>
        <w:ind w:left="1140" w:right="1140" w:hanging="573"/>
        <w:rPr>
          <w:sz w:val="24"/>
          <w:szCs w:val="24"/>
          <w:lang w:val="fr-FR"/>
        </w:rPr>
      </w:pPr>
      <w:bookmarkStart w:id="111" w:name="_Toc518027543"/>
      <w:r>
        <w:rPr>
          <w:sz w:val="24"/>
          <w:szCs w:val="24"/>
          <w:lang w:val="fr-FR"/>
        </w:rPr>
        <w:t>Conclusions</w:t>
      </w:r>
      <w:bookmarkEnd w:id="111"/>
    </w:p>
    <w:p w14:paraId="3CD696E7" w14:textId="57C8A4D0" w:rsidR="00D10AFD" w:rsidRPr="00196951" w:rsidRDefault="00D10AFD" w:rsidP="009644BA">
      <w:pPr>
        <w:pStyle w:val="BodyText"/>
        <w:tabs>
          <w:tab w:val="left" w:pos="1559"/>
          <w:tab w:val="left" w:pos="1984"/>
          <w:tab w:val="left" w:leader="dot" w:pos="7654"/>
          <w:tab w:val="right" w:pos="8929"/>
        </w:tabs>
        <w:spacing w:line="240" w:lineRule="atLeast"/>
        <w:ind w:left="1138" w:right="1138" w:firstLine="0"/>
        <w:rPr>
          <w:b/>
        </w:rPr>
      </w:pPr>
      <w:r w:rsidRPr="00196951">
        <w:rPr>
          <w:b/>
        </w:rPr>
        <w:t>L</w:t>
      </w:r>
      <w:r w:rsidR="009644BA" w:rsidRPr="00196951">
        <w:rPr>
          <w:b/>
        </w:rPr>
        <w:t>’Equipe d’experts internationaux</w:t>
      </w:r>
      <w:r w:rsidRPr="00196951">
        <w:rPr>
          <w:b/>
        </w:rPr>
        <w:t xml:space="preserve"> est choquée par la situation désastreuse des droits de l’homme qui perdure dans la région du Kasaï depuis 2016.</w:t>
      </w:r>
      <w:r w:rsidR="009644BA" w:rsidRPr="00196951">
        <w:rPr>
          <w:b/>
        </w:rPr>
        <w:t xml:space="preserve"> Elle est particulièrement préoccup</w:t>
      </w:r>
      <w:r w:rsidRPr="00196951">
        <w:rPr>
          <w:b/>
        </w:rPr>
        <w:t>ée par l’ampleur des actes de violences</w:t>
      </w:r>
      <w:r w:rsidR="009644BA" w:rsidRPr="00196951">
        <w:rPr>
          <w:b/>
        </w:rPr>
        <w:t xml:space="preserve"> que ses enquêtes ont révélés</w:t>
      </w:r>
      <w:r w:rsidRPr="00196951">
        <w:rPr>
          <w:b/>
        </w:rPr>
        <w:t xml:space="preserve">. Le présent rapport ne reflète qu’une petite partie des actes et crimes commis. Bien qu’elle ne soit </w:t>
      </w:r>
      <w:r w:rsidR="009644BA" w:rsidRPr="00196951">
        <w:rPr>
          <w:b/>
        </w:rPr>
        <w:t>pas en mesure de donner un nombre précis des</w:t>
      </w:r>
      <w:r w:rsidR="00E83409" w:rsidRPr="00196951">
        <w:rPr>
          <w:b/>
        </w:rPr>
        <w:t xml:space="preserve"> victimes, l’Equipe</w:t>
      </w:r>
      <w:r w:rsidRPr="00196951">
        <w:rPr>
          <w:b/>
        </w:rPr>
        <w:t xml:space="preserve"> estime que plusieurs milliers de personnes ont perdu </w:t>
      </w:r>
      <w:r w:rsidR="00E83409" w:rsidRPr="00196951">
        <w:rPr>
          <w:b/>
        </w:rPr>
        <w:t>la vie durant la crise. L</w:t>
      </w:r>
      <w:r w:rsidRPr="00196951">
        <w:rPr>
          <w:b/>
        </w:rPr>
        <w:t>’E</w:t>
      </w:r>
      <w:r w:rsidR="00E83409" w:rsidRPr="00196951">
        <w:rPr>
          <w:b/>
        </w:rPr>
        <w:t>quipe</w:t>
      </w:r>
      <w:r w:rsidRPr="00196951">
        <w:rPr>
          <w:b/>
        </w:rPr>
        <w:t xml:space="preserve"> est </w:t>
      </w:r>
      <w:r w:rsidR="009644BA" w:rsidRPr="00196951">
        <w:rPr>
          <w:b/>
        </w:rPr>
        <w:t xml:space="preserve">également </w:t>
      </w:r>
      <w:r w:rsidRPr="00196951">
        <w:rPr>
          <w:b/>
        </w:rPr>
        <w:t xml:space="preserve">préoccupée du faible niveau d’attention </w:t>
      </w:r>
      <w:r w:rsidR="009644BA" w:rsidRPr="00196951">
        <w:rPr>
          <w:b/>
        </w:rPr>
        <w:t>suscité par cette tragédie</w:t>
      </w:r>
      <w:r w:rsidRPr="00196951">
        <w:rPr>
          <w:b/>
        </w:rPr>
        <w:t>.</w:t>
      </w:r>
    </w:p>
    <w:p w14:paraId="0F67F78F" w14:textId="50AC7255" w:rsidR="00D10AFD" w:rsidRPr="00E136C8" w:rsidRDefault="00D10AFD" w:rsidP="00E83409">
      <w:pPr>
        <w:pStyle w:val="BodyText"/>
        <w:tabs>
          <w:tab w:val="left" w:pos="1559"/>
          <w:tab w:val="left" w:pos="1984"/>
          <w:tab w:val="left" w:leader="dot" w:pos="7654"/>
          <w:tab w:val="right" w:pos="8929"/>
        </w:tabs>
        <w:spacing w:line="240" w:lineRule="atLeast"/>
        <w:ind w:left="1138" w:right="1138" w:firstLine="0"/>
        <w:rPr>
          <w:b/>
        </w:rPr>
      </w:pPr>
      <w:r w:rsidRPr="00196951">
        <w:rPr>
          <w:b/>
        </w:rPr>
        <w:t>L’E</w:t>
      </w:r>
      <w:r w:rsidR="008D219F" w:rsidRPr="00196951">
        <w:rPr>
          <w:b/>
        </w:rPr>
        <w:t>quipe</w:t>
      </w:r>
      <w:r w:rsidRPr="00196951">
        <w:rPr>
          <w:b/>
        </w:rPr>
        <w:t xml:space="preserve"> confirme que les forces de défense et de sécurité, la milice Kamuina Nsapu et les milices Bana Mura ont délibérément tué des civils,</w:t>
      </w:r>
      <w:r w:rsidR="00E83409" w:rsidRPr="00196951">
        <w:rPr>
          <w:b/>
        </w:rPr>
        <w:t xml:space="preserve"> dont de nombreux enfants. Elle</w:t>
      </w:r>
      <w:r w:rsidRPr="00196951">
        <w:rPr>
          <w:b/>
        </w:rPr>
        <w:t>s ont commis de nombreuses atrocités, notamment des mutilations,</w:t>
      </w:r>
      <w:r w:rsidR="00E83409" w:rsidRPr="00196951">
        <w:rPr>
          <w:b/>
        </w:rPr>
        <w:t xml:space="preserve"> des</w:t>
      </w:r>
      <w:r w:rsidRPr="00196951">
        <w:rPr>
          <w:b/>
        </w:rPr>
        <w:t xml:space="preserve"> viols et </w:t>
      </w:r>
      <w:r w:rsidR="00E83409" w:rsidRPr="00196951">
        <w:rPr>
          <w:b/>
        </w:rPr>
        <w:t>d’</w:t>
      </w:r>
      <w:r w:rsidRPr="00196951">
        <w:rPr>
          <w:b/>
        </w:rPr>
        <w:t>autres formes de vi</w:t>
      </w:r>
      <w:r w:rsidR="00E83409" w:rsidRPr="00196951">
        <w:rPr>
          <w:b/>
        </w:rPr>
        <w:t>olences sexuelles, et</w:t>
      </w:r>
      <w:r w:rsidRPr="00196951">
        <w:rPr>
          <w:b/>
        </w:rPr>
        <w:t xml:space="preserve"> destru</w:t>
      </w:r>
      <w:r w:rsidR="00E83409" w:rsidRPr="00196951">
        <w:rPr>
          <w:b/>
        </w:rPr>
        <w:t>it</w:t>
      </w:r>
      <w:r w:rsidRPr="00196951">
        <w:rPr>
          <w:b/>
        </w:rPr>
        <w:t xml:space="preserve"> de</w:t>
      </w:r>
      <w:r w:rsidR="00E83409" w:rsidRPr="00196951">
        <w:rPr>
          <w:b/>
        </w:rPr>
        <w:t>s</w:t>
      </w:r>
      <w:r w:rsidRPr="00196951">
        <w:rPr>
          <w:b/>
        </w:rPr>
        <w:t xml:space="preserve"> villages</w:t>
      </w:r>
      <w:r w:rsidR="00E83409" w:rsidRPr="00196951">
        <w:rPr>
          <w:b/>
        </w:rPr>
        <w:t xml:space="preserve"> entiers</w:t>
      </w:r>
      <w:r w:rsidRPr="00196951">
        <w:rPr>
          <w:b/>
        </w:rPr>
        <w:t>. L’E</w:t>
      </w:r>
      <w:r w:rsidR="008D219F" w:rsidRPr="00196951">
        <w:rPr>
          <w:b/>
        </w:rPr>
        <w:t>quipe</w:t>
      </w:r>
      <w:r w:rsidRPr="00196951">
        <w:rPr>
          <w:b/>
        </w:rPr>
        <w:t xml:space="preserve"> est d’avis que certaines des exactions commises par les forces de défense et de sécurité, les m</w:t>
      </w:r>
      <w:r w:rsidRPr="00E136C8">
        <w:rPr>
          <w:b/>
        </w:rPr>
        <w:t xml:space="preserve">ilices Bana Mura et la milice Kamuina Nsapu constituent des crimes contre l’humanité </w:t>
      </w:r>
      <w:r>
        <w:rPr>
          <w:b/>
        </w:rPr>
        <w:t>ou</w:t>
      </w:r>
      <w:r w:rsidRPr="00E136C8">
        <w:rPr>
          <w:b/>
        </w:rPr>
        <w:t xml:space="preserve"> des crimes de guerre</w:t>
      </w:r>
      <w:r>
        <w:rPr>
          <w:b/>
        </w:rPr>
        <w:t>, ainsi que</w:t>
      </w:r>
      <w:r w:rsidRPr="00E136C8">
        <w:rPr>
          <w:b/>
        </w:rPr>
        <w:t xml:space="preserve"> des violations et des atteintes aux droits de l’homme. </w:t>
      </w:r>
    </w:p>
    <w:p w14:paraId="2290E20C" w14:textId="431B6AFF" w:rsidR="00D10AFD" w:rsidRPr="00E136C8" w:rsidRDefault="00D10AFD" w:rsidP="008D219F">
      <w:pPr>
        <w:pStyle w:val="BodyText"/>
        <w:tabs>
          <w:tab w:val="left" w:pos="1559"/>
          <w:tab w:val="left" w:pos="1984"/>
          <w:tab w:val="left" w:leader="dot" w:pos="7654"/>
          <w:tab w:val="right" w:pos="8929"/>
        </w:tabs>
        <w:spacing w:line="240" w:lineRule="atLeast"/>
        <w:ind w:left="1138" w:right="1138" w:firstLine="0"/>
        <w:rPr>
          <w:b/>
        </w:rPr>
      </w:pPr>
      <w:r w:rsidRPr="00E136C8">
        <w:rPr>
          <w:b/>
        </w:rPr>
        <w:t>Les violences au Kasaï ont réveillé des tensions ethniques latentes et le conflit a pris une dimension ethnique à partir du début de l’année 2017</w:t>
      </w:r>
      <w:r>
        <w:rPr>
          <w:b/>
        </w:rPr>
        <w:t>,</w:t>
      </w:r>
      <w:r w:rsidRPr="00E136C8">
        <w:rPr>
          <w:b/>
        </w:rPr>
        <w:t xml:space="preserve"> en particulier sur le territoire de Kamonia. L’E</w:t>
      </w:r>
      <w:r w:rsidR="008D219F">
        <w:rPr>
          <w:b/>
        </w:rPr>
        <w:t>quipe</w:t>
      </w:r>
      <w:r w:rsidRPr="00E136C8">
        <w:rPr>
          <w:b/>
        </w:rPr>
        <w:t xml:space="preserve"> est d’avis que les exactions commises par les milices Bana Mura contre les membres de l’ethnie </w:t>
      </w:r>
      <w:r w:rsidR="004A163E">
        <w:rPr>
          <w:b/>
        </w:rPr>
        <w:t>l</w:t>
      </w:r>
      <w:r w:rsidR="008D219F">
        <w:rPr>
          <w:b/>
        </w:rPr>
        <w:t>uba</w:t>
      </w:r>
      <w:r w:rsidR="00283907">
        <w:rPr>
          <w:b/>
        </w:rPr>
        <w:t xml:space="preserve"> </w:t>
      </w:r>
      <w:r w:rsidRPr="00E136C8">
        <w:rPr>
          <w:b/>
        </w:rPr>
        <w:t>peuvent être qualifiées de persécution pour des motifs</w:t>
      </w:r>
      <w:r w:rsidR="008D219F">
        <w:rPr>
          <w:b/>
        </w:rPr>
        <w:t xml:space="preserve"> d’ordre politique et ethnique</w:t>
      </w:r>
      <w:r w:rsidRPr="00E136C8">
        <w:rPr>
          <w:b/>
        </w:rPr>
        <w:t xml:space="preserve"> constitutive</w:t>
      </w:r>
      <w:r>
        <w:rPr>
          <w:b/>
        </w:rPr>
        <w:t>s</w:t>
      </w:r>
      <w:r w:rsidRPr="00E136C8">
        <w:rPr>
          <w:b/>
        </w:rPr>
        <w:t xml:space="preserve"> de crimes contre l’humanité.  </w:t>
      </w:r>
    </w:p>
    <w:p w14:paraId="2B3CA992" w14:textId="08E18BFE" w:rsidR="00D10AFD" w:rsidRPr="00E136C8" w:rsidRDefault="008D219F" w:rsidP="008D219F">
      <w:pPr>
        <w:pStyle w:val="BodyText"/>
        <w:tabs>
          <w:tab w:val="left" w:pos="1559"/>
          <w:tab w:val="left" w:pos="1984"/>
          <w:tab w:val="left" w:leader="dot" w:pos="7654"/>
          <w:tab w:val="right" w:pos="8929"/>
        </w:tabs>
        <w:spacing w:line="240" w:lineRule="atLeast"/>
        <w:ind w:left="1138" w:right="1138" w:firstLine="0"/>
        <w:rPr>
          <w:b/>
          <w:lang w:eastAsia="fr-FR"/>
        </w:rPr>
      </w:pPr>
      <w:r>
        <w:rPr>
          <w:b/>
          <w:lang w:eastAsia="fr-FR"/>
        </w:rPr>
        <w:t>L’Equipe</w:t>
      </w:r>
      <w:r w:rsidR="00D10AFD" w:rsidRPr="00E136C8">
        <w:rPr>
          <w:b/>
          <w:lang w:eastAsia="fr-FR"/>
        </w:rPr>
        <w:t xml:space="preserve"> considère qu’il est </w:t>
      </w:r>
      <w:r w:rsidR="00D10AFD" w:rsidRPr="00E136C8">
        <w:rPr>
          <w:b/>
        </w:rPr>
        <w:t>urgent</w:t>
      </w:r>
      <w:r w:rsidR="00D10AFD" w:rsidRPr="00E136C8">
        <w:rPr>
          <w:b/>
          <w:lang w:eastAsia="fr-FR"/>
        </w:rPr>
        <w:t xml:space="preserve"> de mettre en place une politique de désarmement des milices et un processus de réconciliation afin d’éviter une nouvelle vague de violence et permettre le retour des déplacés et</w:t>
      </w:r>
      <w:r>
        <w:rPr>
          <w:b/>
          <w:lang w:eastAsia="fr-FR"/>
        </w:rPr>
        <w:t xml:space="preserve"> des</w:t>
      </w:r>
      <w:r w:rsidR="00D10AFD" w:rsidRPr="00E136C8">
        <w:rPr>
          <w:b/>
          <w:lang w:eastAsia="fr-FR"/>
        </w:rPr>
        <w:t xml:space="preserve"> réfugiés. </w:t>
      </w:r>
    </w:p>
    <w:p w14:paraId="51421D41" w14:textId="37CF7C24" w:rsidR="00D10AFD" w:rsidRPr="00E136C8" w:rsidRDefault="00D10AFD" w:rsidP="008D219F">
      <w:pPr>
        <w:pStyle w:val="BodyText"/>
        <w:tabs>
          <w:tab w:val="left" w:pos="1559"/>
          <w:tab w:val="left" w:pos="1984"/>
          <w:tab w:val="left" w:leader="dot" w:pos="7654"/>
          <w:tab w:val="right" w:pos="8929"/>
        </w:tabs>
        <w:spacing w:line="240" w:lineRule="atLeast"/>
        <w:ind w:left="1138" w:right="1138" w:firstLine="0"/>
        <w:rPr>
          <w:b/>
        </w:rPr>
      </w:pPr>
      <w:r w:rsidRPr="00E136C8">
        <w:rPr>
          <w:b/>
        </w:rPr>
        <w:t>Un très sérieux problème d’impunité subsiste au regard de l’ampleur et de la gravité des crimes. Si quelques procédures judiciaires ont été ouvertes et quelques jugements rendus, les efforts déployés sont nettement insuffisants pour apporter une réponse satisfaisante aux victimes</w:t>
      </w:r>
      <w:r w:rsidR="008D219F">
        <w:rPr>
          <w:b/>
        </w:rPr>
        <w:t>, étant donné la nature des crimes</w:t>
      </w:r>
      <w:r w:rsidRPr="00E136C8">
        <w:rPr>
          <w:b/>
        </w:rPr>
        <w:t xml:space="preserve">. Un travail rigoureux et d’envergure reste à </w:t>
      </w:r>
      <w:r w:rsidRPr="00E136C8">
        <w:rPr>
          <w:b/>
          <w:lang w:eastAsia="fr-FR"/>
        </w:rPr>
        <w:t>accomplir</w:t>
      </w:r>
      <w:r w:rsidRPr="00E136C8">
        <w:rPr>
          <w:b/>
        </w:rPr>
        <w:t xml:space="preserve"> au plan judiciaire pour que les auteurs des crimes liés à la vague de violence soient</w:t>
      </w:r>
      <w:r w:rsidR="008D219F">
        <w:rPr>
          <w:b/>
        </w:rPr>
        <w:t xml:space="preserve"> jugés et que les très nombreuses victimes soient effectivement rétablies dans leurs droits.</w:t>
      </w:r>
      <w:r w:rsidRPr="00E136C8">
        <w:rPr>
          <w:b/>
        </w:rPr>
        <w:t xml:space="preserve"> </w:t>
      </w:r>
      <w:r>
        <w:rPr>
          <w:b/>
        </w:rPr>
        <w:t>S’il incombe en premie</w:t>
      </w:r>
      <w:r w:rsidR="008D219F">
        <w:rPr>
          <w:b/>
        </w:rPr>
        <w:t>r lieu aux autorités de la République démocratique du Congo</w:t>
      </w:r>
      <w:r>
        <w:rPr>
          <w:b/>
        </w:rPr>
        <w:t xml:space="preserve"> de juger les auteurs de crimes</w:t>
      </w:r>
      <w:r w:rsidR="008D219F">
        <w:rPr>
          <w:b/>
        </w:rPr>
        <w:t xml:space="preserve"> internationaux, l’Equipe</w:t>
      </w:r>
      <w:r>
        <w:rPr>
          <w:b/>
        </w:rPr>
        <w:t xml:space="preserve"> rappelle que l</w:t>
      </w:r>
      <w:r w:rsidR="008D219F">
        <w:rPr>
          <w:b/>
        </w:rPr>
        <w:t>a</w:t>
      </w:r>
      <w:r w:rsidRPr="00453AC9">
        <w:rPr>
          <w:b/>
        </w:rPr>
        <w:t xml:space="preserve"> Procureur</w:t>
      </w:r>
      <w:r w:rsidR="008D219F">
        <w:rPr>
          <w:b/>
        </w:rPr>
        <w:t>e</w:t>
      </w:r>
      <w:r w:rsidRPr="00453AC9">
        <w:rPr>
          <w:b/>
        </w:rPr>
        <w:t xml:space="preserve"> de la </w:t>
      </w:r>
      <w:r w:rsidR="00854584">
        <w:rPr>
          <w:b/>
        </w:rPr>
        <w:t>C</w:t>
      </w:r>
      <w:r w:rsidR="008D219F">
        <w:rPr>
          <w:b/>
        </w:rPr>
        <w:t>our pénale internationale,</w:t>
      </w:r>
      <w:r w:rsidRPr="00453AC9">
        <w:rPr>
          <w:b/>
        </w:rPr>
        <w:t xml:space="preserve"> </w:t>
      </w:r>
      <w:r w:rsidR="000D6F73">
        <w:rPr>
          <w:b/>
        </w:rPr>
        <w:t xml:space="preserve">instance qui enquête </w:t>
      </w:r>
      <w:r w:rsidRPr="00453AC9">
        <w:rPr>
          <w:b/>
        </w:rPr>
        <w:t xml:space="preserve">déjà </w:t>
      </w:r>
      <w:r w:rsidR="000D6F73">
        <w:rPr>
          <w:b/>
        </w:rPr>
        <w:t>sur la situation en République démocratique du Congo</w:t>
      </w:r>
      <w:r w:rsidRPr="00453AC9">
        <w:rPr>
          <w:b/>
        </w:rPr>
        <w:t>, a exprimé sa préoccupat</w:t>
      </w:r>
      <w:r w:rsidR="000D6F73">
        <w:rPr>
          <w:b/>
        </w:rPr>
        <w:t>ion quant aux actes de violence</w:t>
      </w:r>
      <w:r w:rsidRPr="00453AC9">
        <w:rPr>
          <w:b/>
        </w:rPr>
        <w:t xml:space="preserve"> commis </w:t>
      </w:r>
      <w:r>
        <w:rPr>
          <w:b/>
        </w:rPr>
        <w:t xml:space="preserve">au </w:t>
      </w:r>
      <w:r w:rsidRPr="00453AC9">
        <w:rPr>
          <w:b/>
        </w:rPr>
        <w:t>Kasaï et indiqué qu’elle continuait à suivre de près la situation</w:t>
      </w:r>
      <w:r>
        <w:rPr>
          <w:b/>
        </w:rPr>
        <w:t>.</w:t>
      </w:r>
    </w:p>
    <w:p w14:paraId="706930EF" w14:textId="47E99D72" w:rsidR="00D10AFD" w:rsidRPr="00B30C53" w:rsidRDefault="00D10AFD" w:rsidP="00F8677E">
      <w:pPr>
        <w:pStyle w:val="Heading2"/>
        <w:spacing w:before="360" w:line="270" w:lineRule="exact"/>
        <w:ind w:left="1138" w:right="1138" w:hanging="571"/>
        <w:rPr>
          <w:sz w:val="24"/>
          <w:szCs w:val="24"/>
          <w:lang w:val="fr-FR"/>
        </w:rPr>
      </w:pPr>
      <w:bookmarkStart w:id="112" w:name="_Toc518027544"/>
      <w:r w:rsidRPr="00B30C53">
        <w:rPr>
          <w:sz w:val="24"/>
          <w:szCs w:val="24"/>
          <w:lang w:val="fr-FR"/>
        </w:rPr>
        <w:t>Recommandations</w:t>
      </w:r>
      <w:bookmarkEnd w:id="112"/>
      <w:r w:rsidRPr="00B30C53">
        <w:rPr>
          <w:sz w:val="24"/>
          <w:szCs w:val="24"/>
          <w:lang w:val="fr-FR"/>
        </w:rPr>
        <w:t xml:space="preserve"> </w:t>
      </w:r>
    </w:p>
    <w:p w14:paraId="0E87375D" w14:textId="6192B54E" w:rsidR="00D10AFD" w:rsidRDefault="000D6F73" w:rsidP="000D6F73">
      <w:pPr>
        <w:pStyle w:val="BodyText"/>
        <w:tabs>
          <w:tab w:val="left" w:pos="1559"/>
          <w:tab w:val="left" w:pos="1984"/>
          <w:tab w:val="left" w:leader="dot" w:pos="7654"/>
          <w:tab w:val="right" w:pos="8929"/>
        </w:tabs>
        <w:spacing w:line="240" w:lineRule="atLeast"/>
        <w:ind w:left="1138" w:right="1138" w:firstLine="0"/>
        <w:rPr>
          <w:b/>
        </w:rPr>
      </w:pPr>
      <w:r>
        <w:rPr>
          <w:b/>
        </w:rPr>
        <w:t>L’Equipe d’experts internationaux</w:t>
      </w:r>
      <w:r w:rsidR="00D10AFD" w:rsidRPr="006D2833">
        <w:rPr>
          <w:b/>
        </w:rPr>
        <w:t xml:space="preserve"> considère qu</w:t>
      </w:r>
      <w:r w:rsidR="00D10AFD">
        <w:rPr>
          <w:b/>
        </w:rPr>
        <w:t>’</w:t>
      </w:r>
      <w:r w:rsidR="00D10AFD" w:rsidRPr="006D2833">
        <w:rPr>
          <w:b/>
        </w:rPr>
        <w:t xml:space="preserve">il </w:t>
      </w:r>
      <w:r w:rsidR="00D10AFD">
        <w:rPr>
          <w:b/>
        </w:rPr>
        <w:t xml:space="preserve">est </w:t>
      </w:r>
      <w:r>
        <w:rPr>
          <w:b/>
        </w:rPr>
        <w:t>urgent d’engager dès à présent</w:t>
      </w:r>
      <w:r w:rsidR="00D10AFD" w:rsidRPr="006D2833">
        <w:rPr>
          <w:b/>
        </w:rPr>
        <w:t xml:space="preserve"> l</w:t>
      </w:r>
      <w:r>
        <w:rPr>
          <w:b/>
        </w:rPr>
        <w:t>a lutte contre l’impunité en</w:t>
      </w:r>
      <w:r w:rsidR="00D10AFD" w:rsidRPr="006D2833">
        <w:rPr>
          <w:b/>
        </w:rPr>
        <w:t xml:space="preserve"> sanction</w:t>
      </w:r>
      <w:r>
        <w:rPr>
          <w:b/>
        </w:rPr>
        <w:t>nant l</w:t>
      </w:r>
      <w:r w:rsidR="00D10AFD" w:rsidRPr="006D2833">
        <w:rPr>
          <w:b/>
        </w:rPr>
        <w:t>es crimes les plus graves commis par tous les acteurs impliqués dans la crise</w:t>
      </w:r>
      <w:r w:rsidR="00D10AFD">
        <w:rPr>
          <w:b/>
        </w:rPr>
        <w:t>. Toutefois,</w:t>
      </w:r>
      <w:r>
        <w:rPr>
          <w:b/>
        </w:rPr>
        <w:t xml:space="preserve"> pour garantir la non-</w:t>
      </w:r>
      <w:r w:rsidR="00D10AFD" w:rsidRPr="006D2833">
        <w:rPr>
          <w:b/>
        </w:rPr>
        <w:t>répétition des violences, rendre justice aux victimes</w:t>
      </w:r>
      <w:r w:rsidR="00D10AFD">
        <w:rPr>
          <w:b/>
        </w:rPr>
        <w:t xml:space="preserve"> et </w:t>
      </w:r>
      <w:r w:rsidR="00D10AFD" w:rsidRPr="006D2833">
        <w:rPr>
          <w:b/>
        </w:rPr>
        <w:t>favoriser la réconciliation, la seule sanction des crimes les plus graves ne sera pas suffisante.</w:t>
      </w:r>
    </w:p>
    <w:p w14:paraId="544263D3" w14:textId="5CFA889C" w:rsidR="000D6F73" w:rsidRDefault="000D6F73" w:rsidP="000D6F73">
      <w:pPr>
        <w:pStyle w:val="BodyText"/>
        <w:tabs>
          <w:tab w:val="left" w:pos="1559"/>
          <w:tab w:val="left" w:pos="1984"/>
          <w:tab w:val="left" w:leader="dot" w:pos="7654"/>
          <w:tab w:val="right" w:pos="8929"/>
        </w:tabs>
        <w:spacing w:line="240" w:lineRule="atLeast"/>
        <w:ind w:left="1138" w:right="1138" w:firstLine="0"/>
        <w:rPr>
          <w:b/>
        </w:rPr>
      </w:pPr>
      <w:r>
        <w:rPr>
          <w:b/>
        </w:rPr>
        <w:t>L’Equipe recommande aux autorités de la République démocratique du Congo les mesures suivantes :</w:t>
      </w:r>
    </w:p>
    <w:p w14:paraId="12579DF2" w14:textId="1AE295D7" w:rsidR="000D6F73" w:rsidRDefault="000D4E0E" w:rsidP="004E119B">
      <w:pPr>
        <w:pStyle w:val="BodyText"/>
        <w:numPr>
          <w:ilvl w:val="0"/>
          <w:numId w:val="0"/>
        </w:numPr>
        <w:tabs>
          <w:tab w:val="clear" w:pos="567"/>
          <w:tab w:val="left" w:pos="1138"/>
          <w:tab w:val="left" w:pos="1984"/>
          <w:tab w:val="left" w:leader="dot" w:pos="7654"/>
          <w:tab w:val="right" w:pos="8929"/>
        </w:tabs>
        <w:spacing w:line="240" w:lineRule="atLeast"/>
        <w:ind w:left="1140" w:right="1140" w:firstLine="567"/>
        <w:rPr>
          <w:b/>
        </w:rPr>
      </w:pPr>
      <w:r w:rsidRPr="000D4E0E">
        <w:rPr>
          <w:b/>
        </w:rPr>
        <w:t>a)</w:t>
      </w:r>
      <w:r>
        <w:rPr>
          <w:b/>
        </w:rPr>
        <w:tab/>
      </w:r>
      <w:r w:rsidR="000D6F73">
        <w:rPr>
          <w:b/>
        </w:rPr>
        <w:t>S’engager dans un processus inclusif de justice transitionnelle visant établir</w:t>
      </w:r>
      <w:r w:rsidR="000D6F73" w:rsidRPr="006D2833">
        <w:rPr>
          <w:b/>
        </w:rPr>
        <w:t xml:space="preserve"> la vérité</w:t>
      </w:r>
      <w:r w:rsidR="000D6F73">
        <w:rPr>
          <w:b/>
        </w:rPr>
        <w:t>, à identifier les causes profondes de la crise et</w:t>
      </w:r>
      <w:r>
        <w:rPr>
          <w:b/>
        </w:rPr>
        <w:t xml:space="preserve"> à</w:t>
      </w:r>
      <w:r w:rsidR="000D6F73">
        <w:rPr>
          <w:b/>
        </w:rPr>
        <w:t xml:space="preserve"> </w:t>
      </w:r>
      <w:r w:rsidR="000D6F73" w:rsidRPr="006D2833">
        <w:rPr>
          <w:b/>
        </w:rPr>
        <w:t xml:space="preserve">apporter réparation aux victimes </w:t>
      </w:r>
      <w:r w:rsidR="000D6F73">
        <w:rPr>
          <w:b/>
        </w:rPr>
        <w:t>afin d’</w:t>
      </w:r>
      <w:r w:rsidR="000D6F73" w:rsidRPr="006D2833">
        <w:rPr>
          <w:b/>
        </w:rPr>
        <w:t>assurer la réconciliation</w:t>
      </w:r>
      <w:r>
        <w:rPr>
          <w:b/>
        </w:rPr>
        <w:t> ;</w:t>
      </w:r>
    </w:p>
    <w:p w14:paraId="5FCF19F3" w14:textId="697DC086" w:rsidR="000D4E0E" w:rsidRDefault="000D4E0E" w:rsidP="004E119B">
      <w:pPr>
        <w:pStyle w:val="BodyText"/>
        <w:numPr>
          <w:ilvl w:val="0"/>
          <w:numId w:val="0"/>
        </w:numPr>
        <w:tabs>
          <w:tab w:val="clear" w:pos="567"/>
          <w:tab w:val="left" w:pos="1138"/>
          <w:tab w:val="left" w:pos="1984"/>
          <w:tab w:val="left" w:leader="dot" w:pos="7654"/>
          <w:tab w:val="right" w:pos="8929"/>
        </w:tabs>
        <w:spacing w:line="240" w:lineRule="atLeast"/>
        <w:ind w:left="1140" w:right="1140" w:firstLine="567"/>
        <w:rPr>
          <w:b/>
        </w:rPr>
      </w:pPr>
      <w:r>
        <w:rPr>
          <w:b/>
        </w:rPr>
        <w:t>b)</w:t>
      </w:r>
      <w:r>
        <w:rPr>
          <w:b/>
        </w:rPr>
        <w:tab/>
        <w:t>Respecter leurs engagements internationaux et appliquer les lois en vigeur ;</w:t>
      </w:r>
    </w:p>
    <w:p w14:paraId="184FC6B9" w14:textId="2AA90D29" w:rsidR="000D4E0E" w:rsidRDefault="000D4E0E" w:rsidP="004E119B">
      <w:pPr>
        <w:pStyle w:val="BodyText"/>
        <w:numPr>
          <w:ilvl w:val="0"/>
          <w:numId w:val="0"/>
        </w:numPr>
        <w:tabs>
          <w:tab w:val="clear" w:pos="567"/>
          <w:tab w:val="left" w:pos="1138"/>
          <w:tab w:val="left" w:pos="1984"/>
          <w:tab w:val="left" w:leader="dot" w:pos="7654"/>
          <w:tab w:val="right" w:pos="8929"/>
        </w:tabs>
        <w:spacing w:line="240" w:lineRule="atLeast"/>
        <w:ind w:left="1140" w:right="1140" w:firstLine="567"/>
        <w:rPr>
          <w:b/>
        </w:rPr>
      </w:pPr>
      <w:r>
        <w:rPr>
          <w:b/>
        </w:rPr>
        <w:t>c)</w:t>
      </w:r>
      <w:r>
        <w:rPr>
          <w:b/>
        </w:rPr>
        <w:tab/>
        <w:t xml:space="preserve">Renforcer </w:t>
      </w:r>
      <w:r w:rsidRPr="00E136C8">
        <w:rPr>
          <w:b/>
        </w:rPr>
        <w:t xml:space="preserve">la capacité des auditorats militaires du Kasaï afin qu’ils puissent enquêter </w:t>
      </w:r>
      <w:r>
        <w:rPr>
          <w:b/>
        </w:rPr>
        <w:t xml:space="preserve">et </w:t>
      </w:r>
      <w:r w:rsidRPr="00E136C8">
        <w:rPr>
          <w:b/>
        </w:rPr>
        <w:t>poursuivre et juger les auteurs, y compris les plus hauts responsables</w:t>
      </w:r>
      <w:r>
        <w:rPr>
          <w:b/>
        </w:rPr>
        <w:t>,</w:t>
      </w:r>
      <w:r w:rsidRPr="00E136C8">
        <w:rPr>
          <w:b/>
        </w:rPr>
        <w:t> </w:t>
      </w:r>
      <w:r>
        <w:rPr>
          <w:b/>
        </w:rPr>
        <w:t>des</w:t>
      </w:r>
      <w:r w:rsidRPr="00E136C8">
        <w:rPr>
          <w:b/>
        </w:rPr>
        <w:t xml:space="preserve"> nombreux crimes internationaux</w:t>
      </w:r>
      <w:r>
        <w:rPr>
          <w:b/>
        </w:rPr>
        <w:t xml:space="preserve"> commis au Kasaï depuis 2016 en :</w:t>
      </w:r>
    </w:p>
    <w:p w14:paraId="326A9B43" w14:textId="76F3FF7C" w:rsidR="000D4E0E" w:rsidRDefault="000D4E0E" w:rsidP="004E119B">
      <w:pPr>
        <w:pStyle w:val="BodyText"/>
        <w:numPr>
          <w:ilvl w:val="0"/>
          <w:numId w:val="0"/>
        </w:numPr>
        <w:tabs>
          <w:tab w:val="clear" w:pos="567"/>
          <w:tab w:val="left" w:pos="1138"/>
          <w:tab w:val="left" w:pos="1984"/>
          <w:tab w:val="left" w:leader="dot" w:pos="7654"/>
          <w:tab w:val="right" w:pos="8929"/>
        </w:tabs>
        <w:spacing w:line="240" w:lineRule="atLeast"/>
        <w:ind w:left="1140" w:right="1140" w:firstLine="567"/>
        <w:rPr>
          <w:b/>
        </w:rPr>
      </w:pPr>
      <w:r>
        <w:rPr>
          <w:b/>
        </w:rPr>
        <w:t>i)</w:t>
      </w:r>
      <w:r>
        <w:rPr>
          <w:b/>
        </w:rPr>
        <w:tab/>
        <w:t>Augmentant les ressources humaines et logistiques des auditorats militiares ;</w:t>
      </w:r>
    </w:p>
    <w:p w14:paraId="099D28AB" w14:textId="509AF426" w:rsidR="000D4E0E" w:rsidRDefault="000D4E0E" w:rsidP="004E119B">
      <w:pPr>
        <w:pStyle w:val="BodyText"/>
        <w:numPr>
          <w:ilvl w:val="0"/>
          <w:numId w:val="0"/>
        </w:numPr>
        <w:tabs>
          <w:tab w:val="clear" w:pos="567"/>
          <w:tab w:val="left" w:pos="1138"/>
          <w:tab w:val="left" w:pos="1984"/>
          <w:tab w:val="left" w:leader="dot" w:pos="7654"/>
          <w:tab w:val="right" w:pos="8929"/>
        </w:tabs>
        <w:spacing w:line="240" w:lineRule="atLeast"/>
        <w:ind w:left="1140" w:right="1140" w:firstLine="567"/>
        <w:rPr>
          <w:b/>
        </w:rPr>
      </w:pPr>
      <w:r>
        <w:rPr>
          <w:b/>
        </w:rPr>
        <w:t>ii)</w:t>
      </w:r>
      <w:r>
        <w:rPr>
          <w:b/>
        </w:rPr>
        <w:tab/>
        <w:t xml:space="preserve">S’assurant </w:t>
      </w:r>
      <w:r w:rsidRPr="00E136C8">
        <w:rPr>
          <w:b/>
        </w:rPr>
        <w:t>que les officiers à la</w:t>
      </w:r>
      <w:r>
        <w:rPr>
          <w:b/>
        </w:rPr>
        <w:t xml:space="preserve"> tête des auditorats </w:t>
      </w:r>
      <w:r w:rsidRPr="00E136C8">
        <w:rPr>
          <w:b/>
        </w:rPr>
        <w:t>soient au moins au même niveau que les officiers en charge des opérations dont la respon</w:t>
      </w:r>
      <w:r>
        <w:rPr>
          <w:b/>
        </w:rPr>
        <w:t>sabilité pourrait être engagée,</w:t>
      </w:r>
    </w:p>
    <w:p w14:paraId="22C00282" w14:textId="77777777" w:rsidR="000D4E0E" w:rsidRDefault="000D4E0E" w:rsidP="004E119B">
      <w:pPr>
        <w:pStyle w:val="BodyText"/>
        <w:numPr>
          <w:ilvl w:val="0"/>
          <w:numId w:val="0"/>
        </w:numPr>
        <w:tabs>
          <w:tab w:val="clear" w:pos="567"/>
          <w:tab w:val="left" w:pos="1138"/>
          <w:tab w:val="left" w:pos="1984"/>
          <w:tab w:val="left" w:leader="dot" w:pos="7654"/>
          <w:tab w:val="right" w:pos="8929"/>
        </w:tabs>
        <w:spacing w:line="240" w:lineRule="atLeast"/>
        <w:ind w:left="1140" w:right="1140" w:firstLine="567"/>
        <w:rPr>
          <w:b/>
        </w:rPr>
      </w:pPr>
      <w:r>
        <w:rPr>
          <w:b/>
        </w:rPr>
        <w:t>iii)</w:t>
      </w:r>
      <w:r>
        <w:rPr>
          <w:b/>
        </w:rPr>
        <w:tab/>
        <w:t xml:space="preserve">Appliquant </w:t>
      </w:r>
      <w:r w:rsidRPr="00E136C8">
        <w:rPr>
          <w:b/>
        </w:rPr>
        <w:t xml:space="preserve">une stratégie des poursuites afin de s’assurer que les auteurs de toutes les parties impliquées dans les violences </w:t>
      </w:r>
      <w:r>
        <w:rPr>
          <w:b/>
        </w:rPr>
        <w:t>soient</w:t>
      </w:r>
      <w:r w:rsidRPr="00E136C8">
        <w:rPr>
          <w:b/>
        </w:rPr>
        <w:t xml:space="preserve"> jugés</w:t>
      </w:r>
      <w:r>
        <w:rPr>
          <w:b/>
        </w:rPr>
        <w:t> ;</w:t>
      </w:r>
    </w:p>
    <w:p w14:paraId="63952394" w14:textId="52CA4805" w:rsidR="000D4E0E" w:rsidRDefault="000D4E0E" w:rsidP="004E119B">
      <w:pPr>
        <w:pStyle w:val="BodyText"/>
        <w:numPr>
          <w:ilvl w:val="0"/>
          <w:numId w:val="0"/>
        </w:numPr>
        <w:tabs>
          <w:tab w:val="clear" w:pos="567"/>
          <w:tab w:val="left" w:pos="1138"/>
          <w:tab w:val="left" w:pos="1984"/>
          <w:tab w:val="left" w:leader="dot" w:pos="7654"/>
          <w:tab w:val="right" w:pos="8929"/>
        </w:tabs>
        <w:spacing w:line="240" w:lineRule="atLeast"/>
        <w:ind w:left="1140" w:right="1140" w:firstLine="567"/>
        <w:rPr>
          <w:b/>
        </w:rPr>
      </w:pPr>
      <w:r>
        <w:rPr>
          <w:b/>
        </w:rPr>
        <w:t>d)</w:t>
      </w:r>
      <w:r>
        <w:rPr>
          <w:b/>
        </w:rPr>
        <w:tab/>
      </w:r>
      <w:r w:rsidRPr="00E136C8">
        <w:rPr>
          <w:b/>
        </w:rPr>
        <w:t> </w:t>
      </w:r>
      <w:r>
        <w:rPr>
          <w:b/>
        </w:rPr>
        <w:t>S’assurer de la mise en place de personnels spécialisés chargés d’</w:t>
      </w:r>
      <w:r w:rsidRPr="00E136C8">
        <w:rPr>
          <w:b/>
        </w:rPr>
        <w:t xml:space="preserve">enquêter et </w:t>
      </w:r>
      <w:r>
        <w:rPr>
          <w:b/>
        </w:rPr>
        <w:t xml:space="preserve">de </w:t>
      </w:r>
      <w:r w:rsidRPr="00E136C8">
        <w:rPr>
          <w:b/>
        </w:rPr>
        <w:t xml:space="preserve">poursuivre spécifiquement </w:t>
      </w:r>
      <w:r>
        <w:rPr>
          <w:b/>
        </w:rPr>
        <w:t>les crimes de violence sexuelle ;</w:t>
      </w:r>
    </w:p>
    <w:p w14:paraId="3539BB83" w14:textId="004AF5C3" w:rsidR="000D4E0E" w:rsidRDefault="000D4E0E" w:rsidP="004E119B">
      <w:pPr>
        <w:pStyle w:val="BodyText"/>
        <w:numPr>
          <w:ilvl w:val="0"/>
          <w:numId w:val="0"/>
        </w:numPr>
        <w:tabs>
          <w:tab w:val="clear" w:pos="567"/>
          <w:tab w:val="left" w:pos="1138"/>
          <w:tab w:val="left" w:pos="1984"/>
          <w:tab w:val="left" w:leader="dot" w:pos="7654"/>
          <w:tab w:val="right" w:pos="8929"/>
        </w:tabs>
        <w:spacing w:line="240" w:lineRule="atLeast"/>
        <w:ind w:left="1140" w:right="1140" w:firstLine="567"/>
        <w:rPr>
          <w:b/>
        </w:rPr>
      </w:pPr>
      <w:r>
        <w:rPr>
          <w:b/>
        </w:rPr>
        <w:t>e)</w:t>
      </w:r>
      <w:r>
        <w:rPr>
          <w:b/>
        </w:rPr>
        <w:tab/>
        <w:t>Appliquer effectivement</w:t>
      </w:r>
      <w:r w:rsidRPr="00E136C8">
        <w:rPr>
          <w:b/>
        </w:rPr>
        <w:t xml:space="preserve"> les mesures de protection judiciaire envers les victimes </w:t>
      </w:r>
      <w:r w:rsidR="00DC3EB5">
        <w:rPr>
          <w:b/>
        </w:rPr>
        <w:t>de crimes de violences sexuelle</w:t>
      </w:r>
      <w:r w:rsidRPr="00E136C8">
        <w:rPr>
          <w:b/>
        </w:rPr>
        <w:t xml:space="preserve"> et encourager celles-ci à porter plainte et à s’exprimer devant la justice par la mise en place d’une assistance judiciaire</w:t>
      </w:r>
      <w:r w:rsidR="00DC3EB5">
        <w:rPr>
          <w:b/>
        </w:rPr>
        <w:t> ;</w:t>
      </w:r>
    </w:p>
    <w:p w14:paraId="56C2F8B4" w14:textId="6DAF6624" w:rsidR="00DC3EB5" w:rsidRDefault="00DC3EB5" w:rsidP="004E119B">
      <w:pPr>
        <w:pStyle w:val="BodyText"/>
        <w:numPr>
          <w:ilvl w:val="0"/>
          <w:numId w:val="0"/>
        </w:numPr>
        <w:tabs>
          <w:tab w:val="clear" w:pos="567"/>
          <w:tab w:val="left" w:pos="1138"/>
          <w:tab w:val="left" w:pos="1984"/>
          <w:tab w:val="left" w:leader="dot" w:pos="7654"/>
          <w:tab w:val="right" w:pos="8929"/>
        </w:tabs>
        <w:spacing w:line="240" w:lineRule="atLeast"/>
        <w:ind w:left="1140" w:right="1140" w:firstLine="567"/>
        <w:rPr>
          <w:b/>
        </w:rPr>
      </w:pPr>
      <w:r>
        <w:rPr>
          <w:b/>
        </w:rPr>
        <w:t>f)</w:t>
      </w:r>
      <w:r>
        <w:rPr>
          <w:b/>
        </w:rPr>
        <w:tab/>
        <w:t>S’</w:t>
      </w:r>
      <w:r w:rsidRPr="00E136C8">
        <w:rPr>
          <w:b/>
        </w:rPr>
        <w:t>assurer que les personnes reconnues coupable</w:t>
      </w:r>
      <w:r>
        <w:rPr>
          <w:b/>
        </w:rPr>
        <w:t>s</w:t>
      </w:r>
      <w:r w:rsidRPr="00E136C8">
        <w:rPr>
          <w:b/>
        </w:rPr>
        <w:t xml:space="preserve"> de crimes de violence sexuelles s</w:t>
      </w:r>
      <w:r>
        <w:rPr>
          <w:b/>
        </w:rPr>
        <w:t>oient condamnées à des peines</w:t>
      </w:r>
      <w:r w:rsidRPr="00E136C8">
        <w:rPr>
          <w:b/>
        </w:rPr>
        <w:t xml:space="preserve"> appropriées et qu’elles ne soient pas intégrées ou maintenues dans les forces </w:t>
      </w:r>
      <w:r>
        <w:rPr>
          <w:b/>
        </w:rPr>
        <w:t>de défense et de sécurité ;</w:t>
      </w:r>
    </w:p>
    <w:p w14:paraId="7CEE64E4" w14:textId="1EA2742E" w:rsidR="00DC3EB5" w:rsidRDefault="00DC3EB5" w:rsidP="004E119B">
      <w:pPr>
        <w:pStyle w:val="BodyText"/>
        <w:numPr>
          <w:ilvl w:val="0"/>
          <w:numId w:val="0"/>
        </w:numPr>
        <w:tabs>
          <w:tab w:val="clear" w:pos="567"/>
          <w:tab w:val="left" w:pos="1138"/>
          <w:tab w:val="left" w:pos="1984"/>
          <w:tab w:val="left" w:leader="dot" w:pos="7654"/>
          <w:tab w:val="right" w:pos="8929"/>
        </w:tabs>
        <w:spacing w:line="240" w:lineRule="atLeast"/>
        <w:ind w:left="1140" w:right="1140" w:firstLine="567"/>
        <w:rPr>
          <w:b/>
        </w:rPr>
      </w:pPr>
      <w:r>
        <w:rPr>
          <w:b/>
        </w:rPr>
        <w:t>g)</w:t>
      </w:r>
      <w:r>
        <w:rPr>
          <w:b/>
        </w:rPr>
        <w:tab/>
        <w:t xml:space="preserve">Dans </w:t>
      </w:r>
      <w:r w:rsidRPr="00E136C8">
        <w:rPr>
          <w:b/>
        </w:rPr>
        <w:t>les cas où</w:t>
      </w:r>
      <w:r>
        <w:rPr>
          <w:b/>
        </w:rPr>
        <w:t xml:space="preserve"> des mineurs seraient jugés, </w:t>
      </w:r>
      <w:r w:rsidRPr="00E136C8">
        <w:rPr>
          <w:b/>
        </w:rPr>
        <w:t xml:space="preserve">s’assurer que les enquêteurs aient une formation spécialisée et que les enfants accusés soient jugés devant des chambres spécialisées pour mineurs avec des procédures </w:t>
      </w:r>
      <w:r>
        <w:rPr>
          <w:b/>
        </w:rPr>
        <w:t>adaptées ;</w:t>
      </w:r>
    </w:p>
    <w:p w14:paraId="0A84B34B" w14:textId="77777777" w:rsidR="00DC3EB5" w:rsidRDefault="00DC3EB5" w:rsidP="004E119B">
      <w:pPr>
        <w:pStyle w:val="BodyText"/>
        <w:numPr>
          <w:ilvl w:val="0"/>
          <w:numId w:val="0"/>
        </w:numPr>
        <w:tabs>
          <w:tab w:val="clear" w:pos="567"/>
          <w:tab w:val="left" w:pos="1138"/>
          <w:tab w:val="left" w:pos="1984"/>
          <w:tab w:val="left" w:leader="dot" w:pos="7654"/>
          <w:tab w:val="right" w:pos="8929"/>
        </w:tabs>
        <w:spacing w:line="240" w:lineRule="atLeast"/>
        <w:ind w:left="1140" w:right="1140" w:firstLine="567"/>
        <w:rPr>
          <w:b/>
        </w:rPr>
      </w:pPr>
      <w:r>
        <w:rPr>
          <w:b/>
        </w:rPr>
        <w:t xml:space="preserve">h) </w:t>
      </w:r>
      <w:r>
        <w:rPr>
          <w:b/>
        </w:rPr>
        <w:tab/>
        <w:t>Appliquer effectivement</w:t>
      </w:r>
      <w:r w:rsidRPr="00E136C8">
        <w:rPr>
          <w:b/>
        </w:rPr>
        <w:t xml:space="preserve"> les mesures de protection judiciaire envers les enfants victimes afin de faciliter leur participation et de protéger leur identité</w:t>
      </w:r>
      <w:r>
        <w:rPr>
          <w:b/>
        </w:rPr>
        <w:t> ;</w:t>
      </w:r>
    </w:p>
    <w:p w14:paraId="7875EAAC" w14:textId="77777777" w:rsidR="00DC3EB5" w:rsidRDefault="00DC3EB5" w:rsidP="004E119B">
      <w:pPr>
        <w:pStyle w:val="BodyText"/>
        <w:numPr>
          <w:ilvl w:val="0"/>
          <w:numId w:val="0"/>
        </w:numPr>
        <w:tabs>
          <w:tab w:val="clear" w:pos="567"/>
          <w:tab w:val="left" w:pos="1138"/>
          <w:tab w:val="left" w:pos="1984"/>
          <w:tab w:val="left" w:leader="dot" w:pos="7654"/>
          <w:tab w:val="right" w:pos="8929"/>
        </w:tabs>
        <w:spacing w:line="240" w:lineRule="atLeast"/>
        <w:ind w:left="1140" w:right="1140" w:firstLine="567"/>
        <w:rPr>
          <w:b/>
        </w:rPr>
      </w:pPr>
      <w:r>
        <w:rPr>
          <w:b/>
        </w:rPr>
        <w:t>i)</w:t>
      </w:r>
      <w:r>
        <w:rPr>
          <w:b/>
        </w:rPr>
        <w:tab/>
        <w:t xml:space="preserve">Prendre </w:t>
      </w:r>
      <w:r w:rsidRPr="00E136C8">
        <w:rPr>
          <w:b/>
        </w:rPr>
        <w:t>les mesures concrètes et effectives pour que les</w:t>
      </w:r>
      <w:r>
        <w:rPr>
          <w:b/>
        </w:rPr>
        <w:t xml:space="preserve"> victimes de violences sexuelle</w:t>
      </w:r>
      <w:r w:rsidRPr="00E136C8">
        <w:rPr>
          <w:b/>
        </w:rPr>
        <w:t xml:space="preserve"> et les enfants</w:t>
      </w:r>
      <w:r>
        <w:rPr>
          <w:b/>
        </w:rPr>
        <w:t xml:space="preserve"> victimes</w:t>
      </w:r>
      <w:r w:rsidRPr="00E136C8">
        <w:rPr>
          <w:b/>
        </w:rPr>
        <w:t xml:space="preserve"> bénéficie</w:t>
      </w:r>
      <w:r>
        <w:rPr>
          <w:b/>
        </w:rPr>
        <w:t>nt de services médicaux, psychosociaux et socio</w:t>
      </w:r>
      <w:r w:rsidRPr="00E136C8">
        <w:rPr>
          <w:b/>
        </w:rPr>
        <w:t>économiques adaptés en i</w:t>
      </w:r>
      <w:r>
        <w:rPr>
          <w:b/>
        </w:rPr>
        <w:t>ncorporant une démarche séxopécifique ;</w:t>
      </w:r>
    </w:p>
    <w:p w14:paraId="7463AC0B" w14:textId="7BCD7C5B" w:rsidR="00D10AFD" w:rsidRPr="00932602" w:rsidRDefault="00DC3EB5" w:rsidP="004E119B">
      <w:pPr>
        <w:pStyle w:val="BodyText"/>
        <w:numPr>
          <w:ilvl w:val="0"/>
          <w:numId w:val="0"/>
        </w:numPr>
        <w:tabs>
          <w:tab w:val="clear" w:pos="567"/>
          <w:tab w:val="left" w:pos="1138"/>
          <w:tab w:val="left" w:pos="1984"/>
          <w:tab w:val="left" w:leader="dot" w:pos="7654"/>
          <w:tab w:val="right" w:pos="8929"/>
        </w:tabs>
        <w:spacing w:line="240" w:lineRule="atLeast"/>
        <w:ind w:left="1140" w:right="1140" w:firstLine="567"/>
        <w:rPr>
          <w:b/>
        </w:rPr>
      </w:pPr>
      <w:r>
        <w:rPr>
          <w:b/>
        </w:rPr>
        <w:t>j)</w:t>
      </w:r>
      <w:r>
        <w:rPr>
          <w:b/>
        </w:rPr>
        <w:tab/>
        <w:t xml:space="preserve"> Œuvrer à la libération immédiate</w:t>
      </w:r>
      <w:r w:rsidRPr="00E136C8">
        <w:rPr>
          <w:b/>
        </w:rPr>
        <w:t xml:space="preserve"> des femmes et enfants toujours captifs des miliciens Bana Mura sur le territoire de </w:t>
      </w:r>
      <w:r>
        <w:rPr>
          <w:b/>
        </w:rPr>
        <w:t>Kamonia ;</w:t>
      </w:r>
    </w:p>
    <w:p w14:paraId="2ECC2A38" w14:textId="51858511" w:rsidR="00D10AFD" w:rsidRDefault="002744DF" w:rsidP="00650554">
      <w:pPr>
        <w:pStyle w:val="BodyText"/>
        <w:tabs>
          <w:tab w:val="left" w:pos="1559"/>
          <w:tab w:val="left" w:pos="1984"/>
          <w:tab w:val="left" w:leader="dot" w:pos="7654"/>
          <w:tab w:val="right" w:pos="8929"/>
        </w:tabs>
        <w:spacing w:line="240" w:lineRule="atLeast"/>
        <w:ind w:left="1138" w:right="1138" w:firstLine="0"/>
        <w:rPr>
          <w:b/>
        </w:rPr>
      </w:pPr>
      <w:r>
        <w:rPr>
          <w:b/>
        </w:rPr>
        <w:t>L’Equipe recommande à la MONUSCO d’apporter un soutien concret aux autorités judiciaires compétentes dans le cadre des poursuites judiciaires contre les auteurs des crimes internationaux au Kasaï, notamment en soutenant la tenue des audiences foreines.</w:t>
      </w:r>
    </w:p>
    <w:p w14:paraId="0F888C27" w14:textId="037DC881" w:rsidR="00F8677E" w:rsidRPr="00F8677E" w:rsidRDefault="002744DF" w:rsidP="00D73685">
      <w:pPr>
        <w:pStyle w:val="BodyText"/>
        <w:tabs>
          <w:tab w:val="left" w:pos="1559"/>
          <w:tab w:val="left" w:pos="1984"/>
          <w:tab w:val="left" w:leader="dot" w:pos="7654"/>
          <w:tab w:val="right" w:pos="8929"/>
        </w:tabs>
        <w:spacing w:after="0" w:line="240" w:lineRule="atLeast"/>
        <w:ind w:left="1140" w:right="1140" w:firstLine="0"/>
        <w:rPr>
          <w:b/>
          <w:lang w:val="fr-CH"/>
        </w:rPr>
      </w:pPr>
      <w:r>
        <w:rPr>
          <w:b/>
        </w:rPr>
        <w:t xml:space="preserve">L’Equipe recommande au Secrétaire général de l’Organisation des Nations Unies de suivre </w:t>
      </w:r>
      <w:r w:rsidRPr="00E136C8">
        <w:rPr>
          <w:b/>
        </w:rPr>
        <w:t>de près l’avancement d</w:t>
      </w:r>
      <w:r>
        <w:rPr>
          <w:b/>
        </w:rPr>
        <w:t>es enquêtes de la République démocratique du Congo</w:t>
      </w:r>
      <w:r w:rsidRPr="00E136C8">
        <w:rPr>
          <w:b/>
        </w:rPr>
        <w:t xml:space="preserve"> </w:t>
      </w:r>
      <w:r>
        <w:rPr>
          <w:b/>
        </w:rPr>
        <w:t>sur la mort des deux experts d’Organisation et leurs accompagnateurs</w:t>
      </w:r>
      <w:r w:rsidRPr="00E136C8">
        <w:rPr>
          <w:b/>
        </w:rPr>
        <w:t xml:space="preserve"> et, si nécessaire, </w:t>
      </w:r>
      <w:r>
        <w:rPr>
          <w:b/>
        </w:rPr>
        <w:t xml:space="preserve">de </w:t>
      </w:r>
      <w:r w:rsidRPr="00E136C8">
        <w:rPr>
          <w:b/>
        </w:rPr>
        <w:t>renforcer le mandat</w:t>
      </w:r>
      <w:r>
        <w:rPr>
          <w:b/>
        </w:rPr>
        <w:t xml:space="preserve"> et les ressources</w:t>
      </w:r>
      <w:r w:rsidRPr="00E136C8">
        <w:rPr>
          <w:b/>
        </w:rPr>
        <w:t xml:space="preserve"> de l’Equipe des Nations </w:t>
      </w:r>
      <w:r>
        <w:rPr>
          <w:b/>
        </w:rPr>
        <w:t>U</w:t>
      </w:r>
      <w:r w:rsidR="00196951">
        <w:rPr>
          <w:b/>
        </w:rPr>
        <w:t>nies chargée d’appuyer</w:t>
      </w:r>
      <w:r w:rsidRPr="00E136C8">
        <w:rPr>
          <w:b/>
        </w:rPr>
        <w:t xml:space="preserve"> l</w:t>
      </w:r>
      <w:r w:rsidR="00196951">
        <w:rPr>
          <w:b/>
        </w:rPr>
        <w:t xml:space="preserve">’enquête nationale </w:t>
      </w:r>
      <w:r w:rsidRPr="00E136C8">
        <w:rPr>
          <w:b/>
        </w:rPr>
        <w:t>afin que les personnes responsables</w:t>
      </w:r>
      <w:r w:rsidR="00196951">
        <w:rPr>
          <w:b/>
        </w:rPr>
        <w:t xml:space="preserve"> soient traduites en justice.</w:t>
      </w:r>
    </w:p>
    <w:p w14:paraId="0B81AC12" w14:textId="559199AF" w:rsidR="00F8677E" w:rsidRPr="00F8677E" w:rsidRDefault="00F8677E" w:rsidP="00F8677E">
      <w:pPr>
        <w:pStyle w:val="BodyText"/>
        <w:numPr>
          <w:ilvl w:val="0"/>
          <w:numId w:val="0"/>
        </w:numPr>
        <w:tabs>
          <w:tab w:val="clear" w:pos="567"/>
        </w:tabs>
        <w:suppressAutoHyphens/>
        <w:spacing w:before="240" w:after="0" w:line="240" w:lineRule="atLeast"/>
        <w:ind w:left="1134" w:right="2827" w:firstLine="2268"/>
        <w:jc w:val="center"/>
        <w:rPr>
          <w:b/>
          <w:u w:val="single"/>
          <w:lang w:val="fr-CH"/>
        </w:rPr>
      </w:pPr>
      <w:r>
        <w:rPr>
          <w:b/>
          <w:u w:val="single"/>
        </w:rPr>
        <w:tab/>
      </w:r>
      <w:r>
        <w:rPr>
          <w:b/>
          <w:u w:val="single"/>
        </w:rPr>
        <w:tab/>
      </w:r>
      <w:r>
        <w:rPr>
          <w:b/>
          <w:u w:val="single"/>
        </w:rPr>
        <w:tab/>
      </w:r>
      <w:r w:rsidR="00F16F70">
        <w:rPr>
          <w:b/>
          <w:u w:val="single"/>
        </w:rPr>
        <w:tab/>
      </w:r>
    </w:p>
    <w:sectPr w:rsidR="00F8677E" w:rsidRPr="00F8677E" w:rsidSect="00D55DB5">
      <w:headerReference w:type="even" r:id="rId8"/>
      <w:headerReference w:type="default" r:id="rId9"/>
      <w:footerReference w:type="even" r:id="rId10"/>
      <w:footerReference w:type="default" r:id="rId11"/>
      <w:footerReference w:type="first" r:id="rId12"/>
      <w:endnotePr>
        <w:numFmt w:val="decimal"/>
      </w:endnotePr>
      <w:pgSz w:w="11907" w:h="16840" w:code="9"/>
      <w:pgMar w:top="1701" w:right="1140" w:bottom="2274" w:left="1140" w:header="851" w:footer="56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4361D" w14:textId="77777777" w:rsidR="004E119B" w:rsidRDefault="004E119B"/>
  </w:endnote>
  <w:endnote w:type="continuationSeparator" w:id="0">
    <w:p w14:paraId="454837D2" w14:textId="77777777" w:rsidR="004E119B" w:rsidRDefault="004E119B"/>
  </w:endnote>
  <w:endnote w:type="continuationNotice" w:id="1">
    <w:p w14:paraId="4E18B77D" w14:textId="77777777" w:rsidR="004E119B" w:rsidRDefault="004E1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5E6ED" w14:textId="7CFE1C19" w:rsidR="004E119B" w:rsidRPr="00CB6D4F" w:rsidRDefault="004E119B" w:rsidP="00CB6D4F">
    <w:pPr>
      <w:pStyle w:val="Footer"/>
      <w:tabs>
        <w:tab w:val="right" w:pos="9638"/>
      </w:tabs>
      <w:rPr>
        <w:sz w:val="18"/>
      </w:rPr>
    </w:pPr>
    <w:r w:rsidRPr="00CB6D4F">
      <w:rPr>
        <w:b/>
        <w:sz w:val="18"/>
      </w:rPr>
      <w:fldChar w:fldCharType="begin"/>
    </w:r>
    <w:r w:rsidRPr="00CB6D4F">
      <w:rPr>
        <w:b/>
        <w:sz w:val="18"/>
      </w:rPr>
      <w:instrText xml:space="preserve"> PAGE  \* MERGEFORMAT </w:instrText>
    </w:r>
    <w:r w:rsidRPr="00CB6D4F">
      <w:rPr>
        <w:b/>
        <w:sz w:val="18"/>
      </w:rPr>
      <w:fldChar w:fldCharType="separate"/>
    </w:r>
    <w:r w:rsidR="00612916">
      <w:rPr>
        <w:b/>
        <w:noProof/>
        <w:sz w:val="18"/>
      </w:rPr>
      <w:t>2</w:t>
    </w:r>
    <w:r w:rsidRPr="00CB6D4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D41D6" w14:textId="5D0C6630" w:rsidR="004E119B" w:rsidRPr="00CB6D4F" w:rsidRDefault="004E119B" w:rsidP="00CB6D4F">
    <w:pPr>
      <w:pStyle w:val="Footer"/>
      <w:tabs>
        <w:tab w:val="right" w:pos="9638"/>
      </w:tabs>
      <w:rPr>
        <w:b/>
        <w:sz w:val="18"/>
      </w:rPr>
    </w:pPr>
    <w:r>
      <w:tab/>
    </w:r>
    <w:r w:rsidRPr="00CB6D4F">
      <w:rPr>
        <w:b/>
        <w:sz w:val="18"/>
      </w:rPr>
      <w:fldChar w:fldCharType="begin"/>
    </w:r>
    <w:r w:rsidRPr="00CB6D4F">
      <w:rPr>
        <w:b/>
        <w:sz w:val="18"/>
      </w:rPr>
      <w:instrText xml:space="preserve"> PAGE  \* MERGEFORMAT </w:instrText>
    </w:r>
    <w:r w:rsidRPr="00CB6D4F">
      <w:rPr>
        <w:b/>
        <w:sz w:val="18"/>
      </w:rPr>
      <w:fldChar w:fldCharType="separate"/>
    </w:r>
    <w:r w:rsidR="00612916">
      <w:rPr>
        <w:b/>
        <w:noProof/>
        <w:sz w:val="18"/>
      </w:rPr>
      <w:t>3</w:t>
    </w:r>
    <w:r w:rsidRPr="00CB6D4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172E7" w14:textId="6E2820B3" w:rsidR="004E119B" w:rsidRPr="00CB6F4D" w:rsidRDefault="00CB6F4D" w:rsidP="00A954DF">
    <w:pPr>
      <w:pStyle w:val="Footer"/>
      <w:tabs>
        <w:tab w:val="right" w:pos="9639"/>
      </w:tabs>
      <w:rPr>
        <w:rFonts w:ascii="C39T30Lfz" w:hAnsi="C39T30Lfz"/>
        <w:sz w:val="56"/>
      </w:rPr>
    </w:pPr>
    <w:r>
      <w:rPr>
        <w:noProof/>
        <w:sz w:val="20"/>
        <w:lang w:eastAsia="en-GB"/>
      </w:rPr>
      <w:drawing>
        <wp:anchor distT="0" distB="0" distL="114300" distR="114300" simplePos="0" relativeHeight="251692544" behindDoc="0" locked="0" layoutInCell="1" allowOverlap="1" wp14:anchorId="3CFA59B9" wp14:editId="11011D5D">
          <wp:simplePos x="0" y="0"/>
          <wp:positionH relativeFrom="column">
            <wp:posOffset>5445125</wp:posOffset>
          </wp:positionH>
          <wp:positionV relativeFrom="paragraph">
            <wp:posOffset>-74930</wp:posOffset>
          </wp:positionV>
          <wp:extent cx="638175" cy="638175"/>
          <wp:effectExtent l="0" t="0" r="9525" b="9525"/>
          <wp:wrapNone/>
          <wp:docPr id="4" name="Image 4" descr="https://undocs.org/m2/QRCode.ashx?DS=A/HRC/38/CRP.1&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38/CRP.1&amp;Size=2&amp;Lang=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0" locked="0" layoutInCell="1" allowOverlap="0" wp14:anchorId="2BD121F1" wp14:editId="4FB9410B">
          <wp:simplePos x="0" y="0"/>
          <wp:positionH relativeFrom="margin">
            <wp:posOffset>4312920</wp:posOffset>
          </wp:positionH>
          <wp:positionV relativeFrom="margin">
            <wp:posOffset>8968901</wp:posOffset>
          </wp:positionV>
          <wp:extent cx="1104900" cy="233680"/>
          <wp:effectExtent l="0" t="0" r="0" b="0"/>
          <wp:wrapNone/>
          <wp:docPr id="3" name="Image 3"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2336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GE.18-10715  (F)</w:t>
    </w:r>
    <w:r>
      <w:rPr>
        <w:sz w:val="20"/>
      </w:rPr>
      <w:br/>
    </w:r>
    <w:r w:rsidRPr="00CB6F4D">
      <w:rPr>
        <w:rFonts w:ascii="C39T30Lfz" w:hAnsi="C39T30Lfz"/>
        <w:sz w:val="56"/>
      </w:rPr>
      <w:t></w:t>
    </w:r>
    <w:r w:rsidRPr="00CB6F4D">
      <w:rPr>
        <w:rFonts w:ascii="C39T30Lfz" w:hAnsi="C39T30Lfz"/>
        <w:sz w:val="56"/>
      </w:rPr>
      <w:t></w:t>
    </w:r>
    <w:r w:rsidRPr="00CB6F4D">
      <w:rPr>
        <w:rFonts w:ascii="C39T30Lfz" w:hAnsi="C39T30Lfz"/>
        <w:sz w:val="56"/>
      </w:rPr>
      <w:t></w:t>
    </w:r>
    <w:r w:rsidRPr="00CB6F4D">
      <w:rPr>
        <w:rFonts w:ascii="C39T30Lfz" w:hAnsi="C39T30Lfz"/>
        <w:sz w:val="56"/>
      </w:rPr>
      <w:t></w:t>
    </w:r>
    <w:r w:rsidRPr="00CB6F4D">
      <w:rPr>
        <w:rFonts w:ascii="C39T30Lfz" w:hAnsi="C39T30Lfz"/>
        <w:sz w:val="56"/>
      </w:rPr>
      <w:t></w:t>
    </w:r>
    <w:r w:rsidRPr="00CB6F4D">
      <w:rPr>
        <w:rFonts w:ascii="C39T30Lfz" w:hAnsi="C39T30Lfz"/>
        <w:sz w:val="56"/>
      </w:rPr>
      <w:t></w:t>
    </w:r>
    <w:r w:rsidRPr="00CB6F4D">
      <w:rPr>
        <w:rFonts w:ascii="C39T30Lfz" w:hAnsi="C39T30Lfz"/>
        <w:sz w:val="56"/>
      </w:rPr>
      <w:t></w:t>
    </w:r>
    <w:r w:rsidRPr="00CB6F4D">
      <w:rPr>
        <w:rFonts w:ascii="C39T30Lfz" w:hAnsi="C39T30Lfz"/>
        <w:sz w:val="56"/>
      </w:rPr>
      <w:t></w:t>
    </w:r>
    <w:r w:rsidRPr="00CB6F4D">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3A92A" w14:textId="77777777" w:rsidR="004E119B" w:rsidRPr="00D27D5E" w:rsidRDefault="004E119B" w:rsidP="00D27D5E">
      <w:pPr>
        <w:tabs>
          <w:tab w:val="right" w:pos="2155"/>
        </w:tabs>
        <w:spacing w:after="80"/>
        <w:ind w:left="680"/>
        <w:rPr>
          <w:u w:val="single"/>
        </w:rPr>
      </w:pPr>
      <w:r>
        <w:rPr>
          <w:u w:val="single"/>
        </w:rPr>
        <w:tab/>
      </w:r>
    </w:p>
  </w:footnote>
  <w:footnote w:type="continuationSeparator" w:id="0">
    <w:p w14:paraId="216A0BD8" w14:textId="77777777" w:rsidR="004E119B" w:rsidRPr="00D72E7E" w:rsidRDefault="004E119B" w:rsidP="00D72E7E">
      <w:pPr>
        <w:tabs>
          <w:tab w:val="right" w:pos="2155"/>
        </w:tabs>
        <w:spacing w:after="80"/>
        <w:ind w:left="680"/>
        <w:rPr>
          <w:u w:val="single"/>
        </w:rPr>
      </w:pPr>
      <w:r w:rsidRPr="00D72E7E">
        <w:rPr>
          <w:u w:val="single"/>
        </w:rPr>
        <w:tab/>
      </w:r>
    </w:p>
  </w:footnote>
  <w:footnote w:type="continuationNotice" w:id="1">
    <w:p w14:paraId="6B3AAEC0" w14:textId="77777777" w:rsidR="004E119B" w:rsidRDefault="004E119B"/>
  </w:footnote>
  <w:footnote w:id="2">
    <w:p w14:paraId="79FB17A6" w14:textId="4B5AD3DF" w:rsidR="004E119B" w:rsidRPr="004800F3" w:rsidRDefault="004E119B" w:rsidP="00BC668B">
      <w:pPr>
        <w:pStyle w:val="FootnoteText"/>
        <w:ind w:left="1008" w:hanging="441"/>
      </w:pPr>
      <w:r w:rsidRPr="00D55DB5">
        <w:rPr>
          <w:rStyle w:val="FootnoteReference"/>
          <w:sz w:val="20"/>
          <w:vertAlign w:val="baseline"/>
        </w:rPr>
        <w:t>*</w:t>
      </w:r>
      <w:r>
        <w:rPr>
          <w:rStyle w:val="FootnoteReference"/>
          <w:szCs w:val="18"/>
          <w:vertAlign w:val="baseline"/>
        </w:rPr>
        <w:tab/>
      </w:r>
      <w:r w:rsidRPr="004800F3">
        <w:t>Les informations contenues dans ce rapport doivent être lues en conjonction avec le Rapport de l’Equipe d’experts internationaux sur la situation au Kasaï (A/HRC/38/31).</w:t>
      </w:r>
    </w:p>
  </w:footnote>
  <w:footnote w:id="3">
    <w:p w14:paraId="730235EA" w14:textId="1CECA7E7" w:rsidR="004E119B" w:rsidRPr="004800F3" w:rsidRDefault="004E119B" w:rsidP="00BC668B">
      <w:pPr>
        <w:pStyle w:val="FootnoteText"/>
        <w:ind w:left="1134"/>
      </w:pPr>
      <w:r w:rsidRPr="004800F3">
        <w:rPr>
          <w:rStyle w:val="FootnoteReference"/>
          <w:szCs w:val="18"/>
        </w:rPr>
        <w:footnoteRef/>
      </w:r>
      <w:r w:rsidRPr="004800F3">
        <w:t>A/HRC/RES/</w:t>
      </w:r>
      <w:r w:rsidRPr="00E21D5F">
        <w:t>35</w:t>
      </w:r>
      <w:r w:rsidRPr="004800F3">
        <w:t>/33, résolution adoptée par le Conseil des droits de l’homme le 23 juin 2017, Assistance technique à la République démocratique du Congo et établissement des responsabilités concernant les évènements dans les régions du Kasaï.</w:t>
      </w:r>
    </w:p>
  </w:footnote>
  <w:footnote w:id="4">
    <w:p w14:paraId="36DB3D9B" w14:textId="17FFEDB3" w:rsidR="004E119B" w:rsidRPr="004800F3" w:rsidRDefault="004E119B" w:rsidP="00D55DB5">
      <w:pPr>
        <w:pStyle w:val="FootnoteText"/>
        <w:ind w:firstLine="567"/>
      </w:pPr>
      <w:r w:rsidRPr="004800F3">
        <w:rPr>
          <w:rStyle w:val="FootnoteReference"/>
          <w:szCs w:val="18"/>
        </w:rPr>
        <w:footnoteRef/>
      </w:r>
      <w:r w:rsidRPr="004800F3">
        <w:rPr>
          <w:szCs w:val="18"/>
        </w:rPr>
        <w:t>Loi organique n° 15/006 du 25 mars 2015 portant fixation des limites des provinces et celles de la ville de Kinshasa mettant en œuvre la Constitution de la République démocratique du Congo du 18 février 2006 telle que modifiée par la Loi n° 11/002 du 20 janvier 2011.</w:t>
      </w:r>
    </w:p>
  </w:footnote>
  <w:footnote w:id="5">
    <w:p w14:paraId="13D736DB" w14:textId="492C080E" w:rsidR="004E119B" w:rsidRPr="00887378" w:rsidRDefault="004E119B" w:rsidP="00D55DB5">
      <w:pPr>
        <w:pStyle w:val="FootnoteText"/>
        <w:ind w:left="567"/>
      </w:pPr>
      <w:r w:rsidRPr="004800F3">
        <w:rPr>
          <w:rStyle w:val="FootnoteReference"/>
          <w:szCs w:val="18"/>
        </w:rPr>
        <w:footnoteRef/>
      </w:r>
      <w:r w:rsidRPr="004800F3">
        <w:t xml:space="preserve">L’EEI a néanmoins reçu des allégations d’exactions commises par la milice Kamuina Nsapu contre les membres de l’ethnie </w:t>
      </w:r>
      <w:r>
        <w:t>te</w:t>
      </w:r>
      <w:r w:rsidRPr="004800F3">
        <w:t>t</w:t>
      </w:r>
      <w:r>
        <w:t>e</w:t>
      </w:r>
      <w:r w:rsidRPr="004800F3">
        <w:t>la dans la province du Sankuru, en particulier sur le territoire de Lodja. Voir T0340, T0438.</w:t>
      </w:r>
    </w:p>
  </w:footnote>
  <w:footnote w:id="6">
    <w:p w14:paraId="42603757" w14:textId="79D23BCF" w:rsidR="004E119B" w:rsidRPr="004800F3" w:rsidRDefault="004E119B" w:rsidP="00D55DB5">
      <w:pPr>
        <w:pStyle w:val="FootnoteText"/>
      </w:pPr>
      <w:r w:rsidRPr="004800F3">
        <w:rPr>
          <w:rStyle w:val="FootnoteReference"/>
          <w:szCs w:val="18"/>
        </w:rPr>
        <w:footnoteRef/>
      </w:r>
      <w:r w:rsidRPr="00D55DB5">
        <w:t>L’EEI a eu des entretiens avec 223 hommes, 197 femmes, 10 garçons et 22 filles, victimes, témoins, ou auteurs présumés.</w:t>
      </w:r>
    </w:p>
  </w:footnote>
  <w:footnote w:id="7">
    <w:p w14:paraId="0037DEE6" w14:textId="77777777" w:rsidR="004E119B" w:rsidRPr="004800F3" w:rsidRDefault="004E119B" w:rsidP="00E93251">
      <w:pPr>
        <w:pStyle w:val="FootnoteText"/>
        <w:widowControl w:val="0"/>
        <w:tabs>
          <w:tab w:val="right" w:pos="1020"/>
        </w:tabs>
        <w:suppressAutoHyphens/>
        <w:ind w:left="1138" w:right="1138" w:hanging="130"/>
        <w:jc w:val="left"/>
        <w:rPr>
          <w:szCs w:val="18"/>
          <w:lang w:val="en-US"/>
        </w:rPr>
      </w:pPr>
      <w:r w:rsidRPr="004800F3">
        <w:rPr>
          <w:rStyle w:val="FootnoteReference"/>
          <w:szCs w:val="18"/>
        </w:rPr>
        <w:footnoteRef/>
      </w:r>
      <w:r w:rsidRPr="004800F3">
        <w:rPr>
          <w:rStyle w:val="FootnoteReference"/>
          <w:szCs w:val="18"/>
          <w:lang w:val="en-US"/>
        </w:rPr>
        <w:t xml:space="preserve"> </w:t>
      </w:r>
      <w:r w:rsidRPr="004800F3">
        <w:rPr>
          <w:szCs w:val="18"/>
          <w:lang w:val="en-US"/>
        </w:rPr>
        <w:t>S/RES/1261 (1999), S/RES/1314 (2000), S/RES/1379 (2001), S/RES/1460 (2003), S/RES/1539 (2004), S/RES/1612 (2005), S/RES/1882 (2009), S/RES/1998 (2011), S/RES/2068 (2012), S/RES/2143 (2014), S/RES/2225 (2015).</w:t>
      </w:r>
    </w:p>
  </w:footnote>
  <w:footnote w:id="8">
    <w:p w14:paraId="7A6ECC4F" w14:textId="77777777" w:rsidR="004E119B" w:rsidRPr="004800F3" w:rsidRDefault="004E119B" w:rsidP="00E93251">
      <w:pPr>
        <w:pStyle w:val="FootnoteText"/>
        <w:widowControl w:val="0"/>
        <w:tabs>
          <w:tab w:val="right" w:pos="1020"/>
        </w:tabs>
        <w:suppressAutoHyphens/>
        <w:ind w:left="1138" w:right="1138" w:hanging="130"/>
        <w:jc w:val="left"/>
        <w:rPr>
          <w:szCs w:val="18"/>
        </w:rPr>
      </w:pPr>
      <w:r w:rsidRPr="004800F3">
        <w:rPr>
          <w:rStyle w:val="FootnoteReference"/>
          <w:szCs w:val="18"/>
        </w:rPr>
        <w:footnoteRef/>
      </w:r>
      <w:r w:rsidRPr="004800F3">
        <w:rPr>
          <w:szCs w:val="18"/>
        </w:rPr>
        <w:t xml:space="preserve"> Outre la </w:t>
      </w:r>
      <w:r w:rsidRPr="008606F4">
        <w:rPr>
          <w:szCs w:val="18"/>
        </w:rPr>
        <w:t>stigmatisation</w:t>
      </w:r>
      <w:r w:rsidRPr="004800F3">
        <w:rPr>
          <w:szCs w:val="18"/>
        </w:rPr>
        <w:t xml:space="preserve"> des victimes de viol, de nombreux survivants et survivantes n’ont pas la possibilité ou les moyens financiers d’accéder à des centres médicaux.</w:t>
      </w:r>
    </w:p>
  </w:footnote>
  <w:footnote w:id="9">
    <w:p w14:paraId="2320D0B0" w14:textId="77777777" w:rsidR="004E119B" w:rsidRPr="004800F3" w:rsidRDefault="004E119B" w:rsidP="00CE73CC">
      <w:pPr>
        <w:pStyle w:val="FootnoteText"/>
        <w:tabs>
          <w:tab w:val="right" w:pos="1080"/>
        </w:tabs>
        <w:ind w:left="1138" w:right="1138" w:hanging="228"/>
        <w:contextualSpacing/>
        <w:jc w:val="left"/>
        <w:rPr>
          <w:szCs w:val="18"/>
          <w:lang w:val="en-US"/>
        </w:rPr>
      </w:pPr>
      <w:r w:rsidRPr="004800F3">
        <w:rPr>
          <w:rStyle w:val="FootnoteReference"/>
          <w:szCs w:val="18"/>
        </w:rPr>
        <w:footnoteRef/>
      </w:r>
      <w:r w:rsidRPr="004800F3">
        <w:rPr>
          <w:szCs w:val="18"/>
          <w:lang w:val="en-US"/>
        </w:rPr>
        <w:t xml:space="preserve"> IMF, </w:t>
      </w:r>
      <w:r w:rsidRPr="00CB6F4D">
        <w:rPr>
          <w:szCs w:val="18"/>
          <w:lang w:val="en-US"/>
        </w:rPr>
        <w:t>Democratic</w:t>
      </w:r>
      <w:r w:rsidRPr="004800F3">
        <w:rPr>
          <w:i/>
          <w:szCs w:val="18"/>
          <w:lang w:val="en-US"/>
        </w:rPr>
        <w:t xml:space="preserve"> Republic of the Congo, Selected Issues</w:t>
      </w:r>
      <w:r w:rsidRPr="004800F3">
        <w:rPr>
          <w:szCs w:val="18"/>
          <w:lang w:val="en-US"/>
        </w:rPr>
        <w:t>, IMF Country report No. 15/281, octobre 2015.</w:t>
      </w:r>
    </w:p>
  </w:footnote>
  <w:footnote w:id="10">
    <w:p w14:paraId="3CF2A776" w14:textId="583F24C0" w:rsidR="004E119B" w:rsidRPr="006E341A" w:rsidRDefault="004E119B" w:rsidP="00CE73CC">
      <w:pPr>
        <w:pStyle w:val="FootnoteText"/>
        <w:tabs>
          <w:tab w:val="right" w:pos="1080"/>
        </w:tabs>
        <w:ind w:left="1138" w:right="1138" w:hanging="228"/>
        <w:contextualSpacing/>
        <w:jc w:val="left"/>
        <w:rPr>
          <w:szCs w:val="18"/>
        </w:rPr>
      </w:pPr>
      <w:r w:rsidRPr="004800F3">
        <w:rPr>
          <w:rStyle w:val="FootnoteReference"/>
          <w:szCs w:val="18"/>
        </w:rPr>
        <w:footnoteRef/>
      </w:r>
      <w:r w:rsidRPr="004800F3">
        <w:rPr>
          <w:szCs w:val="18"/>
        </w:rPr>
        <w:t xml:space="preserve"> </w:t>
      </w:r>
      <w:r w:rsidRPr="00CE73CC">
        <w:rPr>
          <w:szCs w:val="18"/>
        </w:rPr>
        <w:t>Principalement</w:t>
      </w:r>
      <w:r w:rsidRPr="004800F3">
        <w:rPr>
          <w:szCs w:val="18"/>
        </w:rPr>
        <w:t xml:space="preserve"> des </w:t>
      </w:r>
      <w:r w:rsidRPr="002D31A9">
        <w:rPr>
          <w:szCs w:val="18"/>
        </w:rPr>
        <w:t>diamants</w:t>
      </w:r>
      <w:r w:rsidRPr="00840539">
        <w:rPr>
          <w:szCs w:val="18"/>
        </w:rPr>
        <w:t xml:space="preserve"> et de</w:t>
      </w:r>
      <w:r w:rsidRPr="006E341A">
        <w:rPr>
          <w:szCs w:val="18"/>
        </w:rPr>
        <w:t>s minéraux stratégiques.</w:t>
      </w:r>
    </w:p>
  </w:footnote>
  <w:footnote w:id="11">
    <w:p w14:paraId="440F2432" w14:textId="3DDFE6B5" w:rsidR="004E119B" w:rsidRPr="00192143" w:rsidRDefault="004E119B" w:rsidP="00AF09A8">
      <w:pPr>
        <w:pStyle w:val="FootnoteText"/>
        <w:tabs>
          <w:tab w:val="right" w:pos="1080"/>
        </w:tabs>
        <w:ind w:left="1138" w:right="1138" w:hanging="228"/>
        <w:contextualSpacing/>
        <w:jc w:val="left"/>
        <w:rPr>
          <w:szCs w:val="18"/>
          <w:lang w:val="en-US"/>
        </w:rPr>
      </w:pPr>
      <w:r w:rsidRPr="002D31A9">
        <w:rPr>
          <w:rStyle w:val="FootnoteReference"/>
          <w:szCs w:val="18"/>
        </w:rPr>
        <w:footnoteRef/>
      </w:r>
      <w:r w:rsidRPr="002D31A9">
        <w:rPr>
          <w:szCs w:val="18"/>
          <w:lang w:val="en-US"/>
        </w:rPr>
        <w:t xml:space="preserve"> </w:t>
      </w:r>
      <w:r w:rsidRPr="00CB6F4D">
        <w:rPr>
          <w:szCs w:val="18"/>
          <w:lang w:val="en-US"/>
        </w:rPr>
        <w:t>OXFAM</w:t>
      </w:r>
      <w:r w:rsidRPr="006E341A">
        <w:rPr>
          <w:szCs w:val="18"/>
          <w:lang w:val="en-US"/>
        </w:rPr>
        <w:t xml:space="preserve">, </w:t>
      </w:r>
      <w:r w:rsidRPr="006E341A">
        <w:rPr>
          <w:i/>
          <w:szCs w:val="18"/>
          <w:lang w:val="en-US"/>
        </w:rPr>
        <w:t>Kasaï: The Forgotten Province of DRC Gender Assessment October-November 2017</w:t>
      </w:r>
      <w:r w:rsidRPr="006E341A">
        <w:rPr>
          <w:szCs w:val="18"/>
          <w:lang w:val="en-US"/>
        </w:rPr>
        <w:t>, février 2018</w:t>
      </w:r>
      <w:r>
        <w:rPr>
          <w:szCs w:val="18"/>
          <w:lang w:val="en-US"/>
        </w:rPr>
        <w:t>.</w:t>
      </w:r>
    </w:p>
  </w:footnote>
  <w:footnote w:id="12">
    <w:p w14:paraId="77770E1D" w14:textId="43E69BCE" w:rsidR="004E119B" w:rsidRPr="006E341A" w:rsidRDefault="004E119B" w:rsidP="00AF09A8">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w:t>
      </w:r>
      <w:r w:rsidRPr="00840539">
        <w:rPr>
          <w:szCs w:val="18"/>
        </w:rPr>
        <w:t>Loi n° 15/015 du 25 août 2015 fixant le statut des chefs coutumiers.</w:t>
      </w:r>
    </w:p>
  </w:footnote>
  <w:footnote w:id="13">
    <w:p w14:paraId="0749FBB7" w14:textId="51C6C8EF" w:rsidR="004E119B" w:rsidRPr="006E341A" w:rsidRDefault="004E119B" w:rsidP="00AF09A8">
      <w:pPr>
        <w:pStyle w:val="FootnoteText"/>
        <w:ind w:left="1138" w:right="1138" w:hanging="228"/>
        <w:jc w:val="left"/>
        <w:rPr>
          <w:szCs w:val="18"/>
        </w:rPr>
      </w:pPr>
      <w:r w:rsidRPr="002D31A9">
        <w:rPr>
          <w:rStyle w:val="FootnoteReference"/>
          <w:szCs w:val="18"/>
        </w:rPr>
        <w:footnoteRef/>
      </w:r>
      <w:r w:rsidRPr="002D31A9">
        <w:rPr>
          <w:szCs w:val="18"/>
        </w:rPr>
        <w:t xml:space="preserve"> </w:t>
      </w:r>
      <w:r w:rsidRPr="00840539">
        <w:rPr>
          <w:szCs w:val="18"/>
        </w:rPr>
        <w:t>Accord politique global et inclusif du Centre interdiocésain de Kinshasa, 31 décembre 2016.</w:t>
      </w:r>
    </w:p>
  </w:footnote>
  <w:footnote w:id="14">
    <w:p w14:paraId="2D4A3428" w14:textId="77777777" w:rsidR="004E119B" w:rsidRPr="006E341A" w:rsidRDefault="004E119B" w:rsidP="00AF09A8">
      <w:pPr>
        <w:pStyle w:val="FootnoteText"/>
        <w:ind w:left="1138" w:right="1138" w:hanging="228"/>
        <w:jc w:val="left"/>
        <w:rPr>
          <w:szCs w:val="18"/>
        </w:rPr>
      </w:pPr>
      <w:r w:rsidRPr="002D31A9">
        <w:rPr>
          <w:rStyle w:val="FootnoteReference"/>
          <w:szCs w:val="18"/>
        </w:rPr>
        <w:footnoteRef/>
      </w:r>
      <w:r w:rsidRPr="002D31A9">
        <w:rPr>
          <w:szCs w:val="18"/>
        </w:rPr>
        <w:t xml:space="preserve"> </w:t>
      </w:r>
      <w:r w:rsidRPr="00840539">
        <w:rPr>
          <w:szCs w:val="18"/>
        </w:rPr>
        <w:t>Il existe des différences selon les clans. Les développements suivants o</w:t>
      </w:r>
      <w:r w:rsidRPr="006E341A">
        <w:rPr>
          <w:szCs w:val="18"/>
        </w:rPr>
        <w:t>nt pour but d’éclairer certains comportements et évènements dont il est fait allusion dans le rapport.</w:t>
      </w:r>
    </w:p>
  </w:footnote>
  <w:footnote w:id="15">
    <w:p w14:paraId="01DEEA8A" w14:textId="541A658A" w:rsidR="004E119B" w:rsidRPr="006E341A" w:rsidRDefault="004E119B" w:rsidP="00AF09A8">
      <w:pPr>
        <w:pStyle w:val="FootnoteText"/>
        <w:ind w:left="1138" w:right="1138" w:hanging="228"/>
        <w:jc w:val="left"/>
        <w:rPr>
          <w:szCs w:val="18"/>
        </w:rPr>
      </w:pPr>
      <w:r w:rsidRPr="002D31A9">
        <w:rPr>
          <w:rStyle w:val="FootnoteReference"/>
          <w:szCs w:val="18"/>
        </w:rPr>
        <w:footnoteRef/>
      </w:r>
      <w:r w:rsidRPr="002D31A9">
        <w:rPr>
          <w:szCs w:val="18"/>
        </w:rPr>
        <w:t xml:space="preserve"> Il en est ainsi du vagin de la femme, lieu où transite toute vie, qui est considéré comme sacré. Une poitrine généreuse sera perçue comme</w:t>
      </w:r>
      <w:r w:rsidRPr="00840539">
        <w:rPr>
          <w:szCs w:val="18"/>
        </w:rPr>
        <w:t xml:space="preserve"> un signe de f</w:t>
      </w:r>
      <w:r w:rsidRPr="006E341A">
        <w:rPr>
          <w:szCs w:val="18"/>
        </w:rPr>
        <w:t>écondité.</w:t>
      </w:r>
    </w:p>
  </w:footnote>
  <w:footnote w:id="16">
    <w:p w14:paraId="1EF5A0A4" w14:textId="77777777" w:rsidR="004E119B" w:rsidRPr="00840539" w:rsidRDefault="004E119B" w:rsidP="00AF09A8">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S/2007/671, Vingt-quatrième rapport du Secrétaire général sur la Mission</w:t>
      </w:r>
      <w:r w:rsidRPr="00840539">
        <w:rPr>
          <w:szCs w:val="18"/>
        </w:rPr>
        <w:t xml:space="preserve"> de l’organisation des Nations Unies en République démocratique du Congo, 14 novembre 2007, para. 11.</w:t>
      </w:r>
    </w:p>
  </w:footnote>
  <w:footnote w:id="17">
    <w:p w14:paraId="50207F2E" w14:textId="77777777" w:rsidR="004E119B" w:rsidRPr="002D31A9" w:rsidRDefault="004E119B" w:rsidP="00AF09A8">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Voir les articles 187 à 192 de la Constitution.</w:t>
      </w:r>
    </w:p>
  </w:footnote>
  <w:footnote w:id="18">
    <w:p w14:paraId="09BBEC1E" w14:textId="77777777" w:rsidR="004E119B" w:rsidRPr="00192143" w:rsidRDefault="004E119B" w:rsidP="00AF09A8">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Le 2</w:t>
      </w:r>
      <w:r w:rsidRPr="00840539">
        <w:rPr>
          <w:szCs w:val="18"/>
        </w:rPr>
        <w:t>101</w:t>
      </w:r>
      <w:r w:rsidRPr="006E341A">
        <w:rPr>
          <w:szCs w:val="18"/>
          <w:vertAlign w:val="superscript"/>
        </w:rPr>
        <w:t>ème</w:t>
      </w:r>
      <w:r w:rsidRPr="006E341A">
        <w:rPr>
          <w:szCs w:val="18"/>
        </w:rPr>
        <w:t xml:space="preserve"> Régiment est basé à Tshikapa ; le 2102</w:t>
      </w:r>
      <w:r w:rsidRPr="006E341A">
        <w:rPr>
          <w:szCs w:val="18"/>
          <w:vertAlign w:val="superscript"/>
        </w:rPr>
        <w:t>ème</w:t>
      </w:r>
      <w:r w:rsidRPr="006E341A">
        <w:rPr>
          <w:szCs w:val="18"/>
        </w:rPr>
        <w:t xml:space="preserve"> Régiment est basé à Kananga et le 2103</w:t>
      </w:r>
      <w:r w:rsidRPr="0060278B">
        <w:rPr>
          <w:szCs w:val="18"/>
          <w:vertAlign w:val="superscript"/>
        </w:rPr>
        <w:t>ème</w:t>
      </w:r>
      <w:r w:rsidRPr="00192143">
        <w:rPr>
          <w:szCs w:val="18"/>
        </w:rPr>
        <w:t xml:space="preserve"> Régiment est basé à Mbuji Mayi.</w:t>
      </w:r>
    </w:p>
  </w:footnote>
  <w:footnote w:id="19">
    <w:p w14:paraId="095DFDAA" w14:textId="1FEA11C2" w:rsidR="004E119B" w:rsidRPr="00840539" w:rsidRDefault="004E119B" w:rsidP="00AF09A8">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Voir notamment </w:t>
      </w:r>
      <w:r>
        <w:rPr>
          <w:szCs w:val="18"/>
        </w:rPr>
        <w:t>T0311</w:t>
      </w:r>
      <w:r w:rsidRPr="002D31A9">
        <w:rPr>
          <w:szCs w:val="18"/>
        </w:rPr>
        <w:t>.</w:t>
      </w:r>
    </w:p>
  </w:footnote>
  <w:footnote w:id="20">
    <w:p w14:paraId="75D91029" w14:textId="77777777" w:rsidR="004E119B" w:rsidRPr="00840539" w:rsidRDefault="004E119B" w:rsidP="00AF09A8">
      <w:pPr>
        <w:pStyle w:val="FootnoteText"/>
        <w:tabs>
          <w:tab w:val="right" w:pos="1080"/>
        </w:tabs>
        <w:ind w:left="1138" w:right="1138" w:hanging="228"/>
        <w:contextualSpacing/>
        <w:jc w:val="left"/>
        <w:rPr>
          <w:szCs w:val="18"/>
        </w:rPr>
      </w:pPr>
      <w:r w:rsidRPr="009A0EE8">
        <w:rPr>
          <w:rStyle w:val="FootnoteReference"/>
          <w:szCs w:val="18"/>
        </w:rPr>
        <w:footnoteRef/>
      </w:r>
      <w:r w:rsidRPr="009A0EE8">
        <w:rPr>
          <w:szCs w:val="18"/>
        </w:rPr>
        <w:t xml:space="preserve"> Voir para. 54.</w:t>
      </w:r>
    </w:p>
  </w:footnote>
  <w:footnote w:id="21">
    <w:p w14:paraId="234DF7F2" w14:textId="3C93A269" w:rsidR="004E119B" w:rsidRPr="00840539" w:rsidRDefault="004E119B" w:rsidP="00E50830">
      <w:pPr>
        <w:pStyle w:val="FootnoteText"/>
        <w:ind w:left="343" w:firstLine="567"/>
      </w:pPr>
      <w:r w:rsidRPr="002D31A9">
        <w:rPr>
          <w:rStyle w:val="FootnoteReference"/>
          <w:szCs w:val="18"/>
        </w:rPr>
        <w:footnoteRef/>
      </w:r>
      <w:r w:rsidRPr="002D31A9">
        <w:t xml:space="preserve"> Voir par exemple </w:t>
      </w:r>
      <w:r>
        <w:t>T0436</w:t>
      </w:r>
      <w:r w:rsidRPr="002D31A9">
        <w:t>.</w:t>
      </w:r>
    </w:p>
  </w:footnote>
  <w:footnote w:id="22">
    <w:p w14:paraId="012DCCEB" w14:textId="3AC0F0C7" w:rsidR="004E119B" w:rsidRPr="006E341A" w:rsidRDefault="004E119B" w:rsidP="00AF09A8">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Le groupement de Kamuina Nsapu est situé à environ 70km au sud-est de la ville de Kananga et est le chef-lieu du secteur de Dibatiya, chefferie de Lulua, territoire de Dibaya, province du Kasaï </w:t>
      </w:r>
      <w:r w:rsidRPr="00840539">
        <w:rPr>
          <w:szCs w:val="18"/>
        </w:rPr>
        <w:t>C</w:t>
      </w:r>
      <w:r w:rsidRPr="006E341A">
        <w:rPr>
          <w:szCs w:val="18"/>
        </w:rPr>
        <w:t>entral.</w:t>
      </w:r>
    </w:p>
  </w:footnote>
  <w:footnote w:id="23">
    <w:p w14:paraId="5809DF6D" w14:textId="51A2839F" w:rsidR="004E119B" w:rsidRPr="0060278B" w:rsidRDefault="004E119B" w:rsidP="00AF09A8">
      <w:pPr>
        <w:pStyle w:val="FootnoteText"/>
        <w:ind w:left="1138" w:right="1138" w:hanging="228"/>
        <w:jc w:val="left"/>
        <w:rPr>
          <w:szCs w:val="18"/>
        </w:rPr>
      </w:pPr>
      <w:r w:rsidRPr="002D31A9">
        <w:rPr>
          <w:rStyle w:val="FootnoteReference"/>
          <w:szCs w:val="18"/>
        </w:rPr>
        <w:footnoteRef/>
      </w:r>
      <w:r w:rsidRPr="002D31A9">
        <w:rPr>
          <w:szCs w:val="18"/>
        </w:rPr>
        <w:t xml:space="preserve"> Les Bashilange sont également souvent nommés les Luluas</w:t>
      </w:r>
      <w:r w:rsidRPr="00840539">
        <w:rPr>
          <w:szCs w:val="18"/>
        </w:rPr>
        <w:t xml:space="preserve">, c’est-à-dire ceux qui vivent près de la rivière Lulua où les premiers </w:t>
      </w:r>
      <w:r w:rsidRPr="006E341A">
        <w:rPr>
          <w:szCs w:val="18"/>
        </w:rPr>
        <w:t>Luba</w:t>
      </w:r>
      <w:r>
        <w:rPr>
          <w:szCs w:val="18"/>
        </w:rPr>
        <w:t>s</w:t>
      </w:r>
      <w:r w:rsidRPr="006E341A">
        <w:rPr>
          <w:szCs w:val="18"/>
        </w:rPr>
        <w:t xml:space="preserve"> du Kasaï s’étaient installés. Dans ce rapport, l’EEI utilise les termes </w:t>
      </w:r>
      <w:r>
        <w:rPr>
          <w:szCs w:val="18"/>
        </w:rPr>
        <w:t>« </w:t>
      </w:r>
      <w:r w:rsidRPr="006E341A">
        <w:rPr>
          <w:szCs w:val="18"/>
        </w:rPr>
        <w:t>Bashilange</w:t>
      </w:r>
      <w:r>
        <w:rPr>
          <w:szCs w:val="18"/>
        </w:rPr>
        <w:t> »</w:t>
      </w:r>
      <w:r w:rsidRPr="006E341A">
        <w:rPr>
          <w:szCs w:val="18"/>
        </w:rPr>
        <w:t xml:space="preserve"> ou </w:t>
      </w:r>
      <w:r>
        <w:rPr>
          <w:szCs w:val="18"/>
        </w:rPr>
        <w:t>« </w:t>
      </w:r>
      <w:r w:rsidRPr="006E341A">
        <w:rPr>
          <w:szCs w:val="18"/>
        </w:rPr>
        <w:t>Luba</w:t>
      </w:r>
      <w:r>
        <w:rPr>
          <w:szCs w:val="18"/>
        </w:rPr>
        <w:t> »</w:t>
      </w:r>
      <w:r w:rsidRPr="006E341A">
        <w:rPr>
          <w:szCs w:val="18"/>
        </w:rPr>
        <w:t>.</w:t>
      </w:r>
    </w:p>
  </w:footnote>
  <w:footnote w:id="24">
    <w:p w14:paraId="551B0A38" w14:textId="62A05921" w:rsidR="004E119B" w:rsidRPr="00840539" w:rsidRDefault="004E119B" w:rsidP="00AF09A8">
      <w:pPr>
        <w:pStyle w:val="FootnoteText"/>
        <w:ind w:left="1138" w:right="1138" w:hanging="228"/>
        <w:jc w:val="left"/>
        <w:rPr>
          <w:szCs w:val="18"/>
        </w:rPr>
      </w:pPr>
      <w:r w:rsidRPr="002D31A9">
        <w:rPr>
          <w:rStyle w:val="FootnoteReference"/>
          <w:szCs w:val="18"/>
        </w:rPr>
        <w:footnoteRef/>
      </w:r>
      <w:r w:rsidRPr="002D31A9">
        <w:rPr>
          <w:szCs w:val="18"/>
        </w:rPr>
        <w:t xml:space="preserve"> </w:t>
      </w:r>
      <w:r w:rsidRPr="00586BE7">
        <w:t>Bashila</w:t>
      </w:r>
      <w:r w:rsidRPr="002D31A9">
        <w:rPr>
          <w:szCs w:val="18"/>
        </w:rPr>
        <w:t xml:space="preserve"> Kasanga désigne à la fois</w:t>
      </w:r>
      <w:r w:rsidRPr="00840539">
        <w:rPr>
          <w:szCs w:val="18"/>
        </w:rPr>
        <w:t xml:space="preserve"> la chefferie et groupement du même nom.</w:t>
      </w:r>
    </w:p>
  </w:footnote>
  <w:footnote w:id="25">
    <w:p w14:paraId="0963DEB0" w14:textId="65024544" w:rsidR="004E119B" w:rsidRPr="002D31A9" w:rsidRDefault="004E119B" w:rsidP="00AF09A8">
      <w:pPr>
        <w:pStyle w:val="FootnoteText"/>
        <w:ind w:left="1138" w:right="1138" w:hanging="228"/>
        <w:jc w:val="left"/>
        <w:rPr>
          <w:szCs w:val="18"/>
        </w:rPr>
      </w:pPr>
      <w:r w:rsidRPr="002D31A9">
        <w:rPr>
          <w:rStyle w:val="FootnoteReference"/>
          <w:szCs w:val="18"/>
        </w:rPr>
        <w:footnoteRef/>
      </w:r>
      <w:r w:rsidRPr="002D31A9">
        <w:rPr>
          <w:szCs w:val="18"/>
        </w:rPr>
        <w:t xml:space="preserve"> Voir notamment </w:t>
      </w:r>
      <w:r>
        <w:rPr>
          <w:szCs w:val="18"/>
        </w:rPr>
        <w:t>T0137</w:t>
      </w:r>
      <w:r w:rsidRPr="002D31A9">
        <w:rPr>
          <w:szCs w:val="18"/>
        </w:rPr>
        <w:t>.</w:t>
      </w:r>
    </w:p>
  </w:footnote>
  <w:footnote w:id="26">
    <w:p w14:paraId="5762CACC" w14:textId="25DE954D" w:rsidR="004E119B" w:rsidRPr="0060278B" w:rsidRDefault="004E119B" w:rsidP="00AF09A8">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Constitution de la République Démocratiqu</w:t>
      </w:r>
      <w:r w:rsidRPr="00840539">
        <w:rPr>
          <w:szCs w:val="18"/>
        </w:rPr>
        <w:t>e du Congo du</w:t>
      </w:r>
      <w:r w:rsidRPr="006E341A">
        <w:rPr>
          <w:szCs w:val="18"/>
        </w:rPr>
        <w:t xml:space="preserve"> 18 février 2006 telle que modifiée par la loi du 20 janvier 2011 ; Loi organique 08/016 du 16 octobre 2008 portant composition, organisation et fonctionnement des entités territoriales décentralisées et leurs rapports avec l’Etat et les provinces ; Loi </w:t>
      </w:r>
      <w:r w:rsidRPr="0060278B">
        <w:rPr>
          <w:szCs w:val="18"/>
        </w:rPr>
        <w:t xml:space="preserve">15/015 du 25 août 2015 fixant le statut des chefs coutumiers ; </w:t>
      </w:r>
      <w:r>
        <w:rPr>
          <w:szCs w:val="18"/>
        </w:rPr>
        <w:t>T0112</w:t>
      </w:r>
      <w:r w:rsidRPr="0060278B">
        <w:rPr>
          <w:szCs w:val="18"/>
        </w:rPr>
        <w:t xml:space="preserve">, </w:t>
      </w:r>
      <w:r>
        <w:rPr>
          <w:szCs w:val="18"/>
        </w:rPr>
        <w:t>T0417</w:t>
      </w:r>
      <w:r w:rsidRPr="0060278B">
        <w:rPr>
          <w:szCs w:val="18"/>
        </w:rPr>
        <w:t>.</w:t>
      </w:r>
    </w:p>
  </w:footnote>
  <w:footnote w:id="27">
    <w:p w14:paraId="040ACB2E" w14:textId="64249F2E" w:rsidR="004E119B" w:rsidRPr="00840539" w:rsidRDefault="004E119B" w:rsidP="00AF09A8">
      <w:pPr>
        <w:pStyle w:val="FootnoteText"/>
        <w:ind w:left="1138" w:right="1138" w:hanging="228"/>
        <w:jc w:val="left"/>
        <w:rPr>
          <w:szCs w:val="18"/>
        </w:rPr>
      </w:pPr>
      <w:r w:rsidRPr="002D31A9">
        <w:rPr>
          <w:rStyle w:val="FootnoteReference"/>
          <w:szCs w:val="18"/>
        </w:rPr>
        <w:footnoteRef/>
      </w:r>
      <w:r w:rsidRPr="002D31A9">
        <w:rPr>
          <w:szCs w:val="18"/>
        </w:rPr>
        <w:t xml:space="preserve"> Voir notamment </w:t>
      </w:r>
      <w:r>
        <w:rPr>
          <w:szCs w:val="18"/>
        </w:rPr>
        <w:t>T0311</w:t>
      </w:r>
      <w:r w:rsidRPr="002D31A9">
        <w:rPr>
          <w:szCs w:val="18"/>
        </w:rPr>
        <w:t xml:space="preserve">, </w:t>
      </w:r>
      <w:r>
        <w:rPr>
          <w:szCs w:val="18"/>
        </w:rPr>
        <w:t>T002</w:t>
      </w:r>
      <w:r w:rsidRPr="002D31A9">
        <w:rPr>
          <w:szCs w:val="18"/>
        </w:rPr>
        <w:t xml:space="preserve">3, </w:t>
      </w:r>
      <w:r>
        <w:rPr>
          <w:szCs w:val="18"/>
        </w:rPr>
        <w:t>T0112</w:t>
      </w:r>
      <w:r w:rsidRPr="002D31A9">
        <w:rPr>
          <w:szCs w:val="18"/>
        </w:rPr>
        <w:t xml:space="preserve">, </w:t>
      </w:r>
      <w:r>
        <w:rPr>
          <w:szCs w:val="18"/>
        </w:rPr>
        <w:t>T0080</w:t>
      </w:r>
      <w:r w:rsidRPr="00840539">
        <w:rPr>
          <w:szCs w:val="18"/>
        </w:rPr>
        <w:t xml:space="preserve">, </w:t>
      </w:r>
      <w:r>
        <w:rPr>
          <w:szCs w:val="18"/>
        </w:rPr>
        <w:t>T0137</w:t>
      </w:r>
      <w:r w:rsidRPr="00840539">
        <w:rPr>
          <w:szCs w:val="18"/>
        </w:rPr>
        <w:t xml:space="preserve">, </w:t>
      </w:r>
      <w:r>
        <w:rPr>
          <w:szCs w:val="18"/>
        </w:rPr>
        <w:t>T0417</w:t>
      </w:r>
      <w:r w:rsidRPr="00840539">
        <w:rPr>
          <w:szCs w:val="18"/>
        </w:rPr>
        <w:t>.</w:t>
      </w:r>
    </w:p>
  </w:footnote>
  <w:footnote w:id="28">
    <w:p w14:paraId="2D2159BC" w14:textId="46E3C6DD" w:rsidR="004E119B" w:rsidRPr="002D31A9" w:rsidRDefault="004E119B" w:rsidP="00AF09A8">
      <w:pPr>
        <w:pStyle w:val="FootnoteText"/>
        <w:ind w:left="1138" w:right="1138" w:hanging="228"/>
        <w:jc w:val="left"/>
        <w:rPr>
          <w:szCs w:val="18"/>
        </w:rPr>
      </w:pPr>
      <w:r w:rsidRPr="002D31A9">
        <w:rPr>
          <w:rStyle w:val="FootnoteReference"/>
          <w:szCs w:val="18"/>
        </w:rPr>
        <w:footnoteRef/>
      </w:r>
      <w:r w:rsidRPr="002D31A9">
        <w:rPr>
          <w:szCs w:val="18"/>
        </w:rPr>
        <w:t xml:space="preserve"> Voir par exemple </w:t>
      </w:r>
      <w:r>
        <w:rPr>
          <w:szCs w:val="18"/>
        </w:rPr>
        <w:t>T0417</w:t>
      </w:r>
      <w:r w:rsidRPr="002D31A9">
        <w:rPr>
          <w:szCs w:val="18"/>
        </w:rPr>
        <w:t xml:space="preserve">, </w:t>
      </w:r>
      <w:r>
        <w:rPr>
          <w:szCs w:val="18"/>
        </w:rPr>
        <w:t>T0017</w:t>
      </w:r>
      <w:r w:rsidRPr="002D31A9">
        <w:rPr>
          <w:szCs w:val="18"/>
        </w:rPr>
        <w:t>.</w:t>
      </w:r>
    </w:p>
  </w:footnote>
  <w:footnote w:id="29">
    <w:p w14:paraId="737C59B6" w14:textId="2F25582B" w:rsidR="004E119B" w:rsidRPr="00840539" w:rsidRDefault="004E119B" w:rsidP="00AF09A8">
      <w:pPr>
        <w:pStyle w:val="FootnoteText"/>
        <w:ind w:left="1138" w:right="1138" w:hanging="228"/>
        <w:jc w:val="left"/>
        <w:rPr>
          <w:szCs w:val="18"/>
        </w:rPr>
      </w:pPr>
      <w:r w:rsidRPr="002D31A9">
        <w:rPr>
          <w:rStyle w:val="FootnoteReference"/>
          <w:szCs w:val="18"/>
        </w:rPr>
        <w:footnoteRef/>
      </w:r>
      <w:r w:rsidRPr="002D31A9">
        <w:rPr>
          <w:szCs w:val="18"/>
        </w:rPr>
        <w:t xml:space="preserve"> La référence aux « étrangers » renvoie aux personnes venant du Rwanda mais aussi de l’est du Congo et rwandophones. Voir notamment </w:t>
      </w:r>
      <w:r>
        <w:rPr>
          <w:szCs w:val="18"/>
        </w:rPr>
        <w:t>T0023</w:t>
      </w:r>
      <w:r w:rsidRPr="002D31A9">
        <w:rPr>
          <w:szCs w:val="18"/>
        </w:rPr>
        <w:t xml:space="preserve">, </w:t>
      </w:r>
      <w:r>
        <w:rPr>
          <w:szCs w:val="18"/>
        </w:rPr>
        <w:t>T0112</w:t>
      </w:r>
      <w:r w:rsidRPr="002D31A9">
        <w:rPr>
          <w:szCs w:val="18"/>
        </w:rPr>
        <w:t xml:space="preserve">, </w:t>
      </w:r>
      <w:r>
        <w:rPr>
          <w:szCs w:val="18"/>
        </w:rPr>
        <w:t>T0331</w:t>
      </w:r>
      <w:r w:rsidRPr="002D31A9">
        <w:rPr>
          <w:szCs w:val="18"/>
        </w:rPr>
        <w:t xml:space="preserve">, </w:t>
      </w:r>
      <w:r>
        <w:rPr>
          <w:szCs w:val="18"/>
        </w:rPr>
        <w:t>T0417</w:t>
      </w:r>
      <w:r w:rsidRPr="002D31A9">
        <w:rPr>
          <w:szCs w:val="18"/>
        </w:rPr>
        <w:t xml:space="preserve">, </w:t>
      </w:r>
      <w:r>
        <w:rPr>
          <w:szCs w:val="18"/>
        </w:rPr>
        <w:t>T0181</w:t>
      </w:r>
      <w:r w:rsidRPr="002D31A9">
        <w:rPr>
          <w:szCs w:val="18"/>
        </w:rPr>
        <w:t>.</w:t>
      </w:r>
    </w:p>
  </w:footnote>
  <w:footnote w:id="30">
    <w:p w14:paraId="048A81D9" w14:textId="7E471570" w:rsidR="004E119B" w:rsidRPr="006E341A" w:rsidRDefault="004E119B" w:rsidP="00AF09A8">
      <w:pPr>
        <w:pStyle w:val="FootnoteText"/>
        <w:ind w:left="1138" w:right="1138" w:hanging="228"/>
        <w:jc w:val="left"/>
        <w:rPr>
          <w:szCs w:val="18"/>
        </w:rPr>
      </w:pPr>
      <w:r w:rsidRPr="002D31A9">
        <w:rPr>
          <w:rStyle w:val="FootnoteReference"/>
          <w:szCs w:val="18"/>
        </w:rPr>
        <w:footnoteRef/>
      </w:r>
      <w:r w:rsidRPr="002D31A9">
        <w:rPr>
          <w:szCs w:val="18"/>
        </w:rPr>
        <w:t xml:space="preserve"> Voir notamment </w:t>
      </w:r>
      <w:r>
        <w:rPr>
          <w:szCs w:val="18"/>
        </w:rPr>
        <w:t>T0399</w:t>
      </w:r>
      <w:r w:rsidRPr="002D31A9">
        <w:rPr>
          <w:szCs w:val="18"/>
        </w:rPr>
        <w:t xml:space="preserve">, </w:t>
      </w:r>
      <w:r>
        <w:rPr>
          <w:szCs w:val="18"/>
        </w:rPr>
        <w:t>T0188</w:t>
      </w:r>
      <w:r w:rsidRPr="002D31A9">
        <w:rPr>
          <w:szCs w:val="18"/>
        </w:rPr>
        <w:t xml:space="preserve">, </w:t>
      </w:r>
      <w:r>
        <w:rPr>
          <w:szCs w:val="18"/>
        </w:rPr>
        <w:t>T0137</w:t>
      </w:r>
      <w:r w:rsidRPr="002D31A9">
        <w:rPr>
          <w:szCs w:val="18"/>
        </w:rPr>
        <w:t xml:space="preserve">, </w:t>
      </w:r>
      <w:r>
        <w:rPr>
          <w:szCs w:val="18"/>
        </w:rPr>
        <w:t>T0171</w:t>
      </w:r>
      <w:r w:rsidRPr="002D31A9">
        <w:rPr>
          <w:szCs w:val="18"/>
        </w:rPr>
        <w:t xml:space="preserve"> ; Discours </w:t>
      </w:r>
      <w:r>
        <w:rPr>
          <w:szCs w:val="18"/>
        </w:rPr>
        <w:t>de J</w:t>
      </w:r>
      <w:r w:rsidRPr="002D31A9">
        <w:rPr>
          <w:szCs w:val="18"/>
        </w:rPr>
        <w:t>ean-Prince Mpandi à l’occasion du lancement offici</w:t>
      </w:r>
      <w:r>
        <w:rPr>
          <w:szCs w:val="18"/>
        </w:rPr>
        <w:t>e</w:t>
      </w:r>
      <w:r w:rsidRPr="002D31A9">
        <w:rPr>
          <w:szCs w:val="18"/>
        </w:rPr>
        <w:t>l de son mouvement le 28 juillet 2016</w:t>
      </w:r>
      <w:r w:rsidRPr="00840539">
        <w:rPr>
          <w:szCs w:val="18"/>
        </w:rPr>
        <w:t>.</w:t>
      </w:r>
    </w:p>
  </w:footnote>
  <w:footnote w:id="31">
    <w:p w14:paraId="50A41682" w14:textId="0D70661A" w:rsidR="004E119B" w:rsidRPr="002D31A9" w:rsidRDefault="004E119B" w:rsidP="00AF09A8">
      <w:pPr>
        <w:pStyle w:val="FootnoteText"/>
        <w:ind w:left="1138" w:right="1138" w:hanging="228"/>
        <w:jc w:val="left"/>
        <w:rPr>
          <w:szCs w:val="18"/>
        </w:rPr>
      </w:pPr>
      <w:r w:rsidRPr="002D31A9">
        <w:rPr>
          <w:rStyle w:val="FootnoteReference"/>
          <w:szCs w:val="18"/>
        </w:rPr>
        <w:footnoteRef/>
      </w:r>
      <w:r w:rsidRPr="002D31A9">
        <w:rPr>
          <w:szCs w:val="18"/>
        </w:rPr>
        <w:t xml:space="preserve"> Voir </w:t>
      </w:r>
      <w:r>
        <w:rPr>
          <w:szCs w:val="18"/>
        </w:rPr>
        <w:t>T0399</w:t>
      </w:r>
      <w:r w:rsidRPr="002D31A9">
        <w:rPr>
          <w:szCs w:val="18"/>
        </w:rPr>
        <w:t xml:space="preserve">, </w:t>
      </w:r>
      <w:r>
        <w:rPr>
          <w:szCs w:val="18"/>
        </w:rPr>
        <w:t>T0331</w:t>
      </w:r>
      <w:r w:rsidRPr="002D31A9">
        <w:rPr>
          <w:szCs w:val="18"/>
        </w:rPr>
        <w:t xml:space="preserve"> ; discours de </w:t>
      </w:r>
      <w:r>
        <w:rPr>
          <w:szCs w:val="18"/>
        </w:rPr>
        <w:t>J</w:t>
      </w:r>
      <w:r w:rsidRPr="002D31A9">
        <w:rPr>
          <w:szCs w:val="18"/>
        </w:rPr>
        <w:t>ean-Prince Mpandi à l’occasion du lancement officiel de son mouvement le 28 juillet 2016.</w:t>
      </w:r>
    </w:p>
  </w:footnote>
  <w:footnote w:id="32">
    <w:p w14:paraId="4200474D" w14:textId="25913E58" w:rsidR="004E119B" w:rsidRPr="00840539" w:rsidRDefault="004E119B" w:rsidP="00AF09A8">
      <w:pPr>
        <w:pStyle w:val="FootnoteText"/>
        <w:tabs>
          <w:tab w:val="right" w:pos="0"/>
        </w:tabs>
        <w:ind w:left="1138" w:right="1138" w:hanging="228"/>
        <w:jc w:val="left"/>
        <w:rPr>
          <w:szCs w:val="18"/>
        </w:rPr>
      </w:pPr>
      <w:r w:rsidRPr="002D31A9">
        <w:rPr>
          <w:rStyle w:val="FootnoteReference"/>
          <w:szCs w:val="18"/>
        </w:rPr>
        <w:footnoteRef/>
      </w:r>
      <w:r w:rsidRPr="002D31A9">
        <w:rPr>
          <w:szCs w:val="18"/>
        </w:rPr>
        <w:t xml:space="preserve"> Discours </w:t>
      </w:r>
      <w:r>
        <w:rPr>
          <w:szCs w:val="18"/>
        </w:rPr>
        <w:t>de J</w:t>
      </w:r>
      <w:r w:rsidRPr="002D31A9">
        <w:rPr>
          <w:szCs w:val="18"/>
        </w:rPr>
        <w:t>ean-Prince Mpandi à l’occasion du lancement offici</w:t>
      </w:r>
      <w:r>
        <w:rPr>
          <w:szCs w:val="18"/>
        </w:rPr>
        <w:t>e</w:t>
      </w:r>
      <w:r w:rsidRPr="002D31A9">
        <w:rPr>
          <w:szCs w:val="18"/>
        </w:rPr>
        <w:t xml:space="preserve">l de son mouvement le 28 juillet 2016. Voir aussi </w:t>
      </w:r>
      <w:r>
        <w:rPr>
          <w:szCs w:val="18"/>
        </w:rPr>
        <w:t>T0311</w:t>
      </w:r>
      <w:r w:rsidRPr="002D31A9">
        <w:rPr>
          <w:szCs w:val="18"/>
        </w:rPr>
        <w:t xml:space="preserve">, </w:t>
      </w:r>
      <w:r>
        <w:rPr>
          <w:szCs w:val="18"/>
        </w:rPr>
        <w:t>T0023</w:t>
      </w:r>
      <w:r w:rsidRPr="002D31A9">
        <w:rPr>
          <w:szCs w:val="18"/>
        </w:rPr>
        <w:t xml:space="preserve">, </w:t>
      </w:r>
      <w:r>
        <w:rPr>
          <w:szCs w:val="18"/>
        </w:rPr>
        <w:t>T0399</w:t>
      </w:r>
      <w:r w:rsidRPr="002D31A9">
        <w:rPr>
          <w:szCs w:val="18"/>
        </w:rPr>
        <w:t xml:space="preserve">, </w:t>
      </w:r>
      <w:r>
        <w:rPr>
          <w:szCs w:val="18"/>
        </w:rPr>
        <w:t>T0137</w:t>
      </w:r>
      <w:r w:rsidRPr="002D31A9">
        <w:rPr>
          <w:szCs w:val="18"/>
        </w:rPr>
        <w:t xml:space="preserve">, </w:t>
      </w:r>
      <w:r>
        <w:rPr>
          <w:szCs w:val="18"/>
        </w:rPr>
        <w:t>T0417</w:t>
      </w:r>
      <w:r w:rsidRPr="00840539">
        <w:rPr>
          <w:szCs w:val="18"/>
        </w:rPr>
        <w:t xml:space="preserve">, </w:t>
      </w:r>
      <w:r>
        <w:rPr>
          <w:szCs w:val="18"/>
        </w:rPr>
        <w:t>T0017</w:t>
      </w:r>
      <w:r w:rsidRPr="00840539">
        <w:rPr>
          <w:szCs w:val="18"/>
        </w:rPr>
        <w:t>. Voir aussi l</w:t>
      </w:r>
      <w:r>
        <w:rPr>
          <w:szCs w:val="18"/>
        </w:rPr>
        <w:t>’enregistrement de la</w:t>
      </w:r>
      <w:r w:rsidRPr="00840539">
        <w:rPr>
          <w:szCs w:val="18"/>
        </w:rPr>
        <w:t xml:space="preserve"> conversation téléphonique entre</w:t>
      </w:r>
      <w:r>
        <w:rPr>
          <w:szCs w:val="18"/>
        </w:rPr>
        <w:t xml:space="preserve"> le </w:t>
      </w:r>
      <w:r w:rsidRPr="002D31A9">
        <w:rPr>
          <w:szCs w:val="18"/>
        </w:rPr>
        <w:t>chef Kamuina Nsapu</w:t>
      </w:r>
      <w:r w:rsidRPr="00840539">
        <w:rPr>
          <w:szCs w:val="18"/>
        </w:rPr>
        <w:t xml:space="preserve"> et l</w:t>
      </w:r>
      <w:r>
        <w:rPr>
          <w:szCs w:val="18"/>
        </w:rPr>
        <w:t>a délégation de</w:t>
      </w:r>
      <w:r w:rsidRPr="00840539">
        <w:rPr>
          <w:szCs w:val="18"/>
        </w:rPr>
        <w:t xml:space="preserve"> députés </w:t>
      </w:r>
      <w:r>
        <w:rPr>
          <w:szCs w:val="18"/>
        </w:rPr>
        <w:t>du</w:t>
      </w:r>
      <w:r w:rsidRPr="00840539">
        <w:rPr>
          <w:szCs w:val="18"/>
        </w:rPr>
        <w:t xml:space="preserve"> 11</w:t>
      </w:r>
      <w:r>
        <w:rPr>
          <w:szCs w:val="18"/>
        </w:rPr>
        <w:t xml:space="preserve"> août </w:t>
      </w:r>
      <w:r w:rsidRPr="00840539">
        <w:rPr>
          <w:szCs w:val="18"/>
        </w:rPr>
        <w:t>2016</w:t>
      </w:r>
      <w:r>
        <w:rPr>
          <w:szCs w:val="18"/>
        </w:rPr>
        <w:t>, disponible sur le site internet de Radio France internationale (RFI) (</w:t>
      </w:r>
      <w:r w:rsidRPr="0021658E">
        <w:rPr>
          <w:szCs w:val="18"/>
        </w:rPr>
        <w:t>http://webdoc.rfi.fr/rdc-kasai-violences-crimes-kamuina-nsapu/chap-01/</w:t>
      </w:r>
      <w:r>
        <w:rPr>
          <w:szCs w:val="18"/>
        </w:rPr>
        <w:t>)</w:t>
      </w:r>
      <w:r w:rsidRPr="00840539">
        <w:rPr>
          <w:szCs w:val="18"/>
        </w:rPr>
        <w:t xml:space="preserve">. </w:t>
      </w:r>
    </w:p>
  </w:footnote>
  <w:footnote w:id="33">
    <w:p w14:paraId="12E96164" w14:textId="01018F48" w:rsidR="004E119B" w:rsidRPr="002D31A9" w:rsidRDefault="004E119B" w:rsidP="00AF09A8">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T0137</w:t>
      </w:r>
      <w:r w:rsidRPr="002D31A9">
        <w:rPr>
          <w:szCs w:val="18"/>
        </w:rPr>
        <w:t>.</w:t>
      </w:r>
    </w:p>
  </w:footnote>
  <w:footnote w:id="34">
    <w:p w14:paraId="1E49F31A" w14:textId="1602E727" w:rsidR="004E119B" w:rsidRPr="0060278B" w:rsidRDefault="004E119B" w:rsidP="00AF09A8">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T0417</w:t>
      </w:r>
      <w:r w:rsidRPr="002D31A9">
        <w:rPr>
          <w:szCs w:val="18"/>
        </w:rPr>
        <w:t xml:space="preserve">, </w:t>
      </w:r>
      <w:r>
        <w:rPr>
          <w:szCs w:val="18"/>
        </w:rPr>
        <w:t>T0017</w:t>
      </w:r>
      <w:r w:rsidRPr="00840539">
        <w:rPr>
          <w:szCs w:val="18"/>
        </w:rPr>
        <w:t xml:space="preserve">. Voir </w:t>
      </w:r>
      <w:r w:rsidRPr="006E341A">
        <w:rPr>
          <w:szCs w:val="18"/>
        </w:rPr>
        <w:t>aussi document interne MONUSCO</w:t>
      </w:r>
      <w:r w:rsidRPr="0060278B">
        <w:rPr>
          <w:szCs w:val="18"/>
        </w:rPr>
        <w:t>.</w:t>
      </w:r>
    </w:p>
  </w:footnote>
  <w:footnote w:id="35">
    <w:p w14:paraId="07B52953" w14:textId="32E5973D" w:rsidR="004E119B" w:rsidRPr="00405F13" w:rsidRDefault="004E119B" w:rsidP="00AF09A8">
      <w:pPr>
        <w:pStyle w:val="FootnoteText"/>
        <w:ind w:left="1138" w:right="1138" w:hanging="228"/>
        <w:jc w:val="left"/>
        <w:rPr>
          <w:szCs w:val="18"/>
        </w:rPr>
      </w:pPr>
      <w:r w:rsidRPr="002D31A9">
        <w:rPr>
          <w:rStyle w:val="FootnoteReference"/>
          <w:szCs w:val="18"/>
        </w:rPr>
        <w:footnoteRef/>
      </w:r>
      <w:r w:rsidRPr="00405F13">
        <w:rPr>
          <w:szCs w:val="18"/>
        </w:rPr>
        <w:t xml:space="preserve"> T0417, </w:t>
      </w:r>
      <w:r>
        <w:rPr>
          <w:szCs w:val="18"/>
        </w:rPr>
        <w:t>T0121</w:t>
      </w:r>
      <w:r w:rsidRPr="00405F13">
        <w:rPr>
          <w:szCs w:val="18"/>
        </w:rPr>
        <w:t xml:space="preserve">, </w:t>
      </w:r>
      <w:r>
        <w:rPr>
          <w:szCs w:val="18"/>
        </w:rPr>
        <w:t>T0439</w:t>
      </w:r>
      <w:r w:rsidRPr="00405F13">
        <w:rPr>
          <w:szCs w:val="18"/>
        </w:rPr>
        <w:t xml:space="preserve">, </w:t>
      </w:r>
      <w:r>
        <w:rPr>
          <w:szCs w:val="18"/>
        </w:rPr>
        <w:t>T0331</w:t>
      </w:r>
      <w:r w:rsidRPr="00405F13">
        <w:rPr>
          <w:szCs w:val="18"/>
        </w:rPr>
        <w:t xml:space="preserve">, </w:t>
      </w:r>
      <w:r>
        <w:rPr>
          <w:szCs w:val="18"/>
        </w:rPr>
        <w:t>T0439</w:t>
      </w:r>
      <w:r w:rsidRPr="00405F13">
        <w:rPr>
          <w:szCs w:val="18"/>
        </w:rPr>
        <w:t xml:space="preserve">, </w:t>
      </w:r>
      <w:r>
        <w:rPr>
          <w:szCs w:val="18"/>
        </w:rPr>
        <w:t>T0017</w:t>
      </w:r>
      <w:r w:rsidRPr="00405F13">
        <w:rPr>
          <w:szCs w:val="18"/>
        </w:rPr>
        <w:t>.</w:t>
      </w:r>
    </w:p>
  </w:footnote>
  <w:footnote w:id="36">
    <w:p w14:paraId="14804F6F" w14:textId="5476B1C5" w:rsidR="004E119B" w:rsidRPr="00FE5E8D" w:rsidRDefault="004E119B" w:rsidP="00AF09A8">
      <w:pPr>
        <w:pStyle w:val="FootnoteText"/>
        <w:ind w:left="1138" w:right="1138" w:hanging="228"/>
        <w:jc w:val="left"/>
        <w:rPr>
          <w:szCs w:val="18"/>
        </w:rPr>
      </w:pPr>
      <w:r w:rsidRPr="002D31A9">
        <w:rPr>
          <w:rStyle w:val="FootnoteReference"/>
          <w:szCs w:val="18"/>
        </w:rPr>
        <w:footnoteRef/>
      </w:r>
      <w:r w:rsidRPr="00FE5E8D">
        <w:rPr>
          <w:szCs w:val="18"/>
        </w:rPr>
        <w:t xml:space="preserve"> Voir notamment </w:t>
      </w:r>
      <w:r>
        <w:rPr>
          <w:szCs w:val="18"/>
        </w:rPr>
        <w:t>T0417</w:t>
      </w:r>
      <w:r w:rsidRPr="00FE5E8D">
        <w:rPr>
          <w:szCs w:val="18"/>
        </w:rPr>
        <w:t xml:space="preserve">, </w:t>
      </w:r>
      <w:r>
        <w:rPr>
          <w:szCs w:val="18"/>
        </w:rPr>
        <w:t>T0080</w:t>
      </w:r>
      <w:r w:rsidRPr="00FE5E8D">
        <w:rPr>
          <w:szCs w:val="18"/>
        </w:rPr>
        <w:t xml:space="preserve">, </w:t>
      </w:r>
      <w:r>
        <w:rPr>
          <w:szCs w:val="18"/>
        </w:rPr>
        <w:t>T0311</w:t>
      </w:r>
      <w:r w:rsidRPr="00FE5E8D">
        <w:rPr>
          <w:szCs w:val="18"/>
        </w:rPr>
        <w:t xml:space="preserve">, </w:t>
      </w:r>
      <w:r>
        <w:rPr>
          <w:szCs w:val="18"/>
        </w:rPr>
        <w:t>T0137</w:t>
      </w:r>
      <w:r w:rsidRPr="00FE5E8D">
        <w:rPr>
          <w:szCs w:val="18"/>
        </w:rPr>
        <w:t xml:space="preserve">, </w:t>
      </w:r>
      <w:r>
        <w:rPr>
          <w:szCs w:val="18"/>
        </w:rPr>
        <w:t>T0331</w:t>
      </w:r>
      <w:r w:rsidRPr="00FE5E8D">
        <w:rPr>
          <w:szCs w:val="18"/>
        </w:rPr>
        <w:t xml:space="preserve">, </w:t>
      </w:r>
      <w:r>
        <w:rPr>
          <w:szCs w:val="18"/>
        </w:rPr>
        <w:t>T0112</w:t>
      </w:r>
      <w:r w:rsidRPr="00FE5E8D">
        <w:rPr>
          <w:szCs w:val="18"/>
        </w:rPr>
        <w:t xml:space="preserve">, </w:t>
      </w:r>
      <w:r>
        <w:rPr>
          <w:szCs w:val="18"/>
        </w:rPr>
        <w:t>T0188</w:t>
      </w:r>
      <w:r w:rsidRPr="00FE5E8D">
        <w:rPr>
          <w:szCs w:val="18"/>
        </w:rPr>
        <w:t xml:space="preserve">, </w:t>
      </w:r>
      <w:r>
        <w:rPr>
          <w:szCs w:val="18"/>
        </w:rPr>
        <w:t>T0017</w:t>
      </w:r>
      <w:r w:rsidRPr="00FE5E8D">
        <w:rPr>
          <w:szCs w:val="18"/>
        </w:rPr>
        <w:t>.</w:t>
      </w:r>
    </w:p>
  </w:footnote>
  <w:footnote w:id="37">
    <w:p w14:paraId="167C2FE0" w14:textId="70AC0366" w:rsidR="004E119B" w:rsidRPr="002D31A9" w:rsidRDefault="004E119B" w:rsidP="00AF09A8">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Voir </w:t>
      </w:r>
      <w:r>
        <w:rPr>
          <w:szCs w:val="18"/>
        </w:rPr>
        <w:t>T0188</w:t>
      </w:r>
      <w:r w:rsidRPr="002D31A9">
        <w:rPr>
          <w:szCs w:val="18"/>
        </w:rPr>
        <w:t>.</w:t>
      </w:r>
    </w:p>
  </w:footnote>
  <w:footnote w:id="38">
    <w:p w14:paraId="35456BDC" w14:textId="1681F6A6" w:rsidR="004E119B" w:rsidRPr="00840539" w:rsidRDefault="004E119B" w:rsidP="00AF09A8">
      <w:pPr>
        <w:pStyle w:val="FootnoteText"/>
        <w:ind w:left="1138" w:right="1138" w:hanging="228"/>
        <w:jc w:val="left"/>
        <w:rPr>
          <w:szCs w:val="18"/>
        </w:rPr>
      </w:pPr>
      <w:r w:rsidRPr="002D31A9">
        <w:rPr>
          <w:rStyle w:val="FootnoteReference"/>
          <w:szCs w:val="18"/>
        </w:rPr>
        <w:footnoteRef/>
      </w:r>
      <w:r w:rsidRPr="002D31A9">
        <w:rPr>
          <w:szCs w:val="18"/>
        </w:rPr>
        <w:t xml:space="preserve"> Voir notamment </w:t>
      </w:r>
      <w:r>
        <w:rPr>
          <w:szCs w:val="18"/>
        </w:rPr>
        <w:t>T0017</w:t>
      </w:r>
      <w:r w:rsidRPr="002D31A9">
        <w:rPr>
          <w:szCs w:val="18"/>
        </w:rPr>
        <w:t>.</w:t>
      </w:r>
    </w:p>
  </w:footnote>
  <w:footnote w:id="39">
    <w:p w14:paraId="2C38E9D9" w14:textId="062ABC22" w:rsidR="004E119B" w:rsidRPr="002D31A9" w:rsidRDefault="004E119B" w:rsidP="00AF09A8">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T0395</w:t>
      </w:r>
      <w:r w:rsidRPr="002D31A9">
        <w:rPr>
          <w:szCs w:val="18"/>
        </w:rPr>
        <w:t xml:space="preserve">, </w:t>
      </w:r>
      <w:r>
        <w:rPr>
          <w:szCs w:val="18"/>
        </w:rPr>
        <w:t>T0056</w:t>
      </w:r>
      <w:r w:rsidRPr="002D31A9">
        <w:rPr>
          <w:szCs w:val="18"/>
        </w:rPr>
        <w:t xml:space="preserve">, </w:t>
      </w:r>
      <w:r>
        <w:rPr>
          <w:szCs w:val="18"/>
        </w:rPr>
        <w:t>T0101</w:t>
      </w:r>
      <w:r w:rsidRPr="002D31A9">
        <w:rPr>
          <w:szCs w:val="18"/>
        </w:rPr>
        <w:t xml:space="preserve">, </w:t>
      </w:r>
      <w:r>
        <w:rPr>
          <w:szCs w:val="18"/>
        </w:rPr>
        <w:t>T0205</w:t>
      </w:r>
      <w:r w:rsidRPr="002D31A9">
        <w:rPr>
          <w:szCs w:val="18"/>
        </w:rPr>
        <w:t>.</w:t>
      </w:r>
    </w:p>
  </w:footnote>
  <w:footnote w:id="40">
    <w:p w14:paraId="1E6FE900" w14:textId="3868950B" w:rsidR="004E119B" w:rsidRPr="006E341A" w:rsidRDefault="004E119B" w:rsidP="00AF09A8">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T0162</w:t>
      </w:r>
      <w:r w:rsidRPr="002D31A9">
        <w:rPr>
          <w:szCs w:val="18"/>
        </w:rPr>
        <w:t xml:space="preserve">, </w:t>
      </w:r>
      <w:r>
        <w:rPr>
          <w:szCs w:val="18"/>
        </w:rPr>
        <w:t>T0189</w:t>
      </w:r>
      <w:r w:rsidRPr="002D31A9">
        <w:rPr>
          <w:szCs w:val="18"/>
        </w:rPr>
        <w:t xml:space="preserve">, </w:t>
      </w:r>
      <w:r>
        <w:rPr>
          <w:szCs w:val="18"/>
        </w:rPr>
        <w:t>T0023</w:t>
      </w:r>
      <w:r w:rsidRPr="002D31A9">
        <w:rPr>
          <w:szCs w:val="18"/>
        </w:rPr>
        <w:t xml:space="preserve">, </w:t>
      </w:r>
      <w:r>
        <w:rPr>
          <w:szCs w:val="18"/>
        </w:rPr>
        <w:t>T0137</w:t>
      </w:r>
      <w:r w:rsidRPr="002D31A9">
        <w:rPr>
          <w:szCs w:val="18"/>
        </w:rPr>
        <w:t xml:space="preserve">, </w:t>
      </w:r>
      <w:r>
        <w:rPr>
          <w:szCs w:val="18"/>
        </w:rPr>
        <w:t>T0331</w:t>
      </w:r>
      <w:r w:rsidRPr="002D31A9">
        <w:rPr>
          <w:szCs w:val="18"/>
        </w:rPr>
        <w:t xml:space="preserve">, </w:t>
      </w:r>
      <w:r>
        <w:rPr>
          <w:szCs w:val="18"/>
        </w:rPr>
        <w:t>T0181</w:t>
      </w:r>
      <w:r w:rsidRPr="002D31A9">
        <w:rPr>
          <w:szCs w:val="18"/>
        </w:rPr>
        <w:t xml:space="preserve">, </w:t>
      </w:r>
      <w:r>
        <w:rPr>
          <w:szCs w:val="18"/>
        </w:rPr>
        <w:t>T0417</w:t>
      </w:r>
      <w:r w:rsidRPr="00840539">
        <w:rPr>
          <w:szCs w:val="18"/>
        </w:rPr>
        <w:t xml:space="preserve">, </w:t>
      </w:r>
      <w:r>
        <w:rPr>
          <w:szCs w:val="18"/>
        </w:rPr>
        <w:t>T0121</w:t>
      </w:r>
      <w:r w:rsidRPr="00840539">
        <w:rPr>
          <w:szCs w:val="18"/>
        </w:rPr>
        <w:t>,</w:t>
      </w:r>
      <w:r w:rsidRPr="006E341A">
        <w:rPr>
          <w:szCs w:val="18"/>
        </w:rPr>
        <w:t xml:space="preserve"> </w:t>
      </w:r>
      <w:r>
        <w:rPr>
          <w:szCs w:val="18"/>
        </w:rPr>
        <w:t>T0287</w:t>
      </w:r>
      <w:r w:rsidRPr="006E341A">
        <w:rPr>
          <w:szCs w:val="18"/>
        </w:rPr>
        <w:t xml:space="preserve">, </w:t>
      </w:r>
      <w:r>
        <w:rPr>
          <w:szCs w:val="18"/>
        </w:rPr>
        <w:t>T0101</w:t>
      </w:r>
      <w:r w:rsidRPr="006E341A">
        <w:rPr>
          <w:szCs w:val="18"/>
        </w:rPr>
        <w:t xml:space="preserve">, </w:t>
      </w:r>
      <w:r>
        <w:rPr>
          <w:szCs w:val="18"/>
        </w:rPr>
        <w:t>T0044</w:t>
      </w:r>
      <w:r w:rsidRPr="006E341A">
        <w:rPr>
          <w:szCs w:val="18"/>
        </w:rPr>
        <w:t xml:space="preserve">, </w:t>
      </w:r>
      <w:r>
        <w:rPr>
          <w:szCs w:val="18"/>
        </w:rPr>
        <w:t>T0451</w:t>
      </w:r>
      <w:r w:rsidRPr="006E341A">
        <w:rPr>
          <w:szCs w:val="18"/>
        </w:rPr>
        <w:t xml:space="preserve">, </w:t>
      </w:r>
      <w:r>
        <w:rPr>
          <w:szCs w:val="18"/>
        </w:rPr>
        <w:t>T0395</w:t>
      </w:r>
      <w:r w:rsidRPr="006E341A">
        <w:rPr>
          <w:szCs w:val="18"/>
        </w:rPr>
        <w:t xml:space="preserve">, </w:t>
      </w:r>
      <w:r>
        <w:rPr>
          <w:szCs w:val="18"/>
        </w:rPr>
        <w:t>T0436</w:t>
      </w:r>
      <w:r w:rsidRPr="006E341A">
        <w:rPr>
          <w:szCs w:val="18"/>
        </w:rPr>
        <w:t>.</w:t>
      </w:r>
    </w:p>
  </w:footnote>
  <w:footnote w:id="41">
    <w:p w14:paraId="464A5D32" w14:textId="63F06212" w:rsidR="004E119B" w:rsidRPr="003A1757" w:rsidRDefault="004E119B" w:rsidP="00AF09A8">
      <w:pPr>
        <w:pStyle w:val="FootnoteText"/>
        <w:ind w:left="1138" w:right="1138" w:hanging="228"/>
        <w:jc w:val="left"/>
        <w:rPr>
          <w:szCs w:val="18"/>
        </w:rPr>
      </w:pPr>
      <w:r w:rsidRPr="002D31A9">
        <w:rPr>
          <w:rStyle w:val="FootnoteReference"/>
          <w:szCs w:val="18"/>
        </w:rPr>
        <w:footnoteRef/>
      </w:r>
      <w:r w:rsidRPr="003A1757">
        <w:rPr>
          <w:szCs w:val="18"/>
        </w:rPr>
        <w:t xml:space="preserve"> T0101, </w:t>
      </w:r>
      <w:r>
        <w:rPr>
          <w:szCs w:val="18"/>
        </w:rPr>
        <w:t>T0044</w:t>
      </w:r>
      <w:r w:rsidRPr="003A1757">
        <w:rPr>
          <w:szCs w:val="18"/>
        </w:rPr>
        <w:t xml:space="preserve">, T0395, </w:t>
      </w:r>
      <w:r>
        <w:rPr>
          <w:szCs w:val="18"/>
        </w:rPr>
        <w:t>T0394</w:t>
      </w:r>
      <w:r w:rsidRPr="003A1757">
        <w:rPr>
          <w:szCs w:val="18"/>
        </w:rPr>
        <w:t>.</w:t>
      </w:r>
    </w:p>
  </w:footnote>
  <w:footnote w:id="42">
    <w:p w14:paraId="2DE629D9" w14:textId="68FB8571" w:rsidR="004E119B" w:rsidRPr="003A1757" w:rsidRDefault="004E119B" w:rsidP="00AF09A8">
      <w:pPr>
        <w:pStyle w:val="FootnoteText"/>
        <w:ind w:left="1138" w:right="1138" w:hanging="228"/>
        <w:jc w:val="left"/>
        <w:rPr>
          <w:szCs w:val="18"/>
        </w:rPr>
      </w:pPr>
      <w:r w:rsidRPr="002D31A9">
        <w:rPr>
          <w:rStyle w:val="FootnoteReference"/>
          <w:szCs w:val="18"/>
        </w:rPr>
        <w:footnoteRef/>
      </w:r>
      <w:r w:rsidRPr="003A1757">
        <w:rPr>
          <w:szCs w:val="18"/>
        </w:rPr>
        <w:t xml:space="preserve"> </w:t>
      </w:r>
      <w:r>
        <w:rPr>
          <w:szCs w:val="18"/>
        </w:rPr>
        <w:t>T0267</w:t>
      </w:r>
      <w:r w:rsidRPr="003A1757">
        <w:rPr>
          <w:szCs w:val="18"/>
        </w:rPr>
        <w:t xml:space="preserve">, T0331, T0287, </w:t>
      </w:r>
      <w:r>
        <w:rPr>
          <w:szCs w:val="18"/>
        </w:rPr>
        <w:t>T0452</w:t>
      </w:r>
      <w:r w:rsidRPr="003A1757">
        <w:rPr>
          <w:szCs w:val="18"/>
        </w:rPr>
        <w:t>.</w:t>
      </w:r>
    </w:p>
  </w:footnote>
  <w:footnote w:id="43">
    <w:p w14:paraId="71E025C6" w14:textId="375CC1CB" w:rsidR="004E119B" w:rsidRPr="003A1757" w:rsidRDefault="004E119B" w:rsidP="00AF09A8">
      <w:pPr>
        <w:pStyle w:val="FootnoteText"/>
        <w:ind w:left="1138" w:right="1138" w:hanging="228"/>
        <w:jc w:val="left"/>
        <w:rPr>
          <w:szCs w:val="18"/>
        </w:rPr>
      </w:pPr>
      <w:r w:rsidRPr="002D31A9">
        <w:rPr>
          <w:rStyle w:val="FootnoteReference"/>
          <w:szCs w:val="18"/>
        </w:rPr>
        <w:footnoteRef/>
      </w:r>
      <w:r w:rsidRPr="003A1757">
        <w:rPr>
          <w:szCs w:val="18"/>
        </w:rPr>
        <w:t xml:space="preserve"> T0311, T0023, T0181, T0121, </w:t>
      </w:r>
      <w:r>
        <w:rPr>
          <w:szCs w:val="18"/>
        </w:rPr>
        <w:t>T0279</w:t>
      </w:r>
      <w:r w:rsidRPr="003A1757">
        <w:rPr>
          <w:szCs w:val="18"/>
        </w:rPr>
        <w:t xml:space="preserve">, </w:t>
      </w:r>
      <w:r>
        <w:rPr>
          <w:szCs w:val="18"/>
        </w:rPr>
        <w:t>T0215</w:t>
      </w:r>
      <w:r w:rsidRPr="003A1757">
        <w:rPr>
          <w:szCs w:val="18"/>
        </w:rPr>
        <w:t xml:space="preserve">, </w:t>
      </w:r>
      <w:r>
        <w:rPr>
          <w:szCs w:val="18"/>
        </w:rPr>
        <w:t>T0351</w:t>
      </w:r>
      <w:r w:rsidRPr="003A1757">
        <w:rPr>
          <w:szCs w:val="18"/>
        </w:rPr>
        <w:t xml:space="preserve">, </w:t>
      </w:r>
      <w:r>
        <w:rPr>
          <w:szCs w:val="18"/>
        </w:rPr>
        <w:t>T0054</w:t>
      </w:r>
      <w:r w:rsidRPr="003A1757">
        <w:rPr>
          <w:szCs w:val="18"/>
        </w:rPr>
        <w:t xml:space="preserve">, </w:t>
      </w:r>
      <w:r>
        <w:rPr>
          <w:szCs w:val="18"/>
        </w:rPr>
        <w:t>T0373</w:t>
      </w:r>
      <w:r w:rsidRPr="003A1757">
        <w:rPr>
          <w:szCs w:val="18"/>
        </w:rPr>
        <w:t xml:space="preserve">, </w:t>
      </w:r>
      <w:r>
        <w:rPr>
          <w:szCs w:val="18"/>
        </w:rPr>
        <w:t>T0145</w:t>
      </w:r>
      <w:r w:rsidRPr="003A1757">
        <w:rPr>
          <w:szCs w:val="18"/>
        </w:rPr>
        <w:t xml:space="preserve">, </w:t>
      </w:r>
      <w:r>
        <w:rPr>
          <w:szCs w:val="18"/>
        </w:rPr>
        <w:t>T0148</w:t>
      </w:r>
      <w:r w:rsidRPr="003A1757">
        <w:rPr>
          <w:szCs w:val="18"/>
        </w:rPr>
        <w:t xml:space="preserve">, </w:t>
      </w:r>
      <w:r>
        <w:rPr>
          <w:szCs w:val="18"/>
        </w:rPr>
        <w:t>T0313</w:t>
      </w:r>
      <w:r w:rsidRPr="003A1757">
        <w:rPr>
          <w:szCs w:val="18"/>
        </w:rPr>
        <w:t xml:space="preserve">, </w:t>
      </w:r>
      <w:r>
        <w:rPr>
          <w:szCs w:val="18"/>
        </w:rPr>
        <w:t>T0093</w:t>
      </w:r>
      <w:r w:rsidRPr="003A1757">
        <w:rPr>
          <w:szCs w:val="18"/>
        </w:rPr>
        <w:t xml:space="preserve">, </w:t>
      </w:r>
      <w:r>
        <w:rPr>
          <w:szCs w:val="18"/>
        </w:rPr>
        <w:t>T0242</w:t>
      </w:r>
      <w:r w:rsidRPr="003A1757">
        <w:rPr>
          <w:szCs w:val="18"/>
        </w:rPr>
        <w:t xml:space="preserve">, </w:t>
      </w:r>
      <w:r>
        <w:rPr>
          <w:szCs w:val="18"/>
        </w:rPr>
        <w:t>T0016</w:t>
      </w:r>
      <w:r w:rsidRPr="003A1757">
        <w:rPr>
          <w:szCs w:val="18"/>
        </w:rPr>
        <w:t xml:space="preserve">, </w:t>
      </w:r>
      <w:r>
        <w:rPr>
          <w:szCs w:val="18"/>
        </w:rPr>
        <w:t>T0076</w:t>
      </w:r>
      <w:r w:rsidRPr="003A1757">
        <w:rPr>
          <w:szCs w:val="18"/>
        </w:rPr>
        <w:t xml:space="preserve">, </w:t>
      </w:r>
      <w:r>
        <w:rPr>
          <w:szCs w:val="18"/>
        </w:rPr>
        <w:t>T0058</w:t>
      </w:r>
      <w:r w:rsidRPr="003A1757">
        <w:rPr>
          <w:szCs w:val="18"/>
        </w:rPr>
        <w:t xml:space="preserve">, </w:t>
      </w:r>
      <w:r>
        <w:rPr>
          <w:szCs w:val="18"/>
        </w:rPr>
        <w:t>T0082</w:t>
      </w:r>
      <w:r w:rsidRPr="003A1757">
        <w:rPr>
          <w:szCs w:val="18"/>
        </w:rPr>
        <w:t xml:space="preserve">, </w:t>
      </w:r>
      <w:r>
        <w:rPr>
          <w:szCs w:val="18"/>
        </w:rPr>
        <w:t>T0177</w:t>
      </w:r>
      <w:r w:rsidRPr="003A1757">
        <w:rPr>
          <w:szCs w:val="18"/>
        </w:rPr>
        <w:t xml:space="preserve">, </w:t>
      </w:r>
      <w:r>
        <w:rPr>
          <w:szCs w:val="18"/>
        </w:rPr>
        <w:t>T0387</w:t>
      </w:r>
      <w:r w:rsidRPr="003A1757">
        <w:rPr>
          <w:szCs w:val="18"/>
        </w:rPr>
        <w:t xml:space="preserve">, </w:t>
      </w:r>
      <w:r>
        <w:rPr>
          <w:szCs w:val="18"/>
        </w:rPr>
        <w:t>T0217</w:t>
      </w:r>
      <w:r w:rsidRPr="003A1757">
        <w:rPr>
          <w:szCs w:val="18"/>
        </w:rPr>
        <w:t xml:space="preserve">, </w:t>
      </w:r>
      <w:r>
        <w:rPr>
          <w:szCs w:val="18"/>
        </w:rPr>
        <w:t>T0233</w:t>
      </w:r>
      <w:r w:rsidRPr="003A1757">
        <w:rPr>
          <w:szCs w:val="18"/>
        </w:rPr>
        <w:t xml:space="preserve">, </w:t>
      </w:r>
      <w:r>
        <w:rPr>
          <w:szCs w:val="18"/>
        </w:rPr>
        <w:t>T0169</w:t>
      </w:r>
      <w:r w:rsidRPr="003A1757">
        <w:rPr>
          <w:szCs w:val="18"/>
        </w:rPr>
        <w:t xml:space="preserve">, </w:t>
      </w:r>
      <w:r>
        <w:rPr>
          <w:szCs w:val="18"/>
        </w:rPr>
        <w:t>T0179</w:t>
      </w:r>
      <w:r w:rsidRPr="003A1757">
        <w:rPr>
          <w:szCs w:val="18"/>
        </w:rPr>
        <w:t xml:space="preserve">, </w:t>
      </w:r>
      <w:r>
        <w:rPr>
          <w:szCs w:val="18"/>
        </w:rPr>
        <w:t>T0217</w:t>
      </w:r>
      <w:r w:rsidRPr="003A1757">
        <w:rPr>
          <w:szCs w:val="18"/>
        </w:rPr>
        <w:t xml:space="preserve">, </w:t>
      </w:r>
      <w:r>
        <w:rPr>
          <w:szCs w:val="18"/>
        </w:rPr>
        <w:t>T0128</w:t>
      </w:r>
      <w:r w:rsidRPr="003A1757">
        <w:rPr>
          <w:szCs w:val="18"/>
        </w:rPr>
        <w:t xml:space="preserve">, </w:t>
      </w:r>
      <w:r>
        <w:rPr>
          <w:szCs w:val="18"/>
        </w:rPr>
        <w:t>T0031</w:t>
      </w:r>
      <w:r w:rsidRPr="003A1757">
        <w:rPr>
          <w:szCs w:val="18"/>
        </w:rPr>
        <w:t xml:space="preserve">, </w:t>
      </w:r>
      <w:r>
        <w:rPr>
          <w:szCs w:val="18"/>
        </w:rPr>
        <w:t>T0197</w:t>
      </w:r>
      <w:r w:rsidRPr="003A1757">
        <w:rPr>
          <w:szCs w:val="18"/>
        </w:rPr>
        <w:t>, T0044, T0056, T0205.</w:t>
      </w:r>
    </w:p>
  </w:footnote>
  <w:footnote w:id="44">
    <w:p w14:paraId="3F1602C2" w14:textId="26F7E499" w:rsidR="004E119B" w:rsidRPr="002D31A9" w:rsidRDefault="004E119B" w:rsidP="00AF09A8">
      <w:pPr>
        <w:pStyle w:val="FootnoteText"/>
        <w:ind w:left="1138" w:right="1138" w:hanging="228"/>
        <w:jc w:val="left"/>
        <w:rPr>
          <w:szCs w:val="18"/>
        </w:rPr>
      </w:pPr>
      <w:r w:rsidRPr="002D31A9">
        <w:rPr>
          <w:rStyle w:val="FootnoteReference"/>
          <w:szCs w:val="18"/>
        </w:rPr>
        <w:footnoteRef/>
      </w:r>
      <w:r w:rsidRPr="002D31A9">
        <w:rPr>
          <w:szCs w:val="18"/>
        </w:rPr>
        <w:t xml:space="preserve"> Voir notamment </w:t>
      </w:r>
      <w:r>
        <w:rPr>
          <w:szCs w:val="18"/>
        </w:rPr>
        <w:t>T0311</w:t>
      </w:r>
      <w:r w:rsidRPr="002D31A9">
        <w:rPr>
          <w:szCs w:val="18"/>
        </w:rPr>
        <w:t>.</w:t>
      </w:r>
    </w:p>
  </w:footnote>
  <w:footnote w:id="45">
    <w:p w14:paraId="4A74A09F" w14:textId="5ADB9DB7" w:rsidR="004E119B" w:rsidRPr="00840539" w:rsidRDefault="004E119B" w:rsidP="00AF09A8">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T0417</w:t>
      </w:r>
      <w:r w:rsidRPr="002D31A9">
        <w:rPr>
          <w:szCs w:val="18"/>
        </w:rPr>
        <w:t xml:space="preserve">, </w:t>
      </w:r>
      <w:r>
        <w:rPr>
          <w:szCs w:val="18"/>
        </w:rPr>
        <w:t>T0287</w:t>
      </w:r>
      <w:r w:rsidRPr="002D31A9">
        <w:rPr>
          <w:szCs w:val="18"/>
        </w:rPr>
        <w:t xml:space="preserve">, </w:t>
      </w:r>
      <w:r>
        <w:rPr>
          <w:szCs w:val="18"/>
        </w:rPr>
        <w:t>T0395</w:t>
      </w:r>
      <w:r w:rsidRPr="002D31A9">
        <w:rPr>
          <w:szCs w:val="18"/>
        </w:rPr>
        <w:t xml:space="preserve">, </w:t>
      </w:r>
      <w:r>
        <w:rPr>
          <w:szCs w:val="18"/>
        </w:rPr>
        <w:t>T0436</w:t>
      </w:r>
      <w:r w:rsidRPr="002D31A9">
        <w:rPr>
          <w:szCs w:val="18"/>
        </w:rPr>
        <w:t>.</w:t>
      </w:r>
    </w:p>
  </w:footnote>
  <w:footnote w:id="46">
    <w:p w14:paraId="7742CCEC" w14:textId="7FA34E50" w:rsidR="004E119B" w:rsidRPr="003A1757" w:rsidRDefault="004E119B" w:rsidP="00AF09A8">
      <w:pPr>
        <w:pStyle w:val="FootnoteText"/>
        <w:ind w:left="1138" w:right="1138" w:hanging="228"/>
        <w:jc w:val="left"/>
        <w:rPr>
          <w:szCs w:val="18"/>
        </w:rPr>
      </w:pPr>
      <w:r w:rsidRPr="002D31A9">
        <w:rPr>
          <w:rStyle w:val="FootnoteReference"/>
          <w:szCs w:val="18"/>
        </w:rPr>
        <w:footnoteRef/>
      </w:r>
      <w:r w:rsidRPr="003A1757">
        <w:rPr>
          <w:szCs w:val="18"/>
        </w:rPr>
        <w:t xml:space="preserve"> T0267, </w:t>
      </w:r>
      <w:r>
        <w:rPr>
          <w:szCs w:val="18"/>
        </w:rPr>
        <w:t>T0149</w:t>
      </w:r>
      <w:r w:rsidRPr="003A1757">
        <w:rPr>
          <w:szCs w:val="18"/>
        </w:rPr>
        <w:t>.</w:t>
      </w:r>
    </w:p>
  </w:footnote>
  <w:footnote w:id="47">
    <w:p w14:paraId="58BC7FC8" w14:textId="4EA87180" w:rsidR="004E119B" w:rsidRPr="003A1757" w:rsidRDefault="004E119B" w:rsidP="00AF09A8">
      <w:pPr>
        <w:pStyle w:val="FootnoteText"/>
        <w:ind w:left="1138" w:right="1138" w:hanging="228"/>
        <w:jc w:val="left"/>
        <w:rPr>
          <w:szCs w:val="18"/>
        </w:rPr>
      </w:pPr>
      <w:r w:rsidRPr="002D31A9">
        <w:rPr>
          <w:rStyle w:val="FootnoteReference"/>
          <w:szCs w:val="18"/>
        </w:rPr>
        <w:footnoteRef/>
      </w:r>
      <w:r w:rsidRPr="003A1757">
        <w:rPr>
          <w:szCs w:val="18"/>
        </w:rPr>
        <w:t xml:space="preserve"> T0287, T0451, T0394.</w:t>
      </w:r>
    </w:p>
  </w:footnote>
  <w:footnote w:id="48">
    <w:p w14:paraId="527EF3D9" w14:textId="77346529" w:rsidR="004E119B" w:rsidRPr="00405F13" w:rsidRDefault="004E119B" w:rsidP="00AF09A8">
      <w:pPr>
        <w:pStyle w:val="FootnoteText"/>
        <w:tabs>
          <w:tab w:val="right" w:pos="1080"/>
        </w:tabs>
        <w:ind w:left="1138" w:right="1138" w:hanging="228"/>
        <w:contextualSpacing/>
        <w:jc w:val="left"/>
        <w:rPr>
          <w:szCs w:val="18"/>
        </w:rPr>
      </w:pPr>
      <w:r w:rsidRPr="002D31A9">
        <w:rPr>
          <w:rStyle w:val="FootnoteReference"/>
          <w:szCs w:val="18"/>
        </w:rPr>
        <w:footnoteRef/>
      </w:r>
      <w:r w:rsidRPr="00405F13">
        <w:rPr>
          <w:szCs w:val="18"/>
        </w:rPr>
        <w:t xml:space="preserve"> Voir notamment T0137, </w:t>
      </w:r>
      <w:r>
        <w:rPr>
          <w:szCs w:val="18"/>
        </w:rPr>
        <w:t>T0311</w:t>
      </w:r>
      <w:r w:rsidRPr="00405F13">
        <w:rPr>
          <w:szCs w:val="18"/>
        </w:rPr>
        <w:t xml:space="preserve">, </w:t>
      </w:r>
      <w:r>
        <w:rPr>
          <w:szCs w:val="18"/>
        </w:rPr>
        <w:t>T0181</w:t>
      </w:r>
      <w:r w:rsidRPr="00405F13">
        <w:rPr>
          <w:szCs w:val="18"/>
        </w:rPr>
        <w:t xml:space="preserve">, </w:t>
      </w:r>
      <w:r>
        <w:rPr>
          <w:szCs w:val="18"/>
        </w:rPr>
        <w:t>T0393</w:t>
      </w:r>
      <w:r w:rsidRPr="00405F13">
        <w:rPr>
          <w:szCs w:val="18"/>
        </w:rPr>
        <w:t xml:space="preserve">, </w:t>
      </w:r>
      <w:r>
        <w:rPr>
          <w:szCs w:val="18"/>
        </w:rPr>
        <w:t>T0290</w:t>
      </w:r>
      <w:r w:rsidRPr="00405F13">
        <w:rPr>
          <w:szCs w:val="18"/>
        </w:rPr>
        <w:t xml:space="preserve">, </w:t>
      </w:r>
      <w:r>
        <w:rPr>
          <w:szCs w:val="18"/>
        </w:rPr>
        <w:t>T0244</w:t>
      </w:r>
      <w:r w:rsidRPr="00405F13">
        <w:rPr>
          <w:szCs w:val="18"/>
        </w:rPr>
        <w:t xml:space="preserve">, </w:t>
      </w:r>
      <w:r>
        <w:rPr>
          <w:szCs w:val="18"/>
        </w:rPr>
        <w:t>T0071</w:t>
      </w:r>
      <w:r w:rsidRPr="00405F13">
        <w:rPr>
          <w:szCs w:val="18"/>
        </w:rPr>
        <w:t xml:space="preserve">, T0417, </w:t>
      </w:r>
      <w:r>
        <w:rPr>
          <w:szCs w:val="18"/>
        </w:rPr>
        <w:t>T0064</w:t>
      </w:r>
      <w:r w:rsidRPr="00405F13">
        <w:rPr>
          <w:szCs w:val="18"/>
        </w:rPr>
        <w:t xml:space="preserve">, </w:t>
      </w:r>
      <w:r>
        <w:rPr>
          <w:szCs w:val="18"/>
        </w:rPr>
        <w:t>T0226</w:t>
      </w:r>
      <w:r w:rsidRPr="00405F13">
        <w:rPr>
          <w:szCs w:val="18"/>
        </w:rPr>
        <w:t xml:space="preserve">, </w:t>
      </w:r>
      <w:r>
        <w:rPr>
          <w:szCs w:val="18"/>
        </w:rPr>
        <w:t>T0155</w:t>
      </w:r>
      <w:r w:rsidRPr="00405F13">
        <w:rPr>
          <w:szCs w:val="18"/>
        </w:rPr>
        <w:t xml:space="preserve">, </w:t>
      </w:r>
      <w:r w:rsidRPr="00405F13">
        <w:rPr>
          <w:szCs w:val="18"/>
          <w:lang w:eastAsia="fr-FR"/>
        </w:rPr>
        <w:t>T0023</w:t>
      </w:r>
      <w:r w:rsidRPr="00405F13">
        <w:rPr>
          <w:szCs w:val="18"/>
        </w:rPr>
        <w:t xml:space="preserve">, </w:t>
      </w:r>
      <w:r>
        <w:rPr>
          <w:szCs w:val="18"/>
        </w:rPr>
        <w:t>T0181</w:t>
      </w:r>
      <w:r w:rsidRPr="00405F13">
        <w:rPr>
          <w:szCs w:val="18"/>
        </w:rPr>
        <w:t xml:space="preserve">, </w:t>
      </w:r>
      <w:r>
        <w:rPr>
          <w:szCs w:val="18"/>
        </w:rPr>
        <w:t>T0226</w:t>
      </w:r>
      <w:r w:rsidRPr="00405F13">
        <w:rPr>
          <w:szCs w:val="18"/>
        </w:rPr>
        <w:t xml:space="preserve">, </w:t>
      </w:r>
      <w:r>
        <w:rPr>
          <w:szCs w:val="18"/>
        </w:rPr>
        <w:t>T0121</w:t>
      </w:r>
      <w:r w:rsidRPr="00405F13">
        <w:rPr>
          <w:szCs w:val="18"/>
        </w:rPr>
        <w:t xml:space="preserve">, </w:t>
      </w:r>
      <w:r>
        <w:rPr>
          <w:szCs w:val="18"/>
        </w:rPr>
        <w:t>T0149</w:t>
      </w:r>
      <w:r w:rsidRPr="00405F13">
        <w:rPr>
          <w:szCs w:val="18"/>
        </w:rPr>
        <w:t xml:space="preserve">, </w:t>
      </w:r>
      <w:r>
        <w:rPr>
          <w:szCs w:val="18"/>
        </w:rPr>
        <w:t>T0189</w:t>
      </w:r>
      <w:r w:rsidRPr="00405F13">
        <w:rPr>
          <w:szCs w:val="18"/>
        </w:rPr>
        <w:t xml:space="preserve">, </w:t>
      </w:r>
      <w:r>
        <w:rPr>
          <w:szCs w:val="18"/>
        </w:rPr>
        <w:t>T0113</w:t>
      </w:r>
      <w:r w:rsidRPr="00405F13">
        <w:rPr>
          <w:szCs w:val="18"/>
        </w:rPr>
        <w:t>.</w:t>
      </w:r>
    </w:p>
  </w:footnote>
  <w:footnote w:id="49">
    <w:p w14:paraId="6B5D9DA7" w14:textId="0405F03D" w:rsidR="004E119B" w:rsidRPr="00405F13" w:rsidRDefault="004E119B" w:rsidP="00AF09A8">
      <w:pPr>
        <w:pStyle w:val="FootnoteText"/>
        <w:ind w:left="1138" w:right="1138" w:hanging="228"/>
        <w:jc w:val="left"/>
        <w:rPr>
          <w:szCs w:val="18"/>
        </w:rPr>
      </w:pPr>
      <w:r w:rsidRPr="002D31A9">
        <w:rPr>
          <w:rStyle w:val="FootnoteReference"/>
          <w:szCs w:val="18"/>
        </w:rPr>
        <w:footnoteRef/>
      </w:r>
      <w:r w:rsidRPr="00405F13">
        <w:rPr>
          <w:szCs w:val="18"/>
        </w:rPr>
        <w:t xml:space="preserve"> T0417, </w:t>
      </w:r>
      <w:r>
        <w:rPr>
          <w:szCs w:val="18"/>
        </w:rPr>
        <w:t>T0267</w:t>
      </w:r>
      <w:r w:rsidRPr="00405F13">
        <w:rPr>
          <w:szCs w:val="18"/>
        </w:rPr>
        <w:t>.</w:t>
      </w:r>
    </w:p>
  </w:footnote>
  <w:footnote w:id="50">
    <w:p w14:paraId="0175F700" w14:textId="7FD2D6E7" w:rsidR="004E119B" w:rsidRPr="00405F13" w:rsidRDefault="004E119B" w:rsidP="00AF09A8">
      <w:pPr>
        <w:pStyle w:val="FootnoteText"/>
        <w:ind w:left="1138" w:right="1138" w:hanging="228"/>
        <w:jc w:val="left"/>
        <w:rPr>
          <w:szCs w:val="18"/>
        </w:rPr>
      </w:pPr>
      <w:r w:rsidRPr="002D31A9">
        <w:rPr>
          <w:rStyle w:val="FootnoteReference"/>
          <w:szCs w:val="18"/>
        </w:rPr>
        <w:footnoteRef/>
      </w:r>
      <w:r w:rsidRPr="00405F13">
        <w:rPr>
          <w:szCs w:val="18"/>
        </w:rPr>
        <w:t xml:space="preserve"> T0023, </w:t>
      </w:r>
      <w:r>
        <w:rPr>
          <w:szCs w:val="18"/>
        </w:rPr>
        <w:t>T0436</w:t>
      </w:r>
      <w:r w:rsidRPr="00405F13">
        <w:rPr>
          <w:szCs w:val="18"/>
        </w:rPr>
        <w:t xml:space="preserve">, </w:t>
      </w:r>
      <w:r>
        <w:rPr>
          <w:szCs w:val="18"/>
        </w:rPr>
        <w:t>T0179</w:t>
      </w:r>
      <w:r w:rsidRPr="00405F13">
        <w:rPr>
          <w:szCs w:val="18"/>
        </w:rPr>
        <w:t xml:space="preserve">, </w:t>
      </w:r>
      <w:r>
        <w:rPr>
          <w:szCs w:val="18"/>
        </w:rPr>
        <w:t>T0100</w:t>
      </w:r>
      <w:r w:rsidRPr="00405F13">
        <w:rPr>
          <w:szCs w:val="18"/>
        </w:rPr>
        <w:t>.</w:t>
      </w:r>
    </w:p>
  </w:footnote>
  <w:footnote w:id="51">
    <w:p w14:paraId="25915AB2" w14:textId="7CA294CA" w:rsidR="004E119B" w:rsidRPr="00405F13" w:rsidRDefault="004E119B" w:rsidP="00AF09A8">
      <w:pPr>
        <w:pStyle w:val="FootnoteText"/>
        <w:ind w:left="1138" w:right="1138" w:hanging="228"/>
        <w:jc w:val="left"/>
        <w:rPr>
          <w:szCs w:val="18"/>
        </w:rPr>
      </w:pPr>
      <w:r w:rsidRPr="002D31A9">
        <w:rPr>
          <w:rStyle w:val="FootnoteReference"/>
          <w:szCs w:val="18"/>
        </w:rPr>
        <w:footnoteRef/>
      </w:r>
      <w:r w:rsidRPr="00405F13">
        <w:rPr>
          <w:szCs w:val="18"/>
        </w:rPr>
        <w:t xml:space="preserve"> T0023, </w:t>
      </w:r>
      <w:r>
        <w:rPr>
          <w:szCs w:val="18"/>
        </w:rPr>
        <w:t>T0121</w:t>
      </w:r>
      <w:r w:rsidRPr="00405F13">
        <w:rPr>
          <w:szCs w:val="18"/>
        </w:rPr>
        <w:t xml:space="preserve">, </w:t>
      </w:r>
      <w:r>
        <w:rPr>
          <w:szCs w:val="18"/>
        </w:rPr>
        <w:t>T0436</w:t>
      </w:r>
      <w:r w:rsidRPr="00405F13">
        <w:rPr>
          <w:szCs w:val="18"/>
        </w:rPr>
        <w:t>.</w:t>
      </w:r>
    </w:p>
  </w:footnote>
  <w:footnote w:id="52">
    <w:p w14:paraId="54513222" w14:textId="20403268" w:rsidR="004E119B" w:rsidRPr="00405F13" w:rsidRDefault="004E119B" w:rsidP="00AF09A8">
      <w:pPr>
        <w:pStyle w:val="FootnoteText"/>
        <w:ind w:left="1138" w:right="1138" w:hanging="228"/>
        <w:jc w:val="left"/>
        <w:rPr>
          <w:szCs w:val="18"/>
        </w:rPr>
      </w:pPr>
      <w:r w:rsidRPr="002D31A9">
        <w:rPr>
          <w:rStyle w:val="FootnoteReference"/>
          <w:szCs w:val="18"/>
        </w:rPr>
        <w:footnoteRef/>
      </w:r>
      <w:r w:rsidRPr="00405F13">
        <w:rPr>
          <w:szCs w:val="18"/>
        </w:rPr>
        <w:t xml:space="preserve"> </w:t>
      </w:r>
      <w:r>
        <w:rPr>
          <w:szCs w:val="18"/>
        </w:rPr>
        <w:t>T0311</w:t>
      </w:r>
      <w:r w:rsidRPr="00405F13">
        <w:rPr>
          <w:szCs w:val="18"/>
        </w:rPr>
        <w:t xml:space="preserve">, T0137, </w:t>
      </w:r>
      <w:r>
        <w:rPr>
          <w:szCs w:val="18"/>
        </w:rPr>
        <w:t>T0181</w:t>
      </w:r>
      <w:r w:rsidRPr="00405F13">
        <w:rPr>
          <w:szCs w:val="18"/>
        </w:rPr>
        <w:t xml:space="preserve">, </w:t>
      </w:r>
      <w:r>
        <w:rPr>
          <w:szCs w:val="18"/>
        </w:rPr>
        <w:t>T0393</w:t>
      </w:r>
      <w:r w:rsidRPr="00405F13">
        <w:rPr>
          <w:szCs w:val="18"/>
        </w:rPr>
        <w:t xml:space="preserve">, </w:t>
      </w:r>
      <w:r>
        <w:rPr>
          <w:szCs w:val="18"/>
        </w:rPr>
        <w:t>T0244</w:t>
      </w:r>
      <w:r w:rsidRPr="00405F13">
        <w:rPr>
          <w:szCs w:val="18"/>
        </w:rPr>
        <w:t xml:space="preserve">, </w:t>
      </w:r>
      <w:r>
        <w:rPr>
          <w:szCs w:val="18"/>
        </w:rPr>
        <w:t>T0071</w:t>
      </w:r>
      <w:r w:rsidRPr="00405F13">
        <w:rPr>
          <w:szCs w:val="18"/>
        </w:rPr>
        <w:t xml:space="preserve">, </w:t>
      </w:r>
      <w:r>
        <w:rPr>
          <w:szCs w:val="18"/>
        </w:rPr>
        <w:t>T0155</w:t>
      </w:r>
      <w:r w:rsidRPr="00405F13">
        <w:rPr>
          <w:szCs w:val="18"/>
        </w:rPr>
        <w:t xml:space="preserve">, </w:t>
      </w:r>
      <w:r>
        <w:rPr>
          <w:szCs w:val="18"/>
        </w:rPr>
        <w:t>T0064</w:t>
      </w:r>
      <w:r w:rsidRPr="00405F13">
        <w:rPr>
          <w:szCs w:val="18"/>
        </w:rPr>
        <w:t xml:space="preserve">, </w:t>
      </w:r>
      <w:r>
        <w:rPr>
          <w:szCs w:val="18"/>
        </w:rPr>
        <w:t>T0226</w:t>
      </w:r>
      <w:r w:rsidRPr="00405F13">
        <w:rPr>
          <w:szCs w:val="18"/>
        </w:rPr>
        <w:t xml:space="preserve">, </w:t>
      </w:r>
      <w:r>
        <w:rPr>
          <w:szCs w:val="18"/>
        </w:rPr>
        <w:t>T0121</w:t>
      </w:r>
      <w:r w:rsidRPr="00405F13">
        <w:rPr>
          <w:szCs w:val="18"/>
        </w:rPr>
        <w:t xml:space="preserve">, </w:t>
      </w:r>
      <w:r>
        <w:rPr>
          <w:szCs w:val="18"/>
        </w:rPr>
        <w:t>T0101</w:t>
      </w:r>
      <w:r w:rsidRPr="00405F13">
        <w:rPr>
          <w:szCs w:val="18"/>
        </w:rPr>
        <w:t xml:space="preserve">, T0331, </w:t>
      </w:r>
      <w:r>
        <w:rPr>
          <w:szCs w:val="18"/>
        </w:rPr>
        <w:t>T0287</w:t>
      </w:r>
      <w:r w:rsidRPr="00405F13">
        <w:rPr>
          <w:szCs w:val="18"/>
        </w:rPr>
        <w:t xml:space="preserve">, </w:t>
      </w:r>
      <w:r>
        <w:rPr>
          <w:szCs w:val="18"/>
        </w:rPr>
        <w:t>T0398</w:t>
      </w:r>
      <w:r w:rsidRPr="00405F13">
        <w:rPr>
          <w:szCs w:val="18"/>
        </w:rPr>
        <w:t xml:space="preserve">, </w:t>
      </w:r>
      <w:r>
        <w:rPr>
          <w:szCs w:val="18"/>
        </w:rPr>
        <w:t>T0386</w:t>
      </w:r>
      <w:r w:rsidRPr="00405F13">
        <w:rPr>
          <w:szCs w:val="18"/>
        </w:rPr>
        <w:t xml:space="preserve">, </w:t>
      </w:r>
      <w:r>
        <w:rPr>
          <w:szCs w:val="18"/>
        </w:rPr>
        <w:t>T0179</w:t>
      </w:r>
      <w:r w:rsidRPr="00405F13">
        <w:rPr>
          <w:szCs w:val="18"/>
        </w:rPr>
        <w:t xml:space="preserve">, </w:t>
      </w:r>
      <w:r>
        <w:rPr>
          <w:szCs w:val="18"/>
        </w:rPr>
        <w:t>T0452</w:t>
      </w:r>
      <w:r w:rsidRPr="00405F13">
        <w:rPr>
          <w:szCs w:val="18"/>
        </w:rPr>
        <w:t xml:space="preserve">, </w:t>
      </w:r>
      <w:r>
        <w:rPr>
          <w:szCs w:val="18"/>
        </w:rPr>
        <w:t>T0065</w:t>
      </w:r>
      <w:r w:rsidRPr="00405F13">
        <w:rPr>
          <w:szCs w:val="18"/>
        </w:rPr>
        <w:t xml:space="preserve">, </w:t>
      </w:r>
      <w:r>
        <w:rPr>
          <w:szCs w:val="18"/>
        </w:rPr>
        <w:t>T0197</w:t>
      </w:r>
      <w:r w:rsidRPr="00405F13">
        <w:rPr>
          <w:szCs w:val="18"/>
        </w:rPr>
        <w:t>.</w:t>
      </w:r>
    </w:p>
  </w:footnote>
  <w:footnote w:id="53">
    <w:p w14:paraId="49FD3507" w14:textId="7BDD4A8D" w:rsidR="004E119B" w:rsidRPr="00633737" w:rsidRDefault="004E119B" w:rsidP="00AF09A8">
      <w:pPr>
        <w:pStyle w:val="FootnoteText"/>
        <w:ind w:left="1138" w:right="1138" w:hanging="228"/>
        <w:jc w:val="left"/>
        <w:rPr>
          <w:szCs w:val="18"/>
        </w:rPr>
      </w:pPr>
      <w:r w:rsidRPr="002D31A9">
        <w:rPr>
          <w:rStyle w:val="FootnoteReference"/>
          <w:szCs w:val="18"/>
        </w:rPr>
        <w:footnoteRef/>
      </w:r>
      <w:r w:rsidRPr="00633737">
        <w:rPr>
          <w:szCs w:val="18"/>
        </w:rPr>
        <w:t xml:space="preserve"> T0155, T0044, </w:t>
      </w:r>
      <w:r>
        <w:rPr>
          <w:szCs w:val="18"/>
        </w:rPr>
        <w:t>T0404</w:t>
      </w:r>
      <w:r w:rsidRPr="00633737">
        <w:rPr>
          <w:szCs w:val="18"/>
        </w:rPr>
        <w:t>.</w:t>
      </w:r>
    </w:p>
  </w:footnote>
  <w:footnote w:id="54">
    <w:p w14:paraId="11E83AA4" w14:textId="6E1BB478" w:rsidR="004E119B" w:rsidRPr="00633737" w:rsidRDefault="004E119B" w:rsidP="00AF09A8">
      <w:pPr>
        <w:pStyle w:val="FootnoteText"/>
        <w:ind w:left="1138" w:right="1138" w:hanging="228"/>
        <w:jc w:val="left"/>
        <w:rPr>
          <w:szCs w:val="18"/>
        </w:rPr>
      </w:pPr>
      <w:r w:rsidRPr="002D31A9">
        <w:rPr>
          <w:rStyle w:val="FootnoteReference"/>
          <w:szCs w:val="18"/>
        </w:rPr>
        <w:footnoteRef/>
      </w:r>
      <w:r w:rsidRPr="00633737">
        <w:rPr>
          <w:szCs w:val="18"/>
        </w:rPr>
        <w:t xml:space="preserve"> T0161, </w:t>
      </w:r>
      <w:r>
        <w:rPr>
          <w:szCs w:val="18"/>
        </w:rPr>
        <w:t>T0445</w:t>
      </w:r>
      <w:r w:rsidRPr="00633737">
        <w:rPr>
          <w:szCs w:val="18"/>
        </w:rPr>
        <w:t xml:space="preserve">, </w:t>
      </w:r>
      <w:r>
        <w:rPr>
          <w:szCs w:val="18"/>
        </w:rPr>
        <w:t>T0116</w:t>
      </w:r>
      <w:r w:rsidRPr="00633737">
        <w:rPr>
          <w:szCs w:val="18"/>
        </w:rPr>
        <w:t xml:space="preserve">, </w:t>
      </w:r>
      <w:r>
        <w:rPr>
          <w:szCs w:val="18"/>
        </w:rPr>
        <w:t>T0111</w:t>
      </w:r>
      <w:r w:rsidRPr="00633737">
        <w:rPr>
          <w:szCs w:val="18"/>
        </w:rPr>
        <w:t xml:space="preserve">, </w:t>
      </w:r>
      <w:r>
        <w:rPr>
          <w:szCs w:val="18"/>
        </w:rPr>
        <w:t>T0422</w:t>
      </w:r>
      <w:r w:rsidRPr="00633737">
        <w:rPr>
          <w:szCs w:val="18"/>
        </w:rPr>
        <w:t xml:space="preserve">, </w:t>
      </w:r>
      <w:r>
        <w:rPr>
          <w:szCs w:val="18"/>
        </w:rPr>
        <w:t>T0339</w:t>
      </w:r>
      <w:r w:rsidRPr="00633737">
        <w:rPr>
          <w:szCs w:val="18"/>
        </w:rPr>
        <w:t xml:space="preserve">, </w:t>
      </w:r>
      <w:r>
        <w:rPr>
          <w:szCs w:val="18"/>
        </w:rPr>
        <w:t>T0039</w:t>
      </w:r>
      <w:r w:rsidRPr="00633737">
        <w:rPr>
          <w:szCs w:val="18"/>
        </w:rPr>
        <w:t xml:space="preserve">, </w:t>
      </w:r>
      <w:r>
        <w:rPr>
          <w:szCs w:val="18"/>
        </w:rPr>
        <w:t>T0034</w:t>
      </w:r>
      <w:r w:rsidRPr="00633737">
        <w:rPr>
          <w:szCs w:val="18"/>
        </w:rPr>
        <w:t>.</w:t>
      </w:r>
    </w:p>
  </w:footnote>
  <w:footnote w:id="55">
    <w:p w14:paraId="151E6B0A" w14:textId="24614CAF" w:rsidR="004E119B" w:rsidRPr="006956C5" w:rsidRDefault="004E119B" w:rsidP="00AF09A8">
      <w:pPr>
        <w:pStyle w:val="FootnoteText"/>
        <w:ind w:left="1138" w:right="1138" w:hanging="228"/>
        <w:jc w:val="left"/>
        <w:rPr>
          <w:szCs w:val="18"/>
        </w:rPr>
      </w:pPr>
      <w:r w:rsidRPr="002D31A9">
        <w:rPr>
          <w:rStyle w:val="FootnoteReference"/>
          <w:szCs w:val="18"/>
        </w:rPr>
        <w:footnoteRef/>
      </w:r>
      <w:r w:rsidRPr="006956C5">
        <w:rPr>
          <w:szCs w:val="18"/>
        </w:rPr>
        <w:t xml:space="preserve"> T0422.</w:t>
      </w:r>
    </w:p>
  </w:footnote>
  <w:footnote w:id="56">
    <w:p w14:paraId="4AFD20B8" w14:textId="2E925714" w:rsidR="004E119B" w:rsidRPr="00633737" w:rsidRDefault="004E119B" w:rsidP="00AF09A8">
      <w:pPr>
        <w:pStyle w:val="FootnoteText"/>
        <w:ind w:left="1138" w:right="1138" w:hanging="228"/>
        <w:jc w:val="left"/>
        <w:rPr>
          <w:szCs w:val="18"/>
        </w:rPr>
      </w:pPr>
      <w:r w:rsidRPr="002D31A9">
        <w:rPr>
          <w:rStyle w:val="FootnoteReference"/>
          <w:szCs w:val="18"/>
        </w:rPr>
        <w:footnoteRef/>
      </w:r>
      <w:r w:rsidRPr="00633737">
        <w:rPr>
          <w:szCs w:val="18"/>
        </w:rPr>
        <w:t xml:space="preserve"> T0375, T0437, </w:t>
      </w:r>
      <w:r>
        <w:rPr>
          <w:szCs w:val="18"/>
        </w:rPr>
        <w:t>T0329</w:t>
      </w:r>
      <w:r w:rsidRPr="00633737">
        <w:rPr>
          <w:szCs w:val="18"/>
        </w:rPr>
        <w:t xml:space="preserve">, </w:t>
      </w:r>
      <w:r>
        <w:rPr>
          <w:szCs w:val="18"/>
        </w:rPr>
        <w:t>T0202</w:t>
      </w:r>
      <w:r w:rsidRPr="00633737">
        <w:rPr>
          <w:szCs w:val="18"/>
        </w:rPr>
        <w:t xml:space="preserve">, </w:t>
      </w:r>
      <w:r>
        <w:rPr>
          <w:szCs w:val="18"/>
        </w:rPr>
        <w:t>T0111</w:t>
      </w:r>
      <w:r w:rsidRPr="00633737">
        <w:rPr>
          <w:szCs w:val="18"/>
        </w:rPr>
        <w:t xml:space="preserve">, </w:t>
      </w:r>
      <w:r>
        <w:rPr>
          <w:szCs w:val="18"/>
        </w:rPr>
        <w:t>T0025</w:t>
      </w:r>
      <w:r w:rsidRPr="00633737">
        <w:rPr>
          <w:szCs w:val="18"/>
        </w:rPr>
        <w:t xml:space="preserve">, </w:t>
      </w:r>
      <w:r>
        <w:rPr>
          <w:szCs w:val="18"/>
        </w:rPr>
        <w:t>T0333</w:t>
      </w:r>
      <w:r w:rsidRPr="00633737">
        <w:rPr>
          <w:szCs w:val="18"/>
        </w:rPr>
        <w:t xml:space="preserve">, </w:t>
      </w:r>
      <w:r>
        <w:rPr>
          <w:szCs w:val="18"/>
        </w:rPr>
        <w:t>T0401</w:t>
      </w:r>
      <w:r w:rsidRPr="00633737">
        <w:rPr>
          <w:szCs w:val="18"/>
        </w:rPr>
        <w:t xml:space="preserve">, </w:t>
      </w:r>
      <w:r>
        <w:rPr>
          <w:szCs w:val="18"/>
        </w:rPr>
        <w:t>T0382</w:t>
      </w:r>
      <w:r w:rsidRPr="00633737">
        <w:rPr>
          <w:szCs w:val="18"/>
        </w:rPr>
        <w:t xml:space="preserve">, </w:t>
      </w:r>
      <w:r>
        <w:rPr>
          <w:szCs w:val="18"/>
        </w:rPr>
        <w:t>T0276,</w:t>
      </w:r>
      <w:r w:rsidRPr="00633737">
        <w:rPr>
          <w:szCs w:val="18"/>
        </w:rPr>
        <w:t xml:space="preserve"> </w:t>
      </w:r>
      <w:r>
        <w:rPr>
          <w:szCs w:val="18"/>
        </w:rPr>
        <w:t>T0077,</w:t>
      </w:r>
      <w:r w:rsidRPr="00633737">
        <w:rPr>
          <w:szCs w:val="18"/>
        </w:rPr>
        <w:t xml:space="preserve"> T0014.</w:t>
      </w:r>
    </w:p>
  </w:footnote>
  <w:footnote w:id="57">
    <w:p w14:paraId="6BDD149F" w14:textId="406D1CCA" w:rsidR="004E119B" w:rsidRPr="00633737" w:rsidRDefault="004E119B" w:rsidP="00AF09A8">
      <w:pPr>
        <w:pStyle w:val="FootnoteText"/>
        <w:ind w:left="1138" w:right="1138" w:hanging="228"/>
        <w:jc w:val="left"/>
        <w:rPr>
          <w:szCs w:val="18"/>
        </w:rPr>
      </w:pPr>
      <w:r w:rsidRPr="002D31A9">
        <w:rPr>
          <w:rStyle w:val="FootnoteReference"/>
          <w:szCs w:val="18"/>
        </w:rPr>
        <w:footnoteRef/>
      </w:r>
      <w:r w:rsidRPr="00633737">
        <w:rPr>
          <w:szCs w:val="18"/>
        </w:rPr>
        <w:t xml:space="preserve"> </w:t>
      </w:r>
      <w:r>
        <w:rPr>
          <w:noProof/>
          <w:szCs w:val="18"/>
        </w:rPr>
        <w:t>T0025</w:t>
      </w:r>
      <w:r w:rsidRPr="00633737">
        <w:rPr>
          <w:noProof/>
          <w:szCs w:val="18"/>
        </w:rPr>
        <w:t xml:space="preserve">, </w:t>
      </w:r>
      <w:r>
        <w:rPr>
          <w:noProof/>
          <w:szCs w:val="18"/>
        </w:rPr>
        <w:t>T0252</w:t>
      </w:r>
      <w:r w:rsidRPr="00633737">
        <w:rPr>
          <w:noProof/>
          <w:szCs w:val="18"/>
        </w:rPr>
        <w:t xml:space="preserve">, </w:t>
      </w:r>
      <w:r>
        <w:rPr>
          <w:noProof/>
          <w:szCs w:val="18"/>
        </w:rPr>
        <w:t>T0445</w:t>
      </w:r>
      <w:r w:rsidRPr="00633737">
        <w:rPr>
          <w:noProof/>
          <w:szCs w:val="18"/>
        </w:rPr>
        <w:t xml:space="preserve">, </w:t>
      </w:r>
      <w:r>
        <w:rPr>
          <w:noProof/>
          <w:szCs w:val="18"/>
        </w:rPr>
        <w:t>T0034</w:t>
      </w:r>
      <w:r w:rsidRPr="00633737">
        <w:rPr>
          <w:noProof/>
          <w:szCs w:val="18"/>
        </w:rPr>
        <w:t xml:space="preserve">, T0250, T0416, </w:t>
      </w:r>
      <w:r>
        <w:rPr>
          <w:noProof/>
          <w:szCs w:val="18"/>
        </w:rPr>
        <w:t>T0404</w:t>
      </w:r>
      <w:r w:rsidRPr="00633737">
        <w:rPr>
          <w:noProof/>
          <w:szCs w:val="18"/>
        </w:rPr>
        <w:t xml:space="preserve">, </w:t>
      </w:r>
      <w:r>
        <w:rPr>
          <w:noProof/>
          <w:szCs w:val="18"/>
        </w:rPr>
        <w:t>T0111</w:t>
      </w:r>
      <w:r w:rsidRPr="00633737">
        <w:rPr>
          <w:noProof/>
          <w:szCs w:val="18"/>
        </w:rPr>
        <w:t xml:space="preserve">, </w:t>
      </w:r>
      <w:r>
        <w:rPr>
          <w:noProof/>
          <w:szCs w:val="18"/>
        </w:rPr>
        <w:t>T0253</w:t>
      </w:r>
      <w:r w:rsidRPr="00633737">
        <w:rPr>
          <w:noProof/>
          <w:szCs w:val="18"/>
        </w:rPr>
        <w:t xml:space="preserve">, </w:t>
      </w:r>
      <w:r>
        <w:rPr>
          <w:noProof/>
          <w:szCs w:val="18"/>
        </w:rPr>
        <w:t>T0339</w:t>
      </w:r>
      <w:r w:rsidRPr="00633737">
        <w:rPr>
          <w:noProof/>
          <w:szCs w:val="18"/>
        </w:rPr>
        <w:t xml:space="preserve">, </w:t>
      </w:r>
      <w:r>
        <w:rPr>
          <w:noProof/>
          <w:szCs w:val="18"/>
        </w:rPr>
        <w:t>T0202</w:t>
      </w:r>
      <w:r w:rsidRPr="00633737">
        <w:rPr>
          <w:noProof/>
          <w:szCs w:val="18"/>
        </w:rPr>
        <w:t xml:space="preserve">, </w:t>
      </w:r>
      <w:r>
        <w:rPr>
          <w:noProof/>
          <w:szCs w:val="18"/>
        </w:rPr>
        <w:t>T0289</w:t>
      </w:r>
      <w:r w:rsidRPr="00633737">
        <w:rPr>
          <w:noProof/>
          <w:szCs w:val="18"/>
        </w:rPr>
        <w:t xml:space="preserve">, </w:t>
      </w:r>
      <w:r>
        <w:rPr>
          <w:noProof/>
          <w:szCs w:val="18"/>
        </w:rPr>
        <w:t>T0039</w:t>
      </w:r>
      <w:r w:rsidRPr="00633737">
        <w:rPr>
          <w:noProof/>
          <w:szCs w:val="18"/>
        </w:rPr>
        <w:t>.</w:t>
      </w:r>
    </w:p>
  </w:footnote>
  <w:footnote w:id="58">
    <w:p w14:paraId="77512567" w14:textId="5ECF3B6F" w:rsidR="004E119B" w:rsidRPr="00CB2CDD" w:rsidRDefault="004E119B" w:rsidP="00AF09A8">
      <w:pPr>
        <w:spacing w:line="220" w:lineRule="exact"/>
        <w:ind w:left="1138" w:right="1138" w:hanging="228"/>
        <w:rPr>
          <w:sz w:val="18"/>
          <w:szCs w:val="18"/>
        </w:rPr>
      </w:pPr>
      <w:r w:rsidRPr="002D31A9">
        <w:rPr>
          <w:rStyle w:val="FootnoteReference"/>
          <w:szCs w:val="18"/>
        </w:rPr>
        <w:footnoteRef/>
      </w:r>
      <w:r w:rsidRPr="002D31A9">
        <w:rPr>
          <w:sz w:val="18"/>
          <w:szCs w:val="18"/>
        </w:rPr>
        <w:t xml:space="preserve"> </w:t>
      </w:r>
      <w:r>
        <w:rPr>
          <w:sz w:val="18"/>
          <w:szCs w:val="18"/>
        </w:rPr>
        <w:t>T0232</w:t>
      </w:r>
      <w:r w:rsidRPr="002D31A9">
        <w:rPr>
          <w:sz w:val="18"/>
          <w:szCs w:val="18"/>
        </w:rPr>
        <w:t xml:space="preserve">, </w:t>
      </w:r>
      <w:r>
        <w:rPr>
          <w:sz w:val="18"/>
          <w:szCs w:val="18"/>
        </w:rPr>
        <w:t>T0014</w:t>
      </w:r>
      <w:r w:rsidRPr="002D31A9">
        <w:rPr>
          <w:sz w:val="18"/>
          <w:szCs w:val="18"/>
        </w:rPr>
        <w:t xml:space="preserve">, </w:t>
      </w:r>
      <w:r>
        <w:rPr>
          <w:sz w:val="18"/>
          <w:szCs w:val="18"/>
        </w:rPr>
        <w:t>T0048</w:t>
      </w:r>
      <w:r w:rsidRPr="002D31A9">
        <w:rPr>
          <w:sz w:val="18"/>
          <w:szCs w:val="18"/>
        </w:rPr>
        <w:t xml:space="preserve">, </w:t>
      </w:r>
      <w:r>
        <w:rPr>
          <w:sz w:val="18"/>
          <w:szCs w:val="18"/>
        </w:rPr>
        <w:t>T0161</w:t>
      </w:r>
      <w:r w:rsidRPr="002D31A9">
        <w:rPr>
          <w:sz w:val="18"/>
          <w:szCs w:val="18"/>
        </w:rPr>
        <w:t xml:space="preserve">, </w:t>
      </w:r>
      <w:r>
        <w:rPr>
          <w:sz w:val="18"/>
          <w:szCs w:val="18"/>
        </w:rPr>
        <w:t>T0025</w:t>
      </w:r>
      <w:r w:rsidRPr="002D31A9">
        <w:rPr>
          <w:sz w:val="18"/>
          <w:szCs w:val="18"/>
        </w:rPr>
        <w:t>, BCNUDH de la MONUSCO, Rapport de mission d’enquête spéciale du 25 août au 1</w:t>
      </w:r>
      <w:r w:rsidRPr="000C0568">
        <w:rPr>
          <w:sz w:val="18"/>
          <w:szCs w:val="18"/>
          <w:vertAlign w:val="superscript"/>
        </w:rPr>
        <w:t>er</w:t>
      </w:r>
      <w:r w:rsidRPr="002D31A9">
        <w:rPr>
          <w:sz w:val="18"/>
          <w:szCs w:val="18"/>
        </w:rPr>
        <w:t xml:space="preserve"> septembre 2017, Violations graves des droits de l’homme perpétrées par les membres du groupe d’autodéfense Bana Mura, les militaires des FARDC et les miliciens de Kamuina Nsapu dans le territoire de Kamonia, province du Kasaï, en avril 2017, octobre 2017</w:t>
      </w:r>
      <w:r w:rsidRPr="00CB2CDD">
        <w:rPr>
          <w:sz w:val="18"/>
          <w:szCs w:val="18"/>
        </w:rPr>
        <w:t xml:space="preserve">. Voir aussi </w:t>
      </w:r>
      <w:r w:rsidRPr="002D31A9">
        <w:rPr>
          <w:sz w:val="18"/>
          <w:szCs w:val="18"/>
        </w:rPr>
        <w:t>FIDH, Rapport d’enquête, Massacres au Kasaï : des crimes contre l’humanité au service d’un chaos organisé République démocratique du Congo, décembre 2017</w:t>
      </w:r>
      <w:r w:rsidRPr="00CB2CDD">
        <w:rPr>
          <w:sz w:val="18"/>
          <w:szCs w:val="18"/>
        </w:rPr>
        <w:t xml:space="preserve">. </w:t>
      </w:r>
    </w:p>
  </w:footnote>
  <w:footnote w:id="59">
    <w:p w14:paraId="74D6C78B" w14:textId="49D82C64" w:rsidR="004E119B" w:rsidRPr="00633737" w:rsidRDefault="004E119B" w:rsidP="00AF09A8">
      <w:pPr>
        <w:pStyle w:val="FootnoteText"/>
        <w:tabs>
          <w:tab w:val="right" w:pos="1080"/>
        </w:tabs>
        <w:ind w:left="1138" w:right="1138" w:hanging="228"/>
        <w:contextualSpacing/>
        <w:jc w:val="left"/>
        <w:rPr>
          <w:szCs w:val="18"/>
        </w:rPr>
      </w:pPr>
      <w:r w:rsidRPr="002D31A9">
        <w:rPr>
          <w:rStyle w:val="FootnoteReference"/>
          <w:szCs w:val="18"/>
        </w:rPr>
        <w:footnoteRef/>
      </w:r>
      <w:r w:rsidRPr="00633737">
        <w:rPr>
          <w:szCs w:val="18"/>
        </w:rPr>
        <w:t xml:space="preserve"> </w:t>
      </w:r>
      <w:r>
        <w:rPr>
          <w:szCs w:val="18"/>
        </w:rPr>
        <w:t>T0111</w:t>
      </w:r>
      <w:r w:rsidRPr="00633737">
        <w:rPr>
          <w:szCs w:val="18"/>
        </w:rPr>
        <w:t>,</w:t>
      </w:r>
      <w:r w:rsidRPr="00633737">
        <w:rPr>
          <w:szCs w:val="18"/>
          <w:lang w:eastAsia="fr-FR"/>
        </w:rPr>
        <w:t xml:space="preserve"> </w:t>
      </w:r>
      <w:r>
        <w:rPr>
          <w:szCs w:val="18"/>
        </w:rPr>
        <w:t>T0445</w:t>
      </w:r>
      <w:r w:rsidRPr="00633737">
        <w:rPr>
          <w:szCs w:val="18"/>
        </w:rPr>
        <w:t xml:space="preserve">, </w:t>
      </w:r>
      <w:r>
        <w:rPr>
          <w:szCs w:val="18"/>
        </w:rPr>
        <w:t>T0232</w:t>
      </w:r>
      <w:r w:rsidRPr="00633737">
        <w:rPr>
          <w:szCs w:val="18"/>
        </w:rPr>
        <w:t>,</w:t>
      </w:r>
      <w:r w:rsidRPr="00633737">
        <w:rPr>
          <w:szCs w:val="18"/>
          <w:lang w:eastAsia="fr-FR"/>
        </w:rPr>
        <w:t xml:space="preserve"> </w:t>
      </w:r>
      <w:r>
        <w:rPr>
          <w:szCs w:val="18"/>
          <w:lang w:eastAsia="fr-FR"/>
        </w:rPr>
        <w:t>T0048</w:t>
      </w:r>
      <w:r w:rsidRPr="00633737">
        <w:rPr>
          <w:szCs w:val="18"/>
          <w:lang w:eastAsia="fr-FR"/>
        </w:rPr>
        <w:t xml:space="preserve">, T0161, </w:t>
      </w:r>
      <w:r>
        <w:rPr>
          <w:szCs w:val="18"/>
          <w:lang w:eastAsia="fr-FR"/>
        </w:rPr>
        <w:t>T0116</w:t>
      </w:r>
      <w:r w:rsidRPr="00633737">
        <w:rPr>
          <w:szCs w:val="18"/>
          <w:lang w:eastAsia="fr-FR"/>
        </w:rPr>
        <w:t>.</w:t>
      </w:r>
    </w:p>
  </w:footnote>
  <w:footnote w:id="60">
    <w:p w14:paraId="6EB21954" w14:textId="4FA730F4" w:rsidR="004E119B" w:rsidRPr="002D31A9" w:rsidRDefault="004E119B" w:rsidP="00AF09A8">
      <w:pPr>
        <w:spacing w:line="220" w:lineRule="exact"/>
        <w:ind w:left="1138" w:right="1138" w:hanging="228"/>
        <w:rPr>
          <w:sz w:val="18"/>
          <w:szCs w:val="18"/>
        </w:rPr>
      </w:pPr>
      <w:r w:rsidRPr="002D31A9">
        <w:rPr>
          <w:rStyle w:val="FootnoteReference"/>
          <w:szCs w:val="18"/>
        </w:rPr>
        <w:footnoteRef/>
      </w:r>
      <w:r w:rsidRPr="00CB2CDD">
        <w:rPr>
          <w:sz w:val="18"/>
          <w:szCs w:val="18"/>
        </w:rPr>
        <w:t xml:space="preserve"> </w:t>
      </w:r>
      <w:r>
        <w:rPr>
          <w:sz w:val="18"/>
          <w:szCs w:val="18"/>
        </w:rPr>
        <w:t>T0252</w:t>
      </w:r>
      <w:r w:rsidRPr="00CB2CDD">
        <w:rPr>
          <w:sz w:val="18"/>
          <w:szCs w:val="18"/>
        </w:rPr>
        <w:t xml:space="preserve">, </w:t>
      </w:r>
      <w:r>
        <w:rPr>
          <w:sz w:val="18"/>
          <w:szCs w:val="18"/>
        </w:rPr>
        <w:t>T0161</w:t>
      </w:r>
      <w:r w:rsidRPr="00CB2CDD">
        <w:rPr>
          <w:sz w:val="18"/>
          <w:szCs w:val="18"/>
        </w:rPr>
        <w:t xml:space="preserve">, </w:t>
      </w:r>
      <w:r>
        <w:rPr>
          <w:sz w:val="18"/>
          <w:szCs w:val="18"/>
        </w:rPr>
        <w:t>T0048</w:t>
      </w:r>
      <w:r w:rsidRPr="00CB2CDD">
        <w:rPr>
          <w:sz w:val="18"/>
          <w:szCs w:val="18"/>
        </w:rPr>
        <w:t xml:space="preserve">, </w:t>
      </w:r>
      <w:r>
        <w:rPr>
          <w:sz w:val="18"/>
          <w:szCs w:val="18"/>
        </w:rPr>
        <w:t>T0445.</w:t>
      </w:r>
      <w:r w:rsidRPr="00CB2CDD">
        <w:rPr>
          <w:sz w:val="18"/>
          <w:szCs w:val="18"/>
        </w:rPr>
        <w:t xml:space="preserve"> Voir aussi </w:t>
      </w:r>
      <w:r w:rsidRPr="002D31A9">
        <w:rPr>
          <w:sz w:val="18"/>
          <w:szCs w:val="18"/>
        </w:rPr>
        <w:t>BCNUDH de la MONUSCO, Rapport de mission d’enquête spéciale du 25 août au 1</w:t>
      </w:r>
      <w:r w:rsidRPr="000C0568">
        <w:rPr>
          <w:sz w:val="18"/>
          <w:szCs w:val="18"/>
          <w:vertAlign w:val="superscript"/>
        </w:rPr>
        <w:t>er</w:t>
      </w:r>
      <w:r w:rsidRPr="002D31A9">
        <w:rPr>
          <w:sz w:val="18"/>
          <w:szCs w:val="18"/>
        </w:rPr>
        <w:t xml:space="preserve"> septembre 2017</w:t>
      </w:r>
      <w:r w:rsidRPr="00840539">
        <w:rPr>
          <w:sz w:val="18"/>
          <w:szCs w:val="18"/>
        </w:rPr>
        <w:t>, Violations graves des droits de l’homme perpétrées par les membres du groupe d’autodéfense Bana Mura, les militaires des FARDC et les miliciens de Kamuina Nsapu dans le territoire de Kamonia, province du K</w:t>
      </w:r>
      <w:r w:rsidRPr="006E341A">
        <w:rPr>
          <w:sz w:val="18"/>
          <w:szCs w:val="18"/>
        </w:rPr>
        <w:t>asaï, en avril 2017, octobre 2017</w:t>
      </w:r>
      <w:r w:rsidRPr="00CB2CDD">
        <w:rPr>
          <w:sz w:val="18"/>
          <w:szCs w:val="18"/>
        </w:rPr>
        <w:t xml:space="preserve">. </w:t>
      </w:r>
      <w:r w:rsidRPr="002D31A9">
        <w:rPr>
          <w:sz w:val="18"/>
          <w:szCs w:val="18"/>
        </w:rPr>
        <w:t>Voir aussi FIDH, Rapport d’enquête, Massacres au Kasaï : des crimes contre l’humanité au service d’un chaos organisé République démocratique du Congo, décembre 2017.</w:t>
      </w:r>
    </w:p>
  </w:footnote>
  <w:footnote w:id="61">
    <w:p w14:paraId="418292D8" w14:textId="59AAC7A7" w:rsidR="004E119B" w:rsidRPr="002D31A9" w:rsidRDefault="004E119B" w:rsidP="00AF09A8">
      <w:pPr>
        <w:spacing w:line="220" w:lineRule="exact"/>
        <w:ind w:left="1138" w:right="1138" w:hanging="228"/>
        <w:rPr>
          <w:sz w:val="18"/>
          <w:szCs w:val="18"/>
        </w:rPr>
      </w:pPr>
      <w:r w:rsidRPr="002D31A9">
        <w:rPr>
          <w:rStyle w:val="FootnoteReference"/>
          <w:szCs w:val="18"/>
        </w:rPr>
        <w:footnoteRef/>
      </w:r>
      <w:r w:rsidRPr="002D31A9">
        <w:rPr>
          <w:sz w:val="18"/>
          <w:szCs w:val="18"/>
        </w:rPr>
        <w:t xml:space="preserve"> </w:t>
      </w:r>
      <w:r>
        <w:rPr>
          <w:sz w:val="18"/>
          <w:szCs w:val="18"/>
        </w:rPr>
        <w:t>T0252,</w:t>
      </w:r>
      <w:r w:rsidRPr="002D31A9">
        <w:rPr>
          <w:sz w:val="18"/>
          <w:szCs w:val="18"/>
        </w:rPr>
        <w:t xml:space="preserve"> </w:t>
      </w:r>
      <w:r>
        <w:rPr>
          <w:sz w:val="18"/>
          <w:szCs w:val="18"/>
        </w:rPr>
        <w:t>T0193,</w:t>
      </w:r>
      <w:r w:rsidRPr="002D31A9">
        <w:rPr>
          <w:sz w:val="18"/>
          <w:szCs w:val="18"/>
        </w:rPr>
        <w:t xml:space="preserve"> FIDH, Rapport d’enquête, Massacres au Kasaï : des crimes contre l’humanité au service d’un chaos organisé République démocratique du Congo, décembre 2017</w:t>
      </w:r>
      <w:r>
        <w:rPr>
          <w:sz w:val="18"/>
          <w:szCs w:val="18"/>
        </w:rPr>
        <w:t>. Voir aussi</w:t>
      </w:r>
      <w:r w:rsidRPr="002D31A9">
        <w:rPr>
          <w:sz w:val="18"/>
          <w:szCs w:val="18"/>
        </w:rPr>
        <w:t xml:space="preserve"> BCNUDH de la MONUSCO, Rapport de mission d’enquête spéciale du 25 août au 1</w:t>
      </w:r>
      <w:r w:rsidRPr="000C0568">
        <w:rPr>
          <w:sz w:val="18"/>
          <w:szCs w:val="18"/>
          <w:vertAlign w:val="superscript"/>
        </w:rPr>
        <w:t>er</w:t>
      </w:r>
      <w:r w:rsidRPr="002D31A9">
        <w:rPr>
          <w:sz w:val="18"/>
          <w:szCs w:val="18"/>
        </w:rPr>
        <w:t xml:space="preserve"> septembre 2017, Violations graves des droits de l’homme perpétrées par les membres du groupe d’autodéfense Bana Mura, les militaires des FARDC et les miliciens de Kamuina Nsapu dans le territoire de Kamonia, province du Kasaï, en avril 2017, octobre 2017. </w:t>
      </w:r>
    </w:p>
  </w:footnote>
  <w:footnote w:id="62">
    <w:p w14:paraId="6BA46835" w14:textId="0D601DAD" w:rsidR="004E119B" w:rsidRPr="002D31A9" w:rsidRDefault="004E119B" w:rsidP="00AF09A8">
      <w:pPr>
        <w:tabs>
          <w:tab w:val="right" w:pos="0"/>
        </w:tabs>
        <w:spacing w:line="220" w:lineRule="exact"/>
        <w:ind w:left="1138" w:right="1138" w:hanging="228"/>
        <w:rPr>
          <w:sz w:val="18"/>
          <w:szCs w:val="18"/>
        </w:rPr>
      </w:pPr>
      <w:r w:rsidRPr="002D31A9">
        <w:rPr>
          <w:rStyle w:val="FootnoteReference"/>
          <w:szCs w:val="18"/>
        </w:rPr>
        <w:footnoteRef/>
      </w:r>
      <w:r w:rsidRPr="002D31A9">
        <w:rPr>
          <w:sz w:val="18"/>
          <w:szCs w:val="18"/>
        </w:rPr>
        <w:t xml:space="preserve"> </w:t>
      </w:r>
      <w:r>
        <w:rPr>
          <w:sz w:val="18"/>
          <w:szCs w:val="18"/>
        </w:rPr>
        <w:t>T0097</w:t>
      </w:r>
      <w:r w:rsidRPr="002D31A9">
        <w:rPr>
          <w:sz w:val="18"/>
          <w:szCs w:val="18"/>
        </w:rPr>
        <w:t xml:space="preserve">, </w:t>
      </w:r>
      <w:r>
        <w:rPr>
          <w:sz w:val="18"/>
          <w:szCs w:val="18"/>
        </w:rPr>
        <w:t>T0252</w:t>
      </w:r>
      <w:r w:rsidRPr="002D31A9">
        <w:rPr>
          <w:sz w:val="18"/>
          <w:szCs w:val="18"/>
        </w:rPr>
        <w:t xml:space="preserve">. </w:t>
      </w:r>
    </w:p>
  </w:footnote>
  <w:footnote w:id="63">
    <w:p w14:paraId="3CB7A122" w14:textId="05EAED47" w:rsidR="004E119B" w:rsidRPr="002D31A9" w:rsidRDefault="004E119B" w:rsidP="00AF09A8">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T0275</w:t>
      </w:r>
      <w:r w:rsidRPr="002D31A9">
        <w:rPr>
          <w:szCs w:val="18"/>
        </w:rPr>
        <w:t xml:space="preserve">, </w:t>
      </w:r>
      <w:r>
        <w:rPr>
          <w:szCs w:val="18"/>
        </w:rPr>
        <w:t>T0253</w:t>
      </w:r>
      <w:r w:rsidRPr="002D31A9">
        <w:rPr>
          <w:szCs w:val="18"/>
        </w:rPr>
        <w:t xml:space="preserve">, </w:t>
      </w:r>
      <w:r>
        <w:rPr>
          <w:szCs w:val="18"/>
        </w:rPr>
        <w:t>T0154</w:t>
      </w:r>
      <w:r w:rsidRPr="002D31A9">
        <w:rPr>
          <w:szCs w:val="18"/>
        </w:rPr>
        <w:t>.</w:t>
      </w:r>
    </w:p>
  </w:footnote>
  <w:footnote w:id="64">
    <w:p w14:paraId="5D6EEF0B" w14:textId="6F8E69D4" w:rsidR="004E119B" w:rsidRPr="002D31A9" w:rsidRDefault="004E119B" w:rsidP="00AF09A8">
      <w:pPr>
        <w:spacing w:line="220" w:lineRule="exact"/>
        <w:ind w:left="1138" w:right="1138" w:hanging="228"/>
        <w:rPr>
          <w:sz w:val="18"/>
          <w:szCs w:val="18"/>
        </w:rPr>
      </w:pPr>
      <w:r w:rsidRPr="002D31A9">
        <w:rPr>
          <w:rStyle w:val="FootnoteReference"/>
          <w:szCs w:val="18"/>
        </w:rPr>
        <w:footnoteRef/>
      </w:r>
      <w:r w:rsidRPr="002D31A9">
        <w:rPr>
          <w:sz w:val="18"/>
          <w:szCs w:val="18"/>
        </w:rPr>
        <w:t xml:space="preserve"> </w:t>
      </w:r>
      <w:r>
        <w:rPr>
          <w:sz w:val="18"/>
          <w:szCs w:val="18"/>
        </w:rPr>
        <w:t>T0034</w:t>
      </w:r>
      <w:r w:rsidRPr="002D31A9">
        <w:rPr>
          <w:sz w:val="18"/>
          <w:szCs w:val="18"/>
        </w:rPr>
        <w:t xml:space="preserve">, </w:t>
      </w:r>
      <w:r>
        <w:rPr>
          <w:sz w:val="18"/>
          <w:szCs w:val="18"/>
        </w:rPr>
        <w:t>T0206</w:t>
      </w:r>
      <w:r w:rsidRPr="002D31A9">
        <w:rPr>
          <w:sz w:val="18"/>
          <w:szCs w:val="18"/>
        </w:rPr>
        <w:t xml:space="preserve">, </w:t>
      </w:r>
      <w:r>
        <w:rPr>
          <w:sz w:val="18"/>
          <w:szCs w:val="18"/>
        </w:rPr>
        <w:t>T0401</w:t>
      </w:r>
      <w:r w:rsidRPr="002D31A9">
        <w:rPr>
          <w:sz w:val="18"/>
          <w:szCs w:val="18"/>
        </w:rPr>
        <w:t xml:space="preserve"> ; </w:t>
      </w:r>
      <w:r w:rsidRPr="00630C66">
        <w:rPr>
          <w:sz w:val="18"/>
          <w:szCs w:val="18"/>
        </w:rPr>
        <w:t>FIDH, Rapport d’enquête, Massacres au Kasaï : des crimes contre l’humanité au service d’un chaos organisé République démocratique du Congo, décembre 2017</w:t>
      </w:r>
      <w:r w:rsidRPr="002D31A9">
        <w:rPr>
          <w:sz w:val="18"/>
          <w:szCs w:val="18"/>
        </w:rPr>
        <w:t>.</w:t>
      </w:r>
    </w:p>
  </w:footnote>
  <w:footnote w:id="65">
    <w:p w14:paraId="3062711E" w14:textId="0B03E1D1" w:rsidR="004E119B" w:rsidRPr="002D31A9" w:rsidRDefault="004E119B" w:rsidP="00AF09A8">
      <w:pPr>
        <w:pStyle w:val="FootnoteText"/>
        <w:ind w:left="1138" w:right="1138" w:hanging="228"/>
        <w:jc w:val="left"/>
        <w:rPr>
          <w:szCs w:val="18"/>
        </w:rPr>
      </w:pPr>
      <w:r w:rsidRPr="002D31A9">
        <w:rPr>
          <w:rStyle w:val="FootnoteReference"/>
          <w:szCs w:val="18"/>
        </w:rPr>
        <w:footnoteRef/>
      </w:r>
      <w:r w:rsidRPr="002D31A9">
        <w:rPr>
          <w:szCs w:val="18"/>
        </w:rPr>
        <w:t xml:space="preserve"> Document interne MONUSCO.  </w:t>
      </w:r>
    </w:p>
  </w:footnote>
  <w:footnote w:id="66">
    <w:p w14:paraId="1C87DB6F" w14:textId="03F73786" w:rsidR="004E119B" w:rsidRPr="002D31A9" w:rsidRDefault="004E119B" w:rsidP="00AF09A8">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w:t>
      </w:r>
      <w:r w:rsidRPr="00B50F59">
        <w:rPr>
          <w:szCs w:val="18"/>
        </w:rPr>
        <w:t xml:space="preserve">Voir la </w:t>
      </w:r>
      <w:r>
        <w:rPr>
          <w:szCs w:val="18"/>
        </w:rPr>
        <w:t>partie VIII.B. du présent rapport.</w:t>
      </w:r>
    </w:p>
  </w:footnote>
  <w:footnote w:id="67">
    <w:p w14:paraId="22F9EB65" w14:textId="0B7719A1" w:rsidR="004E119B" w:rsidRPr="00405F13" w:rsidRDefault="004E119B" w:rsidP="00AF09A8">
      <w:pPr>
        <w:pStyle w:val="FootnoteText"/>
        <w:ind w:left="1138" w:right="1138" w:hanging="228"/>
        <w:contextualSpacing/>
        <w:jc w:val="left"/>
        <w:rPr>
          <w:szCs w:val="18"/>
        </w:rPr>
      </w:pPr>
      <w:r w:rsidRPr="002D31A9">
        <w:rPr>
          <w:rStyle w:val="FootnoteReference"/>
          <w:szCs w:val="18"/>
        </w:rPr>
        <w:footnoteRef/>
      </w:r>
      <w:r w:rsidRPr="00405F13">
        <w:rPr>
          <w:szCs w:val="18"/>
        </w:rPr>
        <w:t xml:space="preserve"> T0417, </w:t>
      </w:r>
      <w:r>
        <w:rPr>
          <w:szCs w:val="18"/>
        </w:rPr>
        <w:t>T0331</w:t>
      </w:r>
      <w:r w:rsidRPr="00405F13">
        <w:rPr>
          <w:szCs w:val="18"/>
        </w:rPr>
        <w:t xml:space="preserve">. </w:t>
      </w:r>
    </w:p>
  </w:footnote>
  <w:footnote w:id="68">
    <w:p w14:paraId="68C852C3" w14:textId="0C4F267E" w:rsidR="004E119B" w:rsidRPr="00405F13" w:rsidRDefault="004E119B" w:rsidP="00AF09A8">
      <w:pPr>
        <w:pStyle w:val="FootnoteText"/>
        <w:ind w:left="1138" w:right="1138" w:hanging="228"/>
        <w:contextualSpacing/>
        <w:jc w:val="left"/>
        <w:rPr>
          <w:szCs w:val="18"/>
          <w:highlight w:val="yellow"/>
        </w:rPr>
      </w:pPr>
      <w:r w:rsidRPr="002D31A9">
        <w:rPr>
          <w:rStyle w:val="FootnoteReference"/>
          <w:szCs w:val="18"/>
        </w:rPr>
        <w:footnoteRef/>
      </w:r>
      <w:r w:rsidRPr="00405F13">
        <w:rPr>
          <w:szCs w:val="18"/>
        </w:rPr>
        <w:t xml:space="preserve"> T0417, </w:t>
      </w:r>
      <w:r>
        <w:rPr>
          <w:szCs w:val="18"/>
        </w:rPr>
        <w:t>T0121</w:t>
      </w:r>
      <w:r w:rsidRPr="00405F13">
        <w:rPr>
          <w:szCs w:val="18"/>
        </w:rPr>
        <w:t xml:space="preserve">, </w:t>
      </w:r>
      <w:r>
        <w:rPr>
          <w:szCs w:val="18"/>
        </w:rPr>
        <w:t>T0439</w:t>
      </w:r>
      <w:r w:rsidRPr="00405F13">
        <w:rPr>
          <w:szCs w:val="18"/>
        </w:rPr>
        <w:t xml:space="preserve">, T0417, </w:t>
      </w:r>
      <w:r>
        <w:rPr>
          <w:szCs w:val="18"/>
        </w:rPr>
        <w:t>T0121</w:t>
      </w:r>
      <w:r w:rsidRPr="00405F13">
        <w:rPr>
          <w:szCs w:val="18"/>
        </w:rPr>
        <w:t xml:space="preserve">, </w:t>
      </w:r>
      <w:r>
        <w:rPr>
          <w:szCs w:val="18"/>
        </w:rPr>
        <w:t>T0439</w:t>
      </w:r>
      <w:r w:rsidRPr="00405F13">
        <w:rPr>
          <w:szCs w:val="18"/>
        </w:rPr>
        <w:t xml:space="preserve">, </w:t>
      </w:r>
      <w:r>
        <w:rPr>
          <w:szCs w:val="18"/>
        </w:rPr>
        <w:t>T0017</w:t>
      </w:r>
      <w:r w:rsidRPr="00405F13">
        <w:rPr>
          <w:szCs w:val="18"/>
        </w:rPr>
        <w:t>.</w:t>
      </w:r>
    </w:p>
  </w:footnote>
  <w:footnote w:id="69">
    <w:p w14:paraId="681BF135" w14:textId="21B12931"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T0417</w:t>
      </w:r>
      <w:r w:rsidRPr="002D31A9">
        <w:rPr>
          <w:szCs w:val="18"/>
        </w:rPr>
        <w:t xml:space="preserve">, </w:t>
      </w:r>
      <w:r>
        <w:rPr>
          <w:szCs w:val="18"/>
        </w:rPr>
        <w:t>T0017</w:t>
      </w:r>
      <w:r w:rsidRPr="002D31A9">
        <w:rPr>
          <w:szCs w:val="18"/>
        </w:rPr>
        <w:t>.</w:t>
      </w:r>
    </w:p>
  </w:footnote>
  <w:footnote w:id="70">
    <w:p w14:paraId="13016D73" w14:textId="1A9B6027"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sidRPr="00B50F59">
        <w:rPr>
          <w:szCs w:val="18"/>
        </w:rPr>
        <w:t xml:space="preserve">Voir la </w:t>
      </w:r>
      <w:r>
        <w:rPr>
          <w:szCs w:val="18"/>
        </w:rPr>
        <w:t>partie VIII.B. du présent rapport.</w:t>
      </w:r>
    </w:p>
  </w:footnote>
  <w:footnote w:id="71">
    <w:p w14:paraId="38D09D89" w14:textId="060124B4" w:rsidR="004E119B" w:rsidRPr="002D31A9" w:rsidRDefault="004E119B" w:rsidP="00AF09A8">
      <w:pPr>
        <w:pStyle w:val="CommentText"/>
        <w:spacing w:line="220" w:lineRule="exact"/>
        <w:ind w:left="1138" w:right="1138" w:hanging="228"/>
        <w:contextualSpacing/>
        <w:rPr>
          <w:sz w:val="18"/>
          <w:szCs w:val="18"/>
          <w:lang w:val="fr-FR"/>
        </w:rPr>
      </w:pPr>
      <w:r w:rsidRPr="002D31A9">
        <w:rPr>
          <w:rStyle w:val="FootnoteReference"/>
          <w:szCs w:val="18"/>
        </w:rPr>
        <w:footnoteRef/>
      </w:r>
      <w:r w:rsidRPr="002D31A9">
        <w:rPr>
          <w:sz w:val="18"/>
          <w:szCs w:val="18"/>
          <w:lang w:val="fr-FR"/>
        </w:rPr>
        <w:t xml:space="preserve"> </w:t>
      </w:r>
      <w:r>
        <w:rPr>
          <w:sz w:val="18"/>
          <w:szCs w:val="18"/>
          <w:lang w:val="fr-FR"/>
        </w:rPr>
        <w:t>T0331</w:t>
      </w:r>
      <w:r w:rsidRPr="002D31A9">
        <w:rPr>
          <w:sz w:val="18"/>
          <w:szCs w:val="18"/>
          <w:lang w:val="fr-FR"/>
        </w:rPr>
        <w:t xml:space="preserve">. </w:t>
      </w:r>
    </w:p>
  </w:footnote>
  <w:footnote w:id="72">
    <w:p w14:paraId="3638528F" w14:textId="42EC539E"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T0017</w:t>
      </w:r>
      <w:r w:rsidRPr="002D31A9">
        <w:rPr>
          <w:szCs w:val="18"/>
        </w:rPr>
        <w:t>, document interne MONUSCO.</w:t>
      </w:r>
    </w:p>
  </w:footnote>
  <w:footnote w:id="73">
    <w:p w14:paraId="29C3FDDC" w14:textId="283C7DBF"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T0121</w:t>
      </w:r>
      <w:r w:rsidRPr="002D31A9">
        <w:rPr>
          <w:szCs w:val="18"/>
        </w:rPr>
        <w:t xml:space="preserve">. </w:t>
      </w:r>
    </w:p>
  </w:footnote>
  <w:footnote w:id="74">
    <w:p w14:paraId="5EEEA674" w14:textId="49507706"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Document interne MONUSCO. Voir aussi </w:t>
      </w:r>
      <w:r>
        <w:rPr>
          <w:szCs w:val="18"/>
        </w:rPr>
        <w:t>T0331</w:t>
      </w:r>
      <w:r w:rsidRPr="002D31A9">
        <w:rPr>
          <w:szCs w:val="18"/>
        </w:rPr>
        <w:t>.</w:t>
      </w:r>
    </w:p>
  </w:footnote>
  <w:footnote w:id="75">
    <w:p w14:paraId="04749F90" w14:textId="19283CB1" w:rsidR="004E119B" w:rsidRPr="00405F13" w:rsidRDefault="004E119B" w:rsidP="00AF09A8">
      <w:pPr>
        <w:pStyle w:val="FootnoteText"/>
        <w:tabs>
          <w:tab w:val="right" w:pos="1080"/>
        </w:tabs>
        <w:ind w:left="1138" w:right="1138" w:hanging="228"/>
        <w:contextualSpacing/>
        <w:jc w:val="left"/>
        <w:rPr>
          <w:szCs w:val="18"/>
        </w:rPr>
      </w:pPr>
      <w:r w:rsidRPr="002D31A9">
        <w:rPr>
          <w:rStyle w:val="FootnoteReference"/>
          <w:szCs w:val="18"/>
        </w:rPr>
        <w:footnoteRef/>
      </w:r>
      <w:r w:rsidRPr="00405F13">
        <w:rPr>
          <w:szCs w:val="18"/>
        </w:rPr>
        <w:t xml:space="preserve"> </w:t>
      </w:r>
      <w:r>
        <w:rPr>
          <w:szCs w:val="18"/>
        </w:rPr>
        <w:t>T0439</w:t>
      </w:r>
      <w:r w:rsidRPr="00405F13">
        <w:rPr>
          <w:szCs w:val="18"/>
        </w:rPr>
        <w:t xml:space="preserve">, </w:t>
      </w:r>
      <w:r>
        <w:rPr>
          <w:szCs w:val="18"/>
        </w:rPr>
        <w:t>T0121</w:t>
      </w:r>
      <w:r w:rsidRPr="00405F13">
        <w:rPr>
          <w:szCs w:val="18"/>
        </w:rPr>
        <w:t xml:space="preserve">, T0137, </w:t>
      </w:r>
      <w:r>
        <w:rPr>
          <w:szCs w:val="18"/>
        </w:rPr>
        <w:t>T0112</w:t>
      </w:r>
      <w:r w:rsidRPr="00405F13">
        <w:rPr>
          <w:szCs w:val="18"/>
        </w:rPr>
        <w:t>.</w:t>
      </w:r>
    </w:p>
  </w:footnote>
  <w:footnote w:id="76">
    <w:p w14:paraId="091A0E9D" w14:textId="56061D5A" w:rsidR="004E119B" w:rsidRPr="00405F13" w:rsidRDefault="004E119B" w:rsidP="00AF09A8">
      <w:pPr>
        <w:pStyle w:val="FootnoteText"/>
        <w:ind w:left="1138" w:right="1138" w:hanging="228"/>
        <w:contextualSpacing/>
        <w:jc w:val="left"/>
        <w:rPr>
          <w:szCs w:val="18"/>
        </w:rPr>
      </w:pPr>
      <w:r w:rsidRPr="002D31A9">
        <w:rPr>
          <w:rStyle w:val="FootnoteReference"/>
          <w:szCs w:val="18"/>
        </w:rPr>
        <w:footnoteRef/>
      </w:r>
      <w:r w:rsidRPr="00405F13">
        <w:rPr>
          <w:szCs w:val="18"/>
        </w:rPr>
        <w:t xml:space="preserve"> T0137, </w:t>
      </w:r>
      <w:r>
        <w:rPr>
          <w:szCs w:val="18"/>
        </w:rPr>
        <w:t>T0112</w:t>
      </w:r>
      <w:r w:rsidRPr="00405F13">
        <w:rPr>
          <w:szCs w:val="18"/>
        </w:rPr>
        <w:t xml:space="preserve">, </w:t>
      </w:r>
      <w:r>
        <w:rPr>
          <w:szCs w:val="18"/>
        </w:rPr>
        <w:t>T0188</w:t>
      </w:r>
      <w:r w:rsidRPr="00405F13">
        <w:rPr>
          <w:szCs w:val="18"/>
        </w:rPr>
        <w:t xml:space="preserve">, </w:t>
      </w:r>
      <w:r>
        <w:rPr>
          <w:szCs w:val="18"/>
        </w:rPr>
        <w:t>T0417</w:t>
      </w:r>
      <w:r w:rsidRPr="00405F13">
        <w:rPr>
          <w:szCs w:val="18"/>
        </w:rPr>
        <w:t>.</w:t>
      </w:r>
    </w:p>
  </w:footnote>
  <w:footnote w:id="77">
    <w:p w14:paraId="47AF5275" w14:textId="7FDD6664" w:rsidR="004E119B" w:rsidRPr="008946FE" w:rsidRDefault="004E119B" w:rsidP="00AF09A8">
      <w:pPr>
        <w:pStyle w:val="FootnoteText"/>
        <w:ind w:left="1138" w:right="1138" w:hanging="228"/>
        <w:contextualSpacing/>
        <w:jc w:val="left"/>
        <w:rPr>
          <w:szCs w:val="18"/>
        </w:rPr>
      </w:pPr>
      <w:r w:rsidRPr="002D31A9">
        <w:rPr>
          <w:rStyle w:val="FootnoteReference"/>
          <w:szCs w:val="18"/>
        </w:rPr>
        <w:footnoteRef/>
      </w:r>
      <w:r w:rsidRPr="008946FE">
        <w:rPr>
          <w:szCs w:val="18"/>
        </w:rPr>
        <w:t xml:space="preserve"> </w:t>
      </w:r>
      <w:r>
        <w:rPr>
          <w:szCs w:val="18"/>
        </w:rPr>
        <w:t>T0137</w:t>
      </w:r>
      <w:r w:rsidRPr="008946FE">
        <w:rPr>
          <w:szCs w:val="18"/>
        </w:rPr>
        <w:t>.</w:t>
      </w:r>
    </w:p>
  </w:footnote>
  <w:footnote w:id="78">
    <w:p w14:paraId="2BFB3FE7" w14:textId="463C9F65" w:rsidR="004E119B" w:rsidRPr="002D31A9" w:rsidRDefault="004E119B" w:rsidP="00AF09A8">
      <w:pPr>
        <w:pStyle w:val="FootnoteText"/>
        <w:tabs>
          <w:tab w:val="right" w:pos="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T0017,</w:t>
      </w:r>
      <w:r w:rsidRPr="002D31A9">
        <w:rPr>
          <w:szCs w:val="18"/>
        </w:rPr>
        <w:t xml:space="preserve"> document interne </w:t>
      </w:r>
      <w:r w:rsidRPr="000951A4">
        <w:rPr>
          <w:szCs w:val="18"/>
        </w:rPr>
        <w:t>MONUSCO</w:t>
      </w:r>
      <w:r>
        <w:rPr>
          <w:szCs w:val="18"/>
        </w:rPr>
        <w:t>,</w:t>
      </w:r>
      <w:r w:rsidRPr="00FE5E8D">
        <w:rPr>
          <w:szCs w:val="18"/>
        </w:rPr>
        <w:t xml:space="preserve"> </w:t>
      </w:r>
      <w:r w:rsidRPr="004837FC">
        <w:rPr>
          <w:szCs w:val="18"/>
        </w:rPr>
        <w:t>Commission Nationale des droits de l’homme (CNDH), Rapport sur la situation des droits de l’homme 2016 et activités de la coordination provinciales de la Commission Nationale des droits de l’homme – CNDH/Kasaï Central, décembre 2016.</w:t>
      </w:r>
    </w:p>
  </w:footnote>
  <w:footnote w:id="79">
    <w:p w14:paraId="60CF3BE3" w14:textId="1CD3D737" w:rsidR="004E119B" w:rsidRPr="002D31A9" w:rsidRDefault="004E119B" w:rsidP="00AF09A8">
      <w:pPr>
        <w:spacing w:line="220" w:lineRule="exact"/>
        <w:ind w:left="1138" w:right="1138" w:hanging="228"/>
        <w:contextualSpacing/>
        <w:rPr>
          <w:sz w:val="18"/>
          <w:szCs w:val="18"/>
        </w:rPr>
      </w:pPr>
      <w:r w:rsidRPr="002D31A9">
        <w:rPr>
          <w:sz w:val="18"/>
          <w:szCs w:val="18"/>
          <w:vertAlign w:val="superscript"/>
        </w:rPr>
        <w:footnoteRef/>
      </w:r>
      <w:r w:rsidRPr="002D31A9">
        <w:rPr>
          <w:sz w:val="18"/>
          <w:szCs w:val="18"/>
          <w:vertAlign w:val="superscript"/>
        </w:rPr>
        <w:t xml:space="preserve"> </w:t>
      </w:r>
      <w:r w:rsidRPr="002D31A9">
        <w:rPr>
          <w:sz w:val="18"/>
          <w:szCs w:val="18"/>
        </w:rPr>
        <w:t xml:space="preserve">Voir par exemple </w:t>
      </w:r>
      <w:r>
        <w:rPr>
          <w:sz w:val="18"/>
          <w:szCs w:val="18"/>
        </w:rPr>
        <w:t>T0112</w:t>
      </w:r>
      <w:r w:rsidRPr="002D31A9">
        <w:rPr>
          <w:sz w:val="18"/>
          <w:szCs w:val="18"/>
        </w:rPr>
        <w:t>.</w:t>
      </w:r>
      <w:r w:rsidRPr="002D31A9">
        <w:rPr>
          <w:sz w:val="18"/>
          <w:szCs w:val="18"/>
          <w:vertAlign w:val="superscript"/>
        </w:rPr>
        <w:t xml:space="preserve"> </w:t>
      </w:r>
    </w:p>
  </w:footnote>
  <w:footnote w:id="80">
    <w:p w14:paraId="09394B6F" w14:textId="0D7B7EA5"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T0188,</w:t>
      </w:r>
      <w:r w:rsidRPr="002D31A9">
        <w:rPr>
          <w:szCs w:val="18"/>
        </w:rPr>
        <w:t xml:space="preserve"> </w:t>
      </w:r>
      <w:r>
        <w:rPr>
          <w:szCs w:val="18"/>
        </w:rPr>
        <w:t>T0137,</w:t>
      </w:r>
      <w:r w:rsidRPr="002D31A9">
        <w:rPr>
          <w:szCs w:val="18"/>
        </w:rPr>
        <w:t xml:space="preserve"> </w:t>
      </w:r>
      <w:r>
        <w:rPr>
          <w:szCs w:val="18"/>
        </w:rPr>
        <w:t>T0112</w:t>
      </w:r>
      <w:r w:rsidRPr="002D31A9">
        <w:rPr>
          <w:szCs w:val="18"/>
        </w:rPr>
        <w:t>.</w:t>
      </w:r>
    </w:p>
  </w:footnote>
  <w:footnote w:id="81">
    <w:p w14:paraId="760F9E3D" w14:textId="3631AE21" w:rsidR="004E119B" w:rsidRPr="002D31A9" w:rsidRDefault="004E119B" w:rsidP="00AF09A8">
      <w:pPr>
        <w:pStyle w:val="FootnoteText"/>
        <w:tabs>
          <w:tab w:val="right" w:pos="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T0112</w:t>
      </w:r>
      <w:r w:rsidRPr="002D31A9">
        <w:rPr>
          <w:szCs w:val="18"/>
        </w:rPr>
        <w:t>.</w:t>
      </w:r>
    </w:p>
  </w:footnote>
  <w:footnote w:id="82">
    <w:p w14:paraId="50367DD9" w14:textId="2219E057"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T0399</w:t>
      </w:r>
      <w:r w:rsidRPr="002D31A9">
        <w:rPr>
          <w:szCs w:val="18"/>
        </w:rPr>
        <w:t xml:space="preserve">, </w:t>
      </w:r>
      <w:r>
        <w:rPr>
          <w:szCs w:val="18"/>
        </w:rPr>
        <w:t>T0137</w:t>
      </w:r>
      <w:r w:rsidRPr="002D31A9">
        <w:rPr>
          <w:szCs w:val="18"/>
        </w:rPr>
        <w:t xml:space="preserve">. </w:t>
      </w:r>
      <w:r w:rsidRPr="00B50F59">
        <w:rPr>
          <w:szCs w:val="18"/>
        </w:rPr>
        <w:t xml:space="preserve">Voir la </w:t>
      </w:r>
      <w:r>
        <w:rPr>
          <w:szCs w:val="18"/>
        </w:rPr>
        <w:t>partie VIII.B. du présent rapport.</w:t>
      </w:r>
    </w:p>
  </w:footnote>
  <w:footnote w:id="83">
    <w:p w14:paraId="5586D90E" w14:textId="250B666E" w:rsidR="004E119B" w:rsidRPr="002D31A9" w:rsidRDefault="004E119B" w:rsidP="00AF09A8">
      <w:pPr>
        <w:pStyle w:val="FootnoteText"/>
        <w:tabs>
          <w:tab w:val="right" w:pos="90"/>
        </w:tabs>
        <w:ind w:left="1138" w:right="1138" w:hanging="228"/>
        <w:contextualSpacing/>
        <w:jc w:val="left"/>
        <w:rPr>
          <w:szCs w:val="18"/>
        </w:rPr>
      </w:pPr>
      <w:r w:rsidRPr="002D31A9">
        <w:rPr>
          <w:rStyle w:val="FootnoteReference"/>
          <w:szCs w:val="18"/>
        </w:rPr>
        <w:footnoteRef/>
      </w:r>
      <w:r w:rsidRPr="002D31A9">
        <w:rPr>
          <w:szCs w:val="18"/>
        </w:rPr>
        <w:t xml:space="preserve"> </w:t>
      </w:r>
      <w:r w:rsidRPr="00CC51D3">
        <w:rPr>
          <w:szCs w:val="18"/>
        </w:rPr>
        <w:t>BCNUDH de la MONUSCO, Rapport de mission d’enquête, violations graves des droits de l</w:t>
      </w:r>
      <w:r w:rsidRPr="00C63225">
        <w:rPr>
          <w:szCs w:val="18"/>
        </w:rPr>
        <w:t>’homme et du droit international humanitaire perpétrées par les forces de défense et de sécurité congolaises, ainsi que des miliciens du chef du village de Kamuina Nsapu, à Kananga et dans les ter</w:t>
      </w:r>
      <w:r w:rsidRPr="006560CD">
        <w:rPr>
          <w:szCs w:val="18"/>
        </w:rPr>
        <w:t xml:space="preserve">ritoires de Dibaya, Demba et Dimbelenge, province du Kasaï Central, entre le 22 juillet et le 30 octobre 2016, novembre 2016, </w:t>
      </w:r>
      <w:r w:rsidRPr="00FE5E8D">
        <w:rPr>
          <w:szCs w:val="18"/>
        </w:rPr>
        <w:t>documents internes MONUSCO</w:t>
      </w:r>
      <w:r w:rsidRPr="00CC51D3">
        <w:rPr>
          <w:szCs w:val="18"/>
        </w:rPr>
        <w:t>. Voir aussi les</w:t>
      </w:r>
      <w:r>
        <w:rPr>
          <w:szCs w:val="18"/>
        </w:rPr>
        <w:t xml:space="preserve"> photos du village de Ntenda attachés au témoignage T0399.</w:t>
      </w:r>
    </w:p>
  </w:footnote>
  <w:footnote w:id="84">
    <w:p w14:paraId="3141C527" w14:textId="6A00EA5B" w:rsidR="004E119B" w:rsidRPr="002D31A9" w:rsidRDefault="004E119B" w:rsidP="00AF09A8">
      <w:pPr>
        <w:pStyle w:val="FootnoteText"/>
        <w:tabs>
          <w:tab w:val="right" w:pos="1080"/>
        </w:tabs>
        <w:ind w:left="1138" w:right="1138" w:hanging="228"/>
        <w:contextualSpacing/>
        <w:jc w:val="left"/>
        <w:rPr>
          <w:szCs w:val="18"/>
        </w:rPr>
      </w:pPr>
      <w:r w:rsidRPr="002D31A9">
        <w:rPr>
          <w:rStyle w:val="FootnoteReference"/>
          <w:szCs w:val="18"/>
        </w:rPr>
        <w:footnoteRef/>
      </w:r>
      <w:r w:rsidRPr="00405F13">
        <w:rPr>
          <w:szCs w:val="18"/>
        </w:rPr>
        <w:t xml:space="preserve"> </w:t>
      </w:r>
      <w:r>
        <w:rPr>
          <w:szCs w:val="18"/>
        </w:rPr>
        <w:t>T0085</w:t>
      </w:r>
      <w:r w:rsidRPr="00405F13">
        <w:rPr>
          <w:szCs w:val="18"/>
        </w:rPr>
        <w:t xml:space="preserve">, </w:t>
      </w:r>
      <w:r>
        <w:rPr>
          <w:szCs w:val="18"/>
        </w:rPr>
        <w:t>T0151</w:t>
      </w:r>
      <w:r w:rsidRPr="00405F13">
        <w:rPr>
          <w:szCs w:val="18"/>
        </w:rPr>
        <w:t xml:space="preserve">, T0417, </w:t>
      </w:r>
      <w:r>
        <w:rPr>
          <w:szCs w:val="18"/>
        </w:rPr>
        <w:t>T0409</w:t>
      </w:r>
      <w:r w:rsidRPr="00405F13">
        <w:rPr>
          <w:szCs w:val="18"/>
        </w:rPr>
        <w:t xml:space="preserve">, </w:t>
      </w:r>
      <w:r>
        <w:rPr>
          <w:szCs w:val="18"/>
        </w:rPr>
        <w:t>T0188</w:t>
      </w:r>
      <w:r w:rsidRPr="00405F13">
        <w:rPr>
          <w:szCs w:val="18"/>
        </w:rPr>
        <w:t xml:space="preserve">, </w:t>
      </w:r>
      <w:r>
        <w:rPr>
          <w:szCs w:val="18"/>
        </w:rPr>
        <w:t>T0331</w:t>
      </w:r>
      <w:r w:rsidRPr="00405F13">
        <w:rPr>
          <w:szCs w:val="18"/>
        </w:rPr>
        <w:t xml:space="preserve">, T0017, T0417. </w:t>
      </w:r>
      <w:r w:rsidRPr="002D31A9">
        <w:rPr>
          <w:szCs w:val="18"/>
        </w:rPr>
        <w:t xml:space="preserve">Voir aussi </w:t>
      </w:r>
      <w:r w:rsidRPr="00CC51D3">
        <w:rPr>
          <w:szCs w:val="18"/>
        </w:rPr>
        <w:t>BCNUDH de la MONUSCO, Rapport de mission d’enquête, violations graves des droits de l</w:t>
      </w:r>
      <w:r w:rsidRPr="00835F93">
        <w:rPr>
          <w:szCs w:val="18"/>
        </w:rPr>
        <w:t>’homme et du droit international humanitaire perpétrées par les forces de défense et de sécurité congolaises, ainsi que des miliciens du chef du village de Kamuina Nsapu, à Kananga et dans les territoires de Dibaya, Demba et Dimbelenge, province du Kasaï Central, entre le 22 juillet et le 30 octobre 2016, novembre 2016</w:t>
      </w:r>
      <w:r>
        <w:rPr>
          <w:szCs w:val="18"/>
        </w:rPr>
        <w:t xml:space="preserve">, </w:t>
      </w:r>
      <w:r w:rsidRPr="002D31A9">
        <w:rPr>
          <w:szCs w:val="18"/>
        </w:rPr>
        <w:t>document interne MONUSCO</w:t>
      </w:r>
      <w:r>
        <w:rPr>
          <w:szCs w:val="18"/>
        </w:rPr>
        <w:t>.</w:t>
      </w:r>
    </w:p>
  </w:footnote>
  <w:footnote w:id="85">
    <w:p w14:paraId="4335458E" w14:textId="7714DD1A" w:rsidR="004E119B" w:rsidRPr="002D31A9" w:rsidRDefault="004E119B" w:rsidP="00AF09A8">
      <w:pPr>
        <w:pStyle w:val="FootnoteText"/>
        <w:tabs>
          <w:tab w:val="right" w:pos="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T0331</w:t>
      </w:r>
      <w:r w:rsidRPr="002D31A9">
        <w:rPr>
          <w:szCs w:val="18"/>
        </w:rPr>
        <w:t xml:space="preserve">, </w:t>
      </w:r>
      <w:r>
        <w:rPr>
          <w:szCs w:val="18"/>
        </w:rPr>
        <w:t>T0152</w:t>
      </w:r>
      <w:r w:rsidRPr="002D31A9">
        <w:rPr>
          <w:szCs w:val="18"/>
        </w:rPr>
        <w:t xml:space="preserve">. Voir aussi </w:t>
      </w:r>
      <w:r>
        <w:rPr>
          <w:szCs w:val="18"/>
        </w:rPr>
        <w:t>T0188</w:t>
      </w:r>
      <w:r w:rsidRPr="002D31A9">
        <w:rPr>
          <w:szCs w:val="18"/>
        </w:rPr>
        <w:t xml:space="preserve">, </w:t>
      </w:r>
      <w:r>
        <w:rPr>
          <w:szCs w:val="18"/>
        </w:rPr>
        <w:t>T0374</w:t>
      </w:r>
      <w:r w:rsidRPr="002D31A9">
        <w:rPr>
          <w:szCs w:val="18"/>
        </w:rPr>
        <w:t>.</w:t>
      </w:r>
    </w:p>
  </w:footnote>
  <w:footnote w:id="86">
    <w:p w14:paraId="6DBA3100" w14:textId="3AEE5232"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T0331</w:t>
      </w:r>
      <w:r w:rsidRPr="002D31A9">
        <w:rPr>
          <w:szCs w:val="18"/>
        </w:rPr>
        <w:t xml:space="preserve">. Voir aussi </w:t>
      </w:r>
      <w:r>
        <w:rPr>
          <w:szCs w:val="18"/>
        </w:rPr>
        <w:t>T0152</w:t>
      </w:r>
      <w:r w:rsidRPr="002D31A9">
        <w:rPr>
          <w:szCs w:val="18"/>
        </w:rPr>
        <w:t xml:space="preserve">, </w:t>
      </w:r>
      <w:r>
        <w:rPr>
          <w:szCs w:val="18"/>
        </w:rPr>
        <w:t>T0399</w:t>
      </w:r>
      <w:r w:rsidRPr="002D31A9">
        <w:rPr>
          <w:szCs w:val="18"/>
        </w:rPr>
        <w:t xml:space="preserve">, </w:t>
      </w:r>
      <w:r>
        <w:rPr>
          <w:szCs w:val="18"/>
        </w:rPr>
        <w:t>T0171</w:t>
      </w:r>
      <w:r w:rsidRPr="002D31A9">
        <w:rPr>
          <w:szCs w:val="18"/>
        </w:rPr>
        <w:t>.</w:t>
      </w:r>
    </w:p>
  </w:footnote>
  <w:footnote w:id="87">
    <w:p w14:paraId="1AF6B3BB" w14:textId="5926F4B1"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T0152</w:t>
      </w:r>
      <w:r w:rsidRPr="002D31A9">
        <w:rPr>
          <w:szCs w:val="18"/>
        </w:rPr>
        <w:t xml:space="preserve">. Voir aussi </w:t>
      </w:r>
      <w:r>
        <w:rPr>
          <w:szCs w:val="18"/>
        </w:rPr>
        <w:t>T0129</w:t>
      </w:r>
      <w:r w:rsidRPr="002D31A9">
        <w:rPr>
          <w:szCs w:val="18"/>
        </w:rPr>
        <w:t>.</w:t>
      </w:r>
    </w:p>
  </w:footnote>
  <w:footnote w:id="88">
    <w:p w14:paraId="0559C19D" w14:textId="3AC48A18"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T0152</w:t>
      </w:r>
      <w:r w:rsidRPr="002D31A9">
        <w:rPr>
          <w:szCs w:val="18"/>
        </w:rPr>
        <w:t xml:space="preserve">. Voir aussi </w:t>
      </w:r>
      <w:r>
        <w:rPr>
          <w:szCs w:val="18"/>
        </w:rPr>
        <w:t>T0175</w:t>
      </w:r>
      <w:r w:rsidRPr="002D31A9">
        <w:rPr>
          <w:szCs w:val="18"/>
        </w:rPr>
        <w:t>.</w:t>
      </w:r>
    </w:p>
  </w:footnote>
  <w:footnote w:id="89">
    <w:p w14:paraId="5F654BBF" w14:textId="24582102"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T0152</w:t>
      </w:r>
      <w:r w:rsidRPr="002D31A9">
        <w:rPr>
          <w:szCs w:val="18"/>
        </w:rPr>
        <w:t>.</w:t>
      </w:r>
    </w:p>
  </w:footnote>
  <w:footnote w:id="90">
    <w:p w14:paraId="4C17C291" w14:textId="529C5BDD"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T0331</w:t>
      </w:r>
      <w:r w:rsidRPr="002D31A9">
        <w:rPr>
          <w:szCs w:val="18"/>
        </w:rPr>
        <w:t>.</w:t>
      </w:r>
    </w:p>
  </w:footnote>
  <w:footnote w:id="91">
    <w:p w14:paraId="469008E5" w14:textId="15EC3F19"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T0152</w:t>
      </w:r>
      <w:r w:rsidRPr="002D31A9">
        <w:rPr>
          <w:szCs w:val="18"/>
        </w:rPr>
        <w:t xml:space="preserve">. Voir aussi </w:t>
      </w:r>
      <w:r>
        <w:rPr>
          <w:szCs w:val="18"/>
        </w:rPr>
        <w:t>T0171</w:t>
      </w:r>
      <w:r w:rsidRPr="002D31A9">
        <w:rPr>
          <w:szCs w:val="18"/>
        </w:rPr>
        <w:t>.</w:t>
      </w:r>
    </w:p>
  </w:footnote>
  <w:footnote w:id="92">
    <w:p w14:paraId="1EB21954" w14:textId="069477C2"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T0152</w:t>
      </w:r>
      <w:r w:rsidRPr="002D31A9">
        <w:rPr>
          <w:szCs w:val="18"/>
        </w:rPr>
        <w:t xml:space="preserve">. Voir aussi </w:t>
      </w:r>
      <w:r>
        <w:rPr>
          <w:szCs w:val="18"/>
        </w:rPr>
        <w:t>T0137</w:t>
      </w:r>
      <w:r w:rsidRPr="002D31A9">
        <w:rPr>
          <w:szCs w:val="18"/>
        </w:rPr>
        <w:t xml:space="preserve">, </w:t>
      </w:r>
      <w:r>
        <w:rPr>
          <w:szCs w:val="18"/>
        </w:rPr>
        <w:t>T0017</w:t>
      </w:r>
      <w:r w:rsidRPr="002D31A9">
        <w:rPr>
          <w:szCs w:val="18"/>
        </w:rPr>
        <w:t xml:space="preserve">. </w:t>
      </w:r>
    </w:p>
  </w:footnote>
  <w:footnote w:id="93">
    <w:p w14:paraId="318260B7" w14:textId="152304A9" w:rsidR="004E119B" w:rsidRPr="006560CD"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 xml:space="preserve">ANR, tableau illustratif des crimes et atrocité commis par le réseau terroriste du mouvement insurrectionnel « Kamuina Nsapu », </w:t>
      </w:r>
      <w:r w:rsidRPr="00CC51D3">
        <w:rPr>
          <w:szCs w:val="18"/>
        </w:rPr>
        <w:t>BCNUDH de la MONUSCO, Rapport de mission d’enquête, violations graves des droits de l</w:t>
      </w:r>
      <w:r w:rsidRPr="00835F93">
        <w:rPr>
          <w:szCs w:val="18"/>
        </w:rPr>
        <w:t>’homme et du droit international humanitaire perpétrées par les forces de défense et de sécurité congolaises, ainsi que des miliciens du chef du village de Kamuina Nsapu, à Kananga et dans les territoires de Dibaya, Demba et Dimbelenge, province du Kasaï Central, entre le 22 juillet et le 30 octobre 2016, novembre 2016</w:t>
      </w:r>
      <w:r>
        <w:rPr>
          <w:szCs w:val="18"/>
        </w:rPr>
        <w:t xml:space="preserve">, </w:t>
      </w:r>
      <w:r w:rsidRPr="002D31A9">
        <w:rPr>
          <w:szCs w:val="18"/>
        </w:rPr>
        <w:t xml:space="preserve"> </w:t>
      </w:r>
      <w:r>
        <w:rPr>
          <w:szCs w:val="18"/>
        </w:rPr>
        <w:t>T0374</w:t>
      </w:r>
      <w:r w:rsidRPr="002D31A9">
        <w:rPr>
          <w:szCs w:val="18"/>
        </w:rPr>
        <w:t xml:space="preserve">, </w:t>
      </w:r>
      <w:r>
        <w:rPr>
          <w:szCs w:val="18"/>
        </w:rPr>
        <w:t>T0439</w:t>
      </w:r>
      <w:r w:rsidRPr="002D31A9">
        <w:rPr>
          <w:szCs w:val="18"/>
        </w:rPr>
        <w:t xml:space="preserve">, </w:t>
      </w:r>
      <w:r>
        <w:rPr>
          <w:szCs w:val="18"/>
        </w:rPr>
        <w:t>T0017</w:t>
      </w:r>
      <w:r w:rsidRPr="002D31A9">
        <w:rPr>
          <w:szCs w:val="18"/>
        </w:rPr>
        <w:t xml:space="preserve">, </w:t>
      </w:r>
      <w:r>
        <w:rPr>
          <w:szCs w:val="18"/>
        </w:rPr>
        <w:t>T0175</w:t>
      </w:r>
      <w:r w:rsidRPr="002D31A9">
        <w:rPr>
          <w:szCs w:val="18"/>
        </w:rPr>
        <w:t xml:space="preserve">, </w:t>
      </w:r>
      <w:r>
        <w:rPr>
          <w:szCs w:val="18"/>
        </w:rPr>
        <w:t>T0171</w:t>
      </w:r>
      <w:r w:rsidRPr="006560CD">
        <w:rPr>
          <w:szCs w:val="18"/>
        </w:rPr>
        <w:t xml:space="preserve">. </w:t>
      </w:r>
      <w:r w:rsidRPr="00FE5E8D">
        <w:rPr>
          <w:szCs w:val="18"/>
        </w:rPr>
        <w:t xml:space="preserve">Voir aussi </w:t>
      </w:r>
      <w:r w:rsidRPr="006560CD">
        <w:rPr>
          <w:szCs w:val="18"/>
        </w:rPr>
        <w:t xml:space="preserve">document interne MONUSCO. </w:t>
      </w:r>
    </w:p>
  </w:footnote>
  <w:footnote w:id="94">
    <w:p w14:paraId="71C524F8" w14:textId="00EE4CA0" w:rsidR="004E119B" w:rsidRPr="002D31A9" w:rsidRDefault="004E119B" w:rsidP="00AF09A8">
      <w:pPr>
        <w:pStyle w:val="FootnoteText"/>
        <w:ind w:left="1138" w:right="1138" w:hanging="228"/>
        <w:contextualSpacing/>
        <w:jc w:val="left"/>
        <w:rPr>
          <w:szCs w:val="18"/>
        </w:rPr>
      </w:pPr>
      <w:r w:rsidRPr="00686B07">
        <w:rPr>
          <w:rStyle w:val="FootnoteReference"/>
          <w:szCs w:val="18"/>
        </w:rPr>
        <w:footnoteRef/>
      </w:r>
      <w:r w:rsidRPr="00686B07">
        <w:rPr>
          <w:szCs w:val="18"/>
        </w:rPr>
        <w:t xml:space="preserve"> </w:t>
      </w:r>
      <w:r>
        <w:rPr>
          <w:szCs w:val="18"/>
        </w:rPr>
        <w:t>T0331</w:t>
      </w:r>
      <w:r w:rsidRPr="00686B07">
        <w:rPr>
          <w:szCs w:val="18"/>
        </w:rPr>
        <w:t>.</w:t>
      </w:r>
    </w:p>
  </w:footnote>
  <w:footnote w:id="95">
    <w:p w14:paraId="33282BCA" w14:textId="465A6A9E" w:rsidR="004E119B" w:rsidRPr="002D31A9" w:rsidRDefault="004E119B" w:rsidP="00AF09A8">
      <w:pPr>
        <w:pStyle w:val="FootnoteText"/>
        <w:ind w:left="1138" w:right="1138" w:hanging="228"/>
        <w:contextualSpacing/>
        <w:jc w:val="left"/>
        <w:rPr>
          <w:szCs w:val="18"/>
        </w:rPr>
      </w:pPr>
      <w:r w:rsidRPr="002D31A9">
        <w:rPr>
          <w:szCs w:val="18"/>
          <w:vertAlign w:val="superscript"/>
          <w:lang w:val="en-US"/>
        </w:rPr>
        <w:footnoteRef/>
      </w:r>
      <w:r w:rsidRPr="002D31A9">
        <w:rPr>
          <w:szCs w:val="18"/>
          <w:vertAlign w:val="superscript"/>
        </w:rPr>
        <w:t xml:space="preserve"> </w:t>
      </w:r>
      <w:r>
        <w:rPr>
          <w:szCs w:val="18"/>
        </w:rPr>
        <w:t>T0331</w:t>
      </w:r>
      <w:r w:rsidRPr="002D31A9">
        <w:rPr>
          <w:szCs w:val="18"/>
        </w:rPr>
        <w:t>.</w:t>
      </w:r>
    </w:p>
  </w:footnote>
  <w:footnote w:id="96">
    <w:p w14:paraId="2724BB3A" w14:textId="409BE546" w:rsidR="004E119B" w:rsidRPr="002D31A9" w:rsidRDefault="004E119B" w:rsidP="00AF09A8">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T0399</w:t>
      </w:r>
      <w:r w:rsidRPr="002D31A9">
        <w:rPr>
          <w:szCs w:val="18"/>
        </w:rPr>
        <w:t xml:space="preserve">, </w:t>
      </w:r>
      <w:r>
        <w:rPr>
          <w:szCs w:val="18"/>
        </w:rPr>
        <w:t>T0017</w:t>
      </w:r>
      <w:r w:rsidRPr="002D31A9">
        <w:rPr>
          <w:szCs w:val="18"/>
        </w:rPr>
        <w:t>.</w:t>
      </w:r>
    </w:p>
  </w:footnote>
  <w:footnote w:id="97">
    <w:p w14:paraId="6C92A71E" w14:textId="0D0400C6"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T0017</w:t>
      </w:r>
      <w:r w:rsidRPr="002D31A9">
        <w:rPr>
          <w:szCs w:val="18"/>
        </w:rPr>
        <w:t xml:space="preserve">. </w:t>
      </w:r>
    </w:p>
  </w:footnote>
  <w:footnote w:id="98">
    <w:p w14:paraId="472F678D" w14:textId="784AC7D1"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T0331</w:t>
      </w:r>
      <w:r w:rsidRPr="002D31A9">
        <w:rPr>
          <w:szCs w:val="18"/>
        </w:rPr>
        <w:t>.</w:t>
      </w:r>
    </w:p>
  </w:footnote>
  <w:footnote w:id="99">
    <w:p w14:paraId="3F8FF29A" w14:textId="6E26BCD1" w:rsidR="004E119B" w:rsidRPr="002D31A9" w:rsidRDefault="004E119B" w:rsidP="00AF09A8">
      <w:pPr>
        <w:spacing w:line="220" w:lineRule="exact"/>
        <w:ind w:left="1138" w:right="1138" w:hanging="228"/>
        <w:contextualSpacing/>
        <w:rPr>
          <w:sz w:val="18"/>
          <w:szCs w:val="18"/>
        </w:rPr>
      </w:pPr>
      <w:r w:rsidRPr="002D31A9">
        <w:rPr>
          <w:rStyle w:val="FootnoteReference"/>
          <w:szCs w:val="18"/>
        </w:rPr>
        <w:footnoteRef/>
      </w:r>
      <w:r w:rsidRPr="002D31A9">
        <w:rPr>
          <w:sz w:val="18"/>
          <w:szCs w:val="18"/>
        </w:rPr>
        <w:t xml:space="preserve"> </w:t>
      </w:r>
      <w:r>
        <w:rPr>
          <w:sz w:val="18"/>
          <w:szCs w:val="18"/>
        </w:rPr>
        <w:t>T0017</w:t>
      </w:r>
      <w:r w:rsidRPr="002D31A9">
        <w:rPr>
          <w:sz w:val="18"/>
          <w:szCs w:val="18"/>
        </w:rPr>
        <w:t xml:space="preserve">, </w:t>
      </w:r>
      <w:r>
        <w:rPr>
          <w:sz w:val="18"/>
          <w:szCs w:val="18"/>
        </w:rPr>
        <w:t>T0137</w:t>
      </w:r>
      <w:r w:rsidRPr="002D31A9">
        <w:rPr>
          <w:sz w:val="18"/>
          <w:szCs w:val="18"/>
        </w:rPr>
        <w:t>.</w:t>
      </w:r>
    </w:p>
  </w:footnote>
  <w:footnote w:id="100">
    <w:p w14:paraId="105AE37A" w14:textId="0D8761AA"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Pr>
          <w:szCs w:val="18"/>
        </w:rPr>
        <w:t xml:space="preserve"> Document interne MONUSCO,</w:t>
      </w:r>
      <w:r w:rsidRPr="002D31A9">
        <w:rPr>
          <w:szCs w:val="18"/>
        </w:rPr>
        <w:t xml:space="preserve"> </w:t>
      </w:r>
      <w:r>
        <w:rPr>
          <w:szCs w:val="18"/>
        </w:rPr>
        <w:t>T0017</w:t>
      </w:r>
      <w:r w:rsidRPr="002D31A9">
        <w:rPr>
          <w:szCs w:val="18"/>
        </w:rPr>
        <w:t>.</w:t>
      </w:r>
    </w:p>
  </w:footnote>
  <w:footnote w:id="101">
    <w:p w14:paraId="09D582FC" w14:textId="27C369F0" w:rsidR="004E119B" w:rsidRPr="002D31A9" w:rsidRDefault="004E119B" w:rsidP="00AF09A8">
      <w:pPr>
        <w:pStyle w:val="FootnoteText"/>
        <w:tabs>
          <w:tab w:val="right" w:pos="0"/>
        </w:tabs>
        <w:ind w:left="1138" w:right="1138" w:hanging="228"/>
        <w:contextualSpacing/>
        <w:jc w:val="left"/>
        <w:rPr>
          <w:szCs w:val="18"/>
          <w:highlight w:val="yellow"/>
        </w:rPr>
      </w:pPr>
      <w:r w:rsidRPr="002D31A9">
        <w:rPr>
          <w:rStyle w:val="FootnoteReference"/>
          <w:szCs w:val="18"/>
        </w:rPr>
        <w:footnoteRef/>
      </w:r>
      <w:r w:rsidRPr="002D31A9">
        <w:rPr>
          <w:szCs w:val="18"/>
        </w:rPr>
        <w:t xml:space="preserve"> </w:t>
      </w:r>
      <w:r>
        <w:rPr>
          <w:szCs w:val="18"/>
        </w:rPr>
        <w:t>T0017.</w:t>
      </w:r>
      <w:r w:rsidRPr="002D31A9">
        <w:rPr>
          <w:szCs w:val="18"/>
        </w:rPr>
        <w:t xml:space="preserve"> </w:t>
      </w:r>
      <w:r w:rsidRPr="00C3117D">
        <w:rPr>
          <w:szCs w:val="18"/>
        </w:rPr>
        <w:t xml:space="preserve">Voir l’enregistrement des conversations téléphoniques entre le chef Kamuina Nsapu et la délégation de députés du 11 août 2016, disponible sur le site internet de RFI, « RDC : violences au Kasaï, chapitre 1, Kamuina Nsapu, la mort d’un chef», http:// </w:t>
      </w:r>
      <w:hyperlink r:id="rId1" w:history="1">
        <w:r w:rsidRPr="006B5207">
          <w:rPr>
            <w:rStyle w:val="Hyperlink"/>
            <w:szCs w:val="18"/>
          </w:rPr>
          <w:t>http://webdoc.rfi.fr/rdc-kasai-violences-crimes-kamuina-nsapu/chap-01/</w:t>
        </w:r>
      </w:hyperlink>
      <w:r>
        <w:rPr>
          <w:szCs w:val="18"/>
        </w:rPr>
        <w:t>. Voir aussi</w:t>
      </w:r>
      <w:r w:rsidRPr="004837FC">
        <w:rPr>
          <w:szCs w:val="18"/>
        </w:rPr>
        <w:t> CNDH, Rapport sur la situation des droits de l’homme 2016 et activités de la coordination provinciales de la Commission Nationale des droits de l’homme – CNDH/Kasaï Central, décembre 2016.</w:t>
      </w:r>
    </w:p>
  </w:footnote>
  <w:footnote w:id="102">
    <w:p w14:paraId="5F0EB1D8" w14:textId="0EC3D85C" w:rsidR="004E119B" w:rsidRPr="002D31A9" w:rsidRDefault="004E119B" w:rsidP="00AF09A8">
      <w:pPr>
        <w:pStyle w:val="FootnoteText"/>
        <w:ind w:left="1138" w:right="1138" w:hanging="228"/>
        <w:contextualSpacing/>
        <w:jc w:val="left"/>
        <w:rPr>
          <w:szCs w:val="18"/>
        </w:rPr>
      </w:pPr>
      <w:r w:rsidRPr="00FE5E8D">
        <w:rPr>
          <w:rStyle w:val="FootnoteReference"/>
          <w:szCs w:val="18"/>
        </w:rPr>
        <w:footnoteRef/>
      </w:r>
      <w:r w:rsidRPr="00FE5E8D">
        <w:rPr>
          <w:szCs w:val="18"/>
        </w:rPr>
        <w:t xml:space="preserve"> </w:t>
      </w:r>
      <w:r w:rsidRPr="00C63225">
        <w:rPr>
          <w:szCs w:val="18"/>
        </w:rPr>
        <w:t>Voir</w:t>
      </w:r>
      <w:r w:rsidRPr="00840539">
        <w:rPr>
          <w:szCs w:val="18"/>
        </w:rPr>
        <w:t xml:space="preserve"> l</w:t>
      </w:r>
      <w:r>
        <w:rPr>
          <w:szCs w:val="18"/>
        </w:rPr>
        <w:t>’enregistrement des</w:t>
      </w:r>
      <w:r w:rsidRPr="00840539">
        <w:rPr>
          <w:szCs w:val="18"/>
        </w:rPr>
        <w:t xml:space="preserve"> conversation</w:t>
      </w:r>
      <w:r>
        <w:rPr>
          <w:szCs w:val="18"/>
        </w:rPr>
        <w:t>s</w:t>
      </w:r>
      <w:r w:rsidRPr="00840539">
        <w:rPr>
          <w:szCs w:val="18"/>
        </w:rPr>
        <w:t xml:space="preserve"> téléphonique</w:t>
      </w:r>
      <w:r>
        <w:rPr>
          <w:szCs w:val="18"/>
        </w:rPr>
        <w:t>s</w:t>
      </w:r>
      <w:r w:rsidRPr="00840539">
        <w:rPr>
          <w:szCs w:val="18"/>
        </w:rPr>
        <w:t xml:space="preserve"> entre</w:t>
      </w:r>
      <w:r>
        <w:rPr>
          <w:szCs w:val="18"/>
        </w:rPr>
        <w:t xml:space="preserve"> le </w:t>
      </w:r>
      <w:r w:rsidRPr="002D31A9">
        <w:rPr>
          <w:szCs w:val="18"/>
        </w:rPr>
        <w:t>chef Kamuina Nsapu</w:t>
      </w:r>
      <w:r>
        <w:rPr>
          <w:szCs w:val="18"/>
        </w:rPr>
        <w:t xml:space="preserve"> </w:t>
      </w:r>
      <w:r w:rsidRPr="00840539">
        <w:rPr>
          <w:szCs w:val="18"/>
        </w:rPr>
        <w:t>et l</w:t>
      </w:r>
      <w:r>
        <w:rPr>
          <w:szCs w:val="18"/>
        </w:rPr>
        <w:t>a délégation de</w:t>
      </w:r>
      <w:r w:rsidRPr="00840539">
        <w:rPr>
          <w:szCs w:val="18"/>
        </w:rPr>
        <w:t xml:space="preserve"> députés </w:t>
      </w:r>
      <w:r>
        <w:rPr>
          <w:szCs w:val="18"/>
        </w:rPr>
        <w:t>du</w:t>
      </w:r>
      <w:r w:rsidRPr="00840539">
        <w:rPr>
          <w:szCs w:val="18"/>
        </w:rPr>
        <w:t xml:space="preserve"> 11</w:t>
      </w:r>
      <w:r>
        <w:rPr>
          <w:szCs w:val="18"/>
        </w:rPr>
        <w:t xml:space="preserve"> août </w:t>
      </w:r>
      <w:r w:rsidRPr="00840539">
        <w:rPr>
          <w:szCs w:val="18"/>
        </w:rPr>
        <w:t>2016</w:t>
      </w:r>
      <w:r>
        <w:rPr>
          <w:szCs w:val="18"/>
        </w:rPr>
        <w:t xml:space="preserve">, disponible sur le site internet de RFI, </w:t>
      </w:r>
      <w:r w:rsidRPr="00C3117D">
        <w:t xml:space="preserve">« RDC : violences au Kasaï, chapitre </w:t>
      </w:r>
      <w:r>
        <w:t>1</w:t>
      </w:r>
      <w:r w:rsidRPr="00C3117D">
        <w:t xml:space="preserve">, </w:t>
      </w:r>
      <w:r>
        <w:t>Kamuina Nsapu, la mort d’un chef</w:t>
      </w:r>
      <w:r w:rsidRPr="00C3117D">
        <w:t xml:space="preserve">», http:// </w:t>
      </w:r>
      <w:hyperlink r:id="rId2" w:history="1">
        <w:r w:rsidRPr="006B5207">
          <w:rPr>
            <w:rStyle w:val="Hyperlink"/>
          </w:rPr>
          <w:t>http://webdoc.rfi.fr/rdc-kasai-violences-crimes-kamuina-nsapu/chap-01/</w:t>
        </w:r>
      </w:hyperlink>
      <w:r>
        <w:rPr>
          <w:szCs w:val="18"/>
        </w:rPr>
        <w:t>. Voir aussi</w:t>
      </w:r>
      <w:r w:rsidRPr="004837FC">
        <w:rPr>
          <w:szCs w:val="18"/>
        </w:rPr>
        <w:t xml:space="preserve"> CNDH, Rapport sur la situation des droits de l’homme 2016 et activités de la coordination provinciales de la Commission Nationale des droits de l’homme – CN</w:t>
      </w:r>
      <w:r>
        <w:rPr>
          <w:szCs w:val="18"/>
        </w:rPr>
        <w:t>DH/Kasaï Central, décembre 2016, document interne MONUSCO.</w:t>
      </w:r>
      <w:r w:rsidRPr="002D31A9">
        <w:rPr>
          <w:szCs w:val="18"/>
        </w:rPr>
        <w:t> </w:t>
      </w:r>
    </w:p>
  </w:footnote>
  <w:footnote w:id="103">
    <w:p w14:paraId="51C9A36E" w14:textId="774E0539"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T0017</w:t>
      </w:r>
      <w:r w:rsidRPr="002D31A9">
        <w:rPr>
          <w:szCs w:val="18"/>
        </w:rPr>
        <w:t>.</w:t>
      </w:r>
    </w:p>
  </w:footnote>
  <w:footnote w:id="104">
    <w:p w14:paraId="3F8F8562" w14:textId="44934EF4"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T0017</w:t>
      </w:r>
      <w:r w:rsidRPr="002D31A9">
        <w:rPr>
          <w:szCs w:val="18"/>
        </w:rPr>
        <w:t xml:space="preserve">, </w:t>
      </w:r>
      <w:r>
        <w:rPr>
          <w:szCs w:val="18"/>
        </w:rPr>
        <w:t>T0188,</w:t>
      </w:r>
      <w:r w:rsidRPr="002D31A9">
        <w:rPr>
          <w:szCs w:val="18"/>
        </w:rPr>
        <w:t xml:space="preserve"> document interne MONUSCO</w:t>
      </w:r>
      <w:r w:rsidRPr="002D31A9">
        <w:rPr>
          <w:noProof/>
          <w:szCs w:val="18"/>
        </w:rPr>
        <w:t>.</w:t>
      </w:r>
      <w:r w:rsidRPr="002D31A9">
        <w:rPr>
          <w:szCs w:val="18"/>
        </w:rPr>
        <w:t xml:space="preserve"> </w:t>
      </w:r>
    </w:p>
  </w:footnote>
  <w:footnote w:id="105">
    <w:p w14:paraId="7FFCD2F2" w14:textId="196F3E7E"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T0188</w:t>
      </w:r>
      <w:r w:rsidRPr="002D31A9">
        <w:rPr>
          <w:szCs w:val="18"/>
        </w:rPr>
        <w:t xml:space="preserve">, </w:t>
      </w:r>
      <w:r>
        <w:rPr>
          <w:szCs w:val="18"/>
        </w:rPr>
        <w:t>T0017</w:t>
      </w:r>
      <w:r w:rsidRPr="002D31A9">
        <w:rPr>
          <w:szCs w:val="18"/>
        </w:rPr>
        <w:t>.</w:t>
      </w:r>
    </w:p>
  </w:footnote>
  <w:footnote w:id="106">
    <w:p w14:paraId="21357FA8" w14:textId="459D9D3B"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sidRPr="00FE5E8D">
        <w:rPr>
          <w:szCs w:val="18"/>
        </w:rPr>
        <w:t>Document interne MONUSCO</w:t>
      </w:r>
      <w:r>
        <w:rPr>
          <w:szCs w:val="18"/>
        </w:rPr>
        <w:t>,</w:t>
      </w:r>
      <w:r w:rsidRPr="00FE5E8D">
        <w:rPr>
          <w:szCs w:val="18"/>
        </w:rPr>
        <w:t xml:space="preserve"> </w:t>
      </w:r>
      <w:r w:rsidRPr="00C63225">
        <w:rPr>
          <w:szCs w:val="18"/>
        </w:rPr>
        <w:t>BCNUDH</w:t>
      </w:r>
      <w:r w:rsidRPr="00CC51D3">
        <w:rPr>
          <w:szCs w:val="18"/>
        </w:rPr>
        <w:t xml:space="preserve"> de la MONUSCO, Rapport de mission d’enquête, violations graves des droits de l</w:t>
      </w:r>
      <w:r w:rsidRPr="00835F93">
        <w:rPr>
          <w:szCs w:val="18"/>
        </w:rPr>
        <w:t>’homme et du droit international humanitaire perpétrées par les forces de défense et de sécurité congolaises, ainsi que des miliciens du chef du village de Kamuina Nsapu, à Kananga et dans les territoires de Dibaya, Demba et Dimbelenge, province du Kasaï Central, entre le 22 juillet et le 30 octobre 2016, novembre 2016</w:t>
      </w:r>
      <w:r w:rsidRPr="002D31A9">
        <w:rPr>
          <w:szCs w:val="18"/>
        </w:rPr>
        <w:t xml:space="preserve">. Voir aussi </w:t>
      </w:r>
      <w:r>
        <w:rPr>
          <w:szCs w:val="18"/>
        </w:rPr>
        <w:t>T0311</w:t>
      </w:r>
      <w:r w:rsidRPr="002D31A9">
        <w:rPr>
          <w:szCs w:val="18"/>
        </w:rPr>
        <w:t>.</w:t>
      </w:r>
    </w:p>
  </w:footnote>
  <w:footnote w:id="107">
    <w:p w14:paraId="1C6F1FAF" w14:textId="2F4B5FEB" w:rsidR="004E119B" w:rsidRPr="002D31A9" w:rsidRDefault="004E119B" w:rsidP="00AF09A8">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T0017</w:t>
      </w:r>
      <w:r w:rsidRPr="002D31A9">
        <w:rPr>
          <w:szCs w:val="18"/>
        </w:rPr>
        <w:t xml:space="preserve">, </w:t>
      </w:r>
      <w:r>
        <w:rPr>
          <w:szCs w:val="18"/>
        </w:rPr>
        <w:t>T0439</w:t>
      </w:r>
      <w:r w:rsidRPr="002D31A9">
        <w:rPr>
          <w:szCs w:val="18"/>
        </w:rPr>
        <w:t xml:space="preserve">, </w:t>
      </w:r>
      <w:r>
        <w:rPr>
          <w:szCs w:val="18"/>
        </w:rPr>
        <w:t>T0417</w:t>
      </w:r>
      <w:r w:rsidRPr="002D31A9">
        <w:rPr>
          <w:szCs w:val="18"/>
        </w:rPr>
        <w:t xml:space="preserve">. </w:t>
      </w:r>
    </w:p>
  </w:footnote>
  <w:footnote w:id="108">
    <w:p w14:paraId="6E1F3345" w14:textId="42F4F4BC"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T0017</w:t>
      </w:r>
      <w:r w:rsidRPr="002D31A9">
        <w:rPr>
          <w:szCs w:val="18"/>
        </w:rPr>
        <w:t xml:space="preserve">, </w:t>
      </w:r>
      <w:r>
        <w:rPr>
          <w:szCs w:val="18"/>
        </w:rPr>
        <w:t>T0439</w:t>
      </w:r>
      <w:r w:rsidRPr="002D31A9">
        <w:rPr>
          <w:szCs w:val="18"/>
        </w:rPr>
        <w:t xml:space="preserve">, </w:t>
      </w:r>
      <w:r>
        <w:rPr>
          <w:szCs w:val="18"/>
        </w:rPr>
        <w:t>T0188</w:t>
      </w:r>
      <w:r w:rsidRPr="002D31A9">
        <w:rPr>
          <w:szCs w:val="18"/>
        </w:rPr>
        <w:t xml:space="preserve">. </w:t>
      </w:r>
    </w:p>
  </w:footnote>
  <w:footnote w:id="109">
    <w:p w14:paraId="3DFECED5" w14:textId="71FC244D"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T0017</w:t>
      </w:r>
      <w:r w:rsidRPr="002D31A9">
        <w:rPr>
          <w:szCs w:val="18"/>
        </w:rPr>
        <w:t>.</w:t>
      </w:r>
    </w:p>
  </w:footnote>
  <w:footnote w:id="110">
    <w:p w14:paraId="7351A974" w14:textId="0CD3A853"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Vidéo jointe à l’entretien T0399.</w:t>
      </w:r>
    </w:p>
  </w:footnote>
  <w:footnote w:id="111">
    <w:p w14:paraId="1EDEAC72" w14:textId="2DDB1535" w:rsidR="004E119B" w:rsidRPr="002D31A9" w:rsidRDefault="004E119B" w:rsidP="00AF09A8">
      <w:pPr>
        <w:pStyle w:val="FootnoteText"/>
        <w:tabs>
          <w:tab w:val="right" w:pos="99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T0017</w:t>
      </w:r>
      <w:r w:rsidRPr="002D31A9">
        <w:rPr>
          <w:szCs w:val="18"/>
        </w:rPr>
        <w:t xml:space="preserve">, </w:t>
      </w:r>
      <w:r>
        <w:rPr>
          <w:szCs w:val="18"/>
        </w:rPr>
        <w:t>T0146</w:t>
      </w:r>
      <w:r w:rsidRPr="002D31A9">
        <w:rPr>
          <w:szCs w:val="18"/>
        </w:rPr>
        <w:t>.</w:t>
      </w:r>
    </w:p>
  </w:footnote>
  <w:footnote w:id="112">
    <w:p w14:paraId="5F8A5B11" w14:textId="301B1F99"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T0331. Voir aussi T0017.</w:t>
      </w:r>
      <w:r w:rsidRPr="002D31A9">
        <w:rPr>
          <w:szCs w:val="18"/>
        </w:rPr>
        <w:t xml:space="preserve"> </w:t>
      </w:r>
    </w:p>
  </w:footnote>
  <w:footnote w:id="113">
    <w:p w14:paraId="59D48A38" w14:textId="33A0B9BA"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T0331</w:t>
      </w:r>
      <w:r w:rsidRPr="002D31A9">
        <w:rPr>
          <w:szCs w:val="18"/>
        </w:rPr>
        <w:t xml:space="preserve">.Voir aussi </w:t>
      </w:r>
      <w:r>
        <w:rPr>
          <w:szCs w:val="18"/>
        </w:rPr>
        <w:t>T0017</w:t>
      </w:r>
      <w:r w:rsidRPr="002D31A9">
        <w:rPr>
          <w:szCs w:val="18"/>
        </w:rPr>
        <w:t xml:space="preserve">. </w:t>
      </w:r>
    </w:p>
  </w:footnote>
  <w:footnote w:id="114">
    <w:p w14:paraId="49C76787" w14:textId="744B9764"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T0017</w:t>
      </w:r>
      <w:r w:rsidRPr="002D31A9">
        <w:rPr>
          <w:szCs w:val="18"/>
        </w:rPr>
        <w:t xml:space="preserve">. </w:t>
      </w:r>
      <w:r>
        <w:rPr>
          <w:szCs w:val="18"/>
        </w:rPr>
        <w:t xml:space="preserve">Voir aussi photos reçues par l’EEI. </w:t>
      </w:r>
      <w:r w:rsidRPr="004837FC">
        <w:rPr>
          <w:szCs w:val="18"/>
        </w:rPr>
        <w:t>Ces photos ont été transmises par un intermédiaire, qui indique qu’elles ont été prises à l’EFO et qui les présentent comme des photos du cadavre du chef Kamuina Nsapu et de militaires blessés lors de l’opération du 12 août 2016 contre le village du chef Kamuina Nsapu. L’EEI n’a pas été en mesure de confirmer l’origine des photos avec la personne qui les a prise</w:t>
      </w:r>
      <w:r>
        <w:rPr>
          <w:szCs w:val="18"/>
        </w:rPr>
        <w:t>s</w:t>
      </w:r>
      <w:r w:rsidRPr="004837FC">
        <w:rPr>
          <w:szCs w:val="18"/>
        </w:rPr>
        <w:t>.</w:t>
      </w:r>
    </w:p>
  </w:footnote>
  <w:footnote w:id="115">
    <w:p w14:paraId="01DB7014" w14:textId="40F2B587" w:rsidR="004E119B" w:rsidRPr="002D31A9" w:rsidRDefault="004E119B" w:rsidP="00AF09A8">
      <w:pPr>
        <w:pStyle w:val="FootnoteText"/>
        <w:tabs>
          <w:tab w:val="right" w:pos="54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Vidéo jointe à l’entretien T0399.</w:t>
      </w:r>
    </w:p>
  </w:footnote>
  <w:footnote w:id="116">
    <w:p w14:paraId="5A674E0F" w14:textId="39780E1B"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T0331</w:t>
      </w:r>
      <w:r w:rsidRPr="002D31A9">
        <w:rPr>
          <w:szCs w:val="18"/>
        </w:rPr>
        <w:t xml:space="preserve">. Voir aussi </w:t>
      </w:r>
      <w:r>
        <w:rPr>
          <w:szCs w:val="18"/>
        </w:rPr>
        <w:t>Rapport de la société civile</w:t>
      </w:r>
      <w:r w:rsidRPr="002D31A9">
        <w:rPr>
          <w:szCs w:val="18"/>
        </w:rPr>
        <w:t xml:space="preserve">. </w:t>
      </w:r>
    </w:p>
  </w:footnote>
  <w:footnote w:id="117">
    <w:p w14:paraId="482A8864" w14:textId="0A7458C6" w:rsidR="004E119B" w:rsidRPr="00B50F59" w:rsidRDefault="004E119B" w:rsidP="00AF09A8">
      <w:pPr>
        <w:pStyle w:val="FootnoteText"/>
        <w:ind w:left="1138" w:right="1138" w:hanging="228"/>
        <w:contextualSpacing/>
        <w:jc w:val="left"/>
        <w:rPr>
          <w:szCs w:val="18"/>
        </w:rPr>
      </w:pPr>
      <w:r w:rsidRPr="002D31A9">
        <w:rPr>
          <w:rStyle w:val="FootnoteReference"/>
          <w:szCs w:val="18"/>
        </w:rPr>
        <w:footnoteRef/>
      </w:r>
      <w:r w:rsidRPr="00B50F59">
        <w:rPr>
          <w:szCs w:val="18"/>
        </w:rPr>
        <w:t xml:space="preserve"> T0146, T0175.</w:t>
      </w:r>
    </w:p>
  </w:footnote>
  <w:footnote w:id="118">
    <w:p w14:paraId="22BF473C" w14:textId="3A23F33C" w:rsidR="004E119B" w:rsidRPr="002D31A9" w:rsidRDefault="004E119B" w:rsidP="00AF09A8">
      <w:pPr>
        <w:pStyle w:val="FootnoteText"/>
        <w:ind w:left="1138" w:right="1138" w:hanging="228"/>
        <w:contextualSpacing/>
        <w:jc w:val="left"/>
        <w:rPr>
          <w:szCs w:val="18"/>
          <w:shd w:val="clear" w:color="auto" w:fill="F6F6F6"/>
        </w:rPr>
      </w:pPr>
      <w:r w:rsidRPr="002D31A9">
        <w:rPr>
          <w:rStyle w:val="FootnoteReference"/>
          <w:szCs w:val="18"/>
        </w:rPr>
        <w:footnoteRef/>
      </w:r>
      <w:r w:rsidRPr="00405F13">
        <w:rPr>
          <w:szCs w:val="18"/>
        </w:rPr>
        <w:t xml:space="preserve"> </w:t>
      </w:r>
      <w:r>
        <w:rPr>
          <w:szCs w:val="18"/>
        </w:rPr>
        <w:t>T0181</w:t>
      </w:r>
      <w:r w:rsidRPr="00405F13">
        <w:rPr>
          <w:szCs w:val="18"/>
        </w:rPr>
        <w:t xml:space="preserve">, </w:t>
      </w:r>
      <w:r>
        <w:rPr>
          <w:szCs w:val="18"/>
        </w:rPr>
        <w:t>T0146</w:t>
      </w:r>
      <w:r w:rsidRPr="00405F13">
        <w:rPr>
          <w:szCs w:val="18"/>
        </w:rPr>
        <w:t xml:space="preserve">, </w:t>
      </w:r>
      <w:r>
        <w:rPr>
          <w:szCs w:val="18"/>
        </w:rPr>
        <w:t>T0188</w:t>
      </w:r>
      <w:r w:rsidRPr="00405F13">
        <w:rPr>
          <w:szCs w:val="18"/>
        </w:rPr>
        <w:t xml:space="preserve">, T0137. </w:t>
      </w:r>
      <w:r w:rsidRPr="002D31A9">
        <w:rPr>
          <w:szCs w:val="18"/>
        </w:rPr>
        <w:t xml:space="preserve">Voir aussi </w:t>
      </w:r>
      <w:r>
        <w:rPr>
          <w:szCs w:val="18"/>
        </w:rPr>
        <w:t>T0331</w:t>
      </w:r>
      <w:r w:rsidRPr="002D31A9">
        <w:rPr>
          <w:szCs w:val="18"/>
        </w:rPr>
        <w:t xml:space="preserve">, </w:t>
      </w:r>
      <w:r w:rsidRPr="00CC51D3">
        <w:rPr>
          <w:szCs w:val="18"/>
        </w:rPr>
        <w:t>BCNUDH de la MONUSCO, Rapport de mission d’enquête, violations graves des droits de l</w:t>
      </w:r>
      <w:r w:rsidRPr="00835F93">
        <w:rPr>
          <w:szCs w:val="18"/>
        </w:rPr>
        <w:t>’homme et du droit international humanitaire perpétrées par les forces de défense et de sécurité congolaises, ainsi que des miliciens du chef du village de Kamuina Nsapu, à Kananga et dans les territoires de Dibaya, Demba et Dimbelenge, province du Kasaï Central, entre le 22 juillet et le 30 octobre 2016, novembre 2016</w:t>
      </w:r>
      <w:r w:rsidRPr="002D31A9">
        <w:rPr>
          <w:szCs w:val="18"/>
        </w:rPr>
        <w:t xml:space="preserve">. </w:t>
      </w:r>
    </w:p>
  </w:footnote>
  <w:footnote w:id="119">
    <w:p w14:paraId="1F1C99A6" w14:textId="39636B13" w:rsidR="004E119B" w:rsidRPr="006956C5" w:rsidRDefault="004E119B" w:rsidP="00AF09A8">
      <w:pPr>
        <w:pStyle w:val="FootnoteText"/>
        <w:tabs>
          <w:tab w:val="right" w:pos="1080"/>
        </w:tabs>
        <w:ind w:left="1138" w:right="1138" w:hanging="228"/>
        <w:contextualSpacing/>
        <w:jc w:val="left"/>
        <w:rPr>
          <w:szCs w:val="18"/>
        </w:rPr>
      </w:pPr>
      <w:r w:rsidRPr="002D31A9">
        <w:rPr>
          <w:rStyle w:val="FootnoteReference"/>
          <w:szCs w:val="18"/>
        </w:rPr>
        <w:footnoteRef/>
      </w:r>
      <w:r w:rsidRPr="006956C5">
        <w:rPr>
          <w:szCs w:val="18"/>
        </w:rPr>
        <w:t xml:space="preserve"> T0137, T0417. </w:t>
      </w:r>
    </w:p>
  </w:footnote>
  <w:footnote w:id="120">
    <w:p w14:paraId="273F2868" w14:textId="2B8B5CD0" w:rsidR="004E119B" w:rsidRPr="006956C5" w:rsidRDefault="004E119B" w:rsidP="00AF09A8">
      <w:pPr>
        <w:pStyle w:val="FootnoteText"/>
        <w:ind w:left="1138" w:right="1138" w:hanging="228"/>
        <w:contextualSpacing/>
        <w:jc w:val="left"/>
        <w:rPr>
          <w:szCs w:val="18"/>
        </w:rPr>
      </w:pPr>
      <w:r w:rsidRPr="002D31A9">
        <w:rPr>
          <w:rStyle w:val="FootnoteReference"/>
          <w:szCs w:val="18"/>
        </w:rPr>
        <w:footnoteRef/>
      </w:r>
      <w:r w:rsidRPr="006956C5">
        <w:rPr>
          <w:szCs w:val="18"/>
        </w:rPr>
        <w:t xml:space="preserve"> T0146.</w:t>
      </w:r>
    </w:p>
  </w:footnote>
  <w:footnote w:id="121">
    <w:p w14:paraId="3CFDF2FA" w14:textId="204DFDDC" w:rsidR="004E119B" w:rsidRPr="006956C5" w:rsidRDefault="004E119B" w:rsidP="00AF09A8">
      <w:pPr>
        <w:pStyle w:val="FootnoteText"/>
        <w:ind w:left="1138" w:right="1138" w:hanging="228"/>
        <w:contextualSpacing/>
        <w:jc w:val="left"/>
        <w:rPr>
          <w:szCs w:val="18"/>
        </w:rPr>
      </w:pPr>
      <w:r w:rsidRPr="002D31A9">
        <w:rPr>
          <w:rStyle w:val="FootnoteReference"/>
          <w:szCs w:val="18"/>
        </w:rPr>
        <w:footnoteRef/>
      </w:r>
      <w:r w:rsidRPr="006956C5">
        <w:rPr>
          <w:szCs w:val="18"/>
        </w:rPr>
        <w:t xml:space="preserve"> T0181.</w:t>
      </w:r>
    </w:p>
  </w:footnote>
  <w:footnote w:id="122">
    <w:p w14:paraId="755F2873" w14:textId="79D9F387" w:rsidR="004E119B" w:rsidRPr="006956C5" w:rsidRDefault="004E119B" w:rsidP="00AF09A8">
      <w:pPr>
        <w:pStyle w:val="FootnoteText"/>
        <w:ind w:left="1138" w:right="1138" w:hanging="228"/>
        <w:contextualSpacing/>
        <w:jc w:val="left"/>
        <w:rPr>
          <w:szCs w:val="18"/>
          <w:shd w:val="clear" w:color="auto" w:fill="F6F6F6"/>
        </w:rPr>
      </w:pPr>
      <w:r w:rsidRPr="002D31A9">
        <w:rPr>
          <w:szCs w:val="18"/>
          <w:vertAlign w:val="superscript"/>
        </w:rPr>
        <w:footnoteRef/>
      </w:r>
      <w:r w:rsidRPr="006956C5">
        <w:rPr>
          <w:szCs w:val="18"/>
          <w:vertAlign w:val="superscript"/>
        </w:rPr>
        <w:t xml:space="preserve"> </w:t>
      </w:r>
      <w:r w:rsidRPr="006956C5">
        <w:rPr>
          <w:szCs w:val="18"/>
        </w:rPr>
        <w:t>T0181.</w:t>
      </w:r>
    </w:p>
  </w:footnote>
  <w:footnote w:id="123">
    <w:p w14:paraId="5E9FB67E" w14:textId="39633746" w:rsidR="004E119B" w:rsidRPr="006956C5" w:rsidRDefault="004E119B" w:rsidP="00AF09A8">
      <w:pPr>
        <w:pStyle w:val="FootnoteText"/>
        <w:ind w:left="1138" w:right="1138" w:hanging="228"/>
        <w:contextualSpacing/>
        <w:jc w:val="left"/>
        <w:rPr>
          <w:szCs w:val="18"/>
        </w:rPr>
      </w:pPr>
      <w:r w:rsidRPr="002D31A9">
        <w:rPr>
          <w:rStyle w:val="FootnoteReference"/>
          <w:szCs w:val="18"/>
        </w:rPr>
        <w:footnoteRef/>
      </w:r>
      <w:r w:rsidRPr="006956C5">
        <w:rPr>
          <w:szCs w:val="18"/>
        </w:rPr>
        <w:t xml:space="preserve"> T0146.</w:t>
      </w:r>
    </w:p>
  </w:footnote>
  <w:footnote w:id="124">
    <w:p w14:paraId="3028DD36" w14:textId="0F678178" w:rsidR="004E119B" w:rsidRPr="006956C5" w:rsidRDefault="004E119B" w:rsidP="00AF09A8">
      <w:pPr>
        <w:pStyle w:val="FootnoteText"/>
        <w:ind w:left="1138" w:right="1138" w:hanging="228"/>
        <w:contextualSpacing/>
        <w:jc w:val="left"/>
        <w:rPr>
          <w:szCs w:val="18"/>
        </w:rPr>
      </w:pPr>
      <w:r w:rsidRPr="002D31A9">
        <w:rPr>
          <w:rStyle w:val="FootnoteReference"/>
          <w:szCs w:val="18"/>
        </w:rPr>
        <w:footnoteRef/>
      </w:r>
      <w:r w:rsidRPr="006956C5">
        <w:rPr>
          <w:szCs w:val="18"/>
        </w:rPr>
        <w:t xml:space="preserve"> T0417.</w:t>
      </w:r>
    </w:p>
  </w:footnote>
  <w:footnote w:id="125">
    <w:p w14:paraId="2ABB2780" w14:textId="3EC6AC37" w:rsidR="004E119B" w:rsidRPr="006956C5" w:rsidRDefault="004E119B" w:rsidP="00AF09A8">
      <w:pPr>
        <w:pStyle w:val="FootnoteText"/>
        <w:ind w:left="1138" w:right="1138" w:hanging="228"/>
        <w:contextualSpacing/>
        <w:jc w:val="left"/>
        <w:rPr>
          <w:szCs w:val="18"/>
        </w:rPr>
      </w:pPr>
      <w:r w:rsidRPr="002D31A9">
        <w:rPr>
          <w:rStyle w:val="FootnoteReference"/>
          <w:szCs w:val="18"/>
        </w:rPr>
        <w:footnoteRef/>
      </w:r>
      <w:r w:rsidRPr="006956C5">
        <w:rPr>
          <w:szCs w:val="18"/>
        </w:rPr>
        <w:t xml:space="preserve"> T0174, T0017, T0146.</w:t>
      </w:r>
    </w:p>
  </w:footnote>
  <w:footnote w:id="126">
    <w:p w14:paraId="68E72CE5" w14:textId="654D4E90" w:rsidR="004E119B" w:rsidRPr="002D31A9" w:rsidRDefault="004E119B" w:rsidP="00AF09A8">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T0409</w:t>
      </w:r>
      <w:r w:rsidRPr="002D31A9">
        <w:rPr>
          <w:szCs w:val="18"/>
        </w:rPr>
        <w:t xml:space="preserve">.  </w:t>
      </w:r>
    </w:p>
  </w:footnote>
  <w:footnote w:id="127">
    <w:p w14:paraId="07B22D67" w14:textId="39D90F07" w:rsidR="004E119B" w:rsidRPr="002D31A9" w:rsidRDefault="004E119B" w:rsidP="00AF09A8">
      <w:pPr>
        <w:pStyle w:val="FootnoteText"/>
        <w:tabs>
          <w:tab w:val="right" w:pos="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T0121</w:t>
      </w:r>
      <w:r w:rsidRPr="002D31A9">
        <w:rPr>
          <w:szCs w:val="18"/>
        </w:rPr>
        <w:t xml:space="preserve">.  </w:t>
      </w:r>
    </w:p>
  </w:footnote>
  <w:footnote w:id="128">
    <w:p w14:paraId="59848496" w14:textId="77777777"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Document Interne MONUSCO.</w:t>
      </w:r>
    </w:p>
  </w:footnote>
  <w:footnote w:id="129">
    <w:p w14:paraId="4BDF42DC" w14:textId="4A3E2E55"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T0226</w:t>
      </w:r>
      <w:r w:rsidRPr="002D31A9">
        <w:rPr>
          <w:szCs w:val="18"/>
        </w:rPr>
        <w:t>.</w:t>
      </w:r>
    </w:p>
  </w:footnote>
  <w:footnote w:id="130">
    <w:p w14:paraId="4F14DFFE" w14:textId="2C4F1637"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T0064</w:t>
      </w:r>
      <w:r w:rsidRPr="002D31A9">
        <w:rPr>
          <w:szCs w:val="18"/>
        </w:rPr>
        <w:t xml:space="preserve">. Voir aussi </w:t>
      </w:r>
      <w:r>
        <w:rPr>
          <w:szCs w:val="18"/>
        </w:rPr>
        <w:t>T0107, T0318, T0037</w:t>
      </w:r>
      <w:r w:rsidRPr="002D31A9">
        <w:rPr>
          <w:szCs w:val="18"/>
        </w:rPr>
        <w:t>.</w:t>
      </w:r>
    </w:p>
  </w:footnote>
  <w:footnote w:id="131">
    <w:p w14:paraId="6EE1E697" w14:textId="71CD08EE" w:rsidR="004E119B" w:rsidRPr="00B50F59" w:rsidRDefault="004E119B" w:rsidP="00AF09A8">
      <w:pPr>
        <w:pStyle w:val="FootnoteText"/>
        <w:ind w:left="1138" w:right="1138" w:hanging="228"/>
        <w:contextualSpacing/>
        <w:jc w:val="left"/>
        <w:rPr>
          <w:szCs w:val="18"/>
        </w:rPr>
      </w:pPr>
      <w:r w:rsidRPr="002D31A9">
        <w:rPr>
          <w:rStyle w:val="FootnoteReference"/>
          <w:szCs w:val="18"/>
        </w:rPr>
        <w:footnoteRef/>
      </w:r>
      <w:r w:rsidRPr="00B50F59">
        <w:rPr>
          <w:szCs w:val="18"/>
        </w:rPr>
        <w:t xml:space="preserve"> T0064, T0226. </w:t>
      </w:r>
    </w:p>
  </w:footnote>
  <w:footnote w:id="132">
    <w:p w14:paraId="6B582E75" w14:textId="633BB4CD" w:rsidR="004E119B" w:rsidRPr="00B50F59" w:rsidRDefault="004E119B" w:rsidP="00AF09A8">
      <w:pPr>
        <w:pStyle w:val="FootnoteText"/>
        <w:tabs>
          <w:tab w:val="right" w:pos="1080"/>
        </w:tabs>
        <w:ind w:left="1138" w:right="1138" w:hanging="228"/>
        <w:contextualSpacing/>
        <w:jc w:val="left"/>
        <w:rPr>
          <w:szCs w:val="18"/>
        </w:rPr>
      </w:pPr>
      <w:r w:rsidRPr="002D31A9">
        <w:rPr>
          <w:rStyle w:val="FootnoteReference"/>
          <w:szCs w:val="18"/>
        </w:rPr>
        <w:footnoteRef/>
      </w:r>
      <w:r w:rsidRPr="00B50F59">
        <w:rPr>
          <w:szCs w:val="18"/>
        </w:rPr>
        <w:t xml:space="preserve"> T0064.</w:t>
      </w:r>
    </w:p>
  </w:footnote>
  <w:footnote w:id="133">
    <w:p w14:paraId="30FB253B" w14:textId="3C5181BE" w:rsidR="004E119B" w:rsidRPr="00B50F59" w:rsidRDefault="004E119B" w:rsidP="00AF09A8">
      <w:pPr>
        <w:spacing w:line="220" w:lineRule="exact"/>
        <w:ind w:left="1138" w:right="1138" w:hanging="228"/>
        <w:contextualSpacing/>
        <w:rPr>
          <w:sz w:val="18"/>
          <w:szCs w:val="18"/>
        </w:rPr>
      </w:pPr>
      <w:r w:rsidRPr="002D31A9">
        <w:rPr>
          <w:rStyle w:val="FootnoteReference"/>
          <w:szCs w:val="18"/>
        </w:rPr>
        <w:footnoteRef/>
      </w:r>
      <w:r w:rsidRPr="00B50F59">
        <w:rPr>
          <w:sz w:val="18"/>
          <w:szCs w:val="18"/>
        </w:rPr>
        <w:t xml:space="preserve"> T0064, T0226.  </w:t>
      </w:r>
    </w:p>
  </w:footnote>
  <w:footnote w:id="134">
    <w:p w14:paraId="2DD02379" w14:textId="0A4FEF6E"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T0064</w:t>
      </w:r>
      <w:r w:rsidRPr="002D31A9">
        <w:rPr>
          <w:szCs w:val="18"/>
        </w:rPr>
        <w:t xml:space="preserve">, </w:t>
      </w:r>
      <w:r>
        <w:rPr>
          <w:szCs w:val="18"/>
        </w:rPr>
        <w:t>T0226</w:t>
      </w:r>
      <w:r w:rsidRPr="002D31A9">
        <w:rPr>
          <w:color w:val="000000"/>
          <w:szCs w:val="18"/>
        </w:rPr>
        <w:t xml:space="preserve">. </w:t>
      </w:r>
      <w:r w:rsidRPr="00FE5E8D">
        <w:rPr>
          <w:color w:val="000000"/>
          <w:szCs w:val="18"/>
        </w:rPr>
        <w:t xml:space="preserve">Voir aussi </w:t>
      </w:r>
      <w:r>
        <w:rPr>
          <w:szCs w:val="18"/>
        </w:rPr>
        <w:t xml:space="preserve">RFI, « RDC : violences au Kasaï, chapitre 3, les Nations Unies face à la crise », </w:t>
      </w:r>
      <w:hyperlink r:id="rId3" w:history="1">
        <w:r w:rsidRPr="00FD62DC">
          <w:rPr>
            <w:rStyle w:val="Hyperlink"/>
            <w:szCs w:val="18"/>
          </w:rPr>
          <w:t>http://webdoc.rfi.fr/rdc-kasai-violences-crimes-kamuina-nsapu/chap-03/index.html</w:t>
        </w:r>
      </w:hyperlink>
      <w:r>
        <w:rPr>
          <w:szCs w:val="18"/>
        </w:rPr>
        <w:t xml:space="preserve">. </w:t>
      </w:r>
    </w:p>
  </w:footnote>
  <w:footnote w:id="135">
    <w:p w14:paraId="24EDA709" w14:textId="44285342"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T0226</w:t>
      </w:r>
      <w:r w:rsidRPr="002D31A9">
        <w:rPr>
          <w:szCs w:val="18"/>
        </w:rPr>
        <w:t xml:space="preserve">, </w:t>
      </w:r>
      <w:r>
        <w:rPr>
          <w:szCs w:val="18"/>
        </w:rPr>
        <w:t>T0431</w:t>
      </w:r>
      <w:r w:rsidRPr="002D31A9">
        <w:rPr>
          <w:szCs w:val="18"/>
        </w:rPr>
        <w:t>.</w:t>
      </w:r>
    </w:p>
  </w:footnote>
  <w:footnote w:id="136">
    <w:p w14:paraId="4C2DC216" w14:textId="01052F5B"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Document interne MONUSCO</w:t>
      </w:r>
      <w:r w:rsidRPr="002D31A9">
        <w:rPr>
          <w:szCs w:val="18"/>
        </w:rPr>
        <w:t xml:space="preserve">. </w:t>
      </w:r>
    </w:p>
  </w:footnote>
  <w:footnote w:id="137">
    <w:p w14:paraId="127B9A37" w14:textId="3EF65E72" w:rsidR="004E119B" w:rsidRPr="002D31A9" w:rsidRDefault="004E119B" w:rsidP="00AF09A8">
      <w:pPr>
        <w:pStyle w:val="FootnoteText"/>
        <w:tabs>
          <w:tab w:val="right" w:pos="0"/>
        </w:tabs>
        <w:ind w:left="1138" w:right="1138" w:hanging="228"/>
        <w:contextualSpacing/>
        <w:jc w:val="left"/>
        <w:rPr>
          <w:szCs w:val="18"/>
          <w:highlight w:val="yellow"/>
        </w:rPr>
      </w:pPr>
      <w:r w:rsidRPr="002D31A9">
        <w:rPr>
          <w:rStyle w:val="FootnoteReference"/>
          <w:szCs w:val="18"/>
        </w:rPr>
        <w:footnoteRef/>
      </w:r>
      <w:r w:rsidRPr="002D31A9">
        <w:rPr>
          <w:szCs w:val="18"/>
        </w:rPr>
        <w:t xml:space="preserve"> </w:t>
      </w:r>
      <w:r w:rsidRPr="00CC51D3">
        <w:rPr>
          <w:szCs w:val="18"/>
        </w:rPr>
        <w:t>BCNUDH de la MONUSCO, Rapport de mission d’enquête, violations graves des droits de l</w:t>
      </w:r>
      <w:r w:rsidRPr="00835F93">
        <w:rPr>
          <w:szCs w:val="18"/>
        </w:rPr>
        <w:t>’homme et du droit international humanitaire perpétrées par les forces de défense et de sécurité congolaises, ainsi que des miliciens du chef du village de Kamuina Nsapu, à Kananga et dans les territoires de Dibaya, Demba et Dimbelenge, province du Kasaï Central, entre le 22 juillet et le 30 octobre 2016, novembre 2016</w:t>
      </w:r>
      <w:r w:rsidRPr="002D31A9">
        <w:rPr>
          <w:szCs w:val="18"/>
        </w:rPr>
        <w:t>.</w:t>
      </w:r>
    </w:p>
  </w:footnote>
  <w:footnote w:id="138">
    <w:p w14:paraId="2AD7E9C0" w14:textId="7A0C9574"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T0372</w:t>
      </w:r>
      <w:r w:rsidRPr="002D31A9">
        <w:rPr>
          <w:szCs w:val="18"/>
        </w:rPr>
        <w:t>.</w:t>
      </w:r>
    </w:p>
  </w:footnote>
  <w:footnote w:id="139">
    <w:p w14:paraId="382F4650" w14:textId="7FB5CE49" w:rsidR="004E119B" w:rsidRPr="002D31A9"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T0037</w:t>
      </w:r>
      <w:r w:rsidRPr="002D31A9">
        <w:rPr>
          <w:szCs w:val="18"/>
        </w:rPr>
        <w:t>.</w:t>
      </w:r>
    </w:p>
  </w:footnote>
  <w:footnote w:id="140">
    <w:p w14:paraId="08A9438E" w14:textId="461C9092" w:rsidR="004E119B" w:rsidRPr="002D31A9" w:rsidRDefault="004E119B" w:rsidP="00AF09A8">
      <w:pPr>
        <w:pStyle w:val="FootnoteText"/>
        <w:tabs>
          <w:tab w:val="right" w:pos="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T0080</w:t>
      </w:r>
      <w:r w:rsidRPr="002D31A9">
        <w:rPr>
          <w:szCs w:val="18"/>
        </w:rPr>
        <w:t>.</w:t>
      </w:r>
    </w:p>
  </w:footnote>
  <w:footnote w:id="141">
    <w:p w14:paraId="609165EA" w14:textId="3E52B295" w:rsidR="004E119B" w:rsidRPr="002D31A9" w:rsidRDefault="004E119B" w:rsidP="00AF09A8">
      <w:pPr>
        <w:pStyle w:val="FootnoteText"/>
        <w:tabs>
          <w:tab w:val="right" w:pos="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T0372</w:t>
      </w:r>
      <w:r w:rsidRPr="002D31A9">
        <w:rPr>
          <w:szCs w:val="18"/>
        </w:rPr>
        <w:t>.</w:t>
      </w:r>
    </w:p>
  </w:footnote>
  <w:footnote w:id="142">
    <w:p w14:paraId="44FFBF37" w14:textId="582C6BD5" w:rsidR="004E119B" w:rsidRPr="00FE5E8D" w:rsidRDefault="004E119B" w:rsidP="00AF09A8">
      <w:pPr>
        <w:pStyle w:val="FootnoteText"/>
        <w:tabs>
          <w:tab w:val="right" w:pos="1080"/>
        </w:tabs>
        <w:ind w:left="1138" w:right="1138" w:hanging="228"/>
        <w:contextualSpacing/>
        <w:jc w:val="left"/>
        <w:rPr>
          <w:szCs w:val="18"/>
          <w:highlight w:val="yellow"/>
        </w:rPr>
      </w:pPr>
      <w:r w:rsidRPr="002D31A9">
        <w:rPr>
          <w:rStyle w:val="FootnoteReference"/>
          <w:szCs w:val="18"/>
        </w:rPr>
        <w:footnoteRef/>
      </w:r>
      <w:r w:rsidRPr="002D31A9">
        <w:rPr>
          <w:szCs w:val="18"/>
        </w:rPr>
        <w:t xml:space="preserve"> </w:t>
      </w:r>
      <w:r w:rsidRPr="00CC51D3">
        <w:rPr>
          <w:szCs w:val="18"/>
        </w:rPr>
        <w:t>BCNUDH de la MONUSCO, Rapport de mission d’enquête, violations graves des droits de l</w:t>
      </w:r>
      <w:r w:rsidRPr="00835F93">
        <w:rPr>
          <w:szCs w:val="18"/>
        </w:rPr>
        <w:t>’homme et du droit international humanitaire perpétrées par les forces de défense et de sécurité congolaises, ainsi que des miliciens du chef du village de Kamuina Nsapu, à Kananga et dans les territoires de Dibaya, Demba et Dimbelenge, province du Kasaï Central, entre le 22 juillet et le 30 octobre 2016, novembre 2016</w:t>
      </w:r>
      <w:r w:rsidRPr="002D31A9">
        <w:rPr>
          <w:szCs w:val="18"/>
        </w:rPr>
        <w:t xml:space="preserve">. </w:t>
      </w:r>
      <w:r w:rsidRPr="00FE5E8D">
        <w:rPr>
          <w:szCs w:val="18"/>
        </w:rPr>
        <w:t xml:space="preserve">Voir aussi </w:t>
      </w:r>
      <w:r>
        <w:rPr>
          <w:szCs w:val="18"/>
        </w:rPr>
        <w:t>T0431</w:t>
      </w:r>
      <w:r w:rsidRPr="00FE5E8D">
        <w:rPr>
          <w:szCs w:val="18"/>
        </w:rPr>
        <w:t xml:space="preserve">, </w:t>
      </w:r>
      <w:r>
        <w:rPr>
          <w:szCs w:val="18"/>
        </w:rPr>
        <w:t>T0311</w:t>
      </w:r>
      <w:r w:rsidRPr="00FE5E8D">
        <w:rPr>
          <w:szCs w:val="18"/>
        </w:rPr>
        <w:t>, documents internes MONUSCO.</w:t>
      </w:r>
      <w:r w:rsidRPr="0060278B">
        <w:rPr>
          <w:szCs w:val="18"/>
        </w:rPr>
        <w:t> </w:t>
      </w:r>
    </w:p>
  </w:footnote>
  <w:footnote w:id="143">
    <w:p w14:paraId="22576877" w14:textId="1FFACCFE" w:rsidR="004E119B" w:rsidRPr="00840539" w:rsidRDefault="004E119B" w:rsidP="00AF09A8">
      <w:pPr>
        <w:pStyle w:val="FootnoteText"/>
        <w:tabs>
          <w:tab w:val="right" w:pos="0"/>
        </w:tabs>
        <w:ind w:left="1138" w:right="1138" w:hanging="228"/>
        <w:contextualSpacing/>
        <w:jc w:val="left"/>
        <w:rPr>
          <w:szCs w:val="18"/>
        </w:rPr>
      </w:pPr>
      <w:r w:rsidRPr="002D31A9">
        <w:rPr>
          <w:rStyle w:val="FootnoteReference"/>
          <w:szCs w:val="18"/>
        </w:rPr>
        <w:footnoteRef/>
      </w:r>
      <w:r w:rsidRPr="002D31A9">
        <w:rPr>
          <w:szCs w:val="18"/>
        </w:rPr>
        <w:t xml:space="preserve"> Pour d’autres exemples que ceux énumérés dans ce rapport </w:t>
      </w:r>
      <w:r>
        <w:rPr>
          <w:szCs w:val="18"/>
        </w:rPr>
        <w:t>concernant</w:t>
      </w:r>
      <w:r w:rsidRPr="002D31A9">
        <w:rPr>
          <w:szCs w:val="18"/>
        </w:rPr>
        <w:t xml:space="preserve"> le territoire de Dibaya</w:t>
      </w:r>
      <w:r>
        <w:rPr>
          <w:szCs w:val="18"/>
        </w:rPr>
        <w:t xml:space="preserve">, </w:t>
      </w:r>
      <w:r w:rsidRPr="002D31A9">
        <w:rPr>
          <w:szCs w:val="18"/>
        </w:rPr>
        <w:t xml:space="preserve">voir </w:t>
      </w:r>
      <w:r>
        <w:rPr>
          <w:szCs w:val="18"/>
        </w:rPr>
        <w:t>T0203,</w:t>
      </w:r>
      <w:r w:rsidRPr="002D31A9">
        <w:rPr>
          <w:szCs w:val="18"/>
        </w:rPr>
        <w:t xml:space="preserve"> </w:t>
      </w:r>
      <w:r w:rsidRPr="00CC51D3">
        <w:rPr>
          <w:szCs w:val="18"/>
        </w:rPr>
        <w:t>BCNUDH de la MONUSCO, Rapport de mission d’enquête, violations graves des droits de l</w:t>
      </w:r>
      <w:r w:rsidRPr="00835F93">
        <w:rPr>
          <w:szCs w:val="18"/>
        </w:rPr>
        <w:t>’homme et du droit international humanitaire perpétrées par les forces de défense et de sécurité congolaises, ainsi que des miliciens du chef du village de Kamuina Nsapu, à Kananga et dans les territoires de Dibaya, Demba et Dimbelenge, province du Kasaï Central, entre le 22 juillet et le 30 octobre 2016, novembre 2016</w:t>
      </w:r>
      <w:r>
        <w:rPr>
          <w:szCs w:val="18"/>
        </w:rPr>
        <w:t>.</w:t>
      </w:r>
    </w:p>
  </w:footnote>
  <w:footnote w:id="144">
    <w:p w14:paraId="0E4F5BA6" w14:textId="3DE50FFD" w:rsidR="004E119B" w:rsidRPr="006560CD" w:rsidRDefault="004E119B" w:rsidP="00AF09A8">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T0151</w:t>
      </w:r>
      <w:r w:rsidRPr="006560CD">
        <w:rPr>
          <w:szCs w:val="18"/>
        </w:rPr>
        <w:t xml:space="preserve">. </w:t>
      </w:r>
      <w:r w:rsidRPr="00FE5E8D">
        <w:rPr>
          <w:szCs w:val="18"/>
        </w:rPr>
        <w:t xml:space="preserve">Voir aussi </w:t>
      </w:r>
      <w:r w:rsidRPr="006560CD">
        <w:rPr>
          <w:szCs w:val="18"/>
        </w:rPr>
        <w:t>document interne MONUSCO.</w:t>
      </w:r>
    </w:p>
  </w:footnote>
  <w:footnote w:id="145">
    <w:p w14:paraId="157BAE8C" w14:textId="628B550D" w:rsidR="004E119B" w:rsidRPr="00686B07" w:rsidRDefault="004E119B" w:rsidP="00AF09A8">
      <w:pPr>
        <w:pStyle w:val="FootnoteText"/>
        <w:ind w:left="1138" w:right="1138" w:hanging="228"/>
        <w:contextualSpacing/>
        <w:jc w:val="left"/>
        <w:rPr>
          <w:szCs w:val="18"/>
        </w:rPr>
      </w:pPr>
      <w:r w:rsidRPr="00686B07">
        <w:rPr>
          <w:rStyle w:val="FootnoteReference"/>
          <w:szCs w:val="18"/>
        </w:rPr>
        <w:footnoteRef/>
      </w:r>
      <w:r w:rsidRPr="00686B07">
        <w:rPr>
          <w:szCs w:val="18"/>
        </w:rPr>
        <w:t xml:space="preserve"> </w:t>
      </w:r>
      <w:r>
        <w:rPr>
          <w:szCs w:val="18"/>
        </w:rPr>
        <w:t>T0071</w:t>
      </w:r>
      <w:r w:rsidRPr="00686B07">
        <w:rPr>
          <w:szCs w:val="18"/>
        </w:rPr>
        <w:t>.</w:t>
      </w:r>
    </w:p>
  </w:footnote>
  <w:footnote w:id="146">
    <w:p w14:paraId="44E3F006" w14:textId="2D8F7D8B" w:rsidR="004E119B" w:rsidRPr="00591FD8" w:rsidRDefault="004E119B" w:rsidP="00AF09A8">
      <w:pPr>
        <w:pStyle w:val="FootnoteText"/>
        <w:ind w:left="1138" w:right="1138" w:hanging="228"/>
        <w:contextualSpacing/>
        <w:jc w:val="left"/>
        <w:rPr>
          <w:szCs w:val="18"/>
        </w:rPr>
      </w:pPr>
      <w:r w:rsidRPr="00591FD8">
        <w:rPr>
          <w:rStyle w:val="FootnoteReference"/>
          <w:szCs w:val="18"/>
        </w:rPr>
        <w:footnoteRef/>
      </w:r>
      <w:r w:rsidRPr="00591FD8">
        <w:rPr>
          <w:szCs w:val="18"/>
        </w:rPr>
        <w:t xml:space="preserve"> </w:t>
      </w:r>
      <w:r>
        <w:rPr>
          <w:szCs w:val="18"/>
        </w:rPr>
        <w:t>T0442</w:t>
      </w:r>
      <w:r w:rsidRPr="00591FD8">
        <w:rPr>
          <w:szCs w:val="18"/>
        </w:rPr>
        <w:t>.</w:t>
      </w:r>
    </w:p>
  </w:footnote>
  <w:footnote w:id="147">
    <w:p w14:paraId="777BF4BC" w14:textId="62C90B79" w:rsidR="004E119B" w:rsidRPr="006E341A" w:rsidRDefault="004E119B" w:rsidP="00AF09A8">
      <w:pPr>
        <w:pStyle w:val="FootnoteText"/>
        <w:ind w:left="1138" w:right="1138" w:hanging="228"/>
        <w:contextualSpacing/>
        <w:jc w:val="left"/>
        <w:rPr>
          <w:szCs w:val="18"/>
        </w:rPr>
      </w:pPr>
      <w:r w:rsidRPr="004637BD">
        <w:rPr>
          <w:rStyle w:val="FootnoteReference"/>
          <w:szCs w:val="18"/>
        </w:rPr>
        <w:footnoteRef/>
      </w:r>
      <w:r w:rsidRPr="004637BD">
        <w:rPr>
          <w:szCs w:val="18"/>
        </w:rPr>
        <w:t xml:space="preserve"> </w:t>
      </w:r>
      <w:r>
        <w:rPr>
          <w:szCs w:val="18"/>
        </w:rPr>
        <w:t>T0071</w:t>
      </w:r>
      <w:r w:rsidRPr="004637BD">
        <w:rPr>
          <w:szCs w:val="18"/>
        </w:rPr>
        <w:t xml:space="preserve">, </w:t>
      </w:r>
      <w:r>
        <w:rPr>
          <w:szCs w:val="18"/>
        </w:rPr>
        <w:t>T0409</w:t>
      </w:r>
      <w:r w:rsidRPr="004637BD">
        <w:rPr>
          <w:szCs w:val="18"/>
        </w:rPr>
        <w:t xml:space="preserve">. </w:t>
      </w:r>
      <w:r w:rsidRPr="00FE5E8D">
        <w:rPr>
          <w:szCs w:val="18"/>
        </w:rPr>
        <w:t xml:space="preserve">Voir aussi </w:t>
      </w:r>
      <w:r w:rsidRPr="006560CD">
        <w:rPr>
          <w:szCs w:val="18"/>
        </w:rPr>
        <w:t>document interne MONUSCO</w:t>
      </w:r>
      <w:r w:rsidRPr="006E341A">
        <w:rPr>
          <w:szCs w:val="18"/>
        </w:rPr>
        <w:t>.</w:t>
      </w:r>
    </w:p>
  </w:footnote>
  <w:footnote w:id="148">
    <w:p w14:paraId="6968D957" w14:textId="117C1B9E" w:rsidR="004E119B" w:rsidRPr="000F5C18" w:rsidRDefault="004E119B" w:rsidP="00AF09A8">
      <w:pPr>
        <w:pStyle w:val="FootnoteText"/>
        <w:ind w:left="1138" w:right="1138" w:hanging="228"/>
        <w:contextualSpacing/>
        <w:jc w:val="left"/>
        <w:rPr>
          <w:szCs w:val="18"/>
        </w:rPr>
      </w:pPr>
      <w:r w:rsidRPr="002D31A9">
        <w:rPr>
          <w:rStyle w:val="FootnoteReference"/>
          <w:szCs w:val="18"/>
        </w:rPr>
        <w:footnoteRef/>
      </w:r>
      <w:r w:rsidRPr="000F5C18">
        <w:rPr>
          <w:szCs w:val="18"/>
        </w:rPr>
        <w:t xml:space="preserve"> T0393.</w:t>
      </w:r>
    </w:p>
  </w:footnote>
  <w:footnote w:id="149">
    <w:p w14:paraId="7666C0FC" w14:textId="10A5DDD0" w:rsidR="004E119B" w:rsidRPr="000F5C18" w:rsidRDefault="004E119B" w:rsidP="00AF09A8">
      <w:pPr>
        <w:pStyle w:val="FootnoteText"/>
        <w:ind w:left="1138" w:right="1138" w:hanging="228"/>
        <w:contextualSpacing/>
        <w:jc w:val="left"/>
        <w:rPr>
          <w:szCs w:val="18"/>
        </w:rPr>
      </w:pPr>
      <w:r w:rsidRPr="002D31A9">
        <w:rPr>
          <w:rStyle w:val="FootnoteReference"/>
          <w:szCs w:val="18"/>
        </w:rPr>
        <w:footnoteRef/>
      </w:r>
      <w:r w:rsidRPr="000F5C18">
        <w:rPr>
          <w:szCs w:val="18"/>
        </w:rPr>
        <w:t xml:space="preserve"> T0409, </w:t>
      </w:r>
      <w:r>
        <w:rPr>
          <w:szCs w:val="18"/>
        </w:rPr>
        <w:t>T0393</w:t>
      </w:r>
      <w:r w:rsidRPr="000F5C18">
        <w:rPr>
          <w:szCs w:val="18"/>
        </w:rPr>
        <w:t xml:space="preserve">, </w:t>
      </w:r>
      <w:r>
        <w:rPr>
          <w:szCs w:val="18"/>
        </w:rPr>
        <w:t>T0290</w:t>
      </w:r>
      <w:r w:rsidRPr="000F5C18">
        <w:rPr>
          <w:szCs w:val="18"/>
        </w:rPr>
        <w:t>.</w:t>
      </w:r>
    </w:p>
  </w:footnote>
  <w:footnote w:id="150">
    <w:p w14:paraId="5F067057" w14:textId="69EB71BB" w:rsidR="004E119B" w:rsidRPr="000F5C18" w:rsidRDefault="004E119B" w:rsidP="00AF09A8">
      <w:pPr>
        <w:pStyle w:val="FootnoteText"/>
        <w:tabs>
          <w:tab w:val="right" w:pos="1080"/>
        </w:tabs>
        <w:ind w:left="1138" w:right="1138" w:hanging="228"/>
        <w:contextualSpacing/>
        <w:jc w:val="left"/>
        <w:rPr>
          <w:szCs w:val="18"/>
        </w:rPr>
      </w:pPr>
      <w:r w:rsidRPr="002D31A9">
        <w:rPr>
          <w:rStyle w:val="FootnoteReference"/>
          <w:szCs w:val="18"/>
        </w:rPr>
        <w:footnoteRef/>
      </w:r>
      <w:r w:rsidRPr="000F5C18">
        <w:rPr>
          <w:szCs w:val="18"/>
        </w:rPr>
        <w:t xml:space="preserve"> T0071, </w:t>
      </w:r>
      <w:r>
        <w:rPr>
          <w:szCs w:val="18"/>
        </w:rPr>
        <w:t>T0393</w:t>
      </w:r>
      <w:r w:rsidRPr="000F5C18">
        <w:rPr>
          <w:szCs w:val="18"/>
        </w:rPr>
        <w:t xml:space="preserve">, </w:t>
      </w:r>
      <w:r>
        <w:rPr>
          <w:szCs w:val="18"/>
        </w:rPr>
        <w:t>T0290</w:t>
      </w:r>
      <w:r w:rsidRPr="000F5C18">
        <w:rPr>
          <w:szCs w:val="18"/>
        </w:rPr>
        <w:t xml:space="preserve">, </w:t>
      </w:r>
      <w:r>
        <w:rPr>
          <w:szCs w:val="18"/>
        </w:rPr>
        <w:t>T0409</w:t>
      </w:r>
      <w:r w:rsidRPr="000F5C18">
        <w:rPr>
          <w:szCs w:val="18"/>
        </w:rPr>
        <w:t xml:space="preserve">, T0071. </w:t>
      </w:r>
    </w:p>
  </w:footnote>
  <w:footnote w:id="151">
    <w:p w14:paraId="1510AFEC" w14:textId="366138C3" w:rsidR="004E119B" w:rsidRPr="000F5C18" w:rsidRDefault="004E119B" w:rsidP="00AF09A8">
      <w:pPr>
        <w:pStyle w:val="FootnoteText"/>
        <w:ind w:left="1138" w:right="1138" w:hanging="228"/>
        <w:contextualSpacing/>
        <w:jc w:val="left"/>
        <w:rPr>
          <w:szCs w:val="18"/>
        </w:rPr>
      </w:pPr>
      <w:r w:rsidRPr="002D31A9">
        <w:rPr>
          <w:rStyle w:val="FootnoteReference"/>
          <w:szCs w:val="18"/>
        </w:rPr>
        <w:footnoteRef/>
      </w:r>
      <w:r w:rsidRPr="000F5C18">
        <w:rPr>
          <w:szCs w:val="18"/>
        </w:rPr>
        <w:t xml:space="preserve"> T0071, T0409.</w:t>
      </w:r>
    </w:p>
  </w:footnote>
  <w:footnote w:id="152">
    <w:p w14:paraId="3C399CF1" w14:textId="702DC67A" w:rsidR="004E119B" w:rsidRPr="000F5C18" w:rsidRDefault="004E119B" w:rsidP="00AF09A8">
      <w:pPr>
        <w:pStyle w:val="FootnoteText"/>
        <w:ind w:left="1138" w:right="1138" w:hanging="228"/>
        <w:contextualSpacing/>
        <w:jc w:val="left"/>
        <w:rPr>
          <w:szCs w:val="18"/>
        </w:rPr>
      </w:pPr>
      <w:r w:rsidRPr="002D31A9">
        <w:rPr>
          <w:rStyle w:val="FootnoteReference"/>
          <w:szCs w:val="18"/>
        </w:rPr>
        <w:footnoteRef/>
      </w:r>
      <w:r w:rsidRPr="000F5C18">
        <w:rPr>
          <w:szCs w:val="18"/>
        </w:rPr>
        <w:t xml:space="preserve"> T0393.</w:t>
      </w:r>
    </w:p>
  </w:footnote>
  <w:footnote w:id="153">
    <w:p w14:paraId="0946A9D6" w14:textId="5612B1D7" w:rsidR="004E119B" w:rsidRPr="000F5C18" w:rsidRDefault="004E119B" w:rsidP="00AF09A8">
      <w:pPr>
        <w:pStyle w:val="FootnoteText"/>
        <w:ind w:left="1138" w:right="1138" w:hanging="228"/>
        <w:contextualSpacing/>
        <w:jc w:val="left"/>
        <w:rPr>
          <w:szCs w:val="18"/>
        </w:rPr>
      </w:pPr>
      <w:r w:rsidRPr="002D31A9">
        <w:rPr>
          <w:rStyle w:val="FootnoteReference"/>
          <w:szCs w:val="18"/>
        </w:rPr>
        <w:footnoteRef/>
      </w:r>
      <w:r w:rsidRPr="000F5C18">
        <w:rPr>
          <w:szCs w:val="18"/>
        </w:rPr>
        <w:t xml:space="preserve"> T0290.</w:t>
      </w:r>
    </w:p>
  </w:footnote>
  <w:footnote w:id="154">
    <w:p w14:paraId="76EE39E0" w14:textId="052DC37D" w:rsidR="004E119B" w:rsidRPr="00B50F59" w:rsidRDefault="004E119B" w:rsidP="00AF09A8">
      <w:pPr>
        <w:pStyle w:val="FootnoteText"/>
        <w:ind w:left="1138" w:right="1138" w:hanging="228"/>
        <w:contextualSpacing/>
        <w:jc w:val="left"/>
        <w:rPr>
          <w:szCs w:val="18"/>
        </w:rPr>
      </w:pPr>
      <w:r w:rsidRPr="002D31A9">
        <w:rPr>
          <w:rStyle w:val="FootnoteReference"/>
          <w:szCs w:val="18"/>
        </w:rPr>
        <w:footnoteRef/>
      </w:r>
      <w:r w:rsidRPr="00B50F59">
        <w:rPr>
          <w:szCs w:val="18"/>
        </w:rPr>
        <w:t xml:space="preserve"> T0178.</w:t>
      </w:r>
    </w:p>
  </w:footnote>
  <w:footnote w:id="155">
    <w:p w14:paraId="2C2F3CFD" w14:textId="200F62DF" w:rsidR="004E119B" w:rsidRPr="006560CD" w:rsidRDefault="004E119B" w:rsidP="00AF09A8">
      <w:pPr>
        <w:pStyle w:val="FootnoteText"/>
        <w:ind w:left="1138" w:right="1138" w:hanging="228"/>
        <w:contextualSpacing/>
        <w:jc w:val="left"/>
        <w:rPr>
          <w:szCs w:val="18"/>
        </w:rPr>
      </w:pPr>
      <w:r w:rsidRPr="006560CD">
        <w:rPr>
          <w:rStyle w:val="FootnoteReference"/>
          <w:szCs w:val="18"/>
        </w:rPr>
        <w:footnoteRef/>
      </w:r>
      <w:r w:rsidRPr="006560CD">
        <w:rPr>
          <w:szCs w:val="18"/>
        </w:rPr>
        <w:t xml:space="preserve"> </w:t>
      </w:r>
      <w:r>
        <w:rPr>
          <w:szCs w:val="18"/>
        </w:rPr>
        <w:t>T0174</w:t>
      </w:r>
      <w:r w:rsidRPr="006560CD">
        <w:rPr>
          <w:szCs w:val="18"/>
        </w:rPr>
        <w:t>.</w:t>
      </w:r>
    </w:p>
  </w:footnote>
  <w:footnote w:id="156">
    <w:p w14:paraId="2B437E11" w14:textId="5B510A23" w:rsidR="004E119B" w:rsidRPr="00FE5E8D" w:rsidRDefault="004E119B" w:rsidP="00AF09A8">
      <w:pPr>
        <w:pStyle w:val="FootnoteText"/>
        <w:ind w:left="1138" w:right="1138" w:hanging="228"/>
        <w:contextualSpacing/>
        <w:jc w:val="left"/>
        <w:rPr>
          <w:szCs w:val="18"/>
        </w:rPr>
      </w:pPr>
      <w:r w:rsidRPr="00686B07">
        <w:rPr>
          <w:rStyle w:val="FootnoteReference"/>
          <w:szCs w:val="18"/>
        </w:rPr>
        <w:footnoteRef/>
      </w:r>
      <w:r w:rsidRPr="00686B07">
        <w:rPr>
          <w:szCs w:val="18"/>
        </w:rPr>
        <w:t xml:space="preserve"> </w:t>
      </w:r>
      <w:r w:rsidRPr="00565C02">
        <w:rPr>
          <w:szCs w:val="18"/>
        </w:rPr>
        <w:t xml:space="preserve">BCNUDH de la MONUSCO, Rapport de mission d’enquête, violations graves des droits de l’homme et du droit international humanitaire perpétrées par les forces de défense et de sécurité congolaises, ainsi que des miliciens du </w:t>
      </w:r>
      <w:r w:rsidRPr="00591FD8">
        <w:rPr>
          <w:szCs w:val="18"/>
        </w:rPr>
        <w:t>chef du village de Kamuina Nsapu, à Kananga et dans les territoires de Dibaya, Demba et Dimbelenge, province du Kasaï Central, entre le 22 juillet et le 30 octobre 2016, novembre 2016.</w:t>
      </w:r>
    </w:p>
  </w:footnote>
  <w:footnote w:id="157">
    <w:p w14:paraId="574828F1" w14:textId="68A4252F" w:rsidR="004E119B" w:rsidRPr="006560CD" w:rsidRDefault="004E119B" w:rsidP="00AF09A8">
      <w:pPr>
        <w:pStyle w:val="FootnoteText"/>
        <w:ind w:left="1138" w:right="1138" w:hanging="228"/>
        <w:contextualSpacing/>
        <w:jc w:val="left"/>
        <w:rPr>
          <w:szCs w:val="18"/>
        </w:rPr>
      </w:pPr>
      <w:r w:rsidRPr="00FE5E8D">
        <w:rPr>
          <w:rStyle w:val="FootnoteReference"/>
          <w:szCs w:val="18"/>
        </w:rPr>
        <w:footnoteRef/>
      </w:r>
      <w:r w:rsidRPr="00FE5E8D">
        <w:rPr>
          <w:szCs w:val="18"/>
        </w:rPr>
        <w:t xml:space="preserve"> </w:t>
      </w:r>
      <w:r w:rsidRPr="006560CD">
        <w:rPr>
          <w:szCs w:val="18"/>
        </w:rPr>
        <w:t>Document interne MONUSCO.</w:t>
      </w:r>
    </w:p>
  </w:footnote>
  <w:footnote w:id="158">
    <w:p w14:paraId="06578C6E" w14:textId="15550733" w:rsidR="004E119B" w:rsidRPr="00565C02" w:rsidRDefault="004E119B" w:rsidP="00AF09A8">
      <w:pPr>
        <w:pStyle w:val="FootnoteText"/>
        <w:ind w:left="1138" w:right="1138" w:hanging="228"/>
        <w:contextualSpacing/>
        <w:jc w:val="left"/>
        <w:rPr>
          <w:szCs w:val="18"/>
        </w:rPr>
      </w:pPr>
      <w:r w:rsidRPr="00686B07">
        <w:rPr>
          <w:rStyle w:val="FootnoteReference"/>
          <w:szCs w:val="18"/>
        </w:rPr>
        <w:footnoteRef/>
      </w:r>
      <w:r w:rsidRPr="00686B07">
        <w:rPr>
          <w:szCs w:val="18"/>
        </w:rPr>
        <w:t xml:space="preserve"> </w:t>
      </w:r>
      <w:r>
        <w:rPr>
          <w:szCs w:val="18"/>
        </w:rPr>
        <w:t>T0370</w:t>
      </w:r>
      <w:r w:rsidRPr="00686B07">
        <w:rPr>
          <w:szCs w:val="18"/>
        </w:rPr>
        <w:t>.</w:t>
      </w:r>
    </w:p>
  </w:footnote>
  <w:footnote w:id="159">
    <w:p w14:paraId="67B31A7F" w14:textId="36EF9DB5" w:rsidR="004E119B" w:rsidRPr="00591FD8" w:rsidRDefault="004E119B" w:rsidP="00AF09A8">
      <w:pPr>
        <w:pStyle w:val="FootnoteText"/>
        <w:ind w:left="1138" w:right="1138" w:hanging="228"/>
        <w:contextualSpacing/>
        <w:jc w:val="left"/>
        <w:rPr>
          <w:szCs w:val="18"/>
        </w:rPr>
      </w:pPr>
      <w:r w:rsidRPr="00591FD8">
        <w:rPr>
          <w:rStyle w:val="FootnoteReference"/>
          <w:szCs w:val="18"/>
        </w:rPr>
        <w:footnoteRef/>
      </w:r>
      <w:r w:rsidRPr="00591FD8">
        <w:rPr>
          <w:szCs w:val="18"/>
        </w:rPr>
        <w:t xml:space="preserve"> </w:t>
      </w:r>
      <w:r>
        <w:rPr>
          <w:szCs w:val="18"/>
        </w:rPr>
        <w:t>T0370</w:t>
      </w:r>
      <w:r w:rsidRPr="00591FD8">
        <w:rPr>
          <w:szCs w:val="18"/>
        </w:rPr>
        <w:t>.</w:t>
      </w:r>
    </w:p>
  </w:footnote>
  <w:footnote w:id="160">
    <w:p w14:paraId="5D0C5F5D" w14:textId="5BF951CE" w:rsidR="004E119B" w:rsidRPr="001A302E" w:rsidRDefault="004E119B" w:rsidP="00AF09A8">
      <w:pPr>
        <w:pStyle w:val="FootnoteText"/>
        <w:tabs>
          <w:tab w:val="right" w:pos="1080"/>
        </w:tabs>
        <w:ind w:left="1138" w:right="1138" w:hanging="228"/>
        <w:contextualSpacing/>
        <w:jc w:val="left"/>
        <w:rPr>
          <w:szCs w:val="18"/>
        </w:rPr>
      </w:pPr>
      <w:r w:rsidRPr="00591FD8">
        <w:rPr>
          <w:rStyle w:val="FootnoteReference"/>
          <w:szCs w:val="18"/>
        </w:rPr>
        <w:footnoteRef/>
      </w:r>
      <w:r w:rsidRPr="001A302E">
        <w:rPr>
          <w:szCs w:val="18"/>
        </w:rPr>
        <w:t xml:space="preserve"> T0331.</w:t>
      </w:r>
    </w:p>
  </w:footnote>
  <w:footnote w:id="161">
    <w:p w14:paraId="3EB35BD6" w14:textId="15515949" w:rsidR="004E119B" w:rsidRPr="001A302E" w:rsidRDefault="004E119B" w:rsidP="00AF09A8">
      <w:pPr>
        <w:pStyle w:val="FootnoteText"/>
        <w:ind w:left="1138" w:right="1138" w:hanging="228"/>
        <w:contextualSpacing/>
        <w:jc w:val="left"/>
        <w:rPr>
          <w:szCs w:val="18"/>
        </w:rPr>
      </w:pPr>
      <w:r w:rsidRPr="00591FD8">
        <w:rPr>
          <w:rStyle w:val="FootnoteReference"/>
          <w:szCs w:val="18"/>
        </w:rPr>
        <w:footnoteRef/>
      </w:r>
      <w:r w:rsidRPr="001A302E">
        <w:rPr>
          <w:szCs w:val="18"/>
        </w:rPr>
        <w:t xml:space="preserve"> T0110, </w:t>
      </w:r>
      <w:r>
        <w:rPr>
          <w:szCs w:val="18"/>
        </w:rPr>
        <w:t>T0109</w:t>
      </w:r>
      <w:r w:rsidRPr="001A302E">
        <w:rPr>
          <w:szCs w:val="18"/>
        </w:rPr>
        <w:t>.</w:t>
      </w:r>
    </w:p>
  </w:footnote>
  <w:footnote w:id="162">
    <w:p w14:paraId="01D6ED8C" w14:textId="64D99F2F" w:rsidR="004E119B" w:rsidRPr="001A302E" w:rsidRDefault="004E119B" w:rsidP="00AF09A8">
      <w:pPr>
        <w:pStyle w:val="FootnoteText"/>
        <w:tabs>
          <w:tab w:val="right" w:pos="270"/>
        </w:tabs>
        <w:ind w:left="1138" w:right="1138" w:hanging="228"/>
        <w:contextualSpacing/>
        <w:jc w:val="left"/>
        <w:rPr>
          <w:szCs w:val="18"/>
        </w:rPr>
      </w:pPr>
      <w:r w:rsidRPr="002D31A9">
        <w:rPr>
          <w:rStyle w:val="FootnoteReference"/>
          <w:szCs w:val="18"/>
        </w:rPr>
        <w:footnoteRef/>
      </w:r>
      <w:r w:rsidRPr="001A302E">
        <w:rPr>
          <w:szCs w:val="18"/>
        </w:rPr>
        <w:t xml:space="preserve"> T0418, T0110. </w:t>
      </w:r>
    </w:p>
  </w:footnote>
  <w:footnote w:id="163">
    <w:p w14:paraId="2D63CE4E" w14:textId="271C257C" w:rsidR="004E119B" w:rsidRPr="001A302E" w:rsidRDefault="004E119B" w:rsidP="00AF09A8">
      <w:pPr>
        <w:pStyle w:val="FootnoteText"/>
        <w:ind w:left="1138" w:right="1138" w:hanging="228"/>
        <w:contextualSpacing/>
        <w:jc w:val="left"/>
        <w:rPr>
          <w:szCs w:val="18"/>
        </w:rPr>
      </w:pPr>
      <w:r w:rsidRPr="002D31A9">
        <w:rPr>
          <w:rStyle w:val="FootnoteReference"/>
          <w:szCs w:val="18"/>
        </w:rPr>
        <w:footnoteRef/>
      </w:r>
      <w:r w:rsidRPr="001A302E">
        <w:rPr>
          <w:szCs w:val="18"/>
        </w:rPr>
        <w:t xml:space="preserve"> </w:t>
      </w:r>
      <w:r>
        <w:rPr>
          <w:szCs w:val="18"/>
        </w:rPr>
        <w:t>T0109</w:t>
      </w:r>
      <w:r w:rsidRPr="001A302E">
        <w:rPr>
          <w:szCs w:val="18"/>
        </w:rPr>
        <w:t>, T0418.</w:t>
      </w:r>
    </w:p>
  </w:footnote>
  <w:footnote w:id="164">
    <w:p w14:paraId="68EE53E3" w14:textId="33418836" w:rsidR="004E119B" w:rsidRPr="001A302E" w:rsidRDefault="004E119B" w:rsidP="00AF09A8">
      <w:pPr>
        <w:pStyle w:val="FootnoteText"/>
        <w:ind w:left="1138" w:right="1138" w:hanging="228"/>
        <w:contextualSpacing/>
        <w:jc w:val="left"/>
        <w:rPr>
          <w:szCs w:val="18"/>
        </w:rPr>
      </w:pPr>
      <w:r w:rsidRPr="002D31A9">
        <w:rPr>
          <w:rStyle w:val="FootnoteReference"/>
          <w:szCs w:val="18"/>
        </w:rPr>
        <w:footnoteRef/>
      </w:r>
      <w:r w:rsidRPr="001A302E">
        <w:rPr>
          <w:szCs w:val="18"/>
        </w:rPr>
        <w:t xml:space="preserve"> T0418, </w:t>
      </w:r>
      <w:r>
        <w:rPr>
          <w:szCs w:val="18"/>
        </w:rPr>
        <w:t>T0109</w:t>
      </w:r>
      <w:r w:rsidRPr="001A302E">
        <w:rPr>
          <w:szCs w:val="18"/>
        </w:rPr>
        <w:t>, T0110.</w:t>
      </w:r>
    </w:p>
  </w:footnote>
  <w:footnote w:id="165">
    <w:p w14:paraId="1A151C3C" w14:textId="25E5A8F8" w:rsidR="004E119B" w:rsidRPr="001A302E" w:rsidRDefault="004E119B" w:rsidP="00AF09A8">
      <w:pPr>
        <w:pStyle w:val="FootnoteText"/>
        <w:ind w:left="1138" w:right="1138" w:hanging="228"/>
        <w:contextualSpacing/>
        <w:jc w:val="left"/>
        <w:rPr>
          <w:szCs w:val="18"/>
        </w:rPr>
      </w:pPr>
      <w:r w:rsidRPr="002D31A9">
        <w:rPr>
          <w:rStyle w:val="FootnoteReference"/>
          <w:szCs w:val="18"/>
        </w:rPr>
        <w:footnoteRef/>
      </w:r>
      <w:r w:rsidRPr="001A302E">
        <w:rPr>
          <w:szCs w:val="18"/>
        </w:rPr>
        <w:t xml:space="preserve"> T0418, </w:t>
      </w:r>
      <w:r>
        <w:rPr>
          <w:szCs w:val="18"/>
        </w:rPr>
        <w:t>T0109</w:t>
      </w:r>
      <w:r w:rsidRPr="001A302E">
        <w:rPr>
          <w:szCs w:val="18"/>
        </w:rPr>
        <w:t>.</w:t>
      </w:r>
    </w:p>
  </w:footnote>
  <w:footnote w:id="166">
    <w:p w14:paraId="36E8EB6F" w14:textId="0BAB0E61" w:rsidR="004E119B" w:rsidRPr="00D13A3C" w:rsidRDefault="004E119B" w:rsidP="00AF09A8">
      <w:pPr>
        <w:pStyle w:val="FootnoteText"/>
        <w:ind w:left="1138" w:right="1138" w:hanging="228"/>
        <w:contextualSpacing/>
        <w:jc w:val="left"/>
        <w:rPr>
          <w:szCs w:val="18"/>
        </w:rPr>
      </w:pPr>
      <w:r w:rsidRPr="002D31A9">
        <w:rPr>
          <w:rStyle w:val="FootnoteReference"/>
          <w:szCs w:val="18"/>
        </w:rPr>
        <w:footnoteRef/>
      </w:r>
      <w:r w:rsidRPr="00D13A3C">
        <w:rPr>
          <w:szCs w:val="18"/>
        </w:rPr>
        <w:t xml:space="preserve"> </w:t>
      </w:r>
      <w:r>
        <w:rPr>
          <w:szCs w:val="18"/>
        </w:rPr>
        <w:t>T0109</w:t>
      </w:r>
      <w:r w:rsidRPr="00D13A3C">
        <w:rPr>
          <w:szCs w:val="18"/>
        </w:rPr>
        <w:t xml:space="preserve">, </w:t>
      </w:r>
      <w:r>
        <w:rPr>
          <w:szCs w:val="18"/>
        </w:rPr>
        <w:t>T0418</w:t>
      </w:r>
      <w:r w:rsidRPr="00D13A3C">
        <w:rPr>
          <w:szCs w:val="18"/>
        </w:rPr>
        <w:t xml:space="preserve">, </w:t>
      </w:r>
      <w:r>
        <w:rPr>
          <w:szCs w:val="18"/>
        </w:rPr>
        <w:t>T0140</w:t>
      </w:r>
      <w:r w:rsidRPr="00D13A3C">
        <w:rPr>
          <w:szCs w:val="18"/>
        </w:rPr>
        <w:t xml:space="preserve">, </w:t>
      </w:r>
      <w:r>
        <w:rPr>
          <w:szCs w:val="18"/>
        </w:rPr>
        <w:t>T0353</w:t>
      </w:r>
      <w:r w:rsidRPr="00D13A3C">
        <w:rPr>
          <w:szCs w:val="18"/>
        </w:rPr>
        <w:t>, T0307, T0110.</w:t>
      </w:r>
    </w:p>
  </w:footnote>
  <w:footnote w:id="167">
    <w:p w14:paraId="209CDFA9" w14:textId="25489DFB" w:rsidR="004E119B" w:rsidRPr="001A302E" w:rsidRDefault="004E119B" w:rsidP="00AF09A8">
      <w:pPr>
        <w:pStyle w:val="FootnoteText"/>
        <w:ind w:left="1138" w:right="1138" w:hanging="228"/>
        <w:contextualSpacing/>
        <w:jc w:val="left"/>
        <w:rPr>
          <w:szCs w:val="18"/>
        </w:rPr>
      </w:pPr>
      <w:r w:rsidRPr="002D31A9">
        <w:rPr>
          <w:rStyle w:val="FootnoteReference"/>
          <w:szCs w:val="18"/>
        </w:rPr>
        <w:footnoteRef/>
      </w:r>
      <w:r w:rsidRPr="001A302E">
        <w:rPr>
          <w:szCs w:val="18"/>
        </w:rPr>
        <w:t xml:space="preserve"> T0109.</w:t>
      </w:r>
    </w:p>
  </w:footnote>
  <w:footnote w:id="168">
    <w:p w14:paraId="3D3D242C" w14:textId="7BC3757D" w:rsidR="004E119B" w:rsidRPr="001A302E" w:rsidRDefault="004E119B" w:rsidP="00AF09A8">
      <w:pPr>
        <w:pStyle w:val="FootnoteText"/>
        <w:ind w:left="1138" w:right="1138" w:hanging="228"/>
        <w:contextualSpacing/>
        <w:jc w:val="left"/>
        <w:rPr>
          <w:szCs w:val="18"/>
        </w:rPr>
      </w:pPr>
      <w:r w:rsidRPr="002D31A9">
        <w:rPr>
          <w:rStyle w:val="FootnoteReference"/>
          <w:szCs w:val="18"/>
        </w:rPr>
        <w:footnoteRef/>
      </w:r>
      <w:r w:rsidRPr="001A302E">
        <w:rPr>
          <w:szCs w:val="18"/>
        </w:rPr>
        <w:t xml:space="preserve"> T0418.</w:t>
      </w:r>
    </w:p>
  </w:footnote>
  <w:footnote w:id="169">
    <w:p w14:paraId="6DA1744A" w14:textId="1628CB9A" w:rsidR="004E119B" w:rsidRPr="001A302E" w:rsidRDefault="004E119B" w:rsidP="00AF09A8">
      <w:pPr>
        <w:pStyle w:val="FootnoteText"/>
        <w:ind w:left="1138" w:right="1138" w:hanging="228"/>
        <w:contextualSpacing/>
        <w:jc w:val="left"/>
        <w:rPr>
          <w:szCs w:val="18"/>
        </w:rPr>
      </w:pPr>
      <w:r w:rsidRPr="002D31A9">
        <w:rPr>
          <w:rStyle w:val="FootnoteReference"/>
          <w:szCs w:val="18"/>
        </w:rPr>
        <w:footnoteRef/>
      </w:r>
      <w:r w:rsidRPr="001A302E">
        <w:rPr>
          <w:szCs w:val="18"/>
        </w:rPr>
        <w:t xml:space="preserve"> T0140, T0307.</w:t>
      </w:r>
    </w:p>
  </w:footnote>
  <w:footnote w:id="170">
    <w:p w14:paraId="65F71F96" w14:textId="61C47D3B" w:rsidR="004E119B" w:rsidRPr="00B50F59" w:rsidRDefault="004E119B" w:rsidP="00AF09A8">
      <w:pPr>
        <w:pStyle w:val="FootnoteText"/>
        <w:ind w:left="1138" w:right="1138" w:hanging="228"/>
        <w:contextualSpacing/>
        <w:jc w:val="left"/>
        <w:rPr>
          <w:szCs w:val="18"/>
        </w:rPr>
      </w:pPr>
      <w:r w:rsidRPr="002D31A9">
        <w:rPr>
          <w:rStyle w:val="FootnoteReference"/>
          <w:szCs w:val="18"/>
        </w:rPr>
        <w:footnoteRef/>
      </w:r>
      <w:r w:rsidRPr="00B50F59">
        <w:rPr>
          <w:szCs w:val="18"/>
        </w:rPr>
        <w:t xml:space="preserve"> T0353.</w:t>
      </w:r>
    </w:p>
  </w:footnote>
  <w:footnote w:id="171">
    <w:p w14:paraId="54839C20" w14:textId="79F73187" w:rsidR="004E119B" w:rsidRPr="00B50F59" w:rsidRDefault="004E119B" w:rsidP="00AF09A8">
      <w:pPr>
        <w:pStyle w:val="FootnoteText"/>
        <w:ind w:left="1138" w:right="1138" w:hanging="228"/>
        <w:contextualSpacing/>
        <w:jc w:val="left"/>
        <w:rPr>
          <w:szCs w:val="18"/>
        </w:rPr>
      </w:pPr>
      <w:r w:rsidRPr="002D31A9">
        <w:rPr>
          <w:rStyle w:val="FootnoteReference"/>
          <w:szCs w:val="18"/>
        </w:rPr>
        <w:footnoteRef/>
      </w:r>
      <w:r w:rsidRPr="00B50F59">
        <w:rPr>
          <w:szCs w:val="18"/>
        </w:rPr>
        <w:t xml:space="preserve"> T0109.</w:t>
      </w:r>
    </w:p>
  </w:footnote>
  <w:footnote w:id="172">
    <w:p w14:paraId="58096146" w14:textId="3F6470B8" w:rsidR="004E119B" w:rsidRPr="00B50F59" w:rsidRDefault="004E119B" w:rsidP="00AF09A8">
      <w:pPr>
        <w:pStyle w:val="FootnoteText"/>
        <w:ind w:left="1138" w:right="1138" w:hanging="228"/>
        <w:contextualSpacing/>
        <w:jc w:val="left"/>
        <w:rPr>
          <w:szCs w:val="18"/>
        </w:rPr>
      </w:pPr>
      <w:r w:rsidRPr="002D31A9">
        <w:rPr>
          <w:rStyle w:val="FootnoteReference"/>
          <w:szCs w:val="18"/>
        </w:rPr>
        <w:footnoteRef/>
      </w:r>
      <w:r w:rsidRPr="00B50F59">
        <w:rPr>
          <w:szCs w:val="18"/>
        </w:rPr>
        <w:t xml:space="preserve"> T0140.</w:t>
      </w:r>
    </w:p>
  </w:footnote>
  <w:footnote w:id="173">
    <w:p w14:paraId="7AE5989C" w14:textId="5447076A" w:rsidR="004E119B" w:rsidRPr="00B50F59" w:rsidRDefault="004E119B" w:rsidP="00BA14D7">
      <w:pPr>
        <w:pStyle w:val="FootnoteText"/>
        <w:tabs>
          <w:tab w:val="right" w:pos="1080"/>
        </w:tabs>
        <w:ind w:left="1138" w:right="1138" w:hanging="228"/>
        <w:contextualSpacing/>
        <w:jc w:val="left"/>
        <w:rPr>
          <w:szCs w:val="18"/>
        </w:rPr>
      </w:pPr>
      <w:r w:rsidRPr="002D31A9">
        <w:rPr>
          <w:rStyle w:val="FootnoteReference"/>
          <w:szCs w:val="18"/>
        </w:rPr>
        <w:footnoteRef/>
      </w:r>
      <w:r w:rsidRPr="00B50F59">
        <w:rPr>
          <w:szCs w:val="18"/>
        </w:rPr>
        <w:t xml:space="preserve"> T0307.</w:t>
      </w:r>
    </w:p>
  </w:footnote>
  <w:footnote w:id="174">
    <w:p w14:paraId="551CA53D" w14:textId="18C7CC8A" w:rsidR="004E119B" w:rsidRPr="00B50F59" w:rsidRDefault="004E119B" w:rsidP="00BA14D7">
      <w:pPr>
        <w:pStyle w:val="FootnoteText"/>
        <w:ind w:left="1138" w:right="1138" w:hanging="228"/>
        <w:contextualSpacing/>
        <w:jc w:val="left"/>
        <w:rPr>
          <w:szCs w:val="18"/>
        </w:rPr>
      </w:pPr>
      <w:r w:rsidRPr="002D31A9">
        <w:rPr>
          <w:rStyle w:val="FootnoteReference"/>
          <w:szCs w:val="18"/>
        </w:rPr>
        <w:footnoteRef/>
      </w:r>
      <w:r w:rsidRPr="00B50F59">
        <w:rPr>
          <w:szCs w:val="18"/>
        </w:rPr>
        <w:t xml:space="preserve"> T0045. </w:t>
      </w:r>
    </w:p>
  </w:footnote>
  <w:footnote w:id="175">
    <w:p w14:paraId="46FBE5B5" w14:textId="3597B15C" w:rsidR="004E119B" w:rsidRPr="00B50F59" w:rsidRDefault="004E119B" w:rsidP="00BA14D7">
      <w:pPr>
        <w:pStyle w:val="FootnoteText"/>
        <w:ind w:left="1138" w:right="1138" w:hanging="228"/>
        <w:contextualSpacing/>
        <w:jc w:val="left"/>
        <w:rPr>
          <w:szCs w:val="18"/>
        </w:rPr>
      </w:pPr>
      <w:r w:rsidRPr="002D31A9">
        <w:rPr>
          <w:rStyle w:val="FootnoteReference"/>
          <w:szCs w:val="18"/>
        </w:rPr>
        <w:footnoteRef/>
      </w:r>
      <w:r w:rsidRPr="00B50F59">
        <w:rPr>
          <w:szCs w:val="18"/>
        </w:rPr>
        <w:t xml:space="preserve"> T0109.</w:t>
      </w:r>
    </w:p>
  </w:footnote>
  <w:footnote w:id="176">
    <w:p w14:paraId="48A834B5" w14:textId="203E891E" w:rsidR="004E119B" w:rsidRPr="00840539" w:rsidRDefault="004E119B" w:rsidP="00BA14D7">
      <w:pPr>
        <w:pStyle w:val="FootnoteText"/>
        <w:tabs>
          <w:tab w:val="left" w:pos="846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Documents internes MONUSCO</w:t>
      </w:r>
      <w:r w:rsidRPr="00840539">
        <w:rPr>
          <w:szCs w:val="18"/>
        </w:rPr>
        <w:t xml:space="preserve">. </w:t>
      </w:r>
    </w:p>
  </w:footnote>
  <w:footnote w:id="177">
    <w:p w14:paraId="77FAE96E" w14:textId="0F561C81" w:rsidR="004E119B" w:rsidRPr="008946FE" w:rsidRDefault="004E119B" w:rsidP="00BA14D7">
      <w:pPr>
        <w:pStyle w:val="FootnoteText"/>
        <w:ind w:left="1138" w:right="1138" w:hanging="228"/>
        <w:contextualSpacing/>
        <w:jc w:val="left"/>
        <w:rPr>
          <w:szCs w:val="18"/>
        </w:rPr>
      </w:pPr>
      <w:r w:rsidRPr="002D31A9">
        <w:rPr>
          <w:rStyle w:val="FootnoteReference"/>
          <w:szCs w:val="18"/>
        </w:rPr>
        <w:footnoteRef/>
      </w:r>
      <w:r w:rsidRPr="008946FE">
        <w:rPr>
          <w:szCs w:val="18"/>
        </w:rPr>
        <w:t xml:space="preserve"> </w:t>
      </w:r>
      <w:r>
        <w:rPr>
          <w:szCs w:val="18"/>
        </w:rPr>
        <w:t>T0307</w:t>
      </w:r>
      <w:r w:rsidRPr="008946FE">
        <w:rPr>
          <w:szCs w:val="18"/>
        </w:rPr>
        <w:t>.</w:t>
      </w:r>
    </w:p>
  </w:footnote>
  <w:footnote w:id="178">
    <w:p w14:paraId="6FDA0D74" w14:textId="43AAC020" w:rsidR="004E119B" w:rsidRPr="008946FE" w:rsidRDefault="004E119B" w:rsidP="00BA14D7">
      <w:pPr>
        <w:pStyle w:val="FootnoteText"/>
        <w:ind w:left="1138" w:right="1138" w:hanging="228"/>
        <w:contextualSpacing/>
        <w:jc w:val="left"/>
        <w:rPr>
          <w:szCs w:val="18"/>
        </w:rPr>
      </w:pPr>
      <w:r w:rsidRPr="002D31A9">
        <w:rPr>
          <w:rStyle w:val="FootnoteReference"/>
          <w:szCs w:val="18"/>
        </w:rPr>
        <w:footnoteRef/>
      </w:r>
      <w:r w:rsidRPr="008946FE">
        <w:rPr>
          <w:szCs w:val="18"/>
        </w:rPr>
        <w:t xml:space="preserve"> </w:t>
      </w:r>
      <w:r>
        <w:rPr>
          <w:szCs w:val="18"/>
        </w:rPr>
        <w:t>T0418</w:t>
      </w:r>
      <w:r w:rsidRPr="008946FE">
        <w:rPr>
          <w:szCs w:val="18"/>
        </w:rPr>
        <w:t xml:space="preserve">, </w:t>
      </w:r>
      <w:r>
        <w:rPr>
          <w:szCs w:val="18"/>
        </w:rPr>
        <w:t>T0109</w:t>
      </w:r>
      <w:r w:rsidRPr="008946FE">
        <w:rPr>
          <w:szCs w:val="18"/>
        </w:rPr>
        <w:t xml:space="preserve">, </w:t>
      </w:r>
      <w:r>
        <w:rPr>
          <w:szCs w:val="18"/>
        </w:rPr>
        <w:t>T0140</w:t>
      </w:r>
      <w:r w:rsidRPr="008946FE">
        <w:rPr>
          <w:szCs w:val="18"/>
        </w:rPr>
        <w:t xml:space="preserve">, </w:t>
      </w:r>
      <w:r>
        <w:rPr>
          <w:szCs w:val="18"/>
        </w:rPr>
        <w:t>T0353</w:t>
      </w:r>
      <w:r w:rsidRPr="008946FE">
        <w:rPr>
          <w:szCs w:val="18"/>
        </w:rPr>
        <w:t>.</w:t>
      </w:r>
    </w:p>
  </w:footnote>
  <w:footnote w:id="179">
    <w:p w14:paraId="1B431BF2" w14:textId="378BDABE" w:rsidR="004E119B" w:rsidRPr="002D31A9" w:rsidRDefault="004E119B" w:rsidP="00BA14D7">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T0300</w:t>
      </w:r>
      <w:r w:rsidRPr="002D31A9">
        <w:rPr>
          <w:szCs w:val="18"/>
        </w:rPr>
        <w:t>.</w:t>
      </w:r>
    </w:p>
  </w:footnote>
  <w:footnote w:id="180">
    <w:p w14:paraId="7893CFAE" w14:textId="39E9AB9F" w:rsidR="004E119B" w:rsidRPr="002D31A9" w:rsidRDefault="004E119B" w:rsidP="00BA14D7">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T0307</w:t>
      </w:r>
      <w:r w:rsidRPr="002D31A9">
        <w:rPr>
          <w:szCs w:val="18"/>
        </w:rPr>
        <w:t>.</w:t>
      </w:r>
    </w:p>
  </w:footnote>
  <w:footnote w:id="181">
    <w:p w14:paraId="59932BF6" w14:textId="05ED0E8E" w:rsidR="004E119B" w:rsidRPr="002D31A9" w:rsidRDefault="004E119B" w:rsidP="00BA14D7">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T0418</w:t>
      </w:r>
      <w:r w:rsidRPr="002D31A9">
        <w:rPr>
          <w:szCs w:val="18"/>
        </w:rPr>
        <w:t>.</w:t>
      </w:r>
    </w:p>
  </w:footnote>
  <w:footnote w:id="182">
    <w:p w14:paraId="7E0A6FFA" w14:textId="7113FF57" w:rsidR="004E119B" w:rsidRPr="006E341A" w:rsidRDefault="004E119B" w:rsidP="00BA14D7">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T0110</w:t>
      </w:r>
      <w:r w:rsidRPr="002D31A9">
        <w:rPr>
          <w:szCs w:val="18"/>
        </w:rPr>
        <w:t xml:space="preserve">, </w:t>
      </w:r>
      <w:r>
        <w:rPr>
          <w:szCs w:val="18"/>
        </w:rPr>
        <w:t>T0370,</w:t>
      </w:r>
      <w:r w:rsidRPr="00840539">
        <w:rPr>
          <w:szCs w:val="18"/>
        </w:rPr>
        <w:t xml:space="preserve"> </w:t>
      </w:r>
      <w:r>
        <w:rPr>
          <w:szCs w:val="18"/>
        </w:rPr>
        <w:t>rapport de la société civile</w:t>
      </w:r>
      <w:r w:rsidRPr="006E341A">
        <w:rPr>
          <w:szCs w:val="18"/>
        </w:rPr>
        <w:t>.</w:t>
      </w:r>
    </w:p>
  </w:footnote>
  <w:footnote w:id="183">
    <w:p w14:paraId="7176D46F" w14:textId="43F941FD" w:rsidR="004E119B" w:rsidRPr="002D31A9" w:rsidRDefault="004E119B" w:rsidP="00BA14D7">
      <w:pPr>
        <w:pStyle w:val="FootnoteText"/>
        <w:tabs>
          <w:tab w:val="right" w:pos="1080"/>
        </w:tabs>
        <w:ind w:left="1138" w:right="1138" w:hanging="228"/>
        <w:contextualSpacing/>
        <w:jc w:val="left"/>
        <w:rPr>
          <w:szCs w:val="18"/>
        </w:rPr>
      </w:pPr>
      <w:r w:rsidRPr="002D31A9">
        <w:rPr>
          <w:rStyle w:val="FootnoteReference"/>
          <w:szCs w:val="18"/>
        </w:rPr>
        <w:footnoteRef/>
      </w:r>
      <w:r>
        <w:rPr>
          <w:szCs w:val="18"/>
        </w:rPr>
        <w:t xml:space="preserve"> </w:t>
      </w:r>
      <w:r w:rsidRPr="004837FC">
        <w:rPr>
          <w:szCs w:val="18"/>
        </w:rPr>
        <w:t xml:space="preserve">Voir la vidéo du massacre de Mwanza Lomba : RFI, </w:t>
      </w:r>
      <w:r>
        <w:rPr>
          <w:szCs w:val="18"/>
        </w:rPr>
        <w:t>« </w:t>
      </w:r>
      <w:r w:rsidRPr="004837FC">
        <w:rPr>
          <w:szCs w:val="18"/>
        </w:rPr>
        <w:t xml:space="preserve">RDC : violences au Kasaï, chapitre </w:t>
      </w:r>
      <w:r>
        <w:rPr>
          <w:szCs w:val="18"/>
        </w:rPr>
        <w:t>2</w:t>
      </w:r>
      <w:r w:rsidRPr="004837FC">
        <w:rPr>
          <w:szCs w:val="18"/>
        </w:rPr>
        <w:t xml:space="preserve">, </w:t>
      </w:r>
      <w:r>
        <w:rPr>
          <w:szCs w:val="18"/>
        </w:rPr>
        <w:t>la réaction de l’armée »</w:t>
      </w:r>
      <w:r w:rsidRPr="004837FC">
        <w:rPr>
          <w:szCs w:val="18"/>
        </w:rPr>
        <w:t>, http://webdoc.rfi.fr/rdc-kasai-violences-crimes-kamuina-nsapu/chap-02/index.html</w:t>
      </w:r>
      <w:r w:rsidRPr="002D31A9">
        <w:rPr>
          <w:szCs w:val="18"/>
        </w:rPr>
        <w:t xml:space="preserve">. </w:t>
      </w:r>
    </w:p>
  </w:footnote>
  <w:footnote w:id="184">
    <w:p w14:paraId="51E2A2BC" w14:textId="06889986" w:rsidR="004E119B" w:rsidRPr="00FE5E8D" w:rsidRDefault="004E119B" w:rsidP="00BA14D7">
      <w:pPr>
        <w:pStyle w:val="FootnoteText"/>
        <w:tabs>
          <w:tab w:val="right" w:pos="1080"/>
        </w:tabs>
        <w:ind w:left="1138" w:right="1138" w:hanging="228"/>
        <w:contextualSpacing/>
        <w:jc w:val="left"/>
        <w:rPr>
          <w:szCs w:val="18"/>
        </w:rPr>
      </w:pPr>
      <w:r w:rsidRPr="004637BD">
        <w:rPr>
          <w:rStyle w:val="FootnoteReference"/>
          <w:szCs w:val="18"/>
        </w:rPr>
        <w:footnoteRef/>
      </w:r>
      <w:r w:rsidRPr="00FE5E8D">
        <w:rPr>
          <w:szCs w:val="18"/>
        </w:rPr>
        <w:t xml:space="preserve"> MONUSCO, Rapport final d’observation du procès du massacre de Mwanza Lomba, 21 juillet 2017. Voir aussi IRRI, Conflit et déplacement au Kasaï, Janvier 2018</w:t>
      </w:r>
      <w:r>
        <w:rPr>
          <w:szCs w:val="18"/>
        </w:rPr>
        <w:t>.</w:t>
      </w:r>
    </w:p>
  </w:footnote>
  <w:footnote w:id="185">
    <w:p w14:paraId="76C0A806" w14:textId="30B6CA0C" w:rsidR="004E119B" w:rsidRPr="00FE5E8D" w:rsidRDefault="004E119B" w:rsidP="00BA14D7">
      <w:pPr>
        <w:pStyle w:val="FootnoteText"/>
        <w:tabs>
          <w:tab w:val="right" w:pos="1080"/>
        </w:tabs>
        <w:ind w:left="1138" w:right="1138" w:hanging="228"/>
        <w:contextualSpacing/>
        <w:jc w:val="left"/>
        <w:rPr>
          <w:szCs w:val="18"/>
        </w:rPr>
      </w:pPr>
      <w:r w:rsidRPr="004637BD">
        <w:rPr>
          <w:rStyle w:val="FootnoteReference"/>
          <w:szCs w:val="18"/>
        </w:rPr>
        <w:footnoteRef/>
      </w:r>
      <w:r w:rsidRPr="004637BD">
        <w:rPr>
          <w:szCs w:val="18"/>
        </w:rPr>
        <w:t xml:space="preserve"> </w:t>
      </w:r>
      <w:r w:rsidRPr="00FE5E8D">
        <w:rPr>
          <w:szCs w:val="18"/>
        </w:rPr>
        <w:t>MONUSCO, Rapport final d’observation du procès du massacre de Mwanza Lomba, 21 juillet 2017</w:t>
      </w:r>
      <w:r>
        <w:rPr>
          <w:szCs w:val="18"/>
        </w:rPr>
        <w:t>.</w:t>
      </w:r>
    </w:p>
  </w:footnote>
  <w:footnote w:id="186">
    <w:p w14:paraId="57FAD834" w14:textId="417662B3" w:rsidR="004E119B" w:rsidRPr="00FE5E8D" w:rsidRDefault="004E119B" w:rsidP="00BA14D7">
      <w:pPr>
        <w:pStyle w:val="FootnoteText"/>
        <w:tabs>
          <w:tab w:val="right" w:pos="1080"/>
        </w:tabs>
        <w:ind w:left="1138" w:right="1138" w:hanging="228"/>
        <w:contextualSpacing/>
        <w:jc w:val="left"/>
        <w:rPr>
          <w:szCs w:val="18"/>
        </w:rPr>
      </w:pPr>
      <w:r w:rsidRPr="00FE5E8D">
        <w:rPr>
          <w:rStyle w:val="FootnoteReference"/>
          <w:szCs w:val="18"/>
        </w:rPr>
        <w:footnoteRef/>
      </w:r>
      <w:r w:rsidRPr="00FE5E8D">
        <w:rPr>
          <w:szCs w:val="18"/>
        </w:rPr>
        <w:t xml:space="preserve"> MONUSCO, Rapport final d’observation du procès du massacre de Mwanza Lomba, 21 juillet 2017. Voir aussi rapport de la société civile. </w:t>
      </w:r>
    </w:p>
  </w:footnote>
  <w:footnote w:id="187">
    <w:p w14:paraId="4D451DA1" w14:textId="04E5CD1E" w:rsidR="004E119B" w:rsidRPr="0094347A" w:rsidRDefault="004E119B" w:rsidP="00BA14D7">
      <w:pPr>
        <w:pStyle w:val="FootnoteText"/>
        <w:tabs>
          <w:tab w:val="right" w:pos="1080"/>
        </w:tabs>
        <w:ind w:left="1138" w:right="1138" w:hanging="228"/>
        <w:contextualSpacing/>
        <w:jc w:val="left"/>
        <w:rPr>
          <w:szCs w:val="18"/>
        </w:rPr>
      </w:pPr>
      <w:r w:rsidRPr="00FE5E8D">
        <w:rPr>
          <w:rStyle w:val="FootnoteReference"/>
          <w:szCs w:val="18"/>
        </w:rPr>
        <w:footnoteRef/>
      </w:r>
      <w:r w:rsidRPr="00FE5E8D">
        <w:rPr>
          <w:szCs w:val="18"/>
        </w:rPr>
        <w:t xml:space="preserve"> MONUSCO, Rapport final d’observation du procès du massacre de Mwanza Lomba, 21 juillet 2017</w:t>
      </w:r>
      <w:r w:rsidRPr="004837FC">
        <w:rPr>
          <w:szCs w:val="18"/>
        </w:rPr>
        <w:t>,</w:t>
      </w:r>
      <w:r>
        <w:rPr>
          <w:szCs w:val="18"/>
        </w:rPr>
        <w:t xml:space="preserve"> RFI « </w:t>
      </w:r>
      <w:r w:rsidRPr="004837FC">
        <w:rPr>
          <w:szCs w:val="18"/>
        </w:rPr>
        <w:t>Massacre de Mwanza Lomba en RDC: 7 militaires condamnés à de lourdes peines</w:t>
      </w:r>
      <w:r>
        <w:rPr>
          <w:szCs w:val="18"/>
        </w:rPr>
        <w:t xml:space="preserve"> », </w:t>
      </w:r>
      <w:r w:rsidRPr="00C3117D">
        <w:rPr>
          <w:szCs w:val="18"/>
        </w:rPr>
        <w:t>http://www.rfi.fr/afrique/20170706-massacre-mwanza-lomba-rdc-7-militaires-condamnes-lourdes-peines</w:t>
      </w:r>
      <w:r w:rsidRPr="004837FC">
        <w:rPr>
          <w:szCs w:val="18"/>
        </w:rPr>
        <w:t>. Voir aussi T0051.</w:t>
      </w:r>
    </w:p>
  </w:footnote>
  <w:footnote w:id="188">
    <w:p w14:paraId="49202163" w14:textId="2504DE65" w:rsidR="004E119B" w:rsidRPr="006560CD" w:rsidRDefault="004E119B" w:rsidP="00BA14D7">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T0370</w:t>
      </w:r>
      <w:r w:rsidRPr="006560CD">
        <w:rPr>
          <w:szCs w:val="18"/>
        </w:rPr>
        <w:t xml:space="preserve">, </w:t>
      </w:r>
      <w:r>
        <w:rPr>
          <w:szCs w:val="18"/>
        </w:rPr>
        <w:t>T0101</w:t>
      </w:r>
      <w:r w:rsidRPr="006560CD">
        <w:rPr>
          <w:szCs w:val="18"/>
        </w:rPr>
        <w:t>.</w:t>
      </w:r>
    </w:p>
  </w:footnote>
  <w:footnote w:id="189">
    <w:p w14:paraId="70ADA5C2" w14:textId="5A2C7183" w:rsidR="004E119B" w:rsidRPr="006560CD" w:rsidRDefault="004E119B" w:rsidP="00BA14D7">
      <w:pPr>
        <w:pStyle w:val="FootnoteText"/>
        <w:tabs>
          <w:tab w:val="right" w:pos="1080"/>
        </w:tabs>
        <w:ind w:left="1138" w:right="1138" w:hanging="228"/>
        <w:contextualSpacing/>
        <w:jc w:val="left"/>
        <w:rPr>
          <w:szCs w:val="18"/>
        </w:rPr>
      </w:pPr>
      <w:r w:rsidRPr="006560CD">
        <w:rPr>
          <w:rStyle w:val="FootnoteReference"/>
          <w:szCs w:val="18"/>
        </w:rPr>
        <w:footnoteRef/>
      </w:r>
      <w:r w:rsidRPr="006560CD">
        <w:rPr>
          <w:szCs w:val="18"/>
        </w:rPr>
        <w:t xml:space="preserve"> </w:t>
      </w:r>
      <w:r>
        <w:rPr>
          <w:szCs w:val="18"/>
        </w:rPr>
        <w:t>T0001</w:t>
      </w:r>
      <w:r w:rsidRPr="006560CD">
        <w:rPr>
          <w:szCs w:val="18"/>
        </w:rPr>
        <w:t xml:space="preserve">, </w:t>
      </w:r>
      <w:r>
        <w:rPr>
          <w:szCs w:val="18"/>
        </w:rPr>
        <w:t>T0002</w:t>
      </w:r>
      <w:r w:rsidRPr="006560CD">
        <w:rPr>
          <w:szCs w:val="18"/>
        </w:rPr>
        <w:t xml:space="preserve">. </w:t>
      </w:r>
      <w:r w:rsidRPr="00FE5E8D">
        <w:rPr>
          <w:szCs w:val="18"/>
        </w:rPr>
        <w:t xml:space="preserve">Voir aussi </w:t>
      </w:r>
      <w:r w:rsidRPr="00FE5E8D">
        <w:rPr>
          <w:noProof/>
          <w:szCs w:val="18"/>
        </w:rPr>
        <w:t>documents internes MONUSCO.</w:t>
      </w:r>
      <w:r w:rsidRPr="006560CD">
        <w:rPr>
          <w:szCs w:val="18"/>
        </w:rPr>
        <w:t xml:space="preserve"> </w:t>
      </w:r>
    </w:p>
  </w:footnote>
  <w:footnote w:id="190">
    <w:p w14:paraId="50BCF8AA" w14:textId="368B9275" w:rsidR="004E119B" w:rsidRPr="006560CD" w:rsidRDefault="004E119B" w:rsidP="00BA14D7">
      <w:pPr>
        <w:pStyle w:val="FootnoteText"/>
        <w:tabs>
          <w:tab w:val="right" w:pos="1080"/>
        </w:tabs>
        <w:ind w:left="1138" w:right="1138" w:hanging="228"/>
        <w:contextualSpacing/>
        <w:jc w:val="left"/>
        <w:rPr>
          <w:szCs w:val="18"/>
        </w:rPr>
      </w:pPr>
      <w:r w:rsidRPr="006560CD">
        <w:rPr>
          <w:rStyle w:val="FootnoteReference"/>
          <w:szCs w:val="18"/>
        </w:rPr>
        <w:footnoteRef/>
      </w:r>
      <w:r w:rsidRPr="006560CD">
        <w:rPr>
          <w:szCs w:val="18"/>
        </w:rPr>
        <w:t xml:space="preserve"> </w:t>
      </w:r>
      <w:r>
        <w:rPr>
          <w:szCs w:val="18"/>
        </w:rPr>
        <w:t>T0001</w:t>
      </w:r>
      <w:r w:rsidRPr="006560CD">
        <w:rPr>
          <w:szCs w:val="18"/>
        </w:rPr>
        <w:t xml:space="preserve">. </w:t>
      </w:r>
      <w:r w:rsidRPr="00FE5E8D">
        <w:rPr>
          <w:szCs w:val="18"/>
        </w:rPr>
        <w:t xml:space="preserve">Voir aussi </w:t>
      </w:r>
      <w:r w:rsidRPr="006560CD">
        <w:rPr>
          <w:noProof/>
          <w:szCs w:val="18"/>
        </w:rPr>
        <w:t xml:space="preserve">document interne MONUSCO. </w:t>
      </w:r>
    </w:p>
  </w:footnote>
  <w:footnote w:id="191">
    <w:p w14:paraId="7C9C6EE4" w14:textId="0869BB88" w:rsidR="004E119B" w:rsidRPr="008946FE" w:rsidRDefault="004E119B" w:rsidP="00BA14D7">
      <w:pPr>
        <w:pStyle w:val="FootnoteText"/>
        <w:tabs>
          <w:tab w:val="right" w:pos="1080"/>
        </w:tabs>
        <w:ind w:left="1138" w:right="1138" w:hanging="228"/>
        <w:contextualSpacing/>
        <w:jc w:val="left"/>
        <w:rPr>
          <w:szCs w:val="18"/>
        </w:rPr>
      </w:pPr>
      <w:r w:rsidRPr="006560CD">
        <w:rPr>
          <w:rStyle w:val="FootnoteReference"/>
          <w:szCs w:val="18"/>
        </w:rPr>
        <w:footnoteRef/>
      </w:r>
      <w:r w:rsidRPr="006560CD">
        <w:rPr>
          <w:szCs w:val="18"/>
        </w:rPr>
        <w:t xml:space="preserve"> </w:t>
      </w:r>
      <w:r w:rsidRPr="004837FC">
        <w:rPr>
          <w:szCs w:val="18"/>
        </w:rPr>
        <w:t>Voir la partie VIII.B. du présent rapport.</w:t>
      </w:r>
      <w:r>
        <w:rPr>
          <w:szCs w:val="18"/>
        </w:rPr>
        <w:t xml:space="preserve"> </w:t>
      </w:r>
      <w:r w:rsidRPr="004837FC">
        <w:rPr>
          <w:szCs w:val="18"/>
        </w:rPr>
        <w:t>Voir aussi document interne MONUSCO</w:t>
      </w:r>
      <w:r w:rsidRPr="008946FE">
        <w:rPr>
          <w:szCs w:val="18"/>
        </w:rPr>
        <w:t xml:space="preserve">. </w:t>
      </w:r>
    </w:p>
  </w:footnote>
  <w:footnote w:id="192">
    <w:p w14:paraId="18571891" w14:textId="42C1CCA4" w:rsidR="004E119B" w:rsidRPr="00686B07" w:rsidRDefault="004E119B" w:rsidP="00BA14D7">
      <w:pPr>
        <w:pStyle w:val="FootnoteText"/>
        <w:tabs>
          <w:tab w:val="right" w:pos="1080"/>
        </w:tabs>
        <w:ind w:left="1138" w:right="1138" w:hanging="228"/>
        <w:contextualSpacing/>
        <w:jc w:val="left"/>
        <w:rPr>
          <w:szCs w:val="18"/>
        </w:rPr>
      </w:pPr>
      <w:r w:rsidRPr="00686B07">
        <w:rPr>
          <w:rStyle w:val="FootnoteReference"/>
          <w:szCs w:val="18"/>
        </w:rPr>
        <w:footnoteRef/>
      </w:r>
      <w:r w:rsidRPr="00686B07">
        <w:rPr>
          <w:szCs w:val="18"/>
        </w:rPr>
        <w:t xml:space="preserve"> </w:t>
      </w:r>
      <w:r>
        <w:rPr>
          <w:szCs w:val="18"/>
        </w:rPr>
        <w:t>T0001</w:t>
      </w:r>
      <w:r w:rsidRPr="00686B07">
        <w:rPr>
          <w:szCs w:val="18"/>
        </w:rPr>
        <w:t xml:space="preserve">, </w:t>
      </w:r>
      <w:r>
        <w:rPr>
          <w:szCs w:val="18"/>
        </w:rPr>
        <w:t>T0054</w:t>
      </w:r>
      <w:r w:rsidRPr="00686B07">
        <w:rPr>
          <w:szCs w:val="18"/>
        </w:rPr>
        <w:t>.</w:t>
      </w:r>
    </w:p>
  </w:footnote>
  <w:footnote w:id="193">
    <w:p w14:paraId="60563057" w14:textId="3A3DC1CC" w:rsidR="004E119B" w:rsidRPr="002D31A9" w:rsidRDefault="004E119B" w:rsidP="00BA14D7">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T0001</w:t>
      </w:r>
      <w:r w:rsidRPr="002D31A9">
        <w:rPr>
          <w:szCs w:val="18"/>
        </w:rPr>
        <w:t>.</w:t>
      </w:r>
    </w:p>
  </w:footnote>
  <w:footnote w:id="194">
    <w:p w14:paraId="65896640" w14:textId="7F5CDE31" w:rsidR="004E119B" w:rsidRPr="00840539" w:rsidRDefault="004E119B" w:rsidP="00BA14D7">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sidRPr="00B50F59">
        <w:rPr>
          <w:szCs w:val="18"/>
        </w:rPr>
        <w:t xml:space="preserve">Voir la </w:t>
      </w:r>
      <w:r>
        <w:rPr>
          <w:szCs w:val="18"/>
        </w:rPr>
        <w:t>partie VIII.B. du présent rapport.</w:t>
      </w:r>
    </w:p>
  </w:footnote>
  <w:footnote w:id="195">
    <w:p w14:paraId="63248DA0" w14:textId="7377E933" w:rsidR="004E119B" w:rsidRPr="002D31A9" w:rsidRDefault="004E119B" w:rsidP="00BA14D7">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T0145</w:t>
      </w:r>
      <w:r w:rsidRPr="002D31A9">
        <w:rPr>
          <w:szCs w:val="18"/>
        </w:rPr>
        <w:t xml:space="preserve">. </w:t>
      </w:r>
    </w:p>
  </w:footnote>
  <w:footnote w:id="196">
    <w:p w14:paraId="0C5A0DF1" w14:textId="77777777" w:rsidR="004E119B" w:rsidRPr="002D31A9" w:rsidRDefault="004E119B" w:rsidP="00BA14D7">
      <w:pPr>
        <w:pStyle w:val="FootnoteText"/>
        <w:ind w:left="1138" w:right="1138" w:hanging="228"/>
        <w:jc w:val="left"/>
        <w:rPr>
          <w:szCs w:val="18"/>
        </w:rPr>
      </w:pPr>
      <w:r w:rsidRPr="002D31A9">
        <w:rPr>
          <w:rStyle w:val="FootnoteReference"/>
          <w:szCs w:val="18"/>
        </w:rPr>
        <w:footnoteRef/>
      </w:r>
      <w:r w:rsidRPr="002D31A9">
        <w:rPr>
          <w:szCs w:val="18"/>
        </w:rPr>
        <w:t xml:space="preserve"> Document Interne MONUSCO. </w:t>
      </w:r>
    </w:p>
  </w:footnote>
  <w:footnote w:id="197">
    <w:p w14:paraId="75D58FB8" w14:textId="486C3E23" w:rsidR="004E119B" w:rsidRPr="002D31A9" w:rsidRDefault="004E119B" w:rsidP="00BA14D7">
      <w:pPr>
        <w:pStyle w:val="FootnoteText"/>
        <w:tabs>
          <w:tab w:val="right" w:pos="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T0056</w:t>
      </w:r>
      <w:r w:rsidRPr="002D31A9">
        <w:rPr>
          <w:szCs w:val="18"/>
        </w:rPr>
        <w:t>.</w:t>
      </w:r>
    </w:p>
  </w:footnote>
  <w:footnote w:id="198">
    <w:p w14:paraId="1CF77663" w14:textId="55E24D47" w:rsidR="004E119B" w:rsidRPr="001E2715" w:rsidRDefault="004E119B" w:rsidP="00BA14D7">
      <w:pPr>
        <w:spacing w:line="220" w:lineRule="exact"/>
        <w:ind w:left="1138" w:right="1138" w:hanging="228"/>
        <w:rPr>
          <w:rFonts w:eastAsia="Calibri"/>
          <w:sz w:val="18"/>
          <w:szCs w:val="18"/>
          <w:highlight w:val="yellow"/>
        </w:rPr>
      </w:pPr>
      <w:r w:rsidRPr="002D31A9">
        <w:rPr>
          <w:rStyle w:val="FootnoteReference"/>
          <w:szCs w:val="18"/>
        </w:rPr>
        <w:footnoteRef/>
      </w:r>
      <w:r w:rsidRPr="002D31A9">
        <w:rPr>
          <w:sz w:val="18"/>
          <w:szCs w:val="18"/>
        </w:rPr>
        <w:t xml:space="preserve"> </w:t>
      </w:r>
      <w:r>
        <w:rPr>
          <w:sz w:val="18"/>
          <w:szCs w:val="18"/>
        </w:rPr>
        <w:t>T0145</w:t>
      </w:r>
      <w:r w:rsidRPr="002D31A9">
        <w:rPr>
          <w:sz w:val="18"/>
          <w:szCs w:val="18"/>
        </w:rPr>
        <w:t xml:space="preserve">, </w:t>
      </w:r>
      <w:r>
        <w:rPr>
          <w:sz w:val="18"/>
          <w:szCs w:val="18"/>
        </w:rPr>
        <w:t>T0251</w:t>
      </w:r>
      <w:r w:rsidRPr="00840539">
        <w:rPr>
          <w:sz w:val="18"/>
          <w:szCs w:val="18"/>
        </w:rPr>
        <w:t xml:space="preserve">, </w:t>
      </w:r>
      <w:r>
        <w:rPr>
          <w:sz w:val="18"/>
          <w:szCs w:val="18"/>
        </w:rPr>
        <w:t>T0002,</w:t>
      </w:r>
      <w:r w:rsidRPr="00840539">
        <w:rPr>
          <w:sz w:val="18"/>
          <w:szCs w:val="18"/>
        </w:rPr>
        <w:t xml:space="preserve"> </w:t>
      </w:r>
      <w:r>
        <w:rPr>
          <w:sz w:val="18"/>
          <w:szCs w:val="18"/>
        </w:rPr>
        <w:t>ANR, tableau illustratif des crimes et atrocité commis par le réseau terroriste du mouvement insurrectionnel « Kamuina Nsapu </w:t>
      </w:r>
      <w:r w:rsidRPr="006560CD">
        <w:rPr>
          <w:sz w:val="18"/>
          <w:szCs w:val="18"/>
        </w:rPr>
        <w:t>».</w:t>
      </w:r>
      <w:r w:rsidRPr="00FE5E8D">
        <w:rPr>
          <w:sz w:val="18"/>
          <w:szCs w:val="18"/>
        </w:rPr>
        <w:t xml:space="preserve"> Voir aussi </w:t>
      </w:r>
      <w:r w:rsidRPr="006560CD">
        <w:rPr>
          <w:noProof/>
          <w:sz w:val="18"/>
          <w:szCs w:val="18"/>
        </w:rPr>
        <w:t>documents</w:t>
      </w:r>
      <w:r>
        <w:rPr>
          <w:noProof/>
          <w:sz w:val="18"/>
          <w:szCs w:val="18"/>
        </w:rPr>
        <w:t xml:space="preserve"> internes MONUSCO</w:t>
      </w:r>
      <w:r w:rsidRPr="001E2715">
        <w:rPr>
          <w:sz w:val="18"/>
          <w:szCs w:val="18"/>
        </w:rPr>
        <w:t>.</w:t>
      </w:r>
      <w:r w:rsidRPr="001E2715">
        <w:rPr>
          <w:rFonts w:eastAsia="Calibri"/>
          <w:sz w:val="18"/>
          <w:szCs w:val="18"/>
          <w:highlight w:val="yellow"/>
        </w:rPr>
        <w:t xml:space="preserve"> </w:t>
      </w:r>
    </w:p>
  </w:footnote>
  <w:footnote w:id="199">
    <w:p w14:paraId="5C858735" w14:textId="3E709154" w:rsidR="004E119B" w:rsidRPr="00192143" w:rsidRDefault="004E119B" w:rsidP="00BA14D7">
      <w:pPr>
        <w:spacing w:line="220" w:lineRule="exact"/>
        <w:ind w:left="1138" w:right="1138" w:hanging="228"/>
        <w:contextualSpacing/>
        <w:rPr>
          <w:sz w:val="18"/>
          <w:szCs w:val="18"/>
        </w:rPr>
      </w:pPr>
      <w:r w:rsidRPr="002D31A9">
        <w:rPr>
          <w:rStyle w:val="FootnoteReference"/>
          <w:szCs w:val="18"/>
        </w:rPr>
        <w:footnoteRef/>
      </w:r>
      <w:r w:rsidRPr="002D31A9">
        <w:rPr>
          <w:sz w:val="18"/>
          <w:szCs w:val="18"/>
        </w:rPr>
        <w:t xml:space="preserve"> </w:t>
      </w:r>
      <w:r>
        <w:rPr>
          <w:sz w:val="18"/>
          <w:szCs w:val="18"/>
        </w:rPr>
        <w:t>T0001</w:t>
      </w:r>
      <w:r w:rsidRPr="002D31A9">
        <w:rPr>
          <w:sz w:val="18"/>
          <w:szCs w:val="18"/>
        </w:rPr>
        <w:t xml:space="preserve">, </w:t>
      </w:r>
      <w:r>
        <w:rPr>
          <w:sz w:val="18"/>
          <w:szCs w:val="18"/>
        </w:rPr>
        <w:t>T0254,</w:t>
      </w:r>
      <w:r w:rsidRPr="002D31A9">
        <w:rPr>
          <w:sz w:val="18"/>
          <w:szCs w:val="18"/>
        </w:rPr>
        <w:t xml:space="preserve"> </w:t>
      </w:r>
      <w:r w:rsidRPr="0060278B">
        <w:rPr>
          <w:sz w:val="18"/>
          <w:szCs w:val="18"/>
        </w:rPr>
        <w:t>documents internes MONUSCO</w:t>
      </w:r>
      <w:r w:rsidRPr="00192143">
        <w:rPr>
          <w:sz w:val="18"/>
          <w:szCs w:val="18"/>
        </w:rPr>
        <w:t xml:space="preserve">. </w:t>
      </w:r>
    </w:p>
  </w:footnote>
  <w:footnote w:id="200">
    <w:p w14:paraId="09A0F4E4" w14:textId="5B315F72" w:rsidR="004E119B" w:rsidRPr="008946FE" w:rsidRDefault="004E119B" w:rsidP="00BA14D7">
      <w:pPr>
        <w:pStyle w:val="FootnoteText"/>
        <w:ind w:left="1138" w:right="1138" w:hanging="228"/>
        <w:contextualSpacing/>
        <w:jc w:val="left"/>
        <w:rPr>
          <w:szCs w:val="18"/>
        </w:rPr>
      </w:pPr>
      <w:r w:rsidRPr="002D31A9">
        <w:rPr>
          <w:rStyle w:val="FootnoteReference"/>
          <w:szCs w:val="18"/>
        </w:rPr>
        <w:footnoteRef/>
      </w:r>
      <w:r w:rsidRPr="008946FE">
        <w:rPr>
          <w:szCs w:val="18"/>
        </w:rPr>
        <w:t xml:space="preserve"> </w:t>
      </w:r>
      <w:r>
        <w:rPr>
          <w:szCs w:val="18"/>
        </w:rPr>
        <w:t>T0326</w:t>
      </w:r>
      <w:r w:rsidRPr="008946FE">
        <w:rPr>
          <w:szCs w:val="18"/>
        </w:rPr>
        <w:t xml:space="preserve">. </w:t>
      </w:r>
    </w:p>
  </w:footnote>
  <w:footnote w:id="201">
    <w:p w14:paraId="7EDF933C" w14:textId="549F5D8A" w:rsidR="004E119B" w:rsidRPr="00FE5E8D" w:rsidRDefault="004E119B" w:rsidP="00BA14D7">
      <w:pPr>
        <w:pStyle w:val="FootnoteText"/>
        <w:tabs>
          <w:tab w:val="right" w:pos="1080"/>
        </w:tabs>
        <w:ind w:left="1138" w:right="1138" w:hanging="228"/>
        <w:contextualSpacing/>
        <w:jc w:val="left"/>
        <w:rPr>
          <w:szCs w:val="18"/>
        </w:rPr>
      </w:pPr>
      <w:r w:rsidRPr="002D31A9">
        <w:rPr>
          <w:rStyle w:val="FootnoteReference"/>
          <w:szCs w:val="18"/>
        </w:rPr>
        <w:footnoteRef/>
      </w:r>
      <w:r w:rsidRPr="008946FE">
        <w:rPr>
          <w:szCs w:val="18"/>
        </w:rPr>
        <w:t xml:space="preserve"> </w:t>
      </w:r>
      <w:r>
        <w:rPr>
          <w:szCs w:val="18"/>
        </w:rPr>
        <w:t>T0414</w:t>
      </w:r>
      <w:r w:rsidRPr="008946FE">
        <w:rPr>
          <w:szCs w:val="18"/>
        </w:rPr>
        <w:t xml:space="preserve">. </w:t>
      </w:r>
      <w:r w:rsidRPr="00FE5E8D">
        <w:rPr>
          <w:szCs w:val="18"/>
        </w:rPr>
        <w:t xml:space="preserve">Voir aussi </w:t>
      </w:r>
      <w:r>
        <w:rPr>
          <w:szCs w:val="18"/>
        </w:rPr>
        <w:t>T0325</w:t>
      </w:r>
      <w:r w:rsidRPr="00FE5E8D">
        <w:rPr>
          <w:szCs w:val="18"/>
        </w:rPr>
        <w:t xml:space="preserve">, documents internes MONUSCO. </w:t>
      </w:r>
    </w:p>
  </w:footnote>
  <w:footnote w:id="202">
    <w:p w14:paraId="62205EC7" w14:textId="729026D5" w:rsidR="004E119B" w:rsidRPr="00192143" w:rsidRDefault="004E119B" w:rsidP="00BA14D7">
      <w:pPr>
        <w:pStyle w:val="FootnoteText"/>
        <w:ind w:left="1138" w:right="1138" w:hanging="228"/>
        <w:contextualSpacing/>
        <w:jc w:val="left"/>
        <w:rPr>
          <w:szCs w:val="18"/>
        </w:rPr>
      </w:pPr>
      <w:r w:rsidRPr="002D31A9">
        <w:rPr>
          <w:rStyle w:val="FootnoteReference"/>
          <w:szCs w:val="18"/>
        </w:rPr>
        <w:footnoteRef/>
      </w:r>
      <w:r w:rsidRPr="00FE5E8D">
        <w:rPr>
          <w:szCs w:val="18"/>
        </w:rPr>
        <w:t xml:space="preserve">  </w:t>
      </w:r>
      <w:r>
        <w:rPr>
          <w:szCs w:val="18"/>
        </w:rPr>
        <w:t xml:space="preserve">Documents internes MONUSCO. Par ailleurs, plusieurs sources indiquent que des soldats de la garde présidentielle auraient fait partie des troupes envoyées en renfort. Voir T0251, documents internes MONUSCO. </w:t>
      </w:r>
      <w:r w:rsidRPr="00192143">
        <w:rPr>
          <w:szCs w:val="18"/>
        </w:rPr>
        <w:t xml:space="preserve">Voir aussi </w:t>
      </w:r>
      <w:r>
        <w:rPr>
          <w:szCs w:val="18"/>
        </w:rPr>
        <w:t>T0428</w:t>
      </w:r>
      <w:r w:rsidRPr="00192143">
        <w:rPr>
          <w:szCs w:val="18"/>
        </w:rPr>
        <w:t>.</w:t>
      </w:r>
    </w:p>
  </w:footnote>
  <w:footnote w:id="203">
    <w:p w14:paraId="0EE0ED69" w14:textId="4BFD039A" w:rsidR="004E119B" w:rsidRPr="006E341A" w:rsidRDefault="004E119B" w:rsidP="00BA14D7">
      <w:pPr>
        <w:pStyle w:val="FootnoteText"/>
        <w:ind w:left="1138" w:right="1138" w:hanging="228"/>
        <w:contextualSpacing/>
        <w:jc w:val="left"/>
        <w:rPr>
          <w:szCs w:val="18"/>
        </w:rPr>
      </w:pPr>
      <w:r w:rsidRPr="002D31A9">
        <w:rPr>
          <w:szCs w:val="18"/>
          <w:vertAlign w:val="superscript"/>
        </w:rPr>
        <w:footnoteRef/>
      </w:r>
      <w:r w:rsidRPr="00FE5E8D">
        <w:rPr>
          <w:szCs w:val="18"/>
          <w:vertAlign w:val="superscript"/>
        </w:rPr>
        <w:t xml:space="preserve"> </w:t>
      </w:r>
      <w:r>
        <w:rPr>
          <w:szCs w:val="18"/>
        </w:rPr>
        <w:t>Documents internes MONUSCO, document de la société civile</w:t>
      </w:r>
      <w:r w:rsidRPr="006E341A">
        <w:rPr>
          <w:szCs w:val="18"/>
        </w:rPr>
        <w:t>.</w:t>
      </w:r>
    </w:p>
  </w:footnote>
  <w:footnote w:id="204">
    <w:p w14:paraId="660084F2" w14:textId="1201E3B7" w:rsidR="004E119B" w:rsidRPr="006E341A" w:rsidRDefault="004E119B" w:rsidP="00BA14D7">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T0052</w:t>
      </w:r>
      <w:r w:rsidRPr="002D31A9">
        <w:rPr>
          <w:szCs w:val="18"/>
        </w:rPr>
        <w:t xml:space="preserve">, </w:t>
      </w:r>
      <w:r>
        <w:rPr>
          <w:szCs w:val="18"/>
        </w:rPr>
        <w:t>T0251</w:t>
      </w:r>
      <w:r w:rsidRPr="002D31A9">
        <w:rPr>
          <w:szCs w:val="18"/>
        </w:rPr>
        <w:t xml:space="preserve">. </w:t>
      </w:r>
      <w:r w:rsidRPr="004837FC">
        <w:rPr>
          <w:szCs w:val="18"/>
        </w:rPr>
        <w:t xml:space="preserve">Voir aussi </w:t>
      </w:r>
      <w:r>
        <w:rPr>
          <w:szCs w:val="18"/>
        </w:rPr>
        <w:t>document de la société civile</w:t>
      </w:r>
      <w:r w:rsidRPr="006E341A">
        <w:rPr>
          <w:szCs w:val="18"/>
        </w:rPr>
        <w:t xml:space="preserve">.  </w:t>
      </w:r>
    </w:p>
  </w:footnote>
  <w:footnote w:id="205">
    <w:p w14:paraId="3CF933C5" w14:textId="048E5079" w:rsidR="004E119B" w:rsidRPr="008946FE" w:rsidRDefault="004E119B" w:rsidP="00BA14D7">
      <w:pPr>
        <w:pStyle w:val="FootnoteText"/>
        <w:ind w:left="1138" w:right="1138" w:hanging="228"/>
        <w:contextualSpacing/>
        <w:jc w:val="left"/>
        <w:rPr>
          <w:szCs w:val="18"/>
        </w:rPr>
      </w:pPr>
      <w:r w:rsidRPr="002D31A9">
        <w:rPr>
          <w:rStyle w:val="FootnoteReference"/>
          <w:szCs w:val="18"/>
        </w:rPr>
        <w:footnoteRef/>
      </w:r>
      <w:r w:rsidRPr="008946FE">
        <w:rPr>
          <w:szCs w:val="18"/>
        </w:rPr>
        <w:t xml:space="preserve"> </w:t>
      </w:r>
      <w:r>
        <w:rPr>
          <w:szCs w:val="18"/>
        </w:rPr>
        <w:t>T0054</w:t>
      </w:r>
      <w:r w:rsidRPr="008946FE">
        <w:rPr>
          <w:szCs w:val="18"/>
        </w:rPr>
        <w:t xml:space="preserve">, </w:t>
      </w:r>
      <w:r>
        <w:rPr>
          <w:szCs w:val="18"/>
        </w:rPr>
        <w:t>T0428</w:t>
      </w:r>
      <w:r w:rsidRPr="008946FE">
        <w:rPr>
          <w:szCs w:val="18"/>
        </w:rPr>
        <w:t>, </w:t>
      </w:r>
      <w:r>
        <w:rPr>
          <w:szCs w:val="18"/>
        </w:rPr>
        <w:t>T0004</w:t>
      </w:r>
      <w:r w:rsidRPr="008946FE">
        <w:rPr>
          <w:szCs w:val="18"/>
        </w:rPr>
        <w:t xml:space="preserve">, </w:t>
      </w:r>
      <w:r>
        <w:rPr>
          <w:szCs w:val="18"/>
        </w:rPr>
        <w:t>T0286</w:t>
      </w:r>
      <w:r w:rsidRPr="008946FE">
        <w:rPr>
          <w:szCs w:val="18"/>
        </w:rPr>
        <w:t>.</w:t>
      </w:r>
    </w:p>
  </w:footnote>
  <w:footnote w:id="206">
    <w:p w14:paraId="1DA81230" w14:textId="5C546388" w:rsidR="004E119B" w:rsidRPr="008946FE" w:rsidRDefault="004E119B" w:rsidP="00BA14D7">
      <w:pPr>
        <w:pStyle w:val="FootnoteText"/>
        <w:ind w:left="1138" w:right="1138" w:hanging="228"/>
        <w:contextualSpacing/>
        <w:jc w:val="left"/>
        <w:rPr>
          <w:szCs w:val="18"/>
        </w:rPr>
      </w:pPr>
      <w:r w:rsidRPr="002D31A9">
        <w:rPr>
          <w:rStyle w:val="FootnoteReference"/>
          <w:szCs w:val="18"/>
        </w:rPr>
        <w:footnoteRef/>
      </w:r>
      <w:r w:rsidRPr="008946FE">
        <w:rPr>
          <w:szCs w:val="18"/>
        </w:rPr>
        <w:t xml:space="preserve"> </w:t>
      </w:r>
      <w:r>
        <w:rPr>
          <w:szCs w:val="18"/>
        </w:rPr>
        <w:t>T0004</w:t>
      </w:r>
      <w:r w:rsidRPr="008946FE">
        <w:rPr>
          <w:szCs w:val="18"/>
        </w:rPr>
        <w:t xml:space="preserve">, </w:t>
      </w:r>
      <w:r>
        <w:rPr>
          <w:szCs w:val="18"/>
        </w:rPr>
        <w:t>T0286</w:t>
      </w:r>
      <w:r w:rsidRPr="008946FE">
        <w:rPr>
          <w:szCs w:val="18"/>
        </w:rPr>
        <w:t>.</w:t>
      </w:r>
    </w:p>
  </w:footnote>
  <w:footnote w:id="207">
    <w:p w14:paraId="3F43F012" w14:textId="1142BE86" w:rsidR="004E119B" w:rsidRPr="002D31A9" w:rsidRDefault="004E119B" w:rsidP="00BA14D7">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T0428</w:t>
      </w:r>
      <w:r w:rsidRPr="002D31A9">
        <w:rPr>
          <w:szCs w:val="18"/>
        </w:rPr>
        <w:t xml:space="preserve">. Voir aussi </w:t>
      </w:r>
      <w:r>
        <w:rPr>
          <w:szCs w:val="18"/>
        </w:rPr>
        <w:t>T0054,</w:t>
      </w:r>
      <w:r w:rsidRPr="002D31A9">
        <w:rPr>
          <w:szCs w:val="18"/>
        </w:rPr>
        <w:t xml:space="preserve"> </w:t>
      </w:r>
      <w:r>
        <w:rPr>
          <w:szCs w:val="18"/>
        </w:rPr>
        <w:t>T0004,</w:t>
      </w:r>
      <w:r w:rsidRPr="002D31A9">
        <w:rPr>
          <w:szCs w:val="18"/>
        </w:rPr>
        <w:t xml:space="preserve"> </w:t>
      </w:r>
      <w:r>
        <w:rPr>
          <w:szCs w:val="18"/>
        </w:rPr>
        <w:t>T0286</w:t>
      </w:r>
      <w:r w:rsidRPr="002D31A9">
        <w:rPr>
          <w:szCs w:val="18"/>
        </w:rPr>
        <w:t>.</w:t>
      </w:r>
    </w:p>
  </w:footnote>
  <w:footnote w:id="208">
    <w:p w14:paraId="2452986D" w14:textId="1C230E66" w:rsidR="004E119B" w:rsidRPr="002D31A9" w:rsidRDefault="004E119B" w:rsidP="00BA14D7">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T0108</w:t>
      </w:r>
      <w:r w:rsidRPr="002D31A9">
        <w:rPr>
          <w:szCs w:val="18"/>
        </w:rPr>
        <w:t xml:space="preserve">, </w:t>
      </w:r>
      <w:r>
        <w:rPr>
          <w:szCs w:val="18"/>
        </w:rPr>
        <w:t>T0052</w:t>
      </w:r>
      <w:r w:rsidRPr="002D31A9">
        <w:rPr>
          <w:szCs w:val="18"/>
        </w:rPr>
        <w:t>.</w:t>
      </w:r>
    </w:p>
  </w:footnote>
  <w:footnote w:id="209">
    <w:p w14:paraId="48C28C6B" w14:textId="3BA9A324" w:rsidR="004E119B" w:rsidRPr="00840539" w:rsidRDefault="004E119B" w:rsidP="00BA14D7">
      <w:pPr>
        <w:pStyle w:val="FootnoteText"/>
        <w:ind w:left="1138" w:right="1138" w:hanging="228"/>
        <w:jc w:val="left"/>
        <w:rPr>
          <w:szCs w:val="18"/>
        </w:rPr>
      </w:pPr>
      <w:r w:rsidRPr="002D31A9">
        <w:rPr>
          <w:rStyle w:val="FootnoteReference"/>
          <w:szCs w:val="18"/>
        </w:rPr>
        <w:footnoteRef/>
      </w:r>
      <w:r w:rsidRPr="002D31A9">
        <w:rPr>
          <w:szCs w:val="18"/>
        </w:rPr>
        <w:t xml:space="preserve"> L’EEI a focalisé son travail d’enquête sur les provinces du Kasaï Central et du Kasaï, ainsi que sur celles du Kasaï Oriental et de Lomami dans une moindre mesure.</w:t>
      </w:r>
    </w:p>
  </w:footnote>
  <w:footnote w:id="210">
    <w:p w14:paraId="3083C835" w14:textId="300C96D1" w:rsidR="004E119B" w:rsidRPr="00B50F59" w:rsidRDefault="004E119B" w:rsidP="00BA14D7">
      <w:pPr>
        <w:pStyle w:val="FootnoteText"/>
        <w:tabs>
          <w:tab w:val="right" w:pos="1080"/>
        </w:tabs>
        <w:ind w:left="1138" w:right="1138" w:hanging="228"/>
        <w:contextualSpacing/>
        <w:jc w:val="left"/>
        <w:rPr>
          <w:szCs w:val="18"/>
        </w:rPr>
      </w:pPr>
      <w:r w:rsidRPr="002D31A9">
        <w:rPr>
          <w:rStyle w:val="FootnoteReference"/>
          <w:szCs w:val="18"/>
        </w:rPr>
        <w:footnoteRef/>
      </w:r>
      <w:r w:rsidRPr="00B50F59">
        <w:rPr>
          <w:szCs w:val="18"/>
        </w:rPr>
        <w:t xml:space="preserve"> T0295.</w:t>
      </w:r>
    </w:p>
  </w:footnote>
  <w:footnote w:id="211">
    <w:p w14:paraId="4AA45A37" w14:textId="72A88A61" w:rsidR="004E119B" w:rsidRPr="00405F13" w:rsidRDefault="004E119B" w:rsidP="00BA14D7">
      <w:pPr>
        <w:pStyle w:val="FootnoteText"/>
        <w:tabs>
          <w:tab w:val="left" w:pos="9639"/>
        </w:tabs>
        <w:ind w:left="1138" w:right="1138" w:hanging="228"/>
        <w:contextualSpacing/>
        <w:jc w:val="left"/>
        <w:rPr>
          <w:szCs w:val="18"/>
        </w:rPr>
      </w:pPr>
      <w:r w:rsidRPr="002D31A9">
        <w:rPr>
          <w:rStyle w:val="FootnoteReference"/>
          <w:szCs w:val="18"/>
        </w:rPr>
        <w:footnoteRef/>
      </w:r>
      <w:r w:rsidRPr="00405F13">
        <w:rPr>
          <w:szCs w:val="18"/>
        </w:rPr>
        <w:t xml:space="preserve"> T0121, </w:t>
      </w:r>
      <w:r>
        <w:rPr>
          <w:bCs/>
          <w:noProof/>
          <w:szCs w:val="18"/>
        </w:rPr>
        <w:t>T0279</w:t>
      </w:r>
      <w:r w:rsidRPr="00405F13">
        <w:rPr>
          <w:bCs/>
          <w:noProof/>
          <w:szCs w:val="18"/>
        </w:rPr>
        <w:t xml:space="preserve">, </w:t>
      </w:r>
      <w:r>
        <w:rPr>
          <w:bCs/>
          <w:noProof/>
          <w:szCs w:val="18"/>
        </w:rPr>
        <w:t>T0215</w:t>
      </w:r>
      <w:r w:rsidRPr="00405F13">
        <w:rPr>
          <w:bCs/>
          <w:noProof/>
          <w:szCs w:val="18"/>
        </w:rPr>
        <w:t xml:space="preserve">, </w:t>
      </w:r>
      <w:r>
        <w:rPr>
          <w:bCs/>
          <w:noProof/>
          <w:szCs w:val="18"/>
        </w:rPr>
        <w:t>T0351</w:t>
      </w:r>
      <w:r w:rsidRPr="00405F13">
        <w:rPr>
          <w:bCs/>
          <w:noProof/>
          <w:szCs w:val="18"/>
        </w:rPr>
        <w:t xml:space="preserve">, </w:t>
      </w:r>
      <w:r>
        <w:rPr>
          <w:bCs/>
          <w:noProof/>
          <w:szCs w:val="18"/>
        </w:rPr>
        <w:t>T0295</w:t>
      </w:r>
      <w:r w:rsidRPr="00405F13">
        <w:rPr>
          <w:bCs/>
          <w:noProof/>
          <w:szCs w:val="18"/>
        </w:rPr>
        <w:t xml:space="preserve">, </w:t>
      </w:r>
      <w:r>
        <w:rPr>
          <w:bCs/>
          <w:noProof/>
          <w:szCs w:val="18"/>
        </w:rPr>
        <w:t>T0332</w:t>
      </w:r>
      <w:r w:rsidRPr="00405F13">
        <w:rPr>
          <w:bCs/>
          <w:noProof/>
          <w:szCs w:val="18"/>
        </w:rPr>
        <w:t xml:space="preserve">, </w:t>
      </w:r>
      <w:r>
        <w:rPr>
          <w:bCs/>
          <w:noProof/>
          <w:szCs w:val="18"/>
        </w:rPr>
        <w:t>T0425</w:t>
      </w:r>
      <w:r w:rsidRPr="00405F13">
        <w:rPr>
          <w:bCs/>
          <w:noProof/>
          <w:szCs w:val="18"/>
        </w:rPr>
        <w:t xml:space="preserve">, </w:t>
      </w:r>
      <w:r>
        <w:rPr>
          <w:bCs/>
          <w:noProof/>
          <w:szCs w:val="18"/>
        </w:rPr>
        <w:t>T0221</w:t>
      </w:r>
      <w:r w:rsidRPr="00405F13">
        <w:rPr>
          <w:bCs/>
          <w:noProof/>
          <w:szCs w:val="18"/>
        </w:rPr>
        <w:t>.</w:t>
      </w:r>
    </w:p>
  </w:footnote>
  <w:footnote w:id="212">
    <w:p w14:paraId="1E25DC54" w14:textId="08086A25" w:rsidR="004E119B" w:rsidRPr="003A1757" w:rsidRDefault="004E119B" w:rsidP="00BA14D7">
      <w:pPr>
        <w:pStyle w:val="FootnoteText"/>
        <w:ind w:left="1138" w:right="1138" w:hanging="228"/>
        <w:jc w:val="left"/>
        <w:rPr>
          <w:szCs w:val="18"/>
        </w:rPr>
      </w:pPr>
      <w:r w:rsidRPr="002D31A9">
        <w:rPr>
          <w:rStyle w:val="FootnoteReference"/>
          <w:szCs w:val="18"/>
        </w:rPr>
        <w:footnoteRef/>
      </w:r>
      <w:r w:rsidRPr="003A1757">
        <w:rPr>
          <w:szCs w:val="18"/>
        </w:rPr>
        <w:t xml:space="preserve"> T0279, </w:t>
      </w:r>
      <w:r>
        <w:rPr>
          <w:szCs w:val="18"/>
        </w:rPr>
        <w:t>T0215</w:t>
      </w:r>
      <w:r w:rsidRPr="003A1757">
        <w:rPr>
          <w:szCs w:val="18"/>
        </w:rPr>
        <w:t xml:space="preserve">, </w:t>
      </w:r>
      <w:r>
        <w:rPr>
          <w:szCs w:val="18"/>
        </w:rPr>
        <w:t>T0214</w:t>
      </w:r>
      <w:r w:rsidRPr="003A1757">
        <w:rPr>
          <w:szCs w:val="18"/>
        </w:rPr>
        <w:t xml:space="preserve">, </w:t>
      </w:r>
      <w:r>
        <w:rPr>
          <w:szCs w:val="18"/>
        </w:rPr>
        <w:t>T0136</w:t>
      </w:r>
      <w:r w:rsidRPr="003A1757">
        <w:rPr>
          <w:szCs w:val="18"/>
        </w:rPr>
        <w:t xml:space="preserve">, </w:t>
      </w:r>
      <w:r>
        <w:rPr>
          <w:szCs w:val="18"/>
        </w:rPr>
        <w:t>T0319</w:t>
      </w:r>
      <w:r w:rsidRPr="003A1757">
        <w:rPr>
          <w:szCs w:val="18"/>
        </w:rPr>
        <w:t>.</w:t>
      </w:r>
    </w:p>
  </w:footnote>
  <w:footnote w:id="213">
    <w:p w14:paraId="2D824F05" w14:textId="33DE8DF7" w:rsidR="004E119B" w:rsidRPr="000F5C18" w:rsidRDefault="004E119B" w:rsidP="00BA14D7">
      <w:pPr>
        <w:pStyle w:val="FootnoteText"/>
        <w:tabs>
          <w:tab w:val="left" w:pos="9639"/>
        </w:tabs>
        <w:ind w:left="1138" w:right="1138" w:hanging="228"/>
        <w:contextualSpacing/>
        <w:jc w:val="left"/>
        <w:rPr>
          <w:szCs w:val="18"/>
        </w:rPr>
      </w:pPr>
      <w:r w:rsidRPr="002D31A9">
        <w:rPr>
          <w:rStyle w:val="FootnoteReference"/>
          <w:szCs w:val="18"/>
        </w:rPr>
        <w:footnoteRef/>
      </w:r>
      <w:r w:rsidRPr="000F5C18">
        <w:rPr>
          <w:szCs w:val="18"/>
        </w:rPr>
        <w:t xml:space="preserve"> T0244.</w:t>
      </w:r>
    </w:p>
  </w:footnote>
  <w:footnote w:id="214">
    <w:p w14:paraId="7B1E37BF" w14:textId="1E8F57A3" w:rsidR="004E119B" w:rsidRPr="000F5C18" w:rsidRDefault="004E119B" w:rsidP="00BA14D7">
      <w:pPr>
        <w:pStyle w:val="FootnoteText"/>
        <w:tabs>
          <w:tab w:val="right" w:pos="0"/>
          <w:tab w:val="left" w:pos="9639"/>
        </w:tabs>
        <w:ind w:left="1138" w:right="1138" w:hanging="228"/>
        <w:contextualSpacing/>
        <w:jc w:val="left"/>
        <w:rPr>
          <w:szCs w:val="18"/>
          <w:highlight w:val="yellow"/>
        </w:rPr>
      </w:pPr>
      <w:r w:rsidRPr="002D31A9">
        <w:rPr>
          <w:rStyle w:val="FootnoteReference"/>
          <w:szCs w:val="18"/>
        </w:rPr>
        <w:footnoteRef/>
      </w:r>
      <w:r w:rsidRPr="000F5C18">
        <w:rPr>
          <w:szCs w:val="18"/>
        </w:rPr>
        <w:t xml:space="preserve"> T0290. </w:t>
      </w:r>
    </w:p>
  </w:footnote>
  <w:footnote w:id="215">
    <w:p w14:paraId="514D9EC9" w14:textId="759C3EA0" w:rsidR="004E119B" w:rsidRPr="00B50F59" w:rsidRDefault="004E119B" w:rsidP="00BA14D7">
      <w:pPr>
        <w:pStyle w:val="FootnoteText"/>
        <w:ind w:left="1138" w:right="1138" w:hanging="228"/>
        <w:jc w:val="left"/>
        <w:rPr>
          <w:szCs w:val="18"/>
        </w:rPr>
      </w:pPr>
      <w:r w:rsidRPr="002D31A9">
        <w:rPr>
          <w:rStyle w:val="FootnoteReference"/>
          <w:szCs w:val="18"/>
        </w:rPr>
        <w:footnoteRef/>
      </w:r>
      <w:r w:rsidRPr="00B50F59">
        <w:rPr>
          <w:szCs w:val="18"/>
        </w:rPr>
        <w:t xml:space="preserve"> T0147, T0354.</w:t>
      </w:r>
    </w:p>
  </w:footnote>
  <w:footnote w:id="216">
    <w:p w14:paraId="29D15D5D" w14:textId="6A3C5C87" w:rsidR="004E119B" w:rsidRPr="00B50F59" w:rsidRDefault="004E119B" w:rsidP="00BA14D7">
      <w:pPr>
        <w:tabs>
          <w:tab w:val="left" w:pos="9639"/>
        </w:tabs>
        <w:spacing w:line="220" w:lineRule="exact"/>
        <w:ind w:left="1138" w:right="1138" w:hanging="228"/>
        <w:contextualSpacing/>
        <w:rPr>
          <w:sz w:val="18"/>
          <w:szCs w:val="18"/>
        </w:rPr>
      </w:pPr>
      <w:r w:rsidRPr="002D31A9">
        <w:rPr>
          <w:rStyle w:val="FootnoteReference"/>
          <w:szCs w:val="18"/>
        </w:rPr>
        <w:footnoteRef/>
      </w:r>
      <w:r w:rsidRPr="00B50F59">
        <w:rPr>
          <w:sz w:val="18"/>
          <w:szCs w:val="18"/>
        </w:rPr>
        <w:t xml:space="preserve"> T0359. </w:t>
      </w:r>
    </w:p>
  </w:footnote>
  <w:footnote w:id="217">
    <w:p w14:paraId="5FF7722E" w14:textId="06275800" w:rsidR="004E119B" w:rsidRPr="00840539" w:rsidRDefault="004E119B" w:rsidP="00BA14D7">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w:t>
      </w:r>
      <w:r w:rsidRPr="00BA14D7">
        <w:rPr>
          <w:szCs w:val="18"/>
        </w:rPr>
        <w:t>T0332</w:t>
      </w:r>
      <w:r w:rsidRPr="002D31A9">
        <w:rPr>
          <w:bCs/>
          <w:noProof/>
          <w:szCs w:val="18"/>
        </w:rPr>
        <w:t xml:space="preserve">. </w:t>
      </w:r>
    </w:p>
  </w:footnote>
  <w:footnote w:id="218">
    <w:p w14:paraId="32E42DCC" w14:textId="3FB116C0" w:rsidR="004E119B" w:rsidRPr="00840539" w:rsidRDefault="004E119B" w:rsidP="00BA14D7">
      <w:pPr>
        <w:pStyle w:val="FootnoteText"/>
        <w:tabs>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T0214</w:t>
      </w:r>
      <w:r w:rsidRPr="002D31A9">
        <w:rPr>
          <w:szCs w:val="18"/>
        </w:rPr>
        <w:t>,</w:t>
      </w:r>
      <w:r w:rsidRPr="00840539">
        <w:rPr>
          <w:szCs w:val="18"/>
        </w:rPr>
        <w:t xml:space="preserve"> </w:t>
      </w:r>
      <w:r>
        <w:rPr>
          <w:szCs w:val="18"/>
        </w:rPr>
        <w:t>T0338</w:t>
      </w:r>
      <w:r w:rsidRPr="00840539">
        <w:rPr>
          <w:szCs w:val="18"/>
        </w:rPr>
        <w:t>.</w:t>
      </w:r>
    </w:p>
  </w:footnote>
  <w:footnote w:id="219">
    <w:p w14:paraId="76BDB1D7" w14:textId="72607A2D" w:rsidR="004E119B" w:rsidRPr="00840539" w:rsidRDefault="004E119B" w:rsidP="00BA14D7">
      <w:pPr>
        <w:pStyle w:val="FootnoteText"/>
        <w:tabs>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Document interne MONUSCO. Voir aussi </w:t>
      </w:r>
      <w:r>
        <w:rPr>
          <w:szCs w:val="18"/>
        </w:rPr>
        <w:t>T0332</w:t>
      </w:r>
      <w:r w:rsidRPr="002D31A9">
        <w:rPr>
          <w:szCs w:val="18"/>
        </w:rPr>
        <w:t>,</w:t>
      </w:r>
      <w:r w:rsidRPr="00840539">
        <w:rPr>
          <w:szCs w:val="18"/>
        </w:rPr>
        <w:t xml:space="preserve"> </w:t>
      </w:r>
      <w:r>
        <w:rPr>
          <w:szCs w:val="18"/>
        </w:rPr>
        <w:t>T0295</w:t>
      </w:r>
      <w:r w:rsidRPr="00840539">
        <w:rPr>
          <w:szCs w:val="18"/>
        </w:rPr>
        <w:t xml:space="preserve">. </w:t>
      </w:r>
    </w:p>
  </w:footnote>
  <w:footnote w:id="220">
    <w:p w14:paraId="665C70ED" w14:textId="7A5F879F" w:rsidR="004E119B" w:rsidRPr="002D31A9" w:rsidRDefault="004E119B" w:rsidP="00BA14D7">
      <w:pPr>
        <w:pStyle w:val="FootnoteText"/>
        <w:tabs>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T0053</w:t>
      </w:r>
      <w:r w:rsidRPr="002D31A9">
        <w:rPr>
          <w:szCs w:val="18"/>
        </w:rPr>
        <w:t xml:space="preserve">, </w:t>
      </w:r>
      <w:r>
        <w:rPr>
          <w:szCs w:val="18"/>
        </w:rPr>
        <w:t>T0129</w:t>
      </w:r>
      <w:r w:rsidRPr="002D31A9">
        <w:rPr>
          <w:szCs w:val="18"/>
        </w:rPr>
        <w:t>.</w:t>
      </w:r>
    </w:p>
  </w:footnote>
  <w:footnote w:id="221">
    <w:p w14:paraId="03651CA0" w14:textId="5D9F446B" w:rsidR="004E119B" w:rsidRPr="00840539" w:rsidRDefault="004E119B" w:rsidP="00BA14D7">
      <w:pPr>
        <w:pStyle w:val="FootnoteText"/>
        <w:tabs>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T0053</w:t>
      </w:r>
      <w:r w:rsidRPr="002D31A9">
        <w:rPr>
          <w:szCs w:val="18"/>
        </w:rPr>
        <w:t xml:space="preserve">, </w:t>
      </w:r>
      <w:r>
        <w:rPr>
          <w:szCs w:val="18"/>
        </w:rPr>
        <w:t>T0439</w:t>
      </w:r>
      <w:r w:rsidRPr="00840539">
        <w:rPr>
          <w:szCs w:val="18"/>
        </w:rPr>
        <w:t xml:space="preserve">, </w:t>
      </w:r>
      <w:r>
        <w:rPr>
          <w:szCs w:val="18"/>
        </w:rPr>
        <w:t>T0175</w:t>
      </w:r>
      <w:r w:rsidRPr="00840539">
        <w:rPr>
          <w:szCs w:val="18"/>
        </w:rPr>
        <w:t>.</w:t>
      </w:r>
    </w:p>
  </w:footnote>
  <w:footnote w:id="222">
    <w:p w14:paraId="5907E883" w14:textId="1401F84E" w:rsidR="004E119B" w:rsidRPr="006E341A" w:rsidRDefault="004E119B" w:rsidP="00BA14D7">
      <w:pPr>
        <w:tabs>
          <w:tab w:val="left" w:pos="9639"/>
        </w:tabs>
        <w:spacing w:line="220" w:lineRule="exact"/>
        <w:ind w:left="1138" w:right="1138" w:hanging="228"/>
        <w:contextualSpacing/>
        <w:rPr>
          <w:sz w:val="18"/>
          <w:szCs w:val="18"/>
        </w:rPr>
      </w:pPr>
      <w:r w:rsidRPr="002D31A9">
        <w:rPr>
          <w:rStyle w:val="FootnoteReference"/>
          <w:szCs w:val="18"/>
        </w:rPr>
        <w:footnoteRef/>
      </w:r>
      <w:r w:rsidRPr="002D31A9">
        <w:rPr>
          <w:sz w:val="18"/>
          <w:szCs w:val="18"/>
        </w:rPr>
        <w:t xml:space="preserve"> </w:t>
      </w:r>
      <w:r>
        <w:rPr>
          <w:sz w:val="18"/>
          <w:szCs w:val="18"/>
        </w:rPr>
        <w:t>T0053</w:t>
      </w:r>
      <w:r w:rsidRPr="002D31A9">
        <w:rPr>
          <w:sz w:val="18"/>
          <w:szCs w:val="18"/>
        </w:rPr>
        <w:t xml:space="preserve">, </w:t>
      </w:r>
      <w:r>
        <w:rPr>
          <w:sz w:val="18"/>
          <w:szCs w:val="18"/>
        </w:rPr>
        <w:t>T0439</w:t>
      </w:r>
      <w:r w:rsidRPr="002D31A9">
        <w:rPr>
          <w:sz w:val="18"/>
          <w:szCs w:val="18"/>
        </w:rPr>
        <w:t xml:space="preserve">, </w:t>
      </w:r>
      <w:r>
        <w:rPr>
          <w:sz w:val="18"/>
          <w:szCs w:val="18"/>
        </w:rPr>
        <w:t>T0171</w:t>
      </w:r>
      <w:r w:rsidRPr="00840539">
        <w:rPr>
          <w:sz w:val="18"/>
          <w:szCs w:val="18"/>
        </w:rPr>
        <w:t>,</w:t>
      </w:r>
      <w:r w:rsidRPr="006E341A">
        <w:rPr>
          <w:sz w:val="18"/>
          <w:szCs w:val="18"/>
          <w:lang w:eastAsia="fr-FR"/>
        </w:rPr>
        <w:t xml:space="preserve"> </w:t>
      </w:r>
      <w:r>
        <w:rPr>
          <w:sz w:val="18"/>
          <w:szCs w:val="18"/>
          <w:lang w:eastAsia="fr-FR"/>
        </w:rPr>
        <w:t>T0175</w:t>
      </w:r>
      <w:r w:rsidRPr="006E341A">
        <w:rPr>
          <w:sz w:val="18"/>
          <w:szCs w:val="18"/>
        </w:rPr>
        <w:t>.</w:t>
      </w:r>
    </w:p>
  </w:footnote>
  <w:footnote w:id="223">
    <w:p w14:paraId="1F6FC0E2" w14:textId="1E7400BA" w:rsidR="004E119B" w:rsidRPr="002D31A9" w:rsidRDefault="004E119B" w:rsidP="00BA14D7">
      <w:pPr>
        <w:pStyle w:val="FootnoteText"/>
        <w:tabs>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T0053</w:t>
      </w:r>
      <w:r w:rsidRPr="002D31A9">
        <w:rPr>
          <w:szCs w:val="18"/>
        </w:rPr>
        <w:t>.</w:t>
      </w:r>
    </w:p>
  </w:footnote>
  <w:footnote w:id="224">
    <w:p w14:paraId="1D476908" w14:textId="4637CB63" w:rsidR="004E119B" w:rsidRPr="006E341A" w:rsidRDefault="004E119B" w:rsidP="00BA14D7">
      <w:pPr>
        <w:pStyle w:val="FootnoteText"/>
        <w:tabs>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T0053</w:t>
      </w:r>
      <w:r w:rsidRPr="002D31A9">
        <w:rPr>
          <w:szCs w:val="18"/>
        </w:rPr>
        <w:t xml:space="preserve">, </w:t>
      </w:r>
      <w:r>
        <w:rPr>
          <w:szCs w:val="18"/>
        </w:rPr>
        <w:t>T0439</w:t>
      </w:r>
      <w:r w:rsidRPr="00840539">
        <w:rPr>
          <w:szCs w:val="18"/>
        </w:rPr>
        <w:t>,</w:t>
      </w:r>
      <w:r w:rsidRPr="006E341A">
        <w:rPr>
          <w:szCs w:val="18"/>
        </w:rPr>
        <w:t xml:space="preserve"> </w:t>
      </w:r>
      <w:r>
        <w:rPr>
          <w:szCs w:val="18"/>
        </w:rPr>
        <w:t>T0175</w:t>
      </w:r>
      <w:r w:rsidRPr="006E341A">
        <w:rPr>
          <w:szCs w:val="18"/>
        </w:rPr>
        <w:t>.</w:t>
      </w:r>
    </w:p>
  </w:footnote>
  <w:footnote w:id="225">
    <w:p w14:paraId="579523F5" w14:textId="71A92C64" w:rsidR="004E119B" w:rsidRPr="002D31A9" w:rsidRDefault="004E119B" w:rsidP="00BA14D7">
      <w:pPr>
        <w:pStyle w:val="FootnoteText"/>
        <w:tabs>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T0171</w:t>
      </w:r>
      <w:r w:rsidRPr="002D31A9">
        <w:rPr>
          <w:szCs w:val="18"/>
        </w:rPr>
        <w:t xml:space="preserve">. </w:t>
      </w:r>
      <w:r w:rsidRPr="004D3AD8">
        <w:rPr>
          <w:szCs w:val="18"/>
        </w:rPr>
        <w:t xml:space="preserve">Voir </w:t>
      </w:r>
      <w:r>
        <w:rPr>
          <w:szCs w:val="18"/>
        </w:rPr>
        <w:t xml:space="preserve">aussi </w:t>
      </w:r>
      <w:r w:rsidRPr="004D3AD8">
        <w:rPr>
          <w:szCs w:val="18"/>
        </w:rPr>
        <w:t xml:space="preserve">la vidéo : RFI, </w:t>
      </w:r>
      <w:r>
        <w:rPr>
          <w:szCs w:val="18"/>
        </w:rPr>
        <w:t>« </w:t>
      </w:r>
      <w:r w:rsidRPr="004D3AD8">
        <w:rPr>
          <w:szCs w:val="18"/>
        </w:rPr>
        <w:t>RDC : violences au Kasaï, chapitre 2, la réaction de l’armée</w:t>
      </w:r>
      <w:r>
        <w:rPr>
          <w:szCs w:val="18"/>
        </w:rPr>
        <w:t> »</w:t>
      </w:r>
      <w:r w:rsidRPr="004D3AD8">
        <w:rPr>
          <w:szCs w:val="18"/>
        </w:rPr>
        <w:t>, http://webdoc.rfi.fr/rdc-kasai-violences-crimes-kamuina-nsapu/chap-02/index.html</w:t>
      </w:r>
      <w:r w:rsidRPr="002D31A9">
        <w:rPr>
          <w:szCs w:val="18"/>
        </w:rPr>
        <w:t>.</w:t>
      </w:r>
    </w:p>
  </w:footnote>
  <w:footnote w:id="226">
    <w:p w14:paraId="0F9155DC" w14:textId="6DCF5D7B" w:rsidR="004E119B" w:rsidRPr="00840539" w:rsidRDefault="004E119B" w:rsidP="00BA14D7">
      <w:pPr>
        <w:tabs>
          <w:tab w:val="left" w:pos="9639"/>
        </w:tabs>
        <w:spacing w:line="220" w:lineRule="exact"/>
        <w:ind w:left="1138" w:right="1138" w:hanging="228"/>
        <w:contextualSpacing/>
        <w:rPr>
          <w:sz w:val="18"/>
          <w:szCs w:val="18"/>
        </w:rPr>
      </w:pPr>
      <w:r w:rsidRPr="002D31A9">
        <w:rPr>
          <w:rStyle w:val="FootnoteReference"/>
          <w:szCs w:val="18"/>
        </w:rPr>
        <w:footnoteRef/>
      </w:r>
      <w:r w:rsidRPr="002D31A9">
        <w:rPr>
          <w:sz w:val="18"/>
          <w:szCs w:val="18"/>
        </w:rPr>
        <w:t xml:space="preserve"> </w:t>
      </w:r>
      <w:r>
        <w:rPr>
          <w:sz w:val="18"/>
          <w:szCs w:val="18"/>
        </w:rPr>
        <w:t>T0439</w:t>
      </w:r>
      <w:r w:rsidRPr="002D31A9">
        <w:rPr>
          <w:sz w:val="18"/>
          <w:szCs w:val="18"/>
        </w:rPr>
        <w:t xml:space="preserve">, </w:t>
      </w:r>
      <w:r>
        <w:rPr>
          <w:sz w:val="18"/>
          <w:szCs w:val="18"/>
        </w:rPr>
        <w:t>T0171</w:t>
      </w:r>
      <w:r w:rsidRPr="002D31A9">
        <w:rPr>
          <w:sz w:val="18"/>
          <w:szCs w:val="18"/>
        </w:rPr>
        <w:t xml:space="preserve">. Voir aussi </w:t>
      </w:r>
      <w:r>
        <w:rPr>
          <w:sz w:val="18"/>
          <w:szCs w:val="18"/>
        </w:rPr>
        <w:t>T0347</w:t>
      </w:r>
      <w:r w:rsidRPr="00840539">
        <w:rPr>
          <w:sz w:val="18"/>
          <w:szCs w:val="18"/>
        </w:rPr>
        <w:t xml:space="preserve">, </w:t>
      </w:r>
      <w:r>
        <w:rPr>
          <w:sz w:val="18"/>
          <w:szCs w:val="18"/>
        </w:rPr>
        <w:t>T0091</w:t>
      </w:r>
      <w:r w:rsidRPr="00840539">
        <w:rPr>
          <w:sz w:val="18"/>
          <w:szCs w:val="18"/>
        </w:rPr>
        <w:t xml:space="preserve">, </w:t>
      </w:r>
      <w:r>
        <w:rPr>
          <w:sz w:val="18"/>
          <w:szCs w:val="18"/>
        </w:rPr>
        <w:t>T0295</w:t>
      </w:r>
      <w:r w:rsidRPr="00840539">
        <w:rPr>
          <w:sz w:val="18"/>
          <w:szCs w:val="18"/>
        </w:rPr>
        <w:t xml:space="preserve">, </w:t>
      </w:r>
      <w:r>
        <w:rPr>
          <w:sz w:val="18"/>
          <w:szCs w:val="18"/>
        </w:rPr>
        <w:t xml:space="preserve">T0425, document interne MONUSCO. </w:t>
      </w:r>
    </w:p>
  </w:footnote>
  <w:footnote w:id="227">
    <w:p w14:paraId="559782F5" w14:textId="0AB842C7" w:rsidR="004E119B" w:rsidRPr="00D63265" w:rsidRDefault="004E119B" w:rsidP="00BA14D7">
      <w:pPr>
        <w:pStyle w:val="FootnoteText"/>
        <w:tabs>
          <w:tab w:val="left" w:pos="9639"/>
        </w:tabs>
        <w:ind w:left="1138" w:right="1138" w:hanging="228"/>
        <w:contextualSpacing/>
        <w:jc w:val="left"/>
        <w:rPr>
          <w:szCs w:val="18"/>
        </w:rPr>
      </w:pPr>
      <w:r w:rsidRPr="002D31A9">
        <w:rPr>
          <w:rStyle w:val="FootnoteReference"/>
          <w:szCs w:val="18"/>
        </w:rPr>
        <w:footnoteRef/>
      </w:r>
      <w:r w:rsidRPr="00D63265">
        <w:rPr>
          <w:szCs w:val="18"/>
        </w:rPr>
        <w:t xml:space="preserve"> T0072, T0046.</w:t>
      </w:r>
    </w:p>
  </w:footnote>
  <w:footnote w:id="228">
    <w:p w14:paraId="3087C706" w14:textId="272BB5D6" w:rsidR="004E119B" w:rsidRPr="00D63265" w:rsidRDefault="004E119B" w:rsidP="00BA14D7">
      <w:pPr>
        <w:pStyle w:val="FootnoteText"/>
        <w:tabs>
          <w:tab w:val="left" w:pos="9639"/>
        </w:tabs>
        <w:ind w:left="1138" w:right="1138" w:hanging="228"/>
        <w:contextualSpacing/>
        <w:jc w:val="left"/>
        <w:rPr>
          <w:szCs w:val="18"/>
        </w:rPr>
      </w:pPr>
      <w:r w:rsidRPr="002D31A9">
        <w:rPr>
          <w:rStyle w:val="FootnoteReference"/>
          <w:szCs w:val="18"/>
        </w:rPr>
        <w:footnoteRef/>
      </w:r>
      <w:r w:rsidRPr="00D63265">
        <w:rPr>
          <w:szCs w:val="18"/>
        </w:rPr>
        <w:t xml:space="preserve"> T0347.</w:t>
      </w:r>
    </w:p>
  </w:footnote>
  <w:footnote w:id="229">
    <w:p w14:paraId="63EAF8BC" w14:textId="25C376D9" w:rsidR="004E119B" w:rsidRPr="00D63265" w:rsidRDefault="004E119B" w:rsidP="00BA14D7">
      <w:pPr>
        <w:pStyle w:val="FootnoteText"/>
        <w:tabs>
          <w:tab w:val="left" w:pos="9639"/>
        </w:tabs>
        <w:ind w:left="1138" w:right="1138" w:hanging="228"/>
        <w:contextualSpacing/>
        <w:jc w:val="left"/>
        <w:rPr>
          <w:szCs w:val="18"/>
        </w:rPr>
      </w:pPr>
      <w:r w:rsidRPr="002D31A9">
        <w:rPr>
          <w:rStyle w:val="FootnoteReference"/>
          <w:szCs w:val="18"/>
        </w:rPr>
        <w:footnoteRef/>
      </w:r>
      <w:r w:rsidRPr="00D63265">
        <w:rPr>
          <w:szCs w:val="18"/>
        </w:rPr>
        <w:t xml:space="preserve"> T0072.</w:t>
      </w:r>
    </w:p>
  </w:footnote>
  <w:footnote w:id="230">
    <w:p w14:paraId="4855300B" w14:textId="562CBA2A" w:rsidR="004E119B" w:rsidRPr="003A1757" w:rsidRDefault="004E119B" w:rsidP="009978BE">
      <w:pPr>
        <w:pStyle w:val="FootnoteText"/>
        <w:tabs>
          <w:tab w:val="right" w:pos="1080"/>
        </w:tabs>
        <w:ind w:left="1138" w:right="1138" w:hanging="228"/>
        <w:contextualSpacing/>
        <w:jc w:val="left"/>
        <w:rPr>
          <w:szCs w:val="18"/>
        </w:rPr>
      </w:pPr>
      <w:r w:rsidRPr="002D31A9">
        <w:rPr>
          <w:rStyle w:val="FootnoteReference"/>
          <w:szCs w:val="18"/>
        </w:rPr>
        <w:footnoteRef/>
      </w:r>
      <w:r w:rsidRPr="003A1757">
        <w:rPr>
          <w:szCs w:val="18"/>
        </w:rPr>
        <w:t xml:space="preserve"> T0439, </w:t>
      </w:r>
      <w:r>
        <w:rPr>
          <w:szCs w:val="18"/>
        </w:rPr>
        <w:t>T0175</w:t>
      </w:r>
      <w:r w:rsidRPr="003A1757">
        <w:rPr>
          <w:szCs w:val="18"/>
        </w:rPr>
        <w:t>.</w:t>
      </w:r>
    </w:p>
  </w:footnote>
  <w:footnote w:id="231">
    <w:p w14:paraId="0720F77B" w14:textId="37A116AB" w:rsidR="004E119B" w:rsidRPr="008264D5" w:rsidRDefault="004E119B" w:rsidP="009978BE">
      <w:pPr>
        <w:tabs>
          <w:tab w:val="left" w:pos="9639"/>
        </w:tabs>
        <w:spacing w:line="220" w:lineRule="exact"/>
        <w:ind w:left="1138" w:right="1138" w:hanging="228"/>
        <w:contextualSpacing/>
        <w:rPr>
          <w:sz w:val="18"/>
          <w:szCs w:val="18"/>
        </w:rPr>
      </w:pPr>
      <w:r w:rsidRPr="002D31A9">
        <w:rPr>
          <w:rStyle w:val="FootnoteReference"/>
          <w:szCs w:val="18"/>
        </w:rPr>
        <w:footnoteRef/>
      </w:r>
      <w:r w:rsidRPr="002D31A9">
        <w:rPr>
          <w:sz w:val="18"/>
          <w:szCs w:val="18"/>
        </w:rPr>
        <w:t xml:space="preserve"> </w:t>
      </w:r>
      <w:r>
        <w:rPr>
          <w:sz w:val="18"/>
          <w:szCs w:val="18"/>
        </w:rPr>
        <w:t>T0439</w:t>
      </w:r>
      <w:r w:rsidRPr="002D31A9">
        <w:rPr>
          <w:sz w:val="18"/>
          <w:szCs w:val="18"/>
        </w:rPr>
        <w:t xml:space="preserve">, </w:t>
      </w:r>
      <w:r>
        <w:rPr>
          <w:sz w:val="18"/>
          <w:szCs w:val="18"/>
        </w:rPr>
        <w:t>T0053</w:t>
      </w:r>
      <w:r w:rsidRPr="00840539">
        <w:rPr>
          <w:sz w:val="18"/>
          <w:szCs w:val="18"/>
        </w:rPr>
        <w:t xml:space="preserve">, </w:t>
      </w:r>
      <w:r>
        <w:rPr>
          <w:sz w:val="18"/>
          <w:szCs w:val="18"/>
        </w:rPr>
        <w:t>T0175</w:t>
      </w:r>
      <w:r w:rsidRPr="00840539">
        <w:rPr>
          <w:sz w:val="18"/>
          <w:szCs w:val="18"/>
        </w:rPr>
        <w:t xml:space="preserve">, </w:t>
      </w:r>
      <w:r>
        <w:rPr>
          <w:sz w:val="18"/>
          <w:szCs w:val="18"/>
        </w:rPr>
        <w:t>T0295</w:t>
      </w:r>
      <w:r w:rsidRPr="00840539">
        <w:rPr>
          <w:sz w:val="18"/>
          <w:szCs w:val="18"/>
        </w:rPr>
        <w:t xml:space="preserve">. </w:t>
      </w:r>
      <w:r w:rsidRPr="004D3AD8">
        <w:rPr>
          <w:sz w:val="18"/>
          <w:szCs w:val="18"/>
        </w:rPr>
        <w:t xml:space="preserve">Voir aussi la vidéo : RFI, </w:t>
      </w:r>
      <w:r>
        <w:rPr>
          <w:sz w:val="18"/>
          <w:szCs w:val="18"/>
        </w:rPr>
        <w:t>« </w:t>
      </w:r>
      <w:r w:rsidRPr="004D3AD8">
        <w:rPr>
          <w:sz w:val="18"/>
          <w:szCs w:val="18"/>
        </w:rPr>
        <w:t>RDC : violences au Kasaï, chapitre 2, la réaction de l’armée</w:t>
      </w:r>
      <w:r>
        <w:rPr>
          <w:sz w:val="18"/>
          <w:szCs w:val="18"/>
        </w:rPr>
        <w:t> »</w:t>
      </w:r>
      <w:r w:rsidRPr="004D3AD8">
        <w:rPr>
          <w:sz w:val="18"/>
          <w:szCs w:val="18"/>
        </w:rPr>
        <w:t xml:space="preserve">, </w:t>
      </w:r>
      <w:hyperlink r:id="rId4" w:history="1">
        <w:r w:rsidRPr="004D3AD8">
          <w:rPr>
            <w:rStyle w:val="Hyperlink"/>
            <w:sz w:val="18"/>
            <w:szCs w:val="18"/>
          </w:rPr>
          <w:t>http://webdoc.rfi.fr/rdc-kasai-violences-crimes-kamuina-nsapu/chap-02/index.html</w:t>
        </w:r>
      </w:hyperlink>
      <w:r w:rsidRPr="004D3AD8">
        <w:rPr>
          <w:noProof/>
          <w:sz w:val="18"/>
          <w:szCs w:val="18"/>
        </w:rPr>
        <w:t xml:space="preserve">. </w:t>
      </w:r>
      <w:r w:rsidRPr="004D3AD8">
        <w:rPr>
          <w:sz w:val="18"/>
          <w:szCs w:val="18"/>
        </w:rPr>
        <w:t>Documents</w:t>
      </w:r>
      <w:r>
        <w:rPr>
          <w:sz w:val="18"/>
          <w:szCs w:val="18"/>
        </w:rPr>
        <w:t xml:space="preserve"> internes MONUSCO</w:t>
      </w:r>
      <w:r w:rsidRPr="008264D5">
        <w:rPr>
          <w:sz w:val="18"/>
          <w:szCs w:val="18"/>
        </w:rPr>
        <w:t>.</w:t>
      </w:r>
    </w:p>
  </w:footnote>
  <w:footnote w:id="232">
    <w:p w14:paraId="16C2E93A" w14:textId="41C817F0" w:rsidR="004E119B" w:rsidRPr="002D31A9"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T0175</w:t>
      </w:r>
      <w:r w:rsidRPr="002D31A9">
        <w:rPr>
          <w:szCs w:val="18"/>
        </w:rPr>
        <w:t>.</w:t>
      </w:r>
    </w:p>
  </w:footnote>
  <w:footnote w:id="233">
    <w:p w14:paraId="4E7A0ABF" w14:textId="0C73968F" w:rsidR="004E119B" w:rsidRPr="0060278B" w:rsidRDefault="004E119B" w:rsidP="009978BE">
      <w:pPr>
        <w:pStyle w:val="ListParagraph"/>
        <w:tabs>
          <w:tab w:val="left" w:pos="9639"/>
        </w:tabs>
        <w:spacing w:line="220" w:lineRule="exact"/>
        <w:ind w:left="1138" w:right="1138" w:hanging="228"/>
        <w:rPr>
          <w:sz w:val="18"/>
          <w:szCs w:val="18"/>
        </w:rPr>
      </w:pPr>
      <w:r w:rsidRPr="002D31A9">
        <w:rPr>
          <w:rStyle w:val="FootnoteReference"/>
          <w:szCs w:val="18"/>
        </w:rPr>
        <w:footnoteRef/>
      </w:r>
      <w:r w:rsidRPr="002D31A9">
        <w:rPr>
          <w:sz w:val="18"/>
          <w:szCs w:val="18"/>
        </w:rPr>
        <w:t xml:space="preserve"> </w:t>
      </w:r>
      <w:r>
        <w:rPr>
          <w:sz w:val="18"/>
          <w:szCs w:val="18"/>
        </w:rPr>
        <w:t>T0439</w:t>
      </w:r>
      <w:r w:rsidRPr="002D31A9">
        <w:rPr>
          <w:sz w:val="18"/>
          <w:szCs w:val="18"/>
        </w:rPr>
        <w:t xml:space="preserve">, </w:t>
      </w:r>
      <w:r>
        <w:rPr>
          <w:sz w:val="18"/>
          <w:szCs w:val="18"/>
        </w:rPr>
        <w:t>documents internes MONUSCO</w:t>
      </w:r>
      <w:r w:rsidRPr="0060278B">
        <w:rPr>
          <w:sz w:val="18"/>
          <w:szCs w:val="18"/>
        </w:rPr>
        <w:t>.</w:t>
      </w:r>
    </w:p>
  </w:footnote>
  <w:footnote w:id="234">
    <w:p w14:paraId="3AFB0F76" w14:textId="418629FE" w:rsidR="004E119B" w:rsidRPr="000F5C18" w:rsidRDefault="004E119B" w:rsidP="009978BE">
      <w:pPr>
        <w:pStyle w:val="FootnoteText"/>
        <w:tabs>
          <w:tab w:val="right" w:pos="0"/>
          <w:tab w:val="left" w:pos="9639"/>
        </w:tabs>
        <w:ind w:left="1138" w:right="1138" w:hanging="228"/>
        <w:contextualSpacing/>
        <w:jc w:val="left"/>
        <w:rPr>
          <w:szCs w:val="18"/>
        </w:rPr>
      </w:pPr>
      <w:r w:rsidRPr="002D31A9">
        <w:rPr>
          <w:rStyle w:val="FootnoteReference"/>
          <w:szCs w:val="18"/>
        </w:rPr>
        <w:footnoteRef/>
      </w:r>
      <w:r w:rsidRPr="000F5C18">
        <w:rPr>
          <w:szCs w:val="18"/>
        </w:rPr>
        <w:t xml:space="preserve"> </w:t>
      </w:r>
      <w:r>
        <w:rPr>
          <w:szCs w:val="18"/>
        </w:rPr>
        <w:t>T0152</w:t>
      </w:r>
      <w:r w:rsidRPr="000F5C18">
        <w:rPr>
          <w:szCs w:val="18"/>
        </w:rPr>
        <w:t>, T0171,</w:t>
      </w:r>
      <w:r w:rsidRPr="000F5C18">
        <w:rPr>
          <w:szCs w:val="18"/>
          <w:lang w:eastAsia="fr-FR"/>
        </w:rPr>
        <w:t xml:space="preserve"> </w:t>
      </w:r>
      <w:r>
        <w:rPr>
          <w:szCs w:val="18"/>
          <w:lang w:eastAsia="fr-FR"/>
        </w:rPr>
        <w:t>T0175</w:t>
      </w:r>
      <w:r w:rsidRPr="000F5C18">
        <w:rPr>
          <w:szCs w:val="18"/>
        </w:rPr>
        <w:t>.</w:t>
      </w:r>
    </w:p>
  </w:footnote>
  <w:footnote w:id="235">
    <w:p w14:paraId="4C8D060C" w14:textId="57F67959" w:rsidR="004E119B" w:rsidRPr="000F5C18" w:rsidRDefault="004E119B" w:rsidP="009978BE">
      <w:pPr>
        <w:pStyle w:val="FootnoteText"/>
        <w:tabs>
          <w:tab w:val="right" w:pos="0"/>
          <w:tab w:val="left" w:pos="9639"/>
        </w:tabs>
        <w:ind w:left="1138" w:right="1138" w:hanging="228"/>
        <w:contextualSpacing/>
        <w:jc w:val="left"/>
        <w:rPr>
          <w:szCs w:val="18"/>
        </w:rPr>
      </w:pPr>
      <w:r w:rsidRPr="002D31A9">
        <w:rPr>
          <w:rStyle w:val="FootnoteReference"/>
          <w:szCs w:val="18"/>
        </w:rPr>
        <w:footnoteRef/>
      </w:r>
      <w:r w:rsidRPr="000F5C18">
        <w:rPr>
          <w:szCs w:val="18"/>
        </w:rPr>
        <w:t xml:space="preserve"> </w:t>
      </w:r>
      <w:r>
        <w:rPr>
          <w:szCs w:val="18"/>
        </w:rPr>
        <w:t>T0175</w:t>
      </w:r>
      <w:r w:rsidRPr="000F5C18">
        <w:rPr>
          <w:szCs w:val="18"/>
        </w:rPr>
        <w:t xml:space="preserve">, T0181, </w:t>
      </w:r>
      <w:r>
        <w:rPr>
          <w:szCs w:val="18"/>
        </w:rPr>
        <w:t>T0295</w:t>
      </w:r>
      <w:r w:rsidRPr="000F5C18">
        <w:rPr>
          <w:szCs w:val="18"/>
        </w:rPr>
        <w:t>.</w:t>
      </w:r>
    </w:p>
  </w:footnote>
  <w:footnote w:id="236">
    <w:p w14:paraId="592DCE94" w14:textId="506209F5" w:rsidR="004E119B" w:rsidRPr="002D31A9"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T0129</w:t>
      </w:r>
      <w:r w:rsidRPr="002D31A9">
        <w:rPr>
          <w:szCs w:val="18"/>
        </w:rPr>
        <w:t>.</w:t>
      </w:r>
    </w:p>
  </w:footnote>
  <w:footnote w:id="237">
    <w:p w14:paraId="4D5AE3E6" w14:textId="2E4EF8E7" w:rsidR="004E119B" w:rsidRPr="006E341A" w:rsidRDefault="004E119B" w:rsidP="009978BE">
      <w:pPr>
        <w:pStyle w:val="ListParagraph"/>
        <w:tabs>
          <w:tab w:val="left" w:pos="9639"/>
        </w:tabs>
        <w:spacing w:line="220" w:lineRule="exact"/>
        <w:ind w:left="1138" w:right="1138" w:hanging="228"/>
        <w:rPr>
          <w:sz w:val="18"/>
          <w:szCs w:val="18"/>
        </w:rPr>
      </w:pPr>
      <w:r w:rsidRPr="002D31A9">
        <w:rPr>
          <w:rStyle w:val="FootnoteReference"/>
          <w:szCs w:val="18"/>
        </w:rPr>
        <w:footnoteRef/>
      </w:r>
      <w:r w:rsidRPr="002D31A9">
        <w:rPr>
          <w:sz w:val="18"/>
          <w:szCs w:val="18"/>
        </w:rPr>
        <w:t xml:space="preserve"> </w:t>
      </w:r>
      <w:r>
        <w:rPr>
          <w:sz w:val="18"/>
          <w:szCs w:val="18"/>
        </w:rPr>
        <w:t>T0175</w:t>
      </w:r>
      <w:r w:rsidRPr="002D31A9">
        <w:rPr>
          <w:sz w:val="18"/>
          <w:szCs w:val="18"/>
        </w:rPr>
        <w:t xml:space="preserve">, </w:t>
      </w:r>
      <w:r>
        <w:rPr>
          <w:sz w:val="18"/>
          <w:szCs w:val="18"/>
        </w:rPr>
        <w:t>T0053</w:t>
      </w:r>
      <w:r w:rsidRPr="002D31A9">
        <w:rPr>
          <w:sz w:val="18"/>
          <w:szCs w:val="18"/>
        </w:rPr>
        <w:t> ; Document interne MONUSCO</w:t>
      </w:r>
      <w:r w:rsidRPr="006E341A">
        <w:rPr>
          <w:sz w:val="18"/>
          <w:szCs w:val="18"/>
        </w:rPr>
        <w:t xml:space="preserve">. </w:t>
      </w:r>
    </w:p>
  </w:footnote>
  <w:footnote w:id="238">
    <w:p w14:paraId="32E5CA1E" w14:textId="5C65C4D3" w:rsidR="004E119B" w:rsidRPr="002D31A9" w:rsidRDefault="004E119B" w:rsidP="009978BE">
      <w:pPr>
        <w:pStyle w:val="FootnoteText"/>
        <w:tabs>
          <w:tab w:val="right" w:pos="0"/>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T0035</w:t>
      </w:r>
      <w:r w:rsidRPr="002D31A9">
        <w:rPr>
          <w:szCs w:val="18"/>
        </w:rPr>
        <w:t>.</w:t>
      </w:r>
    </w:p>
  </w:footnote>
  <w:footnote w:id="239">
    <w:p w14:paraId="3487B964" w14:textId="3C919CDC" w:rsidR="004E119B" w:rsidRPr="006E341A"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Voir</w:t>
      </w:r>
      <w:r w:rsidRPr="00FE5E8D">
        <w:rPr>
          <w:szCs w:val="18"/>
        </w:rPr>
        <w:t xml:space="preserve"> </w:t>
      </w:r>
      <w:r>
        <w:rPr>
          <w:szCs w:val="18"/>
        </w:rPr>
        <w:t>T0053</w:t>
      </w:r>
      <w:r w:rsidRPr="00FE5E8D">
        <w:rPr>
          <w:szCs w:val="18"/>
        </w:rPr>
        <w:t xml:space="preserve">, </w:t>
      </w:r>
      <w:r>
        <w:rPr>
          <w:szCs w:val="18"/>
        </w:rPr>
        <w:t>T0175</w:t>
      </w:r>
      <w:r w:rsidRPr="004637BD">
        <w:rPr>
          <w:szCs w:val="18"/>
        </w:rPr>
        <w:t>.</w:t>
      </w:r>
    </w:p>
  </w:footnote>
  <w:footnote w:id="240">
    <w:p w14:paraId="55DFF8A9" w14:textId="264BB240" w:rsidR="004E119B" w:rsidRPr="00D63265" w:rsidRDefault="004E119B" w:rsidP="009978BE">
      <w:pPr>
        <w:tabs>
          <w:tab w:val="left" w:pos="9639"/>
        </w:tabs>
        <w:spacing w:line="220" w:lineRule="exact"/>
        <w:ind w:left="1138" w:right="1138" w:hanging="228"/>
        <w:contextualSpacing/>
        <w:rPr>
          <w:sz w:val="18"/>
          <w:szCs w:val="18"/>
        </w:rPr>
      </w:pPr>
      <w:r w:rsidRPr="002D31A9">
        <w:rPr>
          <w:rStyle w:val="FootnoteReference"/>
          <w:szCs w:val="18"/>
        </w:rPr>
        <w:footnoteRef/>
      </w:r>
      <w:r w:rsidRPr="00D63265">
        <w:rPr>
          <w:sz w:val="18"/>
          <w:szCs w:val="18"/>
        </w:rPr>
        <w:t xml:space="preserve"> T0295. </w:t>
      </w:r>
    </w:p>
  </w:footnote>
  <w:footnote w:id="241">
    <w:p w14:paraId="0C53423D" w14:textId="3AD00DF4" w:rsidR="004E119B" w:rsidRPr="003A1757" w:rsidRDefault="004E119B" w:rsidP="009978BE">
      <w:pPr>
        <w:pStyle w:val="FootnoteText"/>
        <w:tabs>
          <w:tab w:val="right" w:pos="0"/>
          <w:tab w:val="left" w:pos="9639"/>
        </w:tabs>
        <w:ind w:left="1138" w:right="1138" w:hanging="228"/>
        <w:contextualSpacing/>
        <w:jc w:val="left"/>
        <w:rPr>
          <w:szCs w:val="18"/>
        </w:rPr>
      </w:pPr>
      <w:r w:rsidRPr="002D31A9">
        <w:rPr>
          <w:rStyle w:val="FootnoteReference"/>
          <w:szCs w:val="18"/>
        </w:rPr>
        <w:footnoteRef/>
      </w:r>
      <w:r w:rsidRPr="003A1757">
        <w:rPr>
          <w:szCs w:val="18"/>
        </w:rPr>
        <w:t xml:space="preserve"> </w:t>
      </w:r>
      <w:r>
        <w:rPr>
          <w:szCs w:val="18"/>
        </w:rPr>
        <w:t>T0245</w:t>
      </w:r>
      <w:r w:rsidRPr="003A1757">
        <w:rPr>
          <w:szCs w:val="18"/>
        </w:rPr>
        <w:t>, T0215.</w:t>
      </w:r>
    </w:p>
  </w:footnote>
  <w:footnote w:id="242">
    <w:p w14:paraId="7120E5A4" w14:textId="2A256DCA" w:rsidR="004E119B" w:rsidRPr="003A1757" w:rsidRDefault="004E119B" w:rsidP="009978BE">
      <w:pPr>
        <w:pStyle w:val="FootnoteText"/>
        <w:ind w:left="1138" w:right="1138" w:hanging="228"/>
        <w:jc w:val="left"/>
        <w:rPr>
          <w:szCs w:val="18"/>
        </w:rPr>
      </w:pPr>
      <w:r w:rsidRPr="002D31A9">
        <w:rPr>
          <w:rStyle w:val="FootnoteReference"/>
          <w:szCs w:val="18"/>
        </w:rPr>
        <w:footnoteRef/>
      </w:r>
      <w:r w:rsidRPr="003A1757">
        <w:rPr>
          <w:szCs w:val="18"/>
        </w:rPr>
        <w:t xml:space="preserve"> T0215, </w:t>
      </w:r>
      <w:r>
        <w:rPr>
          <w:szCs w:val="18"/>
        </w:rPr>
        <w:t>T0200</w:t>
      </w:r>
      <w:r w:rsidRPr="003A1757">
        <w:rPr>
          <w:szCs w:val="18"/>
        </w:rPr>
        <w:t xml:space="preserve">, </w:t>
      </w:r>
      <w:r>
        <w:rPr>
          <w:szCs w:val="18"/>
        </w:rPr>
        <w:t>T0214</w:t>
      </w:r>
      <w:r w:rsidRPr="003A1757">
        <w:rPr>
          <w:szCs w:val="18"/>
        </w:rPr>
        <w:t>.</w:t>
      </w:r>
    </w:p>
  </w:footnote>
  <w:footnote w:id="243">
    <w:p w14:paraId="1616A95C" w14:textId="1A672A98" w:rsidR="004E119B" w:rsidRPr="00D63265" w:rsidRDefault="004E119B" w:rsidP="009978BE">
      <w:pPr>
        <w:pStyle w:val="FootnoteText"/>
        <w:tabs>
          <w:tab w:val="right" w:pos="0"/>
          <w:tab w:val="left" w:pos="9639"/>
        </w:tabs>
        <w:ind w:left="1138" w:right="1138" w:hanging="228"/>
        <w:contextualSpacing/>
        <w:jc w:val="left"/>
        <w:rPr>
          <w:szCs w:val="18"/>
        </w:rPr>
      </w:pPr>
      <w:r w:rsidRPr="002D31A9">
        <w:rPr>
          <w:rStyle w:val="FootnoteReference"/>
          <w:szCs w:val="18"/>
        </w:rPr>
        <w:footnoteRef/>
      </w:r>
      <w:r w:rsidRPr="00D63265">
        <w:rPr>
          <w:szCs w:val="18"/>
        </w:rPr>
        <w:t xml:space="preserve"> T0200.</w:t>
      </w:r>
    </w:p>
  </w:footnote>
  <w:footnote w:id="244">
    <w:p w14:paraId="7E6BEDBC" w14:textId="08DEB2A5" w:rsidR="004E119B" w:rsidRPr="00D63265" w:rsidRDefault="004E119B" w:rsidP="009978BE">
      <w:pPr>
        <w:pStyle w:val="FootnoteText"/>
        <w:tabs>
          <w:tab w:val="right" w:pos="1080"/>
        </w:tabs>
        <w:ind w:left="1138" w:right="1138" w:hanging="228"/>
        <w:contextualSpacing/>
        <w:jc w:val="left"/>
        <w:rPr>
          <w:szCs w:val="18"/>
        </w:rPr>
      </w:pPr>
      <w:r w:rsidRPr="002D31A9">
        <w:rPr>
          <w:rStyle w:val="FootnoteReference"/>
          <w:szCs w:val="18"/>
        </w:rPr>
        <w:footnoteRef/>
      </w:r>
      <w:r w:rsidRPr="00D63265">
        <w:rPr>
          <w:szCs w:val="18"/>
        </w:rPr>
        <w:t xml:space="preserve"> T0115, </w:t>
      </w:r>
      <w:r>
        <w:rPr>
          <w:szCs w:val="18"/>
        </w:rPr>
        <w:t>T0273</w:t>
      </w:r>
      <w:r w:rsidRPr="00D63265">
        <w:rPr>
          <w:szCs w:val="18"/>
        </w:rPr>
        <w:t>.</w:t>
      </w:r>
    </w:p>
  </w:footnote>
  <w:footnote w:id="245">
    <w:p w14:paraId="0D8C31CC" w14:textId="12C79A02" w:rsidR="004E119B" w:rsidRPr="00D63265" w:rsidRDefault="004E119B" w:rsidP="009978BE">
      <w:pPr>
        <w:pStyle w:val="FootnoteText"/>
        <w:ind w:left="1138" w:right="1138" w:hanging="228"/>
        <w:jc w:val="left"/>
        <w:rPr>
          <w:szCs w:val="18"/>
        </w:rPr>
      </w:pPr>
      <w:r w:rsidRPr="002D31A9">
        <w:rPr>
          <w:rStyle w:val="FootnoteReference"/>
          <w:szCs w:val="18"/>
        </w:rPr>
        <w:footnoteRef/>
      </w:r>
      <w:r w:rsidRPr="00D63265">
        <w:rPr>
          <w:szCs w:val="18"/>
        </w:rPr>
        <w:t xml:space="preserve"> T0358, T0425.</w:t>
      </w:r>
    </w:p>
  </w:footnote>
  <w:footnote w:id="246">
    <w:p w14:paraId="565F132F" w14:textId="1C815D33" w:rsidR="004E119B" w:rsidRPr="00D63265" w:rsidRDefault="004E119B" w:rsidP="009978BE">
      <w:pPr>
        <w:pStyle w:val="FootnoteText"/>
        <w:ind w:left="1138" w:right="1138" w:hanging="228"/>
        <w:jc w:val="left"/>
        <w:rPr>
          <w:szCs w:val="18"/>
        </w:rPr>
      </w:pPr>
      <w:r w:rsidRPr="002D31A9">
        <w:rPr>
          <w:rStyle w:val="FootnoteReference"/>
          <w:szCs w:val="18"/>
        </w:rPr>
        <w:footnoteRef/>
      </w:r>
      <w:r w:rsidRPr="00D63265">
        <w:rPr>
          <w:szCs w:val="18"/>
        </w:rPr>
        <w:t xml:space="preserve"> T0221, </w:t>
      </w:r>
      <w:r>
        <w:rPr>
          <w:szCs w:val="18"/>
        </w:rPr>
        <w:t>T0440</w:t>
      </w:r>
    </w:p>
  </w:footnote>
  <w:footnote w:id="247">
    <w:p w14:paraId="186FD522" w14:textId="474E88C3" w:rsidR="004E119B" w:rsidRPr="00D63265"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D63265">
        <w:rPr>
          <w:szCs w:val="18"/>
        </w:rPr>
        <w:t xml:space="preserve"> </w:t>
      </w:r>
      <w:r>
        <w:rPr>
          <w:szCs w:val="18"/>
        </w:rPr>
        <w:t>T0355</w:t>
      </w:r>
      <w:r w:rsidRPr="00D63265">
        <w:rPr>
          <w:szCs w:val="18"/>
        </w:rPr>
        <w:t xml:space="preserve">, T0332, </w:t>
      </w:r>
      <w:r>
        <w:rPr>
          <w:szCs w:val="18"/>
        </w:rPr>
        <w:t>T0338</w:t>
      </w:r>
      <w:r w:rsidRPr="00D63265">
        <w:rPr>
          <w:szCs w:val="18"/>
        </w:rPr>
        <w:t xml:space="preserve">, </w:t>
      </w:r>
      <w:r>
        <w:rPr>
          <w:szCs w:val="18"/>
        </w:rPr>
        <w:t>T0015</w:t>
      </w:r>
      <w:r w:rsidRPr="00D63265">
        <w:rPr>
          <w:szCs w:val="18"/>
        </w:rPr>
        <w:t xml:space="preserve">, </w:t>
      </w:r>
      <w:r>
        <w:rPr>
          <w:szCs w:val="18"/>
        </w:rPr>
        <w:t>T0355</w:t>
      </w:r>
      <w:r w:rsidRPr="00D63265">
        <w:rPr>
          <w:szCs w:val="18"/>
        </w:rPr>
        <w:t>, T0321.</w:t>
      </w:r>
    </w:p>
  </w:footnote>
  <w:footnote w:id="248">
    <w:p w14:paraId="155031C7" w14:textId="6986EBCB" w:rsidR="004E119B" w:rsidRPr="002D31A9"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T0151</w:t>
      </w:r>
      <w:r w:rsidRPr="002D31A9">
        <w:rPr>
          <w:szCs w:val="18"/>
        </w:rPr>
        <w:t>.</w:t>
      </w:r>
    </w:p>
  </w:footnote>
  <w:footnote w:id="249">
    <w:p w14:paraId="40924A27" w14:textId="7733191D" w:rsidR="004E119B" w:rsidRPr="009F1B3A" w:rsidRDefault="004E119B" w:rsidP="009978BE">
      <w:pPr>
        <w:pStyle w:val="Corps"/>
        <w:tabs>
          <w:tab w:val="left" w:pos="9639"/>
        </w:tabs>
        <w:spacing w:line="220" w:lineRule="exact"/>
        <w:ind w:left="1138" w:right="1138" w:hanging="228"/>
        <w:contextualSpacing/>
        <w:rPr>
          <w:rFonts w:ascii="Times New Roman" w:hAnsi="Times New Roman" w:cs="Times New Roman"/>
          <w:color w:val="auto"/>
          <w:sz w:val="18"/>
          <w:szCs w:val="18"/>
        </w:rPr>
      </w:pPr>
      <w:r w:rsidRPr="002D31A9">
        <w:rPr>
          <w:rStyle w:val="FootnoteReference"/>
          <w:rFonts w:cs="Times New Roman"/>
          <w:color w:val="auto"/>
          <w:szCs w:val="18"/>
        </w:rPr>
        <w:footnoteRef/>
      </w:r>
      <w:r w:rsidRPr="002D31A9">
        <w:rPr>
          <w:rFonts w:ascii="Times New Roman" w:hAnsi="Times New Roman" w:cs="Times New Roman"/>
          <w:color w:val="auto"/>
          <w:sz w:val="18"/>
          <w:szCs w:val="18"/>
        </w:rPr>
        <w:t xml:space="preserve"> </w:t>
      </w:r>
      <w:r>
        <w:rPr>
          <w:rFonts w:ascii="Times New Roman" w:eastAsiaTheme="minorHAnsi" w:hAnsi="Times New Roman" w:cs="Times New Roman"/>
          <w:color w:val="auto"/>
          <w:sz w:val="18"/>
          <w:szCs w:val="18"/>
          <w:bdr w:val="none" w:sz="0" w:space="0" w:color="auto"/>
          <w:lang w:eastAsia="en-US"/>
        </w:rPr>
        <w:t>T0409</w:t>
      </w:r>
      <w:r w:rsidRPr="002D31A9">
        <w:rPr>
          <w:rFonts w:ascii="Times New Roman" w:eastAsiaTheme="minorHAnsi" w:hAnsi="Times New Roman" w:cs="Times New Roman"/>
          <w:color w:val="auto"/>
          <w:sz w:val="18"/>
          <w:szCs w:val="18"/>
          <w:bdr w:val="none" w:sz="0" w:space="0" w:color="auto"/>
          <w:lang w:eastAsia="en-US"/>
        </w:rPr>
        <w:t xml:space="preserve">. </w:t>
      </w:r>
      <w:r w:rsidRPr="00FE5E8D">
        <w:rPr>
          <w:rFonts w:ascii="Times New Roman" w:eastAsiaTheme="minorHAnsi" w:hAnsi="Times New Roman" w:cs="Times New Roman"/>
          <w:color w:val="auto"/>
          <w:sz w:val="18"/>
          <w:szCs w:val="18"/>
          <w:bdr w:val="none" w:sz="0" w:space="0" w:color="auto"/>
          <w:lang w:eastAsia="en-US"/>
        </w:rPr>
        <w:t xml:space="preserve">Voir aussi </w:t>
      </w:r>
      <w:r w:rsidRPr="004637BD">
        <w:rPr>
          <w:rFonts w:ascii="Times New Roman" w:hAnsi="Times New Roman" w:cs="Times New Roman"/>
          <w:sz w:val="18"/>
          <w:szCs w:val="18"/>
        </w:rPr>
        <w:t>BCNUDH</w:t>
      </w:r>
      <w:r>
        <w:rPr>
          <w:rFonts w:ascii="Times New Roman" w:hAnsi="Times New Roman" w:cs="Times New Roman"/>
          <w:sz w:val="18"/>
          <w:szCs w:val="18"/>
        </w:rPr>
        <w:t xml:space="preserve"> de la MONUSCO, sommaire de la mission conjointe effectuée à Tshimbulu et Bunkonde du 12 au 16 janvier 2017. </w:t>
      </w:r>
      <w:r w:rsidRPr="006E341A" w:rsidDel="00810E59">
        <w:rPr>
          <w:rFonts w:ascii="Times New Roman" w:eastAsiaTheme="minorHAnsi" w:hAnsi="Times New Roman" w:cs="Times New Roman"/>
          <w:color w:val="auto"/>
          <w:sz w:val="18"/>
          <w:szCs w:val="18"/>
          <w:highlight w:val="yellow"/>
          <w:bdr w:val="none" w:sz="0" w:space="0" w:color="auto"/>
          <w:lang w:eastAsia="en-US"/>
        </w:rPr>
        <w:t xml:space="preserve"> </w:t>
      </w:r>
    </w:p>
  </w:footnote>
  <w:footnote w:id="250">
    <w:p w14:paraId="4733901C" w14:textId="7BE01468" w:rsidR="004E119B" w:rsidRPr="00B50F59"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B50F59">
        <w:rPr>
          <w:szCs w:val="18"/>
        </w:rPr>
        <w:t xml:space="preserve"> T0409.</w:t>
      </w:r>
    </w:p>
  </w:footnote>
  <w:footnote w:id="251">
    <w:p w14:paraId="202C6920" w14:textId="321052A7" w:rsidR="004E119B" w:rsidRPr="00B50F59"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B50F59">
        <w:rPr>
          <w:szCs w:val="18"/>
        </w:rPr>
        <w:t xml:space="preserve"> T0393.</w:t>
      </w:r>
    </w:p>
  </w:footnote>
  <w:footnote w:id="252">
    <w:p w14:paraId="62C9BA21" w14:textId="2068EFCE" w:rsidR="004E119B" w:rsidRPr="000F5C18"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0F5C18">
        <w:rPr>
          <w:szCs w:val="18"/>
        </w:rPr>
        <w:t xml:space="preserve"> </w:t>
      </w:r>
      <w:r>
        <w:rPr>
          <w:szCs w:val="18"/>
        </w:rPr>
        <w:t>T0393</w:t>
      </w:r>
      <w:r w:rsidRPr="000F5C18">
        <w:rPr>
          <w:szCs w:val="18"/>
        </w:rPr>
        <w:t>, T0151.</w:t>
      </w:r>
    </w:p>
  </w:footnote>
  <w:footnote w:id="253">
    <w:p w14:paraId="6FF66518" w14:textId="25124DD0" w:rsidR="004E119B" w:rsidRPr="002D31A9"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0F5C18">
        <w:rPr>
          <w:szCs w:val="18"/>
        </w:rPr>
        <w:t xml:space="preserve"> T0151. </w:t>
      </w:r>
      <w:r w:rsidRPr="002D31A9">
        <w:rPr>
          <w:szCs w:val="18"/>
        </w:rPr>
        <w:t xml:space="preserve">Voir aussi </w:t>
      </w:r>
      <w:r>
        <w:rPr>
          <w:szCs w:val="18"/>
        </w:rPr>
        <w:t>T0354</w:t>
      </w:r>
      <w:r w:rsidRPr="002D31A9">
        <w:rPr>
          <w:szCs w:val="18"/>
        </w:rPr>
        <w:t>.</w:t>
      </w:r>
    </w:p>
  </w:footnote>
  <w:footnote w:id="254">
    <w:p w14:paraId="5A913324" w14:textId="6F74FAC6" w:rsidR="004E119B" w:rsidRPr="008946FE"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8946FE">
        <w:rPr>
          <w:szCs w:val="18"/>
        </w:rPr>
        <w:t xml:space="preserve"> </w:t>
      </w:r>
      <w:r>
        <w:rPr>
          <w:szCs w:val="18"/>
        </w:rPr>
        <w:t>T0393</w:t>
      </w:r>
      <w:r w:rsidRPr="008946FE">
        <w:rPr>
          <w:szCs w:val="18"/>
        </w:rPr>
        <w:t xml:space="preserve">, </w:t>
      </w:r>
      <w:r>
        <w:rPr>
          <w:szCs w:val="18"/>
        </w:rPr>
        <w:t>T0170</w:t>
      </w:r>
    </w:p>
  </w:footnote>
  <w:footnote w:id="255">
    <w:p w14:paraId="0F63DBCD" w14:textId="292BDFDD" w:rsidR="004E119B" w:rsidRPr="008946FE"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8946FE">
        <w:rPr>
          <w:szCs w:val="18"/>
        </w:rPr>
        <w:t xml:space="preserve"> </w:t>
      </w:r>
      <w:r>
        <w:rPr>
          <w:szCs w:val="18"/>
        </w:rPr>
        <w:t>T0221</w:t>
      </w:r>
      <w:r w:rsidRPr="008946FE">
        <w:rPr>
          <w:szCs w:val="18"/>
        </w:rPr>
        <w:t xml:space="preserve">, </w:t>
      </w:r>
      <w:r>
        <w:rPr>
          <w:szCs w:val="18"/>
        </w:rPr>
        <w:t>T0440</w:t>
      </w:r>
      <w:r w:rsidRPr="008946FE">
        <w:rPr>
          <w:szCs w:val="18"/>
        </w:rPr>
        <w:t xml:space="preserve">, </w:t>
      </w:r>
      <w:r>
        <w:rPr>
          <w:szCs w:val="18"/>
        </w:rPr>
        <w:t>T0355</w:t>
      </w:r>
      <w:r w:rsidRPr="008946FE">
        <w:rPr>
          <w:szCs w:val="18"/>
        </w:rPr>
        <w:t xml:space="preserve">, </w:t>
      </w:r>
      <w:r>
        <w:rPr>
          <w:szCs w:val="18"/>
        </w:rPr>
        <w:t>T0332</w:t>
      </w:r>
      <w:r w:rsidRPr="008946FE">
        <w:rPr>
          <w:szCs w:val="18"/>
        </w:rPr>
        <w:t>.</w:t>
      </w:r>
    </w:p>
  </w:footnote>
  <w:footnote w:id="256">
    <w:p w14:paraId="04F3F449" w14:textId="64E65517" w:rsidR="004E119B" w:rsidRPr="00B50F59" w:rsidRDefault="004E119B" w:rsidP="009978BE">
      <w:pPr>
        <w:tabs>
          <w:tab w:val="left" w:pos="9639"/>
        </w:tabs>
        <w:spacing w:line="220" w:lineRule="exact"/>
        <w:ind w:left="1138" w:right="1138" w:hanging="228"/>
        <w:contextualSpacing/>
        <w:rPr>
          <w:sz w:val="18"/>
          <w:szCs w:val="18"/>
        </w:rPr>
      </w:pPr>
      <w:r w:rsidRPr="002D31A9">
        <w:rPr>
          <w:rStyle w:val="FootnoteReference"/>
          <w:szCs w:val="18"/>
        </w:rPr>
        <w:footnoteRef/>
      </w:r>
      <w:r w:rsidRPr="00B50F59">
        <w:rPr>
          <w:sz w:val="18"/>
          <w:szCs w:val="18"/>
        </w:rPr>
        <w:t xml:space="preserve"> T0355. </w:t>
      </w:r>
    </w:p>
  </w:footnote>
  <w:footnote w:id="257">
    <w:p w14:paraId="1DEF3976" w14:textId="0D90D571" w:rsidR="004E119B" w:rsidRPr="00B50F59" w:rsidRDefault="004E119B" w:rsidP="009978BE">
      <w:pPr>
        <w:tabs>
          <w:tab w:val="left" w:pos="9639"/>
        </w:tabs>
        <w:spacing w:line="220" w:lineRule="exact"/>
        <w:ind w:left="1138" w:right="1138" w:hanging="228"/>
        <w:contextualSpacing/>
        <w:rPr>
          <w:sz w:val="18"/>
          <w:szCs w:val="18"/>
        </w:rPr>
      </w:pPr>
      <w:r w:rsidRPr="002D31A9">
        <w:rPr>
          <w:rStyle w:val="FootnoteReference"/>
          <w:szCs w:val="18"/>
        </w:rPr>
        <w:footnoteRef/>
      </w:r>
      <w:r w:rsidRPr="00B50F59">
        <w:rPr>
          <w:sz w:val="18"/>
          <w:szCs w:val="18"/>
        </w:rPr>
        <w:t xml:space="preserve"> T0355.</w:t>
      </w:r>
    </w:p>
  </w:footnote>
  <w:footnote w:id="258">
    <w:p w14:paraId="7D7C2C65" w14:textId="12C42B4F" w:rsidR="004E119B" w:rsidRPr="00B50F59" w:rsidRDefault="004E119B" w:rsidP="009978BE">
      <w:pPr>
        <w:pStyle w:val="FootnoteText"/>
        <w:tabs>
          <w:tab w:val="right" w:pos="1080"/>
        </w:tabs>
        <w:ind w:left="1138" w:right="1138" w:hanging="228"/>
        <w:contextualSpacing/>
        <w:jc w:val="left"/>
        <w:rPr>
          <w:szCs w:val="18"/>
        </w:rPr>
      </w:pPr>
      <w:r w:rsidRPr="002D31A9">
        <w:rPr>
          <w:rStyle w:val="FootnoteReference"/>
          <w:szCs w:val="18"/>
        </w:rPr>
        <w:footnoteRef/>
      </w:r>
      <w:r w:rsidRPr="00B50F59">
        <w:rPr>
          <w:szCs w:val="18"/>
        </w:rPr>
        <w:t xml:space="preserve"> T0015.</w:t>
      </w:r>
    </w:p>
  </w:footnote>
  <w:footnote w:id="259">
    <w:p w14:paraId="1FC0184D" w14:textId="098CA30D" w:rsidR="004E119B" w:rsidRPr="00B50F59" w:rsidRDefault="004E119B" w:rsidP="009978BE">
      <w:pPr>
        <w:pStyle w:val="FootnoteText"/>
        <w:ind w:left="1138" w:right="1138" w:hanging="228"/>
        <w:contextualSpacing/>
        <w:jc w:val="left"/>
        <w:rPr>
          <w:szCs w:val="18"/>
        </w:rPr>
      </w:pPr>
      <w:r w:rsidRPr="002D31A9">
        <w:rPr>
          <w:rStyle w:val="FootnoteReference"/>
          <w:szCs w:val="18"/>
        </w:rPr>
        <w:footnoteRef/>
      </w:r>
      <w:r w:rsidRPr="00B50F59">
        <w:rPr>
          <w:szCs w:val="18"/>
        </w:rPr>
        <w:t xml:space="preserve"> T0060.</w:t>
      </w:r>
    </w:p>
  </w:footnote>
  <w:footnote w:id="260">
    <w:p w14:paraId="27711452" w14:textId="7737DE22" w:rsidR="004E119B" w:rsidRPr="00B50F59" w:rsidRDefault="004E119B" w:rsidP="009978BE">
      <w:pPr>
        <w:pStyle w:val="FootnoteText"/>
        <w:tabs>
          <w:tab w:val="right" w:pos="0"/>
          <w:tab w:val="left" w:pos="9639"/>
        </w:tabs>
        <w:ind w:left="1138" w:right="1138" w:hanging="228"/>
        <w:contextualSpacing/>
        <w:jc w:val="left"/>
        <w:rPr>
          <w:szCs w:val="18"/>
        </w:rPr>
      </w:pPr>
      <w:r w:rsidRPr="002D31A9">
        <w:rPr>
          <w:rStyle w:val="FootnoteReference"/>
          <w:szCs w:val="18"/>
        </w:rPr>
        <w:footnoteRef/>
      </w:r>
      <w:r w:rsidRPr="00B50F59">
        <w:rPr>
          <w:szCs w:val="18"/>
        </w:rPr>
        <w:t xml:space="preserve"> T0115. </w:t>
      </w:r>
    </w:p>
  </w:footnote>
  <w:footnote w:id="261">
    <w:p w14:paraId="3825592B" w14:textId="323BABA9" w:rsidR="004E119B" w:rsidRPr="002D31A9"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T0273</w:t>
      </w:r>
      <w:r w:rsidRPr="002D31A9">
        <w:rPr>
          <w:szCs w:val="18"/>
        </w:rPr>
        <w:t>.</w:t>
      </w:r>
    </w:p>
  </w:footnote>
  <w:footnote w:id="262">
    <w:p w14:paraId="0BDA9620" w14:textId="7C2B4DC0" w:rsidR="004E119B" w:rsidRPr="00FE5E8D" w:rsidRDefault="004E119B" w:rsidP="009978BE">
      <w:pPr>
        <w:pStyle w:val="FootnoteText"/>
        <w:tabs>
          <w:tab w:val="right" w:pos="0"/>
        </w:tabs>
        <w:ind w:left="1138" w:right="1138" w:hanging="228"/>
        <w:jc w:val="left"/>
        <w:rPr>
          <w:szCs w:val="18"/>
        </w:rPr>
      </w:pPr>
      <w:r w:rsidRPr="004637BD">
        <w:rPr>
          <w:rStyle w:val="FootnoteReference"/>
          <w:szCs w:val="18"/>
        </w:rPr>
        <w:footnoteRef/>
      </w:r>
      <w:r w:rsidRPr="004637BD">
        <w:rPr>
          <w:szCs w:val="18"/>
        </w:rPr>
        <w:t xml:space="preserve"> </w:t>
      </w:r>
      <w:r w:rsidRPr="00FE5E8D">
        <w:rPr>
          <w:szCs w:val="18"/>
        </w:rPr>
        <w:t>Documents internes MONUSCO.</w:t>
      </w:r>
    </w:p>
  </w:footnote>
  <w:footnote w:id="263">
    <w:p w14:paraId="5BBDF262" w14:textId="2452C1BA" w:rsidR="004E119B" w:rsidRPr="00FE5E8D" w:rsidRDefault="004E119B" w:rsidP="009978BE">
      <w:pPr>
        <w:pStyle w:val="FootnoteText"/>
        <w:tabs>
          <w:tab w:val="right" w:pos="0"/>
        </w:tabs>
        <w:ind w:left="1138" w:right="1138" w:hanging="228"/>
        <w:jc w:val="left"/>
        <w:rPr>
          <w:szCs w:val="18"/>
        </w:rPr>
      </w:pPr>
      <w:r w:rsidRPr="00FE5E8D">
        <w:rPr>
          <w:rStyle w:val="FootnoteReference"/>
          <w:szCs w:val="18"/>
        </w:rPr>
        <w:footnoteRef/>
      </w:r>
      <w:r w:rsidRPr="00FE5E8D">
        <w:rPr>
          <w:szCs w:val="18"/>
        </w:rPr>
        <w:t xml:space="preserve"> Documents internes MONUSCO.</w:t>
      </w:r>
    </w:p>
  </w:footnote>
  <w:footnote w:id="264">
    <w:p w14:paraId="2108929D" w14:textId="3E9B3F1E" w:rsidR="004E119B" w:rsidRPr="004637BD" w:rsidRDefault="004E119B" w:rsidP="009978BE">
      <w:pPr>
        <w:pStyle w:val="FootnoteText"/>
        <w:tabs>
          <w:tab w:val="right" w:pos="0"/>
        </w:tabs>
        <w:ind w:left="1138" w:right="1138" w:hanging="228"/>
        <w:jc w:val="left"/>
        <w:rPr>
          <w:szCs w:val="18"/>
          <w:lang w:val="en-US"/>
        </w:rPr>
      </w:pPr>
      <w:r w:rsidRPr="00FE5E8D">
        <w:rPr>
          <w:rStyle w:val="FootnoteReference"/>
          <w:szCs w:val="18"/>
        </w:rPr>
        <w:footnoteRef/>
      </w:r>
      <w:r w:rsidRPr="00FE5E8D">
        <w:rPr>
          <w:szCs w:val="18"/>
        </w:rPr>
        <w:t xml:space="preserve"> RFI, « L’exécution de deux experts de l’Onu », http://webdoc.rfi.fr/rdc-kasai-violences-crimes-kamuina-nsapu/chap-04/index.html ; Reuters</w:t>
      </w:r>
      <w:r>
        <w:rPr>
          <w:szCs w:val="18"/>
        </w:rPr>
        <w:t xml:space="preserve"> 20 décembre 2017, « </w:t>
      </w:r>
      <w:r w:rsidRPr="00FE5E8D">
        <w:rPr>
          <w:szCs w:val="18"/>
        </w:rPr>
        <w:t xml:space="preserve">Who killed U.N. experts in Congo? </w:t>
      </w:r>
      <w:r w:rsidRPr="00FE5E8D">
        <w:rPr>
          <w:szCs w:val="18"/>
          <w:lang w:val="en-US"/>
        </w:rPr>
        <w:t>Confidential prosecutor's file offers clues», https://uk.reuters.com/article/uk-congo-violence-un-insight/who-killed-u-n-experts-in-congo-confidential-prosecutors-file-offers-clues-idUKKBN1EE0CZ</w:t>
      </w:r>
    </w:p>
  </w:footnote>
  <w:footnote w:id="265">
    <w:p w14:paraId="60ED51EC" w14:textId="1DFFEC69" w:rsidR="004E119B" w:rsidRPr="00FE5E8D" w:rsidRDefault="004E119B" w:rsidP="009978BE">
      <w:pPr>
        <w:pStyle w:val="FootnoteText"/>
        <w:tabs>
          <w:tab w:val="right" w:pos="0"/>
        </w:tabs>
        <w:ind w:left="1138" w:right="1138" w:hanging="228"/>
        <w:jc w:val="left"/>
        <w:rPr>
          <w:szCs w:val="18"/>
        </w:rPr>
      </w:pPr>
      <w:r w:rsidRPr="004637BD">
        <w:rPr>
          <w:rStyle w:val="FootnoteReference"/>
          <w:szCs w:val="18"/>
        </w:rPr>
        <w:footnoteRef/>
      </w:r>
      <w:r w:rsidRPr="004637BD">
        <w:rPr>
          <w:szCs w:val="18"/>
        </w:rPr>
        <w:t xml:space="preserve"> </w:t>
      </w:r>
      <w:r w:rsidRPr="00FE5E8D">
        <w:rPr>
          <w:szCs w:val="18"/>
        </w:rPr>
        <w:t>RFI, « Analyse de la vidéo de l’exécution des deux experts onusiens », http://webdoc.rfi.fr/rdc-kasai-violences-crimes-kamuina-nsapu/chap-03/pdf/analyse-video-assassinat-experts.pdf.</w:t>
      </w:r>
    </w:p>
  </w:footnote>
  <w:footnote w:id="266">
    <w:p w14:paraId="0B6CB01E" w14:textId="446B2491" w:rsidR="004E119B" w:rsidRPr="006E341A" w:rsidRDefault="004E119B" w:rsidP="009978BE">
      <w:pPr>
        <w:pStyle w:val="FootnoteText"/>
        <w:ind w:left="1138" w:right="1138" w:hanging="228"/>
        <w:jc w:val="left"/>
        <w:rPr>
          <w:szCs w:val="18"/>
        </w:rPr>
      </w:pPr>
      <w:r w:rsidRPr="00FE5E8D">
        <w:rPr>
          <w:rStyle w:val="FootnoteReference"/>
          <w:szCs w:val="18"/>
        </w:rPr>
        <w:footnoteRef/>
      </w:r>
      <w:r w:rsidRPr="00FE5E8D">
        <w:rPr>
          <w:szCs w:val="18"/>
        </w:rPr>
        <w:t xml:space="preserve"> Documents internes MONUSCO, </w:t>
      </w:r>
      <w:r>
        <w:rPr>
          <w:szCs w:val="18"/>
        </w:rPr>
        <w:t>T0090</w:t>
      </w:r>
      <w:r w:rsidRPr="004637BD">
        <w:rPr>
          <w:szCs w:val="18"/>
        </w:rPr>
        <w:t>.</w:t>
      </w:r>
    </w:p>
  </w:footnote>
  <w:footnote w:id="267">
    <w:p w14:paraId="63AD1928" w14:textId="78C96E7A" w:rsidR="004E119B" w:rsidRPr="00840539"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T0387</w:t>
      </w:r>
      <w:r w:rsidRPr="00840539">
        <w:rPr>
          <w:szCs w:val="18"/>
        </w:rPr>
        <w:t xml:space="preserve">, </w:t>
      </w:r>
      <w:r>
        <w:rPr>
          <w:szCs w:val="18"/>
        </w:rPr>
        <w:t>T0356</w:t>
      </w:r>
      <w:r w:rsidRPr="00840539">
        <w:rPr>
          <w:szCs w:val="18"/>
        </w:rPr>
        <w:t>.</w:t>
      </w:r>
    </w:p>
  </w:footnote>
  <w:footnote w:id="268">
    <w:p w14:paraId="02AAFE75" w14:textId="58AC94F3" w:rsidR="004E119B" w:rsidRPr="006E341A" w:rsidRDefault="004E119B" w:rsidP="009978BE">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T0356</w:t>
      </w:r>
      <w:r w:rsidRPr="00840539">
        <w:rPr>
          <w:szCs w:val="18"/>
        </w:rPr>
        <w:t xml:space="preserve">, </w:t>
      </w:r>
      <w:r>
        <w:rPr>
          <w:szCs w:val="18"/>
        </w:rPr>
        <w:t>T0357</w:t>
      </w:r>
      <w:r w:rsidRPr="00840539">
        <w:rPr>
          <w:szCs w:val="18"/>
        </w:rPr>
        <w:t xml:space="preserve">, </w:t>
      </w:r>
      <w:r>
        <w:rPr>
          <w:szCs w:val="18"/>
        </w:rPr>
        <w:t>T0121,</w:t>
      </w:r>
      <w:r w:rsidRPr="00840539">
        <w:rPr>
          <w:szCs w:val="18"/>
        </w:rPr>
        <w:t xml:space="preserve"> </w:t>
      </w:r>
      <w:r>
        <w:rPr>
          <w:szCs w:val="18"/>
        </w:rPr>
        <w:t>d</w:t>
      </w:r>
      <w:r w:rsidRPr="00840539">
        <w:rPr>
          <w:szCs w:val="18"/>
        </w:rPr>
        <w:t>ocument interne MONUSCO</w:t>
      </w:r>
      <w:r w:rsidRPr="006E341A">
        <w:rPr>
          <w:szCs w:val="18"/>
        </w:rPr>
        <w:t>.</w:t>
      </w:r>
    </w:p>
  </w:footnote>
  <w:footnote w:id="269">
    <w:p w14:paraId="74F089B2" w14:textId="235CA38C" w:rsidR="004E119B" w:rsidRPr="009F1B3A" w:rsidRDefault="004E119B" w:rsidP="009978BE">
      <w:pPr>
        <w:pStyle w:val="FootnoteText"/>
        <w:ind w:left="1138" w:right="1138" w:hanging="228"/>
        <w:jc w:val="left"/>
        <w:rPr>
          <w:szCs w:val="18"/>
        </w:rPr>
      </w:pPr>
      <w:r w:rsidRPr="002D31A9">
        <w:rPr>
          <w:rStyle w:val="FootnoteReference"/>
          <w:szCs w:val="18"/>
        </w:rPr>
        <w:footnoteRef/>
      </w:r>
      <w:r w:rsidRPr="002D31A9">
        <w:rPr>
          <w:szCs w:val="18"/>
        </w:rPr>
        <w:t xml:space="preserve"> </w:t>
      </w:r>
      <w:r w:rsidRPr="00840539">
        <w:rPr>
          <w:szCs w:val="18"/>
        </w:rPr>
        <w:t>Voir pa</w:t>
      </w:r>
      <w:r w:rsidRPr="006E341A">
        <w:rPr>
          <w:szCs w:val="18"/>
        </w:rPr>
        <w:t xml:space="preserve">r exemple, </w:t>
      </w:r>
      <w:r>
        <w:rPr>
          <w:szCs w:val="18"/>
        </w:rPr>
        <w:t>T0181</w:t>
      </w:r>
      <w:r w:rsidRPr="006E341A">
        <w:rPr>
          <w:szCs w:val="18"/>
        </w:rPr>
        <w:t xml:space="preserve">, </w:t>
      </w:r>
      <w:r>
        <w:rPr>
          <w:szCs w:val="18"/>
        </w:rPr>
        <w:t>T0365</w:t>
      </w:r>
      <w:r w:rsidRPr="006E341A">
        <w:rPr>
          <w:szCs w:val="18"/>
        </w:rPr>
        <w:t xml:space="preserve">, </w:t>
      </w:r>
      <w:r>
        <w:rPr>
          <w:szCs w:val="18"/>
        </w:rPr>
        <w:t>T0155</w:t>
      </w:r>
      <w:r w:rsidRPr="006E341A">
        <w:rPr>
          <w:szCs w:val="18"/>
        </w:rPr>
        <w:t xml:space="preserve">, </w:t>
      </w:r>
      <w:r>
        <w:rPr>
          <w:szCs w:val="18"/>
        </w:rPr>
        <w:t>T0296,</w:t>
      </w:r>
      <w:r w:rsidRPr="006E341A">
        <w:rPr>
          <w:szCs w:val="18"/>
        </w:rPr>
        <w:t xml:space="preserve"> </w:t>
      </w:r>
      <w:r>
        <w:rPr>
          <w:szCs w:val="18"/>
        </w:rPr>
        <w:t>r</w:t>
      </w:r>
      <w:r w:rsidRPr="00FE5E8D">
        <w:rPr>
          <w:szCs w:val="18"/>
        </w:rPr>
        <w:t>apport de la société civile</w:t>
      </w:r>
      <w:r>
        <w:rPr>
          <w:szCs w:val="18"/>
        </w:rPr>
        <w:t>, d</w:t>
      </w:r>
      <w:r w:rsidRPr="00840539">
        <w:rPr>
          <w:szCs w:val="18"/>
        </w:rPr>
        <w:t>ocument interne MONUSCO</w:t>
      </w:r>
      <w:r>
        <w:rPr>
          <w:szCs w:val="18"/>
        </w:rPr>
        <w:t>.</w:t>
      </w:r>
    </w:p>
  </w:footnote>
  <w:footnote w:id="270">
    <w:p w14:paraId="4ADF5E89" w14:textId="4010CEEB" w:rsidR="004E119B" w:rsidRPr="001A45E8" w:rsidRDefault="004E119B" w:rsidP="009978BE">
      <w:pPr>
        <w:tabs>
          <w:tab w:val="left" w:pos="9639"/>
        </w:tabs>
        <w:spacing w:line="220" w:lineRule="exact"/>
        <w:ind w:left="1138" w:right="1138" w:hanging="228"/>
        <w:contextualSpacing/>
        <w:rPr>
          <w:sz w:val="18"/>
          <w:szCs w:val="18"/>
        </w:rPr>
      </w:pPr>
      <w:r w:rsidRPr="002D31A9">
        <w:rPr>
          <w:rStyle w:val="FootnoteReference"/>
          <w:szCs w:val="18"/>
        </w:rPr>
        <w:footnoteRef/>
      </w:r>
      <w:r w:rsidRPr="001A45E8">
        <w:rPr>
          <w:sz w:val="18"/>
          <w:szCs w:val="18"/>
        </w:rPr>
        <w:t xml:space="preserve"> </w:t>
      </w:r>
      <w:r>
        <w:rPr>
          <w:sz w:val="18"/>
          <w:szCs w:val="18"/>
        </w:rPr>
        <w:t>T0356</w:t>
      </w:r>
      <w:r w:rsidRPr="001A45E8">
        <w:rPr>
          <w:sz w:val="18"/>
          <w:szCs w:val="18"/>
        </w:rPr>
        <w:t xml:space="preserve">, </w:t>
      </w:r>
      <w:r>
        <w:rPr>
          <w:sz w:val="18"/>
          <w:szCs w:val="18"/>
        </w:rPr>
        <w:t>T0357</w:t>
      </w:r>
      <w:r w:rsidRPr="001A45E8">
        <w:rPr>
          <w:sz w:val="18"/>
          <w:szCs w:val="18"/>
        </w:rPr>
        <w:t>, T0121.</w:t>
      </w:r>
    </w:p>
  </w:footnote>
  <w:footnote w:id="271">
    <w:p w14:paraId="763A9BB0" w14:textId="06EE220F" w:rsidR="004E119B" w:rsidRPr="00405F13"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405F13">
        <w:rPr>
          <w:szCs w:val="18"/>
        </w:rPr>
        <w:t xml:space="preserve"> </w:t>
      </w:r>
      <w:r>
        <w:rPr>
          <w:szCs w:val="18"/>
        </w:rPr>
        <w:t>T0356</w:t>
      </w:r>
      <w:r w:rsidRPr="00405F13">
        <w:rPr>
          <w:szCs w:val="18"/>
        </w:rPr>
        <w:t xml:space="preserve">, </w:t>
      </w:r>
      <w:r>
        <w:rPr>
          <w:szCs w:val="18"/>
        </w:rPr>
        <w:t>T0357</w:t>
      </w:r>
      <w:r w:rsidRPr="00405F13">
        <w:rPr>
          <w:szCs w:val="18"/>
        </w:rPr>
        <w:t xml:space="preserve">, </w:t>
      </w:r>
      <w:r>
        <w:rPr>
          <w:szCs w:val="18"/>
        </w:rPr>
        <w:t>T0296</w:t>
      </w:r>
      <w:r w:rsidRPr="00405F13">
        <w:rPr>
          <w:szCs w:val="18"/>
        </w:rPr>
        <w:t xml:space="preserve">, T0023, </w:t>
      </w:r>
      <w:r>
        <w:rPr>
          <w:szCs w:val="18"/>
        </w:rPr>
        <w:t>T0311</w:t>
      </w:r>
      <w:r w:rsidRPr="00405F13">
        <w:rPr>
          <w:szCs w:val="18"/>
        </w:rPr>
        <w:t>.</w:t>
      </w:r>
    </w:p>
  </w:footnote>
  <w:footnote w:id="272">
    <w:p w14:paraId="41739AAF" w14:textId="0F9D4B11" w:rsidR="004E119B" w:rsidRPr="006956C5"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6956C5">
        <w:rPr>
          <w:szCs w:val="18"/>
        </w:rPr>
        <w:t xml:space="preserve"> T0357.</w:t>
      </w:r>
    </w:p>
  </w:footnote>
  <w:footnote w:id="273">
    <w:p w14:paraId="0B020D36" w14:textId="44B41C3F" w:rsidR="004E119B" w:rsidRPr="006956C5"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6956C5">
        <w:rPr>
          <w:szCs w:val="18"/>
        </w:rPr>
        <w:t xml:space="preserve"> </w:t>
      </w:r>
      <w:r>
        <w:rPr>
          <w:szCs w:val="18"/>
        </w:rPr>
        <w:t>T0356</w:t>
      </w:r>
      <w:r w:rsidRPr="006956C5">
        <w:rPr>
          <w:szCs w:val="18"/>
        </w:rPr>
        <w:t>, T0357.</w:t>
      </w:r>
    </w:p>
  </w:footnote>
  <w:footnote w:id="274">
    <w:p w14:paraId="68C177BA" w14:textId="0D8D63AE" w:rsidR="004E119B" w:rsidRPr="0060278B"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6956C5">
        <w:rPr>
          <w:szCs w:val="18"/>
        </w:rPr>
        <w:t xml:space="preserve"> </w:t>
      </w:r>
      <w:r>
        <w:rPr>
          <w:szCs w:val="18"/>
        </w:rPr>
        <w:t>T0356</w:t>
      </w:r>
      <w:r w:rsidRPr="006956C5">
        <w:rPr>
          <w:szCs w:val="18"/>
        </w:rPr>
        <w:t xml:space="preserve">, T0357, T0296. </w:t>
      </w:r>
      <w:r w:rsidRPr="006E341A">
        <w:rPr>
          <w:szCs w:val="18"/>
        </w:rPr>
        <w:t xml:space="preserve">Voir aussi </w:t>
      </w:r>
      <w:r>
        <w:rPr>
          <w:szCs w:val="18"/>
        </w:rPr>
        <w:t>d</w:t>
      </w:r>
      <w:r w:rsidRPr="006E341A">
        <w:rPr>
          <w:szCs w:val="18"/>
        </w:rPr>
        <w:t>ocument interne MONUSCO</w:t>
      </w:r>
      <w:r>
        <w:rPr>
          <w:szCs w:val="18"/>
        </w:rPr>
        <w:t>.</w:t>
      </w:r>
      <w:r w:rsidRPr="006E341A">
        <w:rPr>
          <w:szCs w:val="18"/>
        </w:rPr>
        <w:t xml:space="preserve"> </w:t>
      </w:r>
    </w:p>
  </w:footnote>
  <w:footnote w:id="275">
    <w:p w14:paraId="611B13BA" w14:textId="665538E8" w:rsidR="004E119B" w:rsidRPr="001A45E8" w:rsidRDefault="004E119B" w:rsidP="009978BE">
      <w:pPr>
        <w:pStyle w:val="FootnoteText"/>
        <w:ind w:left="1138" w:right="1138" w:hanging="228"/>
        <w:jc w:val="left"/>
        <w:rPr>
          <w:szCs w:val="18"/>
        </w:rPr>
      </w:pPr>
      <w:r w:rsidRPr="002D31A9">
        <w:rPr>
          <w:rStyle w:val="FootnoteReference"/>
          <w:szCs w:val="18"/>
        </w:rPr>
        <w:footnoteRef/>
      </w:r>
      <w:r w:rsidRPr="001A45E8">
        <w:rPr>
          <w:szCs w:val="18"/>
        </w:rPr>
        <w:t xml:space="preserve"> T0296, </w:t>
      </w:r>
      <w:r>
        <w:rPr>
          <w:szCs w:val="18"/>
        </w:rPr>
        <w:t>T0086</w:t>
      </w:r>
      <w:r w:rsidRPr="001A45E8">
        <w:rPr>
          <w:szCs w:val="18"/>
        </w:rPr>
        <w:t xml:space="preserve">, </w:t>
      </w:r>
      <w:r>
        <w:rPr>
          <w:szCs w:val="18"/>
        </w:rPr>
        <w:t>T0068</w:t>
      </w:r>
      <w:r w:rsidRPr="001A45E8">
        <w:rPr>
          <w:szCs w:val="18"/>
        </w:rPr>
        <w:t>.</w:t>
      </w:r>
    </w:p>
  </w:footnote>
  <w:footnote w:id="276">
    <w:p w14:paraId="66D0BBC2" w14:textId="078DF41E" w:rsidR="004E119B" w:rsidRPr="001A45E8"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1A45E8">
        <w:rPr>
          <w:szCs w:val="18"/>
        </w:rPr>
        <w:t xml:space="preserve"> T0296, </w:t>
      </w:r>
      <w:r>
        <w:rPr>
          <w:szCs w:val="18"/>
        </w:rPr>
        <w:t>T0199</w:t>
      </w:r>
      <w:r w:rsidRPr="001A45E8">
        <w:rPr>
          <w:szCs w:val="18"/>
        </w:rPr>
        <w:t xml:space="preserve">, </w:t>
      </w:r>
      <w:r>
        <w:rPr>
          <w:szCs w:val="18"/>
        </w:rPr>
        <w:t>T0086</w:t>
      </w:r>
      <w:r w:rsidRPr="001A45E8">
        <w:rPr>
          <w:szCs w:val="18"/>
        </w:rPr>
        <w:t>.</w:t>
      </w:r>
    </w:p>
  </w:footnote>
  <w:footnote w:id="277">
    <w:p w14:paraId="70BFDE9C" w14:textId="1A4EDB33" w:rsidR="004E119B" w:rsidRPr="00405F13" w:rsidRDefault="004E119B" w:rsidP="009978BE">
      <w:pPr>
        <w:tabs>
          <w:tab w:val="left" w:pos="9639"/>
        </w:tabs>
        <w:spacing w:line="220" w:lineRule="exact"/>
        <w:ind w:left="1138" w:right="1138" w:hanging="228"/>
        <w:contextualSpacing/>
        <w:rPr>
          <w:sz w:val="18"/>
          <w:szCs w:val="18"/>
        </w:rPr>
      </w:pPr>
      <w:r w:rsidRPr="002D31A9">
        <w:rPr>
          <w:rStyle w:val="FootnoteReference"/>
          <w:szCs w:val="18"/>
        </w:rPr>
        <w:footnoteRef/>
      </w:r>
      <w:r w:rsidRPr="00405F13">
        <w:rPr>
          <w:sz w:val="18"/>
          <w:szCs w:val="18"/>
        </w:rPr>
        <w:t xml:space="preserve"> </w:t>
      </w:r>
      <w:r>
        <w:rPr>
          <w:sz w:val="18"/>
          <w:szCs w:val="18"/>
        </w:rPr>
        <w:t>T0296</w:t>
      </w:r>
      <w:r w:rsidRPr="00405F13">
        <w:rPr>
          <w:sz w:val="18"/>
          <w:szCs w:val="18"/>
        </w:rPr>
        <w:t xml:space="preserve">, </w:t>
      </w:r>
      <w:r>
        <w:rPr>
          <w:sz w:val="18"/>
          <w:szCs w:val="18"/>
        </w:rPr>
        <w:t>T0068</w:t>
      </w:r>
      <w:r w:rsidRPr="00405F13">
        <w:rPr>
          <w:sz w:val="18"/>
          <w:szCs w:val="18"/>
        </w:rPr>
        <w:t xml:space="preserve">, T0181, </w:t>
      </w:r>
      <w:r>
        <w:rPr>
          <w:sz w:val="18"/>
          <w:szCs w:val="18"/>
        </w:rPr>
        <w:t>T0199</w:t>
      </w:r>
      <w:r w:rsidRPr="00405F13">
        <w:rPr>
          <w:sz w:val="18"/>
          <w:szCs w:val="18"/>
        </w:rPr>
        <w:t xml:space="preserve">, </w:t>
      </w:r>
      <w:r>
        <w:rPr>
          <w:sz w:val="18"/>
          <w:szCs w:val="18"/>
        </w:rPr>
        <w:t>T0180</w:t>
      </w:r>
      <w:r w:rsidRPr="00405F13">
        <w:rPr>
          <w:sz w:val="18"/>
          <w:szCs w:val="18"/>
        </w:rPr>
        <w:t xml:space="preserve">, </w:t>
      </w:r>
      <w:r>
        <w:rPr>
          <w:sz w:val="18"/>
          <w:szCs w:val="18"/>
        </w:rPr>
        <w:t>T0413</w:t>
      </w:r>
      <w:r w:rsidRPr="00405F13">
        <w:rPr>
          <w:sz w:val="18"/>
          <w:szCs w:val="18"/>
        </w:rPr>
        <w:t xml:space="preserve">, T0311, </w:t>
      </w:r>
      <w:r>
        <w:rPr>
          <w:sz w:val="18"/>
          <w:szCs w:val="18"/>
        </w:rPr>
        <w:t>T0380</w:t>
      </w:r>
      <w:r w:rsidRPr="00405F13">
        <w:rPr>
          <w:sz w:val="18"/>
          <w:szCs w:val="18"/>
        </w:rPr>
        <w:t>.</w:t>
      </w:r>
    </w:p>
  </w:footnote>
  <w:footnote w:id="278">
    <w:p w14:paraId="0BCBFE69" w14:textId="3C556D3C" w:rsidR="004E119B" w:rsidRPr="00840539" w:rsidRDefault="004E119B" w:rsidP="009978BE">
      <w:pPr>
        <w:pStyle w:val="FootnoteText"/>
        <w:ind w:left="1138" w:right="1138" w:hanging="228"/>
        <w:jc w:val="left"/>
        <w:rPr>
          <w:szCs w:val="18"/>
        </w:rPr>
      </w:pPr>
      <w:r w:rsidRPr="002D31A9">
        <w:rPr>
          <w:rStyle w:val="FootnoteReference"/>
          <w:szCs w:val="18"/>
        </w:rPr>
        <w:footnoteRef/>
      </w:r>
      <w:r w:rsidRPr="002D31A9">
        <w:rPr>
          <w:szCs w:val="18"/>
        </w:rPr>
        <w:t xml:space="preserve"> </w:t>
      </w:r>
      <w:r w:rsidRPr="00840539">
        <w:rPr>
          <w:szCs w:val="18"/>
        </w:rPr>
        <w:t xml:space="preserve">Document </w:t>
      </w:r>
      <w:r>
        <w:rPr>
          <w:szCs w:val="18"/>
        </w:rPr>
        <w:t>i</w:t>
      </w:r>
      <w:r w:rsidRPr="00840539">
        <w:rPr>
          <w:szCs w:val="18"/>
        </w:rPr>
        <w:t>nterne MONUSCO</w:t>
      </w:r>
      <w:r>
        <w:rPr>
          <w:szCs w:val="18"/>
        </w:rPr>
        <w:t>.</w:t>
      </w:r>
    </w:p>
  </w:footnote>
  <w:footnote w:id="279">
    <w:p w14:paraId="2BEBBFD0" w14:textId="281D383B" w:rsidR="004E119B" w:rsidRPr="002D31A9"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T0296</w:t>
      </w:r>
      <w:r w:rsidRPr="002D31A9">
        <w:rPr>
          <w:szCs w:val="18"/>
        </w:rPr>
        <w:t>.</w:t>
      </w:r>
    </w:p>
  </w:footnote>
  <w:footnote w:id="280">
    <w:p w14:paraId="0E2A54D9" w14:textId="66213C94" w:rsidR="004E119B" w:rsidRPr="00840539" w:rsidRDefault="004E119B" w:rsidP="009978BE">
      <w:pPr>
        <w:pStyle w:val="FootnoteText"/>
        <w:tabs>
          <w:tab w:val="right" w:pos="0"/>
          <w:tab w:val="left" w:pos="9639"/>
        </w:tabs>
        <w:ind w:left="1138" w:right="1138" w:hanging="228"/>
        <w:contextualSpacing/>
        <w:jc w:val="left"/>
        <w:rPr>
          <w:szCs w:val="18"/>
          <w:highlight w:val="yellow"/>
        </w:rPr>
      </w:pPr>
      <w:r w:rsidRPr="002D31A9">
        <w:rPr>
          <w:rStyle w:val="FootnoteReference"/>
          <w:szCs w:val="18"/>
        </w:rPr>
        <w:footnoteRef/>
      </w:r>
      <w:r w:rsidRPr="002D31A9">
        <w:rPr>
          <w:szCs w:val="18"/>
        </w:rPr>
        <w:t xml:space="preserve"> </w:t>
      </w:r>
      <w:r>
        <w:rPr>
          <w:szCs w:val="18"/>
        </w:rPr>
        <w:t>T0180</w:t>
      </w:r>
      <w:r w:rsidRPr="002D31A9">
        <w:rPr>
          <w:szCs w:val="18"/>
        </w:rPr>
        <w:t xml:space="preserve">. </w:t>
      </w:r>
    </w:p>
  </w:footnote>
  <w:footnote w:id="281">
    <w:p w14:paraId="0905CAD9" w14:textId="298C0DB2" w:rsidR="004E119B" w:rsidRPr="002D31A9" w:rsidRDefault="004E119B" w:rsidP="009978BE">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T0413</w:t>
      </w:r>
      <w:r w:rsidRPr="002D31A9">
        <w:rPr>
          <w:szCs w:val="18"/>
        </w:rPr>
        <w:t>.</w:t>
      </w:r>
    </w:p>
  </w:footnote>
  <w:footnote w:id="282">
    <w:p w14:paraId="4B378C77" w14:textId="4E0ADE05" w:rsidR="004E119B" w:rsidRPr="002D31A9"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T0199</w:t>
      </w:r>
      <w:r w:rsidRPr="002D31A9">
        <w:rPr>
          <w:szCs w:val="18"/>
        </w:rPr>
        <w:t>.</w:t>
      </w:r>
    </w:p>
  </w:footnote>
  <w:footnote w:id="283">
    <w:p w14:paraId="42A8F8B1" w14:textId="2762B1F3" w:rsidR="004E119B" w:rsidRPr="006E341A"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T0180</w:t>
      </w:r>
      <w:r w:rsidRPr="006560CD">
        <w:rPr>
          <w:szCs w:val="18"/>
        </w:rPr>
        <w:t xml:space="preserve">. </w:t>
      </w:r>
      <w:r w:rsidRPr="00FE5E8D">
        <w:rPr>
          <w:szCs w:val="18"/>
        </w:rPr>
        <w:t xml:space="preserve">Voir aussi </w:t>
      </w:r>
      <w:r w:rsidRPr="006560CD">
        <w:rPr>
          <w:szCs w:val="18"/>
        </w:rPr>
        <w:t>rapport</w:t>
      </w:r>
      <w:r>
        <w:rPr>
          <w:szCs w:val="18"/>
        </w:rPr>
        <w:t xml:space="preserve"> de la société civile.</w:t>
      </w:r>
    </w:p>
  </w:footnote>
  <w:footnote w:id="284">
    <w:p w14:paraId="6759687A" w14:textId="613DED15" w:rsidR="004E119B" w:rsidRPr="00405F13"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405F13">
        <w:rPr>
          <w:szCs w:val="18"/>
        </w:rPr>
        <w:t xml:space="preserve"> </w:t>
      </w:r>
      <w:r>
        <w:rPr>
          <w:szCs w:val="18"/>
        </w:rPr>
        <w:t>T0296</w:t>
      </w:r>
      <w:r w:rsidRPr="00405F13">
        <w:rPr>
          <w:szCs w:val="18"/>
        </w:rPr>
        <w:t xml:space="preserve">, </w:t>
      </w:r>
      <w:r>
        <w:rPr>
          <w:szCs w:val="18"/>
        </w:rPr>
        <w:t>T0199</w:t>
      </w:r>
      <w:r w:rsidRPr="00405F13">
        <w:rPr>
          <w:szCs w:val="18"/>
        </w:rPr>
        <w:t>, T0311.</w:t>
      </w:r>
    </w:p>
  </w:footnote>
  <w:footnote w:id="285">
    <w:p w14:paraId="6C0A09C7" w14:textId="3EA07A6D" w:rsidR="004E119B" w:rsidRPr="004800F3"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405F13">
        <w:rPr>
          <w:szCs w:val="18"/>
        </w:rPr>
        <w:t xml:space="preserve"> </w:t>
      </w:r>
      <w:r>
        <w:rPr>
          <w:szCs w:val="18"/>
        </w:rPr>
        <w:t>T0068</w:t>
      </w:r>
      <w:r w:rsidRPr="00405F13">
        <w:rPr>
          <w:szCs w:val="18"/>
        </w:rPr>
        <w:t xml:space="preserve">, T0181, </w:t>
      </w:r>
      <w:r>
        <w:rPr>
          <w:szCs w:val="18"/>
        </w:rPr>
        <w:t>T0180</w:t>
      </w:r>
      <w:r w:rsidRPr="00405F13">
        <w:rPr>
          <w:szCs w:val="18"/>
        </w:rPr>
        <w:t xml:space="preserve">, </w:t>
      </w:r>
      <w:r>
        <w:rPr>
          <w:szCs w:val="18"/>
        </w:rPr>
        <w:t>T0413</w:t>
      </w:r>
      <w:r w:rsidRPr="00405F13">
        <w:rPr>
          <w:szCs w:val="18"/>
        </w:rPr>
        <w:t xml:space="preserve">, </w:t>
      </w:r>
      <w:r>
        <w:rPr>
          <w:szCs w:val="18"/>
        </w:rPr>
        <w:t>T0086</w:t>
      </w:r>
      <w:r w:rsidRPr="00405F13">
        <w:rPr>
          <w:szCs w:val="18"/>
        </w:rPr>
        <w:t xml:space="preserve">, </w:t>
      </w:r>
      <w:r>
        <w:rPr>
          <w:szCs w:val="18"/>
        </w:rPr>
        <w:t>T0199</w:t>
      </w:r>
      <w:r w:rsidRPr="00405F13">
        <w:rPr>
          <w:szCs w:val="18"/>
        </w:rPr>
        <w:t xml:space="preserve">, T0311. </w:t>
      </w:r>
      <w:r w:rsidRPr="00FE5E8D">
        <w:rPr>
          <w:szCs w:val="18"/>
        </w:rPr>
        <w:t xml:space="preserve">Voir aussi </w:t>
      </w:r>
      <w:r w:rsidRPr="004637BD">
        <w:rPr>
          <w:szCs w:val="18"/>
        </w:rPr>
        <w:t>rapport</w:t>
      </w:r>
      <w:r>
        <w:rPr>
          <w:szCs w:val="18"/>
        </w:rPr>
        <w:t>s de la société civile, document interne MONUSCO.  </w:t>
      </w:r>
    </w:p>
  </w:footnote>
  <w:footnote w:id="286">
    <w:p w14:paraId="582601FD" w14:textId="7A2F3E69" w:rsidR="004E119B" w:rsidRPr="002D31A9"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T0296</w:t>
      </w:r>
      <w:r w:rsidRPr="002D31A9">
        <w:rPr>
          <w:szCs w:val="18"/>
        </w:rPr>
        <w:t xml:space="preserve">. </w:t>
      </w:r>
    </w:p>
  </w:footnote>
  <w:footnote w:id="287">
    <w:p w14:paraId="452739ED" w14:textId="04528279" w:rsidR="004E119B" w:rsidRPr="006E341A"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 xml:space="preserve">T0199, </w:t>
      </w:r>
      <w:r w:rsidRPr="006560CD">
        <w:rPr>
          <w:szCs w:val="18"/>
        </w:rPr>
        <w:t>document atta</w:t>
      </w:r>
      <w:r>
        <w:rPr>
          <w:szCs w:val="18"/>
        </w:rPr>
        <w:t>ché au témoignage T0199</w:t>
      </w:r>
      <w:r w:rsidRPr="006560CD">
        <w:rPr>
          <w:szCs w:val="18"/>
        </w:rPr>
        <w:t>.</w:t>
      </w:r>
      <w:r w:rsidRPr="006E341A">
        <w:rPr>
          <w:szCs w:val="18"/>
        </w:rPr>
        <w:t xml:space="preserve"> </w:t>
      </w:r>
    </w:p>
  </w:footnote>
  <w:footnote w:id="288">
    <w:p w14:paraId="0CE60BF9" w14:textId="1E5929E1" w:rsidR="004E119B" w:rsidRPr="00840539" w:rsidRDefault="004E119B" w:rsidP="009978BE">
      <w:pPr>
        <w:pStyle w:val="FootnoteText"/>
        <w:ind w:left="1138" w:right="1138" w:hanging="228"/>
        <w:jc w:val="left"/>
        <w:rPr>
          <w:szCs w:val="18"/>
        </w:rPr>
      </w:pPr>
      <w:r w:rsidRPr="002D31A9">
        <w:rPr>
          <w:rStyle w:val="FootnoteReference"/>
          <w:szCs w:val="18"/>
        </w:rPr>
        <w:footnoteRef/>
      </w:r>
      <w:r w:rsidRPr="002D31A9">
        <w:rPr>
          <w:szCs w:val="18"/>
        </w:rPr>
        <w:t xml:space="preserve"> </w:t>
      </w:r>
      <w:r w:rsidRPr="00840539">
        <w:rPr>
          <w:szCs w:val="18"/>
        </w:rPr>
        <w:t xml:space="preserve">Document </w:t>
      </w:r>
      <w:r>
        <w:rPr>
          <w:szCs w:val="18"/>
        </w:rPr>
        <w:t>i</w:t>
      </w:r>
      <w:r w:rsidRPr="00840539">
        <w:rPr>
          <w:szCs w:val="18"/>
        </w:rPr>
        <w:t>nterne MONUSCO</w:t>
      </w:r>
      <w:r>
        <w:rPr>
          <w:szCs w:val="18"/>
        </w:rPr>
        <w:t>.</w:t>
      </w:r>
    </w:p>
  </w:footnote>
  <w:footnote w:id="289">
    <w:p w14:paraId="7065FEE2" w14:textId="29D684CF" w:rsidR="004E119B" w:rsidRPr="006E341A" w:rsidRDefault="004E119B" w:rsidP="009978BE">
      <w:pPr>
        <w:tabs>
          <w:tab w:val="left" w:pos="9639"/>
        </w:tabs>
        <w:spacing w:line="220" w:lineRule="exact"/>
        <w:ind w:left="1138" w:right="1138" w:hanging="228"/>
        <w:contextualSpacing/>
        <w:rPr>
          <w:sz w:val="18"/>
          <w:szCs w:val="18"/>
        </w:rPr>
      </w:pPr>
      <w:r w:rsidRPr="002D31A9">
        <w:rPr>
          <w:rStyle w:val="FootnoteReference"/>
          <w:szCs w:val="18"/>
        </w:rPr>
        <w:footnoteRef/>
      </w:r>
      <w:r w:rsidRPr="002D31A9">
        <w:rPr>
          <w:sz w:val="18"/>
          <w:szCs w:val="18"/>
        </w:rPr>
        <w:t xml:space="preserve"> </w:t>
      </w:r>
      <w:r w:rsidRPr="00FE5E8D">
        <w:rPr>
          <w:sz w:val="18"/>
          <w:szCs w:val="18"/>
        </w:rPr>
        <w:t>Document interne MONUSCO. Voir aussi rapport de la société civile.</w:t>
      </w:r>
    </w:p>
  </w:footnote>
  <w:footnote w:id="290">
    <w:p w14:paraId="13F0237C" w14:textId="49B4F91C" w:rsidR="004E119B" w:rsidRPr="0060278B" w:rsidRDefault="004E119B" w:rsidP="009978BE">
      <w:pPr>
        <w:pStyle w:val="FootnoteText"/>
        <w:tabs>
          <w:tab w:val="left" w:pos="9639"/>
        </w:tabs>
        <w:ind w:left="1138" w:right="1138" w:hanging="228"/>
        <w:contextualSpacing/>
        <w:jc w:val="left"/>
        <w:rPr>
          <w:szCs w:val="18"/>
        </w:rPr>
      </w:pPr>
      <w:r w:rsidRPr="00C3117D">
        <w:rPr>
          <w:rStyle w:val="FootnoteReference"/>
          <w:szCs w:val="18"/>
        </w:rPr>
        <w:footnoteRef/>
      </w:r>
      <w:r w:rsidRPr="00C3117D">
        <w:rPr>
          <w:szCs w:val="18"/>
        </w:rPr>
        <w:t xml:space="preserve"> D</w:t>
      </w:r>
      <w:r w:rsidRPr="00FE5E8D">
        <w:rPr>
          <w:szCs w:val="18"/>
        </w:rPr>
        <w:t>ocument interne MONUSCO</w:t>
      </w:r>
      <w:r w:rsidRPr="006E341A">
        <w:rPr>
          <w:szCs w:val="18"/>
        </w:rPr>
        <w:t xml:space="preserve">. </w:t>
      </w:r>
    </w:p>
  </w:footnote>
  <w:footnote w:id="291">
    <w:p w14:paraId="7E8DF76D" w14:textId="244C6308" w:rsidR="004E119B" w:rsidRPr="002D31A9" w:rsidRDefault="004E119B" w:rsidP="009978BE">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Documents interne MONUSCO. Voir aussi </w:t>
      </w:r>
      <w:r>
        <w:rPr>
          <w:szCs w:val="18"/>
        </w:rPr>
        <w:t>T0162</w:t>
      </w:r>
      <w:r w:rsidRPr="002D31A9">
        <w:rPr>
          <w:szCs w:val="18"/>
        </w:rPr>
        <w:t>.</w:t>
      </w:r>
    </w:p>
  </w:footnote>
  <w:footnote w:id="292">
    <w:p w14:paraId="275A1752" w14:textId="0E7B5D85" w:rsidR="004E119B" w:rsidRPr="001A45E8" w:rsidRDefault="004E119B" w:rsidP="009978BE">
      <w:pPr>
        <w:pStyle w:val="FootnoteText"/>
        <w:tabs>
          <w:tab w:val="right" w:pos="0"/>
          <w:tab w:val="left" w:pos="9639"/>
        </w:tabs>
        <w:ind w:left="1138" w:right="1138" w:hanging="228"/>
        <w:contextualSpacing/>
        <w:jc w:val="left"/>
        <w:rPr>
          <w:szCs w:val="18"/>
        </w:rPr>
      </w:pPr>
      <w:r w:rsidRPr="002D31A9">
        <w:rPr>
          <w:rStyle w:val="FootnoteReference"/>
          <w:szCs w:val="18"/>
        </w:rPr>
        <w:footnoteRef/>
      </w:r>
      <w:r w:rsidRPr="001A45E8">
        <w:rPr>
          <w:szCs w:val="18"/>
        </w:rPr>
        <w:t xml:space="preserve"> T0087.</w:t>
      </w:r>
    </w:p>
  </w:footnote>
  <w:footnote w:id="293">
    <w:p w14:paraId="463D6F0B" w14:textId="630C8A23" w:rsidR="004E119B" w:rsidRPr="001A45E8" w:rsidRDefault="004E119B" w:rsidP="009978BE">
      <w:pPr>
        <w:pStyle w:val="FootnoteText"/>
        <w:ind w:left="1138" w:right="1138" w:hanging="228"/>
        <w:jc w:val="left"/>
        <w:rPr>
          <w:szCs w:val="18"/>
        </w:rPr>
      </w:pPr>
      <w:r w:rsidRPr="002D31A9">
        <w:rPr>
          <w:rStyle w:val="FootnoteReference"/>
          <w:szCs w:val="18"/>
        </w:rPr>
        <w:footnoteRef/>
      </w:r>
      <w:r w:rsidRPr="001A45E8">
        <w:rPr>
          <w:szCs w:val="18"/>
        </w:rPr>
        <w:t xml:space="preserve"> </w:t>
      </w:r>
      <w:r>
        <w:rPr>
          <w:szCs w:val="18"/>
        </w:rPr>
        <w:t>T0396</w:t>
      </w:r>
      <w:r w:rsidRPr="001A45E8">
        <w:rPr>
          <w:szCs w:val="18"/>
        </w:rPr>
        <w:t xml:space="preserve">, T0267, </w:t>
      </w:r>
      <w:r>
        <w:rPr>
          <w:szCs w:val="18"/>
        </w:rPr>
        <w:t>T0266</w:t>
      </w:r>
      <w:r w:rsidRPr="001A45E8">
        <w:rPr>
          <w:szCs w:val="18"/>
        </w:rPr>
        <w:t>.</w:t>
      </w:r>
    </w:p>
  </w:footnote>
  <w:footnote w:id="294">
    <w:p w14:paraId="3DD9D30F" w14:textId="1832632B" w:rsidR="004E119B" w:rsidRPr="001A45E8" w:rsidRDefault="004E119B" w:rsidP="009978BE">
      <w:pPr>
        <w:tabs>
          <w:tab w:val="left" w:pos="9639"/>
        </w:tabs>
        <w:spacing w:line="220" w:lineRule="exact"/>
        <w:ind w:left="1138" w:right="1138" w:hanging="228"/>
        <w:contextualSpacing/>
        <w:rPr>
          <w:sz w:val="18"/>
          <w:szCs w:val="18"/>
        </w:rPr>
      </w:pPr>
      <w:r w:rsidRPr="002D31A9">
        <w:rPr>
          <w:rStyle w:val="FootnoteReference"/>
          <w:szCs w:val="18"/>
        </w:rPr>
        <w:footnoteRef/>
      </w:r>
      <w:r w:rsidRPr="001A45E8">
        <w:rPr>
          <w:sz w:val="18"/>
          <w:szCs w:val="18"/>
        </w:rPr>
        <w:t xml:space="preserve"> </w:t>
      </w:r>
      <w:r>
        <w:rPr>
          <w:sz w:val="18"/>
          <w:szCs w:val="18"/>
        </w:rPr>
        <w:t>T0074</w:t>
      </w:r>
      <w:r w:rsidRPr="001A45E8">
        <w:rPr>
          <w:sz w:val="18"/>
          <w:szCs w:val="18"/>
        </w:rPr>
        <w:t xml:space="preserve">, </w:t>
      </w:r>
      <w:r>
        <w:rPr>
          <w:sz w:val="18"/>
          <w:szCs w:val="18"/>
        </w:rPr>
        <w:t>T0049</w:t>
      </w:r>
      <w:r w:rsidRPr="001A45E8">
        <w:rPr>
          <w:sz w:val="18"/>
          <w:szCs w:val="18"/>
        </w:rPr>
        <w:t xml:space="preserve">, </w:t>
      </w:r>
      <w:r>
        <w:rPr>
          <w:sz w:val="18"/>
          <w:szCs w:val="18"/>
          <w:lang w:eastAsia="fr-FR"/>
        </w:rPr>
        <w:t>T0164</w:t>
      </w:r>
      <w:r w:rsidRPr="001A45E8">
        <w:rPr>
          <w:sz w:val="18"/>
          <w:szCs w:val="18"/>
          <w:lang w:eastAsia="fr-FR"/>
        </w:rPr>
        <w:t xml:space="preserve">, </w:t>
      </w:r>
      <w:r>
        <w:rPr>
          <w:sz w:val="18"/>
          <w:szCs w:val="18"/>
          <w:lang w:eastAsia="fr-FR"/>
        </w:rPr>
        <w:t>T0075</w:t>
      </w:r>
      <w:r w:rsidRPr="001A45E8">
        <w:rPr>
          <w:sz w:val="18"/>
          <w:szCs w:val="18"/>
          <w:lang w:eastAsia="fr-FR"/>
        </w:rPr>
        <w:t>, T0305.</w:t>
      </w:r>
    </w:p>
  </w:footnote>
  <w:footnote w:id="295">
    <w:p w14:paraId="6882CD06" w14:textId="32B6CF5B" w:rsidR="004E119B" w:rsidRPr="00840539"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T0138</w:t>
      </w:r>
      <w:r w:rsidRPr="00840539">
        <w:rPr>
          <w:szCs w:val="18"/>
        </w:rPr>
        <w:t xml:space="preserve">, </w:t>
      </w:r>
      <w:r>
        <w:rPr>
          <w:szCs w:val="18"/>
        </w:rPr>
        <w:t>T0164</w:t>
      </w:r>
      <w:r w:rsidRPr="00840539">
        <w:rPr>
          <w:szCs w:val="18"/>
        </w:rPr>
        <w:t>.</w:t>
      </w:r>
    </w:p>
  </w:footnote>
  <w:footnote w:id="296">
    <w:p w14:paraId="7D005291" w14:textId="257BE7E2" w:rsidR="004E119B" w:rsidRPr="006E341A" w:rsidRDefault="004E119B" w:rsidP="009978BE">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T0087</w:t>
      </w:r>
      <w:r w:rsidRPr="006560CD">
        <w:rPr>
          <w:szCs w:val="18"/>
        </w:rPr>
        <w:t xml:space="preserve">. </w:t>
      </w:r>
      <w:r w:rsidRPr="00FE5E8D">
        <w:rPr>
          <w:szCs w:val="18"/>
        </w:rPr>
        <w:t xml:space="preserve">Voir aussi document interne MONUSCO. </w:t>
      </w:r>
    </w:p>
  </w:footnote>
  <w:footnote w:id="297">
    <w:p w14:paraId="106C7A64" w14:textId="27EAEE78" w:rsidR="004E119B" w:rsidRPr="00840539" w:rsidRDefault="004E119B" w:rsidP="009978BE">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T0087</w:t>
      </w:r>
      <w:r w:rsidRPr="00840539">
        <w:rPr>
          <w:szCs w:val="18"/>
        </w:rPr>
        <w:t xml:space="preserve">, </w:t>
      </w:r>
      <w:r>
        <w:rPr>
          <w:szCs w:val="18"/>
        </w:rPr>
        <w:t>T0302</w:t>
      </w:r>
      <w:r w:rsidRPr="00840539">
        <w:rPr>
          <w:szCs w:val="18"/>
        </w:rPr>
        <w:t xml:space="preserve">, </w:t>
      </w:r>
      <w:r>
        <w:rPr>
          <w:szCs w:val="18"/>
        </w:rPr>
        <w:t>T0255</w:t>
      </w:r>
      <w:r w:rsidRPr="00840539">
        <w:rPr>
          <w:szCs w:val="18"/>
        </w:rPr>
        <w:t>.</w:t>
      </w:r>
    </w:p>
  </w:footnote>
  <w:footnote w:id="298">
    <w:p w14:paraId="2CA00F98" w14:textId="0942D64D" w:rsidR="004E119B" w:rsidRPr="006E341A" w:rsidRDefault="004E119B" w:rsidP="009978BE">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w:t>
      </w:r>
      <w:r w:rsidRPr="004637BD">
        <w:rPr>
          <w:szCs w:val="18"/>
        </w:rPr>
        <w:t>BCNUDH de la MONUSCO, mission d’enquête dans la localité de Tshisukulu, 130 km au sud ouest de Kananga, dans le territoire de Kazumba, Province du Kasaï Central, 18-19 août 2017</w:t>
      </w:r>
      <w:r w:rsidRPr="00FE5E8D">
        <w:rPr>
          <w:szCs w:val="18"/>
        </w:rPr>
        <w:t xml:space="preserve">, rapport de la société civile. Voir aussi </w:t>
      </w:r>
      <w:r w:rsidRPr="004637BD">
        <w:rPr>
          <w:szCs w:val="18"/>
        </w:rPr>
        <w:t>documents internes MONUSCO</w:t>
      </w:r>
      <w:r>
        <w:rPr>
          <w:szCs w:val="18"/>
        </w:rPr>
        <w:t>.</w:t>
      </w:r>
    </w:p>
  </w:footnote>
  <w:footnote w:id="299">
    <w:p w14:paraId="1382F5B7" w14:textId="694A0287" w:rsidR="004E119B" w:rsidRPr="00840539"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sidRPr="00840539">
        <w:rPr>
          <w:szCs w:val="18"/>
        </w:rPr>
        <w:t xml:space="preserve">Voir par exemple </w:t>
      </w:r>
      <w:r>
        <w:rPr>
          <w:szCs w:val="18"/>
        </w:rPr>
        <w:t>T0242</w:t>
      </w:r>
      <w:r w:rsidRPr="00840539">
        <w:rPr>
          <w:szCs w:val="18"/>
        </w:rPr>
        <w:t xml:space="preserve">, </w:t>
      </w:r>
      <w:r>
        <w:rPr>
          <w:szCs w:val="18"/>
        </w:rPr>
        <w:t>T0095</w:t>
      </w:r>
      <w:r w:rsidRPr="00840539">
        <w:rPr>
          <w:szCs w:val="18"/>
        </w:rPr>
        <w:t xml:space="preserve">, </w:t>
      </w:r>
      <w:r>
        <w:rPr>
          <w:szCs w:val="18"/>
        </w:rPr>
        <w:t>T0314</w:t>
      </w:r>
      <w:r w:rsidRPr="00840539">
        <w:rPr>
          <w:szCs w:val="18"/>
        </w:rPr>
        <w:t>.</w:t>
      </w:r>
    </w:p>
  </w:footnote>
  <w:footnote w:id="300">
    <w:p w14:paraId="22192980" w14:textId="09B1ACA9" w:rsidR="004E119B" w:rsidRPr="00FE5E8D" w:rsidRDefault="004E119B" w:rsidP="009978BE">
      <w:pPr>
        <w:spacing w:line="220" w:lineRule="exact"/>
        <w:ind w:left="1138" w:right="1138" w:hanging="228"/>
        <w:contextualSpacing/>
        <w:rPr>
          <w:sz w:val="18"/>
          <w:szCs w:val="18"/>
        </w:rPr>
      </w:pPr>
      <w:r w:rsidRPr="002D31A9">
        <w:rPr>
          <w:rStyle w:val="FootnoteReference"/>
          <w:szCs w:val="18"/>
        </w:rPr>
        <w:footnoteRef/>
      </w:r>
      <w:r w:rsidRPr="00FE5E8D">
        <w:rPr>
          <w:sz w:val="18"/>
          <w:szCs w:val="18"/>
        </w:rPr>
        <w:t xml:space="preserve"> Document interne MONUSCO, rapport de la société civile.</w:t>
      </w:r>
      <w:r>
        <w:rPr>
          <w:sz w:val="18"/>
          <w:szCs w:val="18"/>
        </w:rPr>
        <w:t xml:space="preserve"> </w:t>
      </w:r>
      <w:r w:rsidRPr="00FE5E8D">
        <w:rPr>
          <w:sz w:val="18"/>
          <w:szCs w:val="18"/>
        </w:rPr>
        <w:t xml:space="preserve"> </w:t>
      </w:r>
    </w:p>
  </w:footnote>
  <w:footnote w:id="301">
    <w:p w14:paraId="3A59D9EF" w14:textId="1E90B268" w:rsidR="004E119B" w:rsidRPr="001A45E8" w:rsidRDefault="004E119B" w:rsidP="009978BE">
      <w:pPr>
        <w:pStyle w:val="FootnoteText"/>
        <w:ind w:left="1138" w:right="1138" w:hanging="228"/>
        <w:contextualSpacing/>
        <w:jc w:val="left"/>
        <w:rPr>
          <w:szCs w:val="18"/>
        </w:rPr>
      </w:pPr>
      <w:r w:rsidRPr="002D31A9">
        <w:rPr>
          <w:rStyle w:val="FootnoteReference"/>
          <w:szCs w:val="18"/>
        </w:rPr>
        <w:footnoteRef/>
      </w:r>
      <w:r w:rsidRPr="001A45E8">
        <w:rPr>
          <w:szCs w:val="18"/>
        </w:rPr>
        <w:t xml:space="preserve"> T0242, </w:t>
      </w:r>
      <w:r>
        <w:rPr>
          <w:szCs w:val="18"/>
        </w:rPr>
        <w:t>T0076</w:t>
      </w:r>
      <w:r w:rsidRPr="001A45E8">
        <w:rPr>
          <w:szCs w:val="18"/>
        </w:rPr>
        <w:t xml:space="preserve">. </w:t>
      </w:r>
    </w:p>
  </w:footnote>
  <w:footnote w:id="302">
    <w:p w14:paraId="240A75C6" w14:textId="44043251" w:rsidR="004E119B" w:rsidRPr="001A45E8"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1A45E8">
        <w:rPr>
          <w:szCs w:val="18"/>
        </w:rPr>
        <w:t xml:space="preserve"> T0242, </w:t>
      </w:r>
      <w:r>
        <w:rPr>
          <w:szCs w:val="18"/>
        </w:rPr>
        <w:t>T0016</w:t>
      </w:r>
      <w:r w:rsidRPr="001A45E8">
        <w:rPr>
          <w:szCs w:val="18"/>
        </w:rPr>
        <w:t xml:space="preserve">, </w:t>
      </w:r>
      <w:r>
        <w:rPr>
          <w:szCs w:val="18"/>
        </w:rPr>
        <w:t>T0177</w:t>
      </w:r>
      <w:r w:rsidRPr="001A45E8">
        <w:rPr>
          <w:szCs w:val="18"/>
        </w:rPr>
        <w:t xml:space="preserve">, </w:t>
      </w:r>
      <w:r>
        <w:rPr>
          <w:szCs w:val="18"/>
        </w:rPr>
        <w:t>T0195</w:t>
      </w:r>
      <w:r w:rsidRPr="001A45E8">
        <w:rPr>
          <w:szCs w:val="18"/>
        </w:rPr>
        <w:t xml:space="preserve">, </w:t>
      </w:r>
      <w:r>
        <w:rPr>
          <w:szCs w:val="18"/>
        </w:rPr>
        <w:t>T0095</w:t>
      </w:r>
      <w:r w:rsidRPr="001A45E8">
        <w:rPr>
          <w:szCs w:val="18"/>
        </w:rPr>
        <w:t xml:space="preserve">, </w:t>
      </w:r>
      <w:r>
        <w:rPr>
          <w:szCs w:val="18"/>
        </w:rPr>
        <w:t>T0265</w:t>
      </w:r>
      <w:r w:rsidRPr="001A45E8">
        <w:rPr>
          <w:szCs w:val="18"/>
        </w:rPr>
        <w:t>.</w:t>
      </w:r>
    </w:p>
  </w:footnote>
  <w:footnote w:id="303">
    <w:p w14:paraId="4054FF80" w14:textId="592492D4" w:rsidR="004E119B" w:rsidRPr="004637BD"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4637BD">
        <w:rPr>
          <w:szCs w:val="18"/>
        </w:rPr>
        <w:t xml:space="preserve"> </w:t>
      </w:r>
      <w:r>
        <w:rPr>
          <w:szCs w:val="18"/>
        </w:rPr>
        <w:t>T0420</w:t>
      </w:r>
      <w:r w:rsidRPr="004637BD">
        <w:rPr>
          <w:szCs w:val="18"/>
        </w:rPr>
        <w:t xml:space="preserve">, </w:t>
      </w:r>
      <w:r>
        <w:rPr>
          <w:szCs w:val="18"/>
        </w:rPr>
        <w:t>T0093</w:t>
      </w:r>
      <w:r w:rsidRPr="004637BD">
        <w:rPr>
          <w:szCs w:val="18"/>
        </w:rPr>
        <w:t xml:space="preserve">, </w:t>
      </w:r>
      <w:r>
        <w:rPr>
          <w:szCs w:val="18"/>
        </w:rPr>
        <w:t>T0367</w:t>
      </w:r>
      <w:r w:rsidRPr="004637BD">
        <w:rPr>
          <w:szCs w:val="18"/>
        </w:rPr>
        <w:t xml:space="preserve">, </w:t>
      </w:r>
      <w:r>
        <w:rPr>
          <w:szCs w:val="18"/>
        </w:rPr>
        <w:t>T0313</w:t>
      </w:r>
      <w:r w:rsidRPr="004637BD">
        <w:rPr>
          <w:szCs w:val="18"/>
        </w:rPr>
        <w:t xml:space="preserve">, </w:t>
      </w:r>
      <w:r>
        <w:rPr>
          <w:szCs w:val="18"/>
        </w:rPr>
        <w:t>T0058</w:t>
      </w:r>
      <w:r w:rsidRPr="004637BD">
        <w:rPr>
          <w:szCs w:val="18"/>
        </w:rPr>
        <w:t xml:space="preserve">, </w:t>
      </w:r>
      <w:r>
        <w:rPr>
          <w:szCs w:val="18"/>
        </w:rPr>
        <w:t>T0379</w:t>
      </w:r>
      <w:r w:rsidRPr="004637BD">
        <w:rPr>
          <w:szCs w:val="18"/>
        </w:rPr>
        <w:t xml:space="preserve">, </w:t>
      </w:r>
      <w:r>
        <w:rPr>
          <w:szCs w:val="18"/>
        </w:rPr>
        <w:t>T0186</w:t>
      </w:r>
      <w:r w:rsidRPr="004637BD">
        <w:rPr>
          <w:szCs w:val="18"/>
        </w:rPr>
        <w:t xml:space="preserve">, </w:t>
      </w:r>
      <w:r>
        <w:rPr>
          <w:szCs w:val="18"/>
        </w:rPr>
        <w:t>T0392</w:t>
      </w:r>
      <w:r w:rsidRPr="004637BD">
        <w:rPr>
          <w:szCs w:val="18"/>
        </w:rPr>
        <w:t xml:space="preserve">, </w:t>
      </w:r>
      <w:r>
        <w:rPr>
          <w:szCs w:val="18"/>
        </w:rPr>
        <w:t>T0204</w:t>
      </w:r>
      <w:r w:rsidRPr="004637BD">
        <w:rPr>
          <w:szCs w:val="18"/>
        </w:rPr>
        <w:t xml:space="preserve">, </w:t>
      </w:r>
      <w:r>
        <w:rPr>
          <w:szCs w:val="18"/>
        </w:rPr>
        <w:t>T0225</w:t>
      </w:r>
      <w:r w:rsidRPr="004637BD">
        <w:rPr>
          <w:szCs w:val="18"/>
        </w:rPr>
        <w:t>,</w:t>
      </w:r>
      <w:r w:rsidRPr="00FE5E8D">
        <w:rPr>
          <w:szCs w:val="18"/>
        </w:rPr>
        <w:t xml:space="preserve"> documents internes MONUSCO.</w:t>
      </w:r>
    </w:p>
  </w:footnote>
  <w:footnote w:id="304">
    <w:p w14:paraId="17DAB1C9" w14:textId="1043F727" w:rsidR="004E119B" w:rsidRPr="00840539"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T0058</w:t>
      </w:r>
      <w:r w:rsidRPr="00840539">
        <w:rPr>
          <w:szCs w:val="18"/>
        </w:rPr>
        <w:t xml:space="preserve">, </w:t>
      </w:r>
      <w:r>
        <w:rPr>
          <w:szCs w:val="18"/>
        </w:rPr>
        <w:t>T0288</w:t>
      </w:r>
      <w:r w:rsidRPr="00840539">
        <w:rPr>
          <w:szCs w:val="18"/>
        </w:rPr>
        <w:t xml:space="preserve">, </w:t>
      </w:r>
      <w:r>
        <w:rPr>
          <w:szCs w:val="18"/>
        </w:rPr>
        <w:t>T0171</w:t>
      </w:r>
      <w:r w:rsidRPr="00840539">
        <w:rPr>
          <w:szCs w:val="18"/>
        </w:rPr>
        <w:t xml:space="preserve">, </w:t>
      </w:r>
      <w:r>
        <w:rPr>
          <w:szCs w:val="18"/>
        </w:rPr>
        <w:t>T0024</w:t>
      </w:r>
      <w:r w:rsidRPr="00840539">
        <w:rPr>
          <w:szCs w:val="18"/>
        </w:rPr>
        <w:t>.</w:t>
      </w:r>
    </w:p>
  </w:footnote>
  <w:footnote w:id="305">
    <w:p w14:paraId="3BE32F28" w14:textId="2875D944" w:rsidR="004E119B" w:rsidRPr="006E341A"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 xml:space="preserve">Document interne MONUSCO. </w:t>
      </w:r>
      <w:r w:rsidRPr="006E341A">
        <w:rPr>
          <w:szCs w:val="18"/>
        </w:rPr>
        <w:t xml:space="preserve"> </w:t>
      </w:r>
    </w:p>
  </w:footnote>
  <w:footnote w:id="306">
    <w:p w14:paraId="1594E1C8" w14:textId="07AACC59" w:rsidR="004E119B" w:rsidRPr="0060278B" w:rsidRDefault="004E119B" w:rsidP="009978BE">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Document </w:t>
      </w:r>
      <w:r>
        <w:rPr>
          <w:szCs w:val="18"/>
        </w:rPr>
        <w:t>i</w:t>
      </w:r>
      <w:r w:rsidRPr="002D31A9">
        <w:rPr>
          <w:szCs w:val="18"/>
        </w:rPr>
        <w:t>nterne MONUSCO</w:t>
      </w:r>
      <w:r w:rsidRPr="006E341A">
        <w:rPr>
          <w:szCs w:val="18"/>
        </w:rPr>
        <w:t>.</w:t>
      </w:r>
      <w:r w:rsidRPr="006E341A">
        <w:rPr>
          <w:szCs w:val="18"/>
          <w:shd w:val="clear" w:color="auto" w:fill="F6F6F6"/>
        </w:rPr>
        <w:t xml:space="preserve"> </w:t>
      </w:r>
    </w:p>
  </w:footnote>
  <w:footnote w:id="307">
    <w:p w14:paraId="0BA67DBE" w14:textId="546DDDBC" w:rsidR="004E119B" w:rsidRPr="008946FE"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8946FE">
        <w:rPr>
          <w:szCs w:val="18"/>
        </w:rPr>
        <w:t xml:space="preserve"> </w:t>
      </w:r>
      <w:r>
        <w:rPr>
          <w:szCs w:val="18"/>
        </w:rPr>
        <w:t>T0141</w:t>
      </w:r>
      <w:r w:rsidRPr="008946FE">
        <w:rPr>
          <w:szCs w:val="18"/>
        </w:rPr>
        <w:t xml:space="preserve">, </w:t>
      </w:r>
      <w:r>
        <w:rPr>
          <w:szCs w:val="18"/>
        </w:rPr>
        <w:t>T0093</w:t>
      </w:r>
      <w:r w:rsidRPr="008946FE">
        <w:rPr>
          <w:szCs w:val="18"/>
        </w:rPr>
        <w:t xml:space="preserve">, </w:t>
      </w:r>
      <w:r>
        <w:rPr>
          <w:szCs w:val="18"/>
        </w:rPr>
        <w:t>T0089</w:t>
      </w:r>
      <w:r w:rsidRPr="008946FE">
        <w:rPr>
          <w:szCs w:val="18"/>
        </w:rPr>
        <w:t>.</w:t>
      </w:r>
    </w:p>
  </w:footnote>
  <w:footnote w:id="308">
    <w:p w14:paraId="0D328B76" w14:textId="006ED035" w:rsidR="004E119B" w:rsidRPr="00B50F59"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B50F59">
        <w:rPr>
          <w:szCs w:val="18"/>
        </w:rPr>
        <w:t xml:space="preserve"> T0313.</w:t>
      </w:r>
    </w:p>
  </w:footnote>
  <w:footnote w:id="309">
    <w:p w14:paraId="671CF280" w14:textId="321E3ADE" w:rsidR="004E119B" w:rsidRPr="00B50F59"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B50F59">
        <w:rPr>
          <w:szCs w:val="18"/>
        </w:rPr>
        <w:t xml:space="preserve"> T0288.</w:t>
      </w:r>
    </w:p>
  </w:footnote>
  <w:footnote w:id="310">
    <w:p w14:paraId="5C900106" w14:textId="410FD48C" w:rsidR="004E119B" w:rsidRPr="00B50F59" w:rsidRDefault="004E119B" w:rsidP="009978BE">
      <w:pPr>
        <w:pStyle w:val="FootnoteText"/>
        <w:ind w:left="1138" w:right="1138" w:hanging="228"/>
        <w:contextualSpacing/>
        <w:jc w:val="left"/>
        <w:rPr>
          <w:szCs w:val="18"/>
        </w:rPr>
      </w:pPr>
      <w:r w:rsidRPr="002D31A9">
        <w:rPr>
          <w:rStyle w:val="FootnoteReference"/>
          <w:szCs w:val="18"/>
        </w:rPr>
        <w:footnoteRef/>
      </w:r>
      <w:r w:rsidRPr="00B50F59">
        <w:rPr>
          <w:szCs w:val="18"/>
        </w:rPr>
        <w:t xml:space="preserve"> T0369.</w:t>
      </w:r>
    </w:p>
  </w:footnote>
  <w:footnote w:id="311">
    <w:p w14:paraId="1B842BEF" w14:textId="04DE7431" w:rsidR="004E119B" w:rsidRPr="00B50F59" w:rsidRDefault="004E119B" w:rsidP="009978BE">
      <w:pPr>
        <w:spacing w:line="220" w:lineRule="exact"/>
        <w:ind w:left="1138" w:right="1138" w:hanging="228"/>
        <w:contextualSpacing/>
        <w:rPr>
          <w:sz w:val="18"/>
          <w:szCs w:val="18"/>
        </w:rPr>
      </w:pPr>
      <w:r w:rsidRPr="002D31A9">
        <w:rPr>
          <w:rStyle w:val="FootnoteReference"/>
          <w:szCs w:val="18"/>
        </w:rPr>
        <w:footnoteRef/>
      </w:r>
      <w:r w:rsidRPr="00B50F59">
        <w:rPr>
          <w:sz w:val="18"/>
          <w:szCs w:val="18"/>
        </w:rPr>
        <w:t xml:space="preserve"> T0076, T0058, T0421.</w:t>
      </w:r>
    </w:p>
  </w:footnote>
  <w:footnote w:id="312">
    <w:p w14:paraId="389620C1" w14:textId="3188E32C" w:rsidR="004E119B" w:rsidRPr="00B50F59" w:rsidRDefault="004E119B" w:rsidP="009978BE">
      <w:pPr>
        <w:pStyle w:val="FootnoteText"/>
        <w:ind w:left="1138" w:right="1138" w:hanging="228"/>
        <w:jc w:val="left"/>
        <w:rPr>
          <w:szCs w:val="18"/>
        </w:rPr>
      </w:pPr>
      <w:r w:rsidRPr="002D31A9">
        <w:rPr>
          <w:rStyle w:val="FootnoteReference"/>
          <w:szCs w:val="18"/>
        </w:rPr>
        <w:footnoteRef/>
      </w:r>
      <w:r w:rsidRPr="00B50F59">
        <w:rPr>
          <w:szCs w:val="18"/>
        </w:rPr>
        <w:t xml:space="preserve"> T0314.</w:t>
      </w:r>
    </w:p>
  </w:footnote>
  <w:footnote w:id="313">
    <w:p w14:paraId="7273570A" w14:textId="5FE93FE7" w:rsidR="004E119B" w:rsidRPr="001A45E8" w:rsidRDefault="004E119B" w:rsidP="009978BE">
      <w:pPr>
        <w:pStyle w:val="FootnoteText"/>
        <w:tabs>
          <w:tab w:val="left" w:pos="9639"/>
        </w:tabs>
        <w:ind w:left="1138" w:right="1138" w:hanging="228"/>
        <w:jc w:val="left"/>
        <w:rPr>
          <w:szCs w:val="18"/>
        </w:rPr>
      </w:pPr>
      <w:r w:rsidRPr="002D31A9">
        <w:rPr>
          <w:rStyle w:val="FootnoteReference"/>
          <w:szCs w:val="18"/>
        </w:rPr>
        <w:footnoteRef/>
      </w:r>
      <w:r w:rsidRPr="001A45E8">
        <w:rPr>
          <w:szCs w:val="18"/>
        </w:rPr>
        <w:t xml:space="preserve"> </w:t>
      </w:r>
      <w:r>
        <w:rPr>
          <w:szCs w:val="18"/>
        </w:rPr>
        <w:t>T0236</w:t>
      </w:r>
      <w:r w:rsidRPr="001A45E8">
        <w:rPr>
          <w:szCs w:val="18"/>
        </w:rPr>
        <w:t xml:space="preserve">, </w:t>
      </w:r>
      <w:r>
        <w:rPr>
          <w:szCs w:val="18"/>
        </w:rPr>
        <w:t>T0131</w:t>
      </w:r>
      <w:r w:rsidRPr="001A45E8">
        <w:rPr>
          <w:szCs w:val="18"/>
        </w:rPr>
        <w:t xml:space="preserve">, </w:t>
      </w:r>
      <w:r>
        <w:rPr>
          <w:szCs w:val="18"/>
        </w:rPr>
        <w:t>T0195</w:t>
      </w:r>
      <w:r w:rsidRPr="001A45E8">
        <w:rPr>
          <w:szCs w:val="18"/>
        </w:rPr>
        <w:t xml:space="preserve">, </w:t>
      </w:r>
      <w:r>
        <w:rPr>
          <w:szCs w:val="18"/>
        </w:rPr>
        <w:t>T0419</w:t>
      </w:r>
      <w:r w:rsidRPr="001A45E8">
        <w:rPr>
          <w:szCs w:val="18"/>
        </w:rPr>
        <w:t xml:space="preserve">, </w:t>
      </w:r>
      <w:r>
        <w:rPr>
          <w:szCs w:val="18"/>
        </w:rPr>
        <w:t>T0392</w:t>
      </w:r>
      <w:r w:rsidRPr="001A45E8">
        <w:rPr>
          <w:szCs w:val="18"/>
        </w:rPr>
        <w:t>, T0186.</w:t>
      </w:r>
    </w:p>
  </w:footnote>
  <w:footnote w:id="314">
    <w:p w14:paraId="4DDF0D0C" w14:textId="672294C8" w:rsidR="004E119B" w:rsidRPr="00840539" w:rsidRDefault="004E119B" w:rsidP="009978BE">
      <w:pPr>
        <w:tabs>
          <w:tab w:val="left" w:pos="9639"/>
        </w:tabs>
        <w:spacing w:line="220" w:lineRule="exact"/>
        <w:ind w:left="1138" w:right="1138" w:hanging="228"/>
        <w:rPr>
          <w:sz w:val="18"/>
          <w:szCs w:val="18"/>
        </w:rPr>
      </w:pPr>
      <w:r w:rsidRPr="002D31A9">
        <w:rPr>
          <w:rStyle w:val="FootnoteReference"/>
          <w:szCs w:val="18"/>
        </w:rPr>
        <w:footnoteRef/>
      </w:r>
      <w:r w:rsidRPr="002D31A9">
        <w:rPr>
          <w:sz w:val="18"/>
          <w:szCs w:val="18"/>
        </w:rPr>
        <w:t xml:space="preserve"> </w:t>
      </w:r>
      <w:r>
        <w:rPr>
          <w:sz w:val="18"/>
          <w:szCs w:val="18"/>
        </w:rPr>
        <w:t>T0242</w:t>
      </w:r>
      <w:r w:rsidRPr="002D31A9">
        <w:rPr>
          <w:sz w:val="18"/>
          <w:szCs w:val="18"/>
        </w:rPr>
        <w:t xml:space="preserve">, </w:t>
      </w:r>
      <w:r>
        <w:rPr>
          <w:sz w:val="18"/>
          <w:szCs w:val="18"/>
        </w:rPr>
        <w:t>T0400, document interne MONUSCO</w:t>
      </w:r>
      <w:r w:rsidRPr="00840539">
        <w:rPr>
          <w:sz w:val="18"/>
          <w:szCs w:val="18"/>
        </w:rPr>
        <w:t>.</w:t>
      </w:r>
    </w:p>
  </w:footnote>
  <w:footnote w:id="315">
    <w:p w14:paraId="01046D4A" w14:textId="77777777" w:rsidR="004E119B" w:rsidRPr="002D31A9" w:rsidRDefault="004E119B" w:rsidP="009978BE">
      <w:pPr>
        <w:pStyle w:val="FootnoteText"/>
        <w:tabs>
          <w:tab w:val="left" w:pos="9639"/>
        </w:tabs>
        <w:ind w:left="1138" w:right="1138" w:hanging="228"/>
        <w:jc w:val="left"/>
        <w:rPr>
          <w:szCs w:val="18"/>
        </w:rPr>
      </w:pPr>
      <w:r w:rsidRPr="002D31A9">
        <w:rPr>
          <w:rStyle w:val="FootnoteReference"/>
          <w:szCs w:val="18"/>
        </w:rPr>
        <w:footnoteRef/>
      </w:r>
      <w:r w:rsidRPr="002D31A9">
        <w:rPr>
          <w:szCs w:val="18"/>
        </w:rPr>
        <w:t xml:space="preserve"> Document interne MONUSCO.</w:t>
      </w:r>
    </w:p>
  </w:footnote>
  <w:footnote w:id="316">
    <w:p w14:paraId="21E160E3" w14:textId="23282E71" w:rsidR="004E119B" w:rsidRPr="00840539" w:rsidRDefault="004E119B" w:rsidP="009978BE">
      <w:pPr>
        <w:spacing w:line="220" w:lineRule="exact"/>
        <w:ind w:left="1138" w:right="1138" w:hanging="228"/>
        <w:rPr>
          <w:sz w:val="18"/>
          <w:szCs w:val="18"/>
        </w:rPr>
      </w:pPr>
      <w:r w:rsidRPr="002D31A9">
        <w:rPr>
          <w:rStyle w:val="FootnoteReference"/>
          <w:szCs w:val="18"/>
        </w:rPr>
        <w:footnoteRef/>
      </w:r>
      <w:r w:rsidRPr="002D31A9">
        <w:rPr>
          <w:sz w:val="18"/>
          <w:szCs w:val="18"/>
        </w:rPr>
        <w:t xml:space="preserve"> </w:t>
      </w:r>
      <w:r>
        <w:rPr>
          <w:sz w:val="18"/>
          <w:szCs w:val="18"/>
        </w:rPr>
        <w:t>T0314</w:t>
      </w:r>
      <w:r w:rsidRPr="00840539">
        <w:rPr>
          <w:sz w:val="18"/>
          <w:szCs w:val="18"/>
        </w:rPr>
        <w:t>.</w:t>
      </w:r>
    </w:p>
  </w:footnote>
  <w:footnote w:id="317">
    <w:p w14:paraId="5E4EB65C" w14:textId="4C478807" w:rsidR="004E119B" w:rsidRPr="002D31A9" w:rsidRDefault="004E119B" w:rsidP="009978BE">
      <w:pPr>
        <w:pStyle w:val="FootnoteText"/>
        <w:tabs>
          <w:tab w:val="left" w:pos="9639"/>
        </w:tabs>
        <w:ind w:left="1138" w:right="1138" w:hanging="228"/>
        <w:jc w:val="left"/>
        <w:rPr>
          <w:szCs w:val="18"/>
        </w:rPr>
      </w:pPr>
      <w:r w:rsidRPr="002D31A9">
        <w:rPr>
          <w:rStyle w:val="FootnoteReference"/>
          <w:szCs w:val="18"/>
        </w:rPr>
        <w:footnoteRef/>
      </w:r>
      <w:r w:rsidRPr="002D31A9">
        <w:rPr>
          <w:szCs w:val="18"/>
        </w:rPr>
        <w:t xml:space="preserve"> </w:t>
      </w:r>
      <w:r>
        <w:rPr>
          <w:szCs w:val="18"/>
        </w:rPr>
        <w:t>T0187</w:t>
      </w:r>
      <w:r w:rsidRPr="002D31A9">
        <w:rPr>
          <w:szCs w:val="18"/>
        </w:rPr>
        <w:t xml:space="preserve">, </w:t>
      </w:r>
      <w:r>
        <w:rPr>
          <w:szCs w:val="18"/>
        </w:rPr>
        <w:t>T0376</w:t>
      </w:r>
      <w:r w:rsidRPr="002D31A9">
        <w:rPr>
          <w:szCs w:val="18"/>
        </w:rPr>
        <w:t>.</w:t>
      </w:r>
    </w:p>
  </w:footnote>
  <w:footnote w:id="318">
    <w:p w14:paraId="0CB6E139" w14:textId="70F92E8C" w:rsidR="004E119B" w:rsidRPr="001A45E8" w:rsidRDefault="004E119B" w:rsidP="009978BE">
      <w:pPr>
        <w:pStyle w:val="FootnoteText"/>
        <w:tabs>
          <w:tab w:val="left" w:pos="9639"/>
        </w:tabs>
        <w:ind w:left="1138" w:right="1138" w:hanging="228"/>
        <w:jc w:val="left"/>
        <w:rPr>
          <w:szCs w:val="18"/>
        </w:rPr>
      </w:pPr>
      <w:r w:rsidRPr="002D31A9">
        <w:rPr>
          <w:rStyle w:val="FootnoteReference"/>
          <w:szCs w:val="18"/>
        </w:rPr>
        <w:footnoteRef/>
      </w:r>
      <w:r w:rsidRPr="001A45E8">
        <w:rPr>
          <w:szCs w:val="18"/>
        </w:rPr>
        <w:t xml:space="preserve"> T0058, </w:t>
      </w:r>
      <w:r>
        <w:rPr>
          <w:szCs w:val="18"/>
        </w:rPr>
        <w:t>T0186</w:t>
      </w:r>
      <w:r w:rsidRPr="001A45E8">
        <w:rPr>
          <w:szCs w:val="18"/>
        </w:rPr>
        <w:t xml:space="preserve">, </w:t>
      </w:r>
      <w:r>
        <w:rPr>
          <w:szCs w:val="18"/>
        </w:rPr>
        <w:t>T0171</w:t>
      </w:r>
      <w:r w:rsidRPr="001A45E8">
        <w:rPr>
          <w:szCs w:val="18"/>
        </w:rPr>
        <w:t xml:space="preserve">, </w:t>
      </w:r>
      <w:r>
        <w:rPr>
          <w:szCs w:val="18"/>
        </w:rPr>
        <w:t>T0330</w:t>
      </w:r>
      <w:r w:rsidRPr="001A45E8">
        <w:rPr>
          <w:szCs w:val="18"/>
        </w:rPr>
        <w:t xml:space="preserve">, </w:t>
      </w:r>
      <w:r>
        <w:rPr>
          <w:szCs w:val="18"/>
        </w:rPr>
        <w:t>T0024</w:t>
      </w:r>
      <w:r w:rsidRPr="001A45E8">
        <w:rPr>
          <w:szCs w:val="18"/>
        </w:rPr>
        <w:t>.</w:t>
      </w:r>
    </w:p>
  </w:footnote>
  <w:footnote w:id="319">
    <w:p w14:paraId="5EEAF1D1" w14:textId="73A157EA" w:rsidR="004E119B" w:rsidRPr="00192143" w:rsidRDefault="004E119B" w:rsidP="009978BE">
      <w:pPr>
        <w:pStyle w:val="FootnoteText"/>
        <w:ind w:left="1138" w:right="1138" w:hanging="228"/>
        <w:jc w:val="left"/>
        <w:rPr>
          <w:szCs w:val="18"/>
        </w:rPr>
      </w:pPr>
      <w:r w:rsidRPr="002D31A9">
        <w:rPr>
          <w:rStyle w:val="FootnoteReference"/>
          <w:szCs w:val="18"/>
        </w:rPr>
        <w:footnoteRef/>
      </w:r>
      <w:r w:rsidRPr="002D31A9">
        <w:rPr>
          <w:szCs w:val="18"/>
        </w:rPr>
        <w:t xml:space="preserve"> </w:t>
      </w:r>
      <w:r w:rsidRPr="00840539">
        <w:rPr>
          <w:szCs w:val="18"/>
        </w:rPr>
        <w:t xml:space="preserve">Voir par exemple </w:t>
      </w:r>
      <w:r>
        <w:rPr>
          <w:szCs w:val="18"/>
        </w:rPr>
        <w:t>T0368</w:t>
      </w:r>
      <w:r w:rsidRPr="00840539">
        <w:rPr>
          <w:szCs w:val="18"/>
        </w:rPr>
        <w:t xml:space="preserve">, </w:t>
      </w:r>
      <w:r>
        <w:rPr>
          <w:szCs w:val="18"/>
        </w:rPr>
        <w:t>T0421</w:t>
      </w:r>
      <w:r w:rsidRPr="00840539">
        <w:rPr>
          <w:szCs w:val="18"/>
        </w:rPr>
        <w:t xml:space="preserve">, </w:t>
      </w:r>
      <w:r>
        <w:rPr>
          <w:szCs w:val="18"/>
        </w:rPr>
        <w:t>T0392</w:t>
      </w:r>
      <w:r w:rsidRPr="00840539">
        <w:rPr>
          <w:szCs w:val="18"/>
        </w:rPr>
        <w:t xml:space="preserve">, </w:t>
      </w:r>
      <w:r>
        <w:rPr>
          <w:szCs w:val="18"/>
        </w:rPr>
        <w:t>T0139</w:t>
      </w:r>
      <w:r w:rsidRPr="00840539">
        <w:rPr>
          <w:szCs w:val="18"/>
        </w:rPr>
        <w:t xml:space="preserve">. </w:t>
      </w:r>
      <w:r w:rsidRPr="00FE5E8D">
        <w:rPr>
          <w:szCs w:val="18"/>
        </w:rPr>
        <w:t xml:space="preserve">Voir aussi </w:t>
      </w:r>
      <w:r w:rsidRPr="004637BD">
        <w:rPr>
          <w:szCs w:val="18"/>
        </w:rPr>
        <w:t>document</w:t>
      </w:r>
      <w:r>
        <w:rPr>
          <w:szCs w:val="18"/>
        </w:rPr>
        <w:t xml:space="preserve"> interne MONUSCO</w:t>
      </w:r>
      <w:r w:rsidRPr="00192143">
        <w:rPr>
          <w:szCs w:val="18"/>
        </w:rPr>
        <w:t>.</w:t>
      </w:r>
    </w:p>
  </w:footnote>
  <w:footnote w:id="320">
    <w:p w14:paraId="764BBBE9" w14:textId="79C3D87E" w:rsidR="004E119B" w:rsidRPr="001A45E8" w:rsidRDefault="004E119B" w:rsidP="009978BE">
      <w:pPr>
        <w:tabs>
          <w:tab w:val="left" w:pos="9639"/>
        </w:tabs>
        <w:spacing w:line="220" w:lineRule="exact"/>
        <w:ind w:left="1138" w:right="1138" w:hanging="228"/>
        <w:rPr>
          <w:sz w:val="18"/>
          <w:szCs w:val="18"/>
        </w:rPr>
      </w:pPr>
      <w:r w:rsidRPr="002D31A9">
        <w:rPr>
          <w:rStyle w:val="FootnoteReference"/>
          <w:szCs w:val="18"/>
        </w:rPr>
        <w:footnoteRef/>
      </w:r>
      <w:r w:rsidRPr="001A45E8">
        <w:rPr>
          <w:sz w:val="18"/>
          <w:szCs w:val="18"/>
        </w:rPr>
        <w:t xml:space="preserve"> T0058, </w:t>
      </w:r>
      <w:r>
        <w:rPr>
          <w:sz w:val="18"/>
          <w:szCs w:val="18"/>
        </w:rPr>
        <w:t>T0288</w:t>
      </w:r>
      <w:r w:rsidRPr="001A45E8">
        <w:rPr>
          <w:sz w:val="18"/>
          <w:szCs w:val="18"/>
        </w:rPr>
        <w:t xml:space="preserve">, </w:t>
      </w:r>
      <w:r>
        <w:rPr>
          <w:sz w:val="18"/>
          <w:szCs w:val="18"/>
        </w:rPr>
        <w:t>T0171</w:t>
      </w:r>
      <w:r w:rsidRPr="001A45E8">
        <w:rPr>
          <w:sz w:val="18"/>
          <w:szCs w:val="18"/>
        </w:rPr>
        <w:t xml:space="preserve">, </w:t>
      </w:r>
      <w:r>
        <w:rPr>
          <w:sz w:val="18"/>
          <w:szCs w:val="18"/>
        </w:rPr>
        <w:t>T0024</w:t>
      </w:r>
      <w:r w:rsidRPr="001A45E8">
        <w:rPr>
          <w:sz w:val="18"/>
          <w:szCs w:val="18"/>
        </w:rPr>
        <w:t xml:space="preserve">, </w:t>
      </w:r>
      <w:r>
        <w:rPr>
          <w:sz w:val="18"/>
          <w:szCs w:val="18"/>
        </w:rPr>
        <w:t>T0293</w:t>
      </w:r>
      <w:r w:rsidRPr="001A45E8">
        <w:rPr>
          <w:sz w:val="18"/>
          <w:szCs w:val="18"/>
        </w:rPr>
        <w:t>.</w:t>
      </w:r>
    </w:p>
  </w:footnote>
  <w:footnote w:id="321">
    <w:p w14:paraId="5274C371" w14:textId="0BF0438A" w:rsidR="004E119B" w:rsidRPr="001A45E8" w:rsidRDefault="004E119B" w:rsidP="009978BE">
      <w:pPr>
        <w:pStyle w:val="FootnoteText"/>
        <w:tabs>
          <w:tab w:val="left" w:pos="9639"/>
        </w:tabs>
        <w:ind w:left="1138" w:right="1138" w:hanging="228"/>
        <w:jc w:val="left"/>
        <w:rPr>
          <w:szCs w:val="18"/>
        </w:rPr>
      </w:pPr>
      <w:r w:rsidRPr="002D31A9">
        <w:rPr>
          <w:rStyle w:val="FootnoteReference"/>
          <w:szCs w:val="18"/>
        </w:rPr>
        <w:footnoteRef/>
      </w:r>
      <w:r w:rsidRPr="001A45E8">
        <w:rPr>
          <w:szCs w:val="18"/>
        </w:rPr>
        <w:t xml:space="preserve"> </w:t>
      </w:r>
      <w:r>
        <w:rPr>
          <w:szCs w:val="18"/>
        </w:rPr>
        <w:t>T0400</w:t>
      </w:r>
      <w:r w:rsidRPr="001A45E8">
        <w:rPr>
          <w:szCs w:val="18"/>
        </w:rPr>
        <w:t xml:space="preserve">, </w:t>
      </w:r>
      <w:r>
        <w:rPr>
          <w:szCs w:val="18"/>
        </w:rPr>
        <w:t>T0177</w:t>
      </w:r>
      <w:r w:rsidRPr="001A45E8">
        <w:rPr>
          <w:szCs w:val="18"/>
        </w:rPr>
        <w:t xml:space="preserve">, </w:t>
      </w:r>
      <w:r>
        <w:rPr>
          <w:szCs w:val="18"/>
        </w:rPr>
        <w:t>T0095</w:t>
      </w:r>
      <w:r w:rsidRPr="001A45E8">
        <w:rPr>
          <w:szCs w:val="18"/>
        </w:rPr>
        <w:t xml:space="preserve">, T0076, T0242, </w:t>
      </w:r>
      <w:r>
        <w:rPr>
          <w:szCs w:val="18"/>
        </w:rPr>
        <w:t>T0183</w:t>
      </w:r>
      <w:r w:rsidRPr="001A45E8">
        <w:rPr>
          <w:szCs w:val="18"/>
        </w:rPr>
        <w:t xml:space="preserve">, </w:t>
      </w:r>
      <w:r>
        <w:rPr>
          <w:szCs w:val="18"/>
        </w:rPr>
        <w:t>T0368,</w:t>
      </w:r>
      <w:r w:rsidRPr="001A45E8">
        <w:rPr>
          <w:szCs w:val="18"/>
        </w:rPr>
        <w:t xml:space="preserve"> </w:t>
      </w:r>
      <w:r>
        <w:rPr>
          <w:szCs w:val="18"/>
        </w:rPr>
        <w:t>T0376</w:t>
      </w:r>
      <w:r w:rsidRPr="001A45E8">
        <w:rPr>
          <w:szCs w:val="18"/>
        </w:rPr>
        <w:t>.</w:t>
      </w:r>
    </w:p>
  </w:footnote>
  <w:footnote w:id="322">
    <w:p w14:paraId="647AB22C" w14:textId="071F638A" w:rsidR="004E119B" w:rsidRPr="001A45E8" w:rsidRDefault="004E119B" w:rsidP="009978BE">
      <w:pPr>
        <w:pStyle w:val="FootnoteText"/>
        <w:tabs>
          <w:tab w:val="right" w:pos="1080"/>
        </w:tabs>
        <w:ind w:left="1138" w:right="1138" w:hanging="228"/>
        <w:contextualSpacing/>
        <w:jc w:val="left"/>
        <w:rPr>
          <w:szCs w:val="18"/>
        </w:rPr>
      </w:pPr>
      <w:r w:rsidRPr="002D31A9">
        <w:rPr>
          <w:rStyle w:val="FootnoteReference"/>
          <w:szCs w:val="18"/>
        </w:rPr>
        <w:footnoteRef/>
      </w:r>
      <w:r w:rsidRPr="001A45E8">
        <w:rPr>
          <w:szCs w:val="18"/>
        </w:rPr>
        <w:t xml:space="preserve"> T0058, </w:t>
      </w:r>
      <w:r>
        <w:rPr>
          <w:szCs w:val="18"/>
        </w:rPr>
        <w:t>T0288</w:t>
      </w:r>
      <w:r w:rsidRPr="001A45E8">
        <w:rPr>
          <w:szCs w:val="18"/>
        </w:rPr>
        <w:t xml:space="preserve">, </w:t>
      </w:r>
      <w:r>
        <w:rPr>
          <w:szCs w:val="18"/>
        </w:rPr>
        <w:t>T0171</w:t>
      </w:r>
      <w:r w:rsidRPr="001A45E8">
        <w:rPr>
          <w:szCs w:val="18"/>
        </w:rPr>
        <w:t xml:space="preserve">, </w:t>
      </w:r>
      <w:r>
        <w:rPr>
          <w:szCs w:val="18"/>
        </w:rPr>
        <w:t>T0024</w:t>
      </w:r>
      <w:r w:rsidRPr="001A45E8">
        <w:rPr>
          <w:szCs w:val="18"/>
        </w:rPr>
        <w:t xml:space="preserve">, </w:t>
      </w:r>
      <w:r>
        <w:rPr>
          <w:szCs w:val="18"/>
        </w:rPr>
        <w:t>T0293</w:t>
      </w:r>
      <w:r w:rsidRPr="001A45E8">
        <w:rPr>
          <w:szCs w:val="18"/>
        </w:rPr>
        <w:t>.</w:t>
      </w:r>
    </w:p>
  </w:footnote>
  <w:footnote w:id="323">
    <w:p w14:paraId="52121FF2" w14:textId="1B5BBC82" w:rsidR="004E119B" w:rsidRPr="00192143" w:rsidRDefault="004E119B" w:rsidP="009978BE">
      <w:pPr>
        <w:pStyle w:val="FootnoteText"/>
        <w:tabs>
          <w:tab w:val="right" w:pos="0"/>
          <w:tab w:val="left" w:pos="9639"/>
        </w:tabs>
        <w:ind w:left="1138" w:right="1138" w:hanging="228"/>
        <w:jc w:val="left"/>
        <w:rPr>
          <w:szCs w:val="18"/>
        </w:rPr>
      </w:pPr>
      <w:r w:rsidRPr="002D31A9">
        <w:rPr>
          <w:rStyle w:val="FootnoteReference"/>
          <w:szCs w:val="18"/>
        </w:rPr>
        <w:footnoteRef/>
      </w:r>
      <w:r w:rsidRPr="002D31A9">
        <w:rPr>
          <w:szCs w:val="18"/>
        </w:rPr>
        <w:t xml:space="preserve"> </w:t>
      </w:r>
      <w:r>
        <w:rPr>
          <w:szCs w:val="18"/>
        </w:rPr>
        <w:t>T0242</w:t>
      </w:r>
      <w:r w:rsidRPr="00840539">
        <w:rPr>
          <w:szCs w:val="18"/>
        </w:rPr>
        <w:t xml:space="preserve">, </w:t>
      </w:r>
      <w:r>
        <w:rPr>
          <w:szCs w:val="18"/>
        </w:rPr>
        <w:t xml:space="preserve">T0330. Voir aussi documents internes MONUSCO. </w:t>
      </w:r>
      <w:r w:rsidRPr="00192143">
        <w:rPr>
          <w:szCs w:val="18"/>
        </w:rPr>
        <w:t> </w:t>
      </w:r>
    </w:p>
  </w:footnote>
  <w:footnote w:id="324">
    <w:p w14:paraId="1C605837" w14:textId="6E81A9B0" w:rsidR="004E119B" w:rsidRPr="00B50F59" w:rsidRDefault="004E119B" w:rsidP="009978BE">
      <w:pPr>
        <w:pStyle w:val="FootnoteText"/>
        <w:tabs>
          <w:tab w:val="right" w:pos="0"/>
        </w:tabs>
        <w:ind w:left="1138" w:right="1138" w:hanging="228"/>
        <w:jc w:val="left"/>
        <w:rPr>
          <w:szCs w:val="18"/>
        </w:rPr>
      </w:pPr>
      <w:r w:rsidRPr="002D31A9">
        <w:rPr>
          <w:rStyle w:val="FootnoteReference"/>
          <w:szCs w:val="18"/>
        </w:rPr>
        <w:footnoteRef/>
      </w:r>
      <w:r w:rsidRPr="00B50F59">
        <w:rPr>
          <w:szCs w:val="18"/>
        </w:rPr>
        <w:t xml:space="preserve"> T0369.</w:t>
      </w:r>
    </w:p>
  </w:footnote>
  <w:footnote w:id="325">
    <w:p w14:paraId="3724EC87" w14:textId="0DF38CB5" w:rsidR="004E119B" w:rsidRPr="001A302E" w:rsidRDefault="004E119B" w:rsidP="009978BE">
      <w:pPr>
        <w:pStyle w:val="FootnoteText"/>
        <w:ind w:left="1138" w:right="1138" w:hanging="228"/>
        <w:jc w:val="left"/>
        <w:rPr>
          <w:szCs w:val="18"/>
        </w:rPr>
      </w:pPr>
      <w:r w:rsidRPr="002D31A9">
        <w:rPr>
          <w:rStyle w:val="FootnoteReference"/>
          <w:szCs w:val="18"/>
        </w:rPr>
        <w:footnoteRef/>
      </w:r>
      <w:r w:rsidRPr="001A302E">
        <w:rPr>
          <w:szCs w:val="18"/>
        </w:rPr>
        <w:t xml:space="preserve"> T0076.</w:t>
      </w:r>
    </w:p>
  </w:footnote>
  <w:footnote w:id="326">
    <w:p w14:paraId="1E92D9E0" w14:textId="745ECADC" w:rsidR="004E119B" w:rsidRPr="001A45E8" w:rsidRDefault="004E119B" w:rsidP="009978BE">
      <w:pPr>
        <w:pStyle w:val="FootnoteText"/>
        <w:tabs>
          <w:tab w:val="right" w:pos="0"/>
          <w:tab w:val="left" w:pos="9639"/>
        </w:tabs>
        <w:ind w:left="1138" w:right="1138" w:hanging="228"/>
        <w:jc w:val="left"/>
        <w:rPr>
          <w:szCs w:val="18"/>
        </w:rPr>
      </w:pPr>
      <w:r w:rsidRPr="002D31A9">
        <w:rPr>
          <w:rStyle w:val="FootnoteReference"/>
          <w:szCs w:val="18"/>
        </w:rPr>
        <w:footnoteRef/>
      </w:r>
      <w:r w:rsidRPr="001A45E8">
        <w:rPr>
          <w:szCs w:val="18"/>
        </w:rPr>
        <w:t xml:space="preserve"> T0242, </w:t>
      </w:r>
      <w:r>
        <w:rPr>
          <w:szCs w:val="18"/>
        </w:rPr>
        <w:t>T0016</w:t>
      </w:r>
      <w:r w:rsidRPr="001A45E8">
        <w:rPr>
          <w:szCs w:val="18"/>
        </w:rPr>
        <w:t xml:space="preserve">, </w:t>
      </w:r>
      <w:r>
        <w:rPr>
          <w:szCs w:val="18"/>
        </w:rPr>
        <w:t>T0131</w:t>
      </w:r>
      <w:r w:rsidRPr="001A45E8">
        <w:rPr>
          <w:szCs w:val="18"/>
        </w:rPr>
        <w:t xml:space="preserve">, </w:t>
      </w:r>
      <w:r>
        <w:rPr>
          <w:szCs w:val="18"/>
        </w:rPr>
        <w:t>T0328</w:t>
      </w:r>
      <w:r w:rsidRPr="001A45E8">
        <w:rPr>
          <w:szCs w:val="18"/>
        </w:rPr>
        <w:t xml:space="preserve">, </w:t>
      </w:r>
      <w:r>
        <w:rPr>
          <w:szCs w:val="18"/>
        </w:rPr>
        <w:t>T0265</w:t>
      </w:r>
      <w:r w:rsidRPr="001A45E8">
        <w:rPr>
          <w:szCs w:val="18"/>
        </w:rPr>
        <w:t xml:space="preserve">, </w:t>
      </w:r>
      <w:r>
        <w:rPr>
          <w:szCs w:val="18"/>
        </w:rPr>
        <w:t>T0139</w:t>
      </w:r>
      <w:r w:rsidRPr="001A45E8">
        <w:rPr>
          <w:szCs w:val="18"/>
        </w:rPr>
        <w:t>.</w:t>
      </w:r>
    </w:p>
  </w:footnote>
  <w:footnote w:id="327">
    <w:p w14:paraId="02BD3042" w14:textId="0DDB4711" w:rsidR="004E119B" w:rsidRPr="001A302E" w:rsidRDefault="004E119B" w:rsidP="009978BE">
      <w:pPr>
        <w:pStyle w:val="FootnoteText"/>
        <w:tabs>
          <w:tab w:val="right" w:pos="0"/>
          <w:tab w:val="left" w:pos="9639"/>
        </w:tabs>
        <w:ind w:left="1138" w:right="1138" w:hanging="228"/>
        <w:jc w:val="left"/>
        <w:rPr>
          <w:szCs w:val="18"/>
        </w:rPr>
      </w:pPr>
      <w:r w:rsidRPr="002D31A9">
        <w:rPr>
          <w:rStyle w:val="FootnoteReference"/>
          <w:szCs w:val="18"/>
        </w:rPr>
        <w:footnoteRef/>
      </w:r>
      <w:r w:rsidRPr="001A302E">
        <w:rPr>
          <w:szCs w:val="18"/>
        </w:rPr>
        <w:t xml:space="preserve"> T0131, T0313, T0328, </w:t>
      </w:r>
      <w:r>
        <w:rPr>
          <w:szCs w:val="18"/>
        </w:rPr>
        <w:t>T0157</w:t>
      </w:r>
      <w:r w:rsidRPr="001A302E">
        <w:rPr>
          <w:szCs w:val="18"/>
        </w:rPr>
        <w:t>.</w:t>
      </w:r>
    </w:p>
  </w:footnote>
  <w:footnote w:id="328">
    <w:p w14:paraId="2EF10B33" w14:textId="194390C0" w:rsidR="004E119B" w:rsidRPr="00B50F59" w:rsidRDefault="004E119B" w:rsidP="009978BE">
      <w:pPr>
        <w:pStyle w:val="FootnoteText"/>
        <w:tabs>
          <w:tab w:val="left" w:pos="9639"/>
        </w:tabs>
        <w:ind w:left="1138" w:right="1138" w:hanging="228"/>
        <w:jc w:val="left"/>
        <w:rPr>
          <w:szCs w:val="18"/>
        </w:rPr>
      </w:pPr>
      <w:r w:rsidRPr="002D31A9">
        <w:rPr>
          <w:rStyle w:val="FootnoteReference"/>
          <w:szCs w:val="18"/>
        </w:rPr>
        <w:footnoteRef/>
      </w:r>
      <w:r w:rsidRPr="00B50F59">
        <w:rPr>
          <w:szCs w:val="18"/>
        </w:rPr>
        <w:t xml:space="preserve"> T0231.</w:t>
      </w:r>
    </w:p>
  </w:footnote>
  <w:footnote w:id="329">
    <w:p w14:paraId="70477859" w14:textId="04D48E2E" w:rsidR="004E119B" w:rsidRPr="002D31A9" w:rsidRDefault="004E119B" w:rsidP="009978BE">
      <w:pPr>
        <w:pStyle w:val="FootnoteText"/>
        <w:tabs>
          <w:tab w:val="left" w:pos="9639"/>
        </w:tabs>
        <w:ind w:left="1138" w:right="1138" w:hanging="228"/>
        <w:jc w:val="left"/>
        <w:rPr>
          <w:szCs w:val="18"/>
        </w:rPr>
      </w:pPr>
      <w:r w:rsidRPr="002D31A9">
        <w:rPr>
          <w:rStyle w:val="FootnoteReference"/>
          <w:szCs w:val="18"/>
        </w:rPr>
        <w:footnoteRef/>
      </w:r>
      <w:r w:rsidRPr="002D31A9">
        <w:rPr>
          <w:szCs w:val="18"/>
        </w:rPr>
        <w:t xml:space="preserve"> </w:t>
      </w:r>
      <w:r>
        <w:rPr>
          <w:szCs w:val="18"/>
        </w:rPr>
        <w:t>T0288</w:t>
      </w:r>
      <w:r w:rsidRPr="002D31A9">
        <w:rPr>
          <w:szCs w:val="18"/>
        </w:rPr>
        <w:t>.</w:t>
      </w:r>
    </w:p>
  </w:footnote>
  <w:footnote w:id="330">
    <w:p w14:paraId="00E0D07E" w14:textId="64A552A3" w:rsidR="004E119B" w:rsidRPr="002D31A9" w:rsidRDefault="004E119B" w:rsidP="009978BE">
      <w:pPr>
        <w:pStyle w:val="FootnoteText"/>
        <w:tabs>
          <w:tab w:val="left" w:pos="9639"/>
        </w:tabs>
        <w:ind w:left="1138" w:right="1138" w:hanging="228"/>
        <w:jc w:val="left"/>
        <w:rPr>
          <w:szCs w:val="18"/>
        </w:rPr>
      </w:pPr>
      <w:r w:rsidRPr="002D31A9">
        <w:rPr>
          <w:rStyle w:val="FootnoteReference"/>
          <w:szCs w:val="18"/>
        </w:rPr>
        <w:footnoteRef/>
      </w:r>
      <w:r w:rsidRPr="002D31A9">
        <w:rPr>
          <w:szCs w:val="18"/>
        </w:rPr>
        <w:t xml:space="preserve"> </w:t>
      </w:r>
      <w:r>
        <w:rPr>
          <w:szCs w:val="18"/>
        </w:rPr>
        <w:t>T0114</w:t>
      </w:r>
      <w:r w:rsidRPr="002D31A9">
        <w:rPr>
          <w:szCs w:val="18"/>
        </w:rPr>
        <w:t>.</w:t>
      </w:r>
    </w:p>
  </w:footnote>
  <w:footnote w:id="331">
    <w:p w14:paraId="4BAB2373" w14:textId="199083DE" w:rsidR="004E119B" w:rsidRPr="002D31A9"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T0306</w:t>
      </w:r>
      <w:r w:rsidRPr="002D31A9">
        <w:rPr>
          <w:szCs w:val="18"/>
        </w:rPr>
        <w:t>.</w:t>
      </w:r>
    </w:p>
  </w:footnote>
  <w:footnote w:id="332">
    <w:p w14:paraId="7F7BDD06" w14:textId="39F7CB56" w:rsidR="004E119B" w:rsidRPr="006560CD" w:rsidRDefault="004E119B" w:rsidP="009978BE">
      <w:pPr>
        <w:pStyle w:val="FootnoteText"/>
        <w:tabs>
          <w:tab w:val="right" w:pos="0"/>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sidRPr="006560CD">
        <w:rPr>
          <w:szCs w:val="18"/>
        </w:rPr>
        <w:t xml:space="preserve">Document interne MONUSCO.  </w:t>
      </w:r>
    </w:p>
  </w:footnote>
  <w:footnote w:id="333">
    <w:p w14:paraId="4DDB2A36" w14:textId="6D2BB85F" w:rsidR="004E119B" w:rsidRPr="0060278B" w:rsidRDefault="004E119B" w:rsidP="009978BE">
      <w:pPr>
        <w:pStyle w:val="FootnoteText"/>
        <w:tabs>
          <w:tab w:val="left" w:pos="9639"/>
        </w:tabs>
        <w:ind w:left="1138" w:right="1138" w:hanging="228"/>
        <w:contextualSpacing/>
        <w:jc w:val="left"/>
        <w:rPr>
          <w:szCs w:val="18"/>
        </w:rPr>
      </w:pPr>
      <w:r w:rsidRPr="006560CD">
        <w:rPr>
          <w:rStyle w:val="FootnoteReference"/>
          <w:szCs w:val="18"/>
        </w:rPr>
        <w:footnoteRef/>
      </w:r>
      <w:r w:rsidRPr="006560CD">
        <w:rPr>
          <w:szCs w:val="18"/>
        </w:rPr>
        <w:t xml:space="preserve"> </w:t>
      </w:r>
      <w:r w:rsidRPr="00FE5E8D">
        <w:rPr>
          <w:szCs w:val="18"/>
        </w:rPr>
        <w:t>Documents internes MONUSCO.</w:t>
      </w:r>
      <w:r w:rsidRPr="0060278B">
        <w:rPr>
          <w:szCs w:val="18"/>
        </w:rPr>
        <w:t xml:space="preserve"> Voir aussi </w:t>
      </w:r>
      <w:r>
        <w:rPr>
          <w:szCs w:val="18"/>
        </w:rPr>
        <w:t>T0236</w:t>
      </w:r>
      <w:r w:rsidRPr="0060278B">
        <w:rPr>
          <w:szCs w:val="18"/>
        </w:rPr>
        <w:t>.</w:t>
      </w:r>
    </w:p>
  </w:footnote>
  <w:footnote w:id="334">
    <w:p w14:paraId="6BEF3D58" w14:textId="665D9320" w:rsidR="004E119B" w:rsidRPr="002D31A9" w:rsidRDefault="004E119B" w:rsidP="009978BE">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T0224</w:t>
      </w:r>
      <w:r w:rsidRPr="002D31A9">
        <w:rPr>
          <w:szCs w:val="18"/>
        </w:rPr>
        <w:t>.</w:t>
      </w:r>
    </w:p>
  </w:footnote>
  <w:footnote w:id="335">
    <w:p w14:paraId="5411501B" w14:textId="321056E0" w:rsidR="004E119B" w:rsidRPr="0060278B" w:rsidRDefault="004E119B" w:rsidP="009978BE">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 xml:space="preserve">Documents internes MONUSCO. </w:t>
      </w:r>
      <w:r w:rsidRPr="006E341A">
        <w:rPr>
          <w:szCs w:val="18"/>
        </w:rPr>
        <w:t>Voir aus</w:t>
      </w:r>
      <w:r w:rsidRPr="0060278B">
        <w:rPr>
          <w:szCs w:val="18"/>
        </w:rPr>
        <w:t xml:space="preserve">si </w:t>
      </w:r>
      <w:r>
        <w:rPr>
          <w:szCs w:val="18"/>
        </w:rPr>
        <w:t>T0224</w:t>
      </w:r>
      <w:r w:rsidRPr="0060278B">
        <w:rPr>
          <w:szCs w:val="18"/>
        </w:rPr>
        <w:t xml:space="preserve">. </w:t>
      </w:r>
    </w:p>
  </w:footnote>
  <w:footnote w:id="336">
    <w:p w14:paraId="373AEE75" w14:textId="538552F9" w:rsidR="004E119B" w:rsidRPr="006E341A" w:rsidRDefault="004E119B" w:rsidP="009978BE">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Documents internes MONUSCO.</w:t>
      </w:r>
    </w:p>
  </w:footnote>
  <w:footnote w:id="337">
    <w:p w14:paraId="6ADABF64" w14:textId="69718FEE" w:rsidR="004E119B" w:rsidRPr="00CB2CDD"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CB2CDD">
        <w:rPr>
          <w:szCs w:val="18"/>
        </w:rPr>
        <w:t xml:space="preserve"> </w:t>
      </w:r>
      <w:r>
        <w:rPr>
          <w:szCs w:val="18"/>
        </w:rPr>
        <w:t>T0131</w:t>
      </w:r>
      <w:r w:rsidRPr="00CB2CDD">
        <w:rPr>
          <w:szCs w:val="18"/>
        </w:rPr>
        <w:t xml:space="preserve">, </w:t>
      </w:r>
      <w:r>
        <w:rPr>
          <w:szCs w:val="18"/>
        </w:rPr>
        <w:t>T0141</w:t>
      </w:r>
      <w:r w:rsidRPr="00CB2CDD">
        <w:rPr>
          <w:szCs w:val="18"/>
        </w:rPr>
        <w:t xml:space="preserve">, </w:t>
      </w:r>
      <w:r>
        <w:rPr>
          <w:szCs w:val="18"/>
        </w:rPr>
        <w:t>T0313</w:t>
      </w:r>
      <w:r w:rsidRPr="00CB2CDD">
        <w:rPr>
          <w:szCs w:val="18"/>
        </w:rPr>
        <w:t xml:space="preserve">, </w:t>
      </w:r>
      <w:r>
        <w:rPr>
          <w:szCs w:val="18"/>
        </w:rPr>
        <w:t>T0016</w:t>
      </w:r>
      <w:r w:rsidRPr="00CB2CDD">
        <w:rPr>
          <w:szCs w:val="18"/>
        </w:rPr>
        <w:t>.</w:t>
      </w:r>
    </w:p>
  </w:footnote>
  <w:footnote w:id="338">
    <w:p w14:paraId="64ED44B4" w14:textId="0AF3C7ED" w:rsidR="004E119B" w:rsidRPr="00840539"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CB2CDD">
        <w:rPr>
          <w:szCs w:val="18"/>
        </w:rPr>
        <w:t xml:space="preserve"> </w:t>
      </w:r>
      <w:r>
        <w:rPr>
          <w:szCs w:val="18"/>
        </w:rPr>
        <w:t>T0242.</w:t>
      </w:r>
      <w:r w:rsidRPr="00CB2CDD">
        <w:rPr>
          <w:szCs w:val="18"/>
        </w:rPr>
        <w:t xml:space="preserve"> </w:t>
      </w:r>
      <w:r w:rsidRPr="00840539">
        <w:rPr>
          <w:szCs w:val="18"/>
        </w:rPr>
        <w:t xml:space="preserve">Voir aussi </w:t>
      </w:r>
      <w:r>
        <w:rPr>
          <w:szCs w:val="18"/>
        </w:rPr>
        <w:t>T0352</w:t>
      </w:r>
      <w:r w:rsidRPr="00840539">
        <w:rPr>
          <w:szCs w:val="18"/>
        </w:rPr>
        <w:t>.</w:t>
      </w:r>
    </w:p>
  </w:footnote>
  <w:footnote w:id="339">
    <w:p w14:paraId="7D71A473" w14:textId="312007B2" w:rsidR="004E119B" w:rsidRPr="00FE5E8D" w:rsidRDefault="004E119B" w:rsidP="009978BE">
      <w:pPr>
        <w:pStyle w:val="FootnoteText"/>
        <w:ind w:left="1138" w:right="1138" w:hanging="228"/>
        <w:contextualSpacing/>
        <w:jc w:val="left"/>
        <w:rPr>
          <w:szCs w:val="18"/>
        </w:rPr>
      </w:pPr>
      <w:r w:rsidRPr="002D31A9">
        <w:rPr>
          <w:rStyle w:val="FootnoteReference"/>
          <w:szCs w:val="18"/>
        </w:rPr>
        <w:footnoteRef/>
      </w:r>
      <w:r w:rsidRPr="00FE5E8D">
        <w:rPr>
          <w:szCs w:val="18"/>
        </w:rPr>
        <w:t xml:space="preserve"> </w:t>
      </w:r>
      <w:r>
        <w:rPr>
          <w:szCs w:val="18"/>
        </w:rPr>
        <w:t>T0352</w:t>
      </w:r>
      <w:r w:rsidRPr="00FE5E8D">
        <w:rPr>
          <w:szCs w:val="18"/>
        </w:rPr>
        <w:t>.</w:t>
      </w:r>
    </w:p>
  </w:footnote>
  <w:footnote w:id="340">
    <w:p w14:paraId="0BBEC1AC" w14:textId="700DC9F4" w:rsidR="004E119B" w:rsidRPr="00192143"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1A45E8">
        <w:rPr>
          <w:szCs w:val="18"/>
        </w:rPr>
        <w:t xml:space="preserve"> T0058, </w:t>
      </w:r>
      <w:r>
        <w:rPr>
          <w:szCs w:val="18"/>
        </w:rPr>
        <w:t>T0186</w:t>
      </w:r>
      <w:r w:rsidRPr="001A45E8">
        <w:rPr>
          <w:szCs w:val="18"/>
        </w:rPr>
        <w:t xml:space="preserve">, </w:t>
      </w:r>
      <w:r>
        <w:rPr>
          <w:szCs w:val="18"/>
        </w:rPr>
        <w:t>T0293</w:t>
      </w:r>
      <w:r w:rsidRPr="001A45E8">
        <w:rPr>
          <w:szCs w:val="18"/>
        </w:rPr>
        <w:t xml:space="preserve">, </w:t>
      </w:r>
      <w:r>
        <w:rPr>
          <w:szCs w:val="18"/>
        </w:rPr>
        <w:t>T0024</w:t>
      </w:r>
      <w:r w:rsidRPr="001A45E8">
        <w:rPr>
          <w:szCs w:val="18"/>
        </w:rPr>
        <w:t xml:space="preserve">, </w:t>
      </w:r>
      <w:r>
        <w:rPr>
          <w:szCs w:val="18"/>
        </w:rPr>
        <w:t>T0330</w:t>
      </w:r>
      <w:r w:rsidRPr="001A45E8">
        <w:rPr>
          <w:szCs w:val="18"/>
        </w:rPr>
        <w:t xml:space="preserve">. </w:t>
      </w:r>
      <w:r w:rsidRPr="00FE5E8D">
        <w:rPr>
          <w:szCs w:val="18"/>
        </w:rPr>
        <w:t xml:space="preserve">Voir aussi </w:t>
      </w:r>
      <w:r w:rsidRPr="004637BD">
        <w:rPr>
          <w:szCs w:val="18"/>
        </w:rPr>
        <w:t>document</w:t>
      </w:r>
      <w:r>
        <w:rPr>
          <w:szCs w:val="18"/>
        </w:rPr>
        <w:t xml:space="preserve"> interne MONUSCO.</w:t>
      </w:r>
      <w:r w:rsidRPr="00192143">
        <w:rPr>
          <w:szCs w:val="18"/>
        </w:rPr>
        <w:t> </w:t>
      </w:r>
    </w:p>
  </w:footnote>
  <w:footnote w:id="341">
    <w:p w14:paraId="30189A8F" w14:textId="73318E63" w:rsidR="004E119B" w:rsidRPr="002D31A9" w:rsidRDefault="004E119B" w:rsidP="009978BE">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T0076</w:t>
      </w:r>
      <w:r w:rsidRPr="002D31A9">
        <w:rPr>
          <w:szCs w:val="18"/>
        </w:rPr>
        <w:t xml:space="preserve">. Voir aussi </w:t>
      </w:r>
      <w:r>
        <w:rPr>
          <w:szCs w:val="18"/>
        </w:rPr>
        <w:t>T0376</w:t>
      </w:r>
      <w:r w:rsidRPr="002D31A9">
        <w:rPr>
          <w:szCs w:val="18"/>
        </w:rPr>
        <w:t>.</w:t>
      </w:r>
    </w:p>
  </w:footnote>
  <w:footnote w:id="342">
    <w:p w14:paraId="3AEE26D5" w14:textId="2BF34709" w:rsidR="004E119B" w:rsidRPr="002D31A9" w:rsidRDefault="004E119B" w:rsidP="009978BE">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T0076</w:t>
      </w:r>
      <w:r w:rsidRPr="002D31A9">
        <w:rPr>
          <w:szCs w:val="18"/>
        </w:rPr>
        <w:t>.</w:t>
      </w:r>
    </w:p>
  </w:footnote>
  <w:footnote w:id="343">
    <w:p w14:paraId="5D548CC6" w14:textId="0D84D876" w:rsidR="004E119B" w:rsidRPr="002D31A9" w:rsidRDefault="004E119B" w:rsidP="009978BE">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T0376</w:t>
      </w:r>
      <w:r w:rsidRPr="002D31A9">
        <w:rPr>
          <w:szCs w:val="18"/>
        </w:rPr>
        <w:t>.</w:t>
      </w:r>
    </w:p>
  </w:footnote>
  <w:footnote w:id="344">
    <w:p w14:paraId="0FA96824" w14:textId="6B109D9B" w:rsidR="004E119B" w:rsidRPr="002D31A9" w:rsidRDefault="004E119B" w:rsidP="009978BE">
      <w:pPr>
        <w:pStyle w:val="FootnoteText"/>
        <w:tabs>
          <w:tab w:val="right" w:pos="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T0094</w:t>
      </w:r>
      <w:r w:rsidRPr="002D31A9">
        <w:rPr>
          <w:szCs w:val="18"/>
        </w:rPr>
        <w:t xml:space="preserve">, </w:t>
      </w:r>
      <w:r>
        <w:rPr>
          <w:szCs w:val="18"/>
        </w:rPr>
        <w:t>T0368</w:t>
      </w:r>
      <w:r w:rsidRPr="002D31A9">
        <w:rPr>
          <w:szCs w:val="18"/>
        </w:rPr>
        <w:t>.</w:t>
      </w:r>
    </w:p>
  </w:footnote>
  <w:footnote w:id="345">
    <w:p w14:paraId="710CE93E" w14:textId="46C8AE9F" w:rsidR="004E119B" w:rsidRPr="002D31A9" w:rsidRDefault="004E119B" w:rsidP="009978BE">
      <w:pPr>
        <w:pStyle w:val="FootnoteText"/>
        <w:tabs>
          <w:tab w:val="right" w:pos="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T0392</w:t>
      </w:r>
      <w:r w:rsidRPr="002D31A9">
        <w:rPr>
          <w:szCs w:val="18"/>
        </w:rPr>
        <w:t xml:space="preserve">, </w:t>
      </w:r>
      <w:r>
        <w:rPr>
          <w:szCs w:val="18"/>
        </w:rPr>
        <w:t>T0139</w:t>
      </w:r>
      <w:r w:rsidRPr="002D31A9">
        <w:rPr>
          <w:szCs w:val="18"/>
        </w:rPr>
        <w:t xml:space="preserve">. Voir aussi </w:t>
      </w:r>
      <w:r>
        <w:rPr>
          <w:szCs w:val="18"/>
        </w:rPr>
        <w:t>T0396</w:t>
      </w:r>
      <w:r w:rsidRPr="002D31A9">
        <w:rPr>
          <w:szCs w:val="18"/>
        </w:rPr>
        <w:t>.</w:t>
      </w:r>
    </w:p>
  </w:footnote>
  <w:footnote w:id="346">
    <w:p w14:paraId="175CEA42" w14:textId="60955CE7" w:rsidR="004E119B" w:rsidRPr="006E341A" w:rsidRDefault="004E119B" w:rsidP="009978BE">
      <w:pPr>
        <w:pStyle w:val="FootnoteText"/>
        <w:tabs>
          <w:tab w:val="right" w:pos="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T0314</w:t>
      </w:r>
      <w:r w:rsidRPr="002D31A9">
        <w:rPr>
          <w:szCs w:val="18"/>
        </w:rPr>
        <w:t xml:space="preserve"> Voi</w:t>
      </w:r>
      <w:r>
        <w:rPr>
          <w:szCs w:val="18"/>
        </w:rPr>
        <w:t>r</w:t>
      </w:r>
      <w:r w:rsidRPr="002D31A9">
        <w:rPr>
          <w:szCs w:val="18"/>
        </w:rPr>
        <w:t xml:space="preserve"> aussi </w:t>
      </w:r>
      <w:r>
        <w:rPr>
          <w:szCs w:val="18"/>
        </w:rPr>
        <w:t>T0187</w:t>
      </w:r>
      <w:r w:rsidRPr="002D31A9">
        <w:rPr>
          <w:szCs w:val="18"/>
        </w:rPr>
        <w:t xml:space="preserve">, </w:t>
      </w:r>
      <w:r>
        <w:rPr>
          <w:szCs w:val="18"/>
        </w:rPr>
        <w:t>T0369</w:t>
      </w:r>
      <w:r w:rsidRPr="002D31A9">
        <w:rPr>
          <w:szCs w:val="18"/>
        </w:rPr>
        <w:t xml:space="preserve">, </w:t>
      </w:r>
      <w:r>
        <w:rPr>
          <w:szCs w:val="18"/>
        </w:rPr>
        <w:t>T0195</w:t>
      </w:r>
      <w:r w:rsidRPr="002D31A9">
        <w:rPr>
          <w:szCs w:val="18"/>
        </w:rPr>
        <w:t xml:space="preserve">, </w:t>
      </w:r>
      <w:r>
        <w:rPr>
          <w:szCs w:val="18"/>
        </w:rPr>
        <w:t>T0185, T0095, document interne MONUSCO</w:t>
      </w:r>
      <w:r w:rsidRPr="006E341A">
        <w:rPr>
          <w:szCs w:val="18"/>
        </w:rPr>
        <w:t xml:space="preserve">. </w:t>
      </w:r>
    </w:p>
  </w:footnote>
  <w:footnote w:id="347">
    <w:p w14:paraId="6293ADD5" w14:textId="09B0192F" w:rsidR="004E119B" w:rsidRPr="00CB2CDD" w:rsidRDefault="004E119B" w:rsidP="009978BE">
      <w:pPr>
        <w:pStyle w:val="FootnoteText"/>
        <w:tabs>
          <w:tab w:val="right" w:pos="1080"/>
        </w:tabs>
        <w:ind w:left="1138" w:right="1138" w:hanging="228"/>
        <w:contextualSpacing/>
        <w:jc w:val="left"/>
        <w:rPr>
          <w:szCs w:val="18"/>
        </w:rPr>
      </w:pPr>
      <w:r w:rsidRPr="002D31A9">
        <w:rPr>
          <w:rStyle w:val="FootnoteReference"/>
          <w:szCs w:val="18"/>
        </w:rPr>
        <w:footnoteRef/>
      </w:r>
      <w:r w:rsidRPr="00CB2CDD">
        <w:rPr>
          <w:szCs w:val="18"/>
        </w:rPr>
        <w:t xml:space="preserve"> </w:t>
      </w:r>
      <w:r>
        <w:rPr>
          <w:szCs w:val="18"/>
        </w:rPr>
        <w:t>T0058</w:t>
      </w:r>
      <w:r w:rsidRPr="00CB2CDD">
        <w:rPr>
          <w:szCs w:val="18"/>
        </w:rPr>
        <w:t xml:space="preserve">, </w:t>
      </w:r>
      <w:r>
        <w:rPr>
          <w:szCs w:val="18"/>
        </w:rPr>
        <w:t>T0024</w:t>
      </w:r>
      <w:r w:rsidRPr="00CB2CDD">
        <w:rPr>
          <w:szCs w:val="18"/>
        </w:rPr>
        <w:t xml:space="preserve">, </w:t>
      </w:r>
      <w:r>
        <w:rPr>
          <w:szCs w:val="18"/>
        </w:rPr>
        <w:t>T0330</w:t>
      </w:r>
      <w:r w:rsidRPr="00CB2CDD">
        <w:rPr>
          <w:szCs w:val="18"/>
        </w:rPr>
        <w:t xml:space="preserve">, </w:t>
      </w:r>
      <w:r>
        <w:rPr>
          <w:szCs w:val="18"/>
        </w:rPr>
        <w:t>T0171</w:t>
      </w:r>
      <w:r w:rsidRPr="00CB2CDD">
        <w:rPr>
          <w:szCs w:val="18"/>
        </w:rPr>
        <w:t xml:space="preserve">, </w:t>
      </w:r>
      <w:r>
        <w:rPr>
          <w:szCs w:val="18"/>
        </w:rPr>
        <w:t>T0345</w:t>
      </w:r>
      <w:r w:rsidRPr="00CB2CDD">
        <w:rPr>
          <w:szCs w:val="18"/>
        </w:rPr>
        <w:t xml:space="preserve">, </w:t>
      </w:r>
      <w:r>
        <w:rPr>
          <w:szCs w:val="18"/>
        </w:rPr>
        <w:t>T0343</w:t>
      </w:r>
      <w:r w:rsidRPr="00CB2CDD">
        <w:rPr>
          <w:szCs w:val="18"/>
        </w:rPr>
        <w:t xml:space="preserve">, </w:t>
      </w:r>
      <w:r>
        <w:rPr>
          <w:szCs w:val="18"/>
        </w:rPr>
        <w:t>T0420, document interne MONUSCO.</w:t>
      </w:r>
    </w:p>
  </w:footnote>
  <w:footnote w:id="348">
    <w:p w14:paraId="5680A5A3" w14:textId="5BFB34A4" w:rsidR="004E119B" w:rsidRPr="00D63265"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D63265">
        <w:rPr>
          <w:szCs w:val="18"/>
        </w:rPr>
        <w:t xml:space="preserve"> T0019.</w:t>
      </w:r>
    </w:p>
  </w:footnote>
  <w:footnote w:id="349">
    <w:p w14:paraId="205F2F37" w14:textId="48674885" w:rsidR="004E119B" w:rsidRPr="006E341A" w:rsidRDefault="004E119B" w:rsidP="009978BE">
      <w:pPr>
        <w:pStyle w:val="FootnoteText"/>
        <w:tabs>
          <w:tab w:val="right" w:pos="0"/>
          <w:tab w:val="left" w:pos="9639"/>
        </w:tabs>
        <w:ind w:left="1138" w:right="1138" w:hanging="228"/>
        <w:contextualSpacing/>
        <w:jc w:val="left"/>
        <w:rPr>
          <w:szCs w:val="18"/>
        </w:rPr>
      </w:pPr>
      <w:r w:rsidRPr="002D31A9">
        <w:rPr>
          <w:rStyle w:val="FootnoteReference"/>
          <w:szCs w:val="18"/>
        </w:rPr>
        <w:footnoteRef/>
      </w:r>
      <w:r w:rsidRPr="001A302E">
        <w:rPr>
          <w:szCs w:val="18"/>
        </w:rPr>
        <w:t xml:space="preserve"> T0070, </w:t>
      </w:r>
      <w:r>
        <w:rPr>
          <w:szCs w:val="18"/>
        </w:rPr>
        <w:t>T0211</w:t>
      </w:r>
      <w:r w:rsidRPr="001A302E">
        <w:rPr>
          <w:szCs w:val="18"/>
        </w:rPr>
        <w:t xml:space="preserve">, </w:t>
      </w:r>
      <w:r>
        <w:rPr>
          <w:szCs w:val="18"/>
        </w:rPr>
        <w:t>T0389</w:t>
      </w:r>
      <w:r w:rsidRPr="001A302E">
        <w:rPr>
          <w:szCs w:val="18"/>
        </w:rPr>
        <w:t xml:space="preserve">, </w:t>
      </w:r>
      <w:r>
        <w:rPr>
          <w:szCs w:val="18"/>
        </w:rPr>
        <w:t>T0367</w:t>
      </w:r>
      <w:r w:rsidRPr="001A302E">
        <w:rPr>
          <w:szCs w:val="18"/>
        </w:rPr>
        <w:t xml:space="preserve">, </w:t>
      </w:r>
      <w:r>
        <w:rPr>
          <w:szCs w:val="18"/>
        </w:rPr>
        <w:t>T0057</w:t>
      </w:r>
      <w:r w:rsidRPr="001A302E">
        <w:rPr>
          <w:szCs w:val="18"/>
        </w:rPr>
        <w:t xml:space="preserve">, </w:t>
      </w:r>
      <w:r>
        <w:rPr>
          <w:szCs w:val="18"/>
        </w:rPr>
        <w:t>T0019</w:t>
      </w:r>
      <w:r w:rsidRPr="001A302E">
        <w:rPr>
          <w:szCs w:val="18"/>
        </w:rPr>
        <w:t xml:space="preserve">. </w:t>
      </w:r>
      <w:r w:rsidRPr="002D31A9">
        <w:rPr>
          <w:szCs w:val="18"/>
        </w:rPr>
        <w:t xml:space="preserve">Voir aussi </w:t>
      </w:r>
      <w:r>
        <w:rPr>
          <w:szCs w:val="18"/>
        </w:rPr>
        <w:t>T0231</w:t>
      </w:r>
      <w:r w:rsidRPr="00FE5E8D">
        <w:rPr>
          <w:szCs w:val="18"/>
        </w:rPr>
        <w:t>, document interne MONUSCO</w:t>
      </w:r>
      <w:r w:rsidRPr="004637BD">
        <w:rPr>
          <w:szCs w:val="18"/>
        </w:rPr>
        <w:t>.</w:t>
      </w:r>
      <w:r w:rsidRPr="006E341A">
        <w:rPr>
          <w:szCs w:val="18"/>
        </w:rPr>
        <w:t> </w:t>
      </w:r>
    </w:p>
  </w:footnote>
  <w:footnote w:id="350">
    <w:p w14:paraId="7EA31204" w14:textId="46DFB8A8" w:rsidR="004E119B" w:rsidRPr="001A45E8" w:rsidRDefault="004E119B" w:rsidP="009978BE">
      <w:pPr>
        <w:pStyle w:val="FootnoteText"/>
        <w:tabs>
          <w:tab w:val="right" w:pos="0"/>
          <w:tab w:val="left" w:pos="9639"/>
        </w:tabs>
        <w:ind w:left="1138" w:right="1138" w:hanging="228"/>
        <w:contextualSpacing/>
        <w:jc w:val="left"/>
        <w:rPr>
          <w:szCs w:val="18"/>
        </w:rPr>
      </w:pPr>
      <w:r w:rsidRPr="002D31A9">
        <w:rPr>
          <w:rStyle w:val="FootnoteReference"/>
          <w:szCs w:val="18"/>
        </w:rPr>
        <w:footnoteRef/>
      </w:r>
      <w:r w:rsidRPr="001A45E8">
        <w:rPr>
          <w:szCs w:val="18"/>
        </w:rPr>
        <w:t xml:space="preserve"> </w:t>
      </w:r>
      <w:r>
        <w:rPr>
          <w:szCs w:val="18"/>
        </w:rPr>
        <w:t>T0242</w:t>
      </w:r>
      <w:r w:rsidRPr="001A45E8">
        <w:rPr>
          <w:szCs w:val="18"/>
        </w:rPr>
        <w:t xml:space="preserve">, T0313, </w:t>
      </w:r>
      <w:r>
        <w:rPr>
          <w:szCs w:val="18"/>
        </w:rPr>
        <w:t>T0089</w:t>
      </w:r>
      <w:r w:rsidRPr="001A45E8">
        <w:rPr>
          <w:szCs w:val="18"/>
        </w:rPr>
        <w:t xml:space="preserve">, </w:t>
      </w:r>
      <w:r>
        <w:rPr>
          <w:szCs w:val="18"/>
        </w:rPr>
        <w:t>T0330</w:t>
      </w:r>
      <w:r w:rsidRPr="001A45E8">
        <w:rPr>
          <w:szCs w:val="18"/>
        </w:rPr>
        <w:t xml:space="preserve">, </w:t>
      </w:r>
      <w:r>
        <w:rPr>
          <w:szCs w:val="18"/>
        </w:rPr>
        <w:t>T0177</w:t>
      </w:r>
      <w:r w:rsidRPr="001A45E8">
        <w:rPr>
          <w:szCs w:val="18"/>
        </w:rPr>
        <w:t xml:space="preserve">, </w:t>
      </w:r>
      <w:r>
        <w:rPr>
          <w:szCs w:val="18"/>
        </w:rPr>
        <w:t>T0343</w:t>
      </w:r>
      <w:r w:rsidRPr="001A45E8">
        <w:rPr>
          <w:szCs w:val="18"/>
        </w:rPr>
        <w:t xml:space="preserve">, </w:t>
      </w:r>
      <w:r>
        <w:rPr>
          <w:szCs w:val="18"/>
        </w:rPr>
        <w:t>T0076</w:t>
      </w:r>
      <w:r w:rsidRPr="001A45E8">
        <w:rPr>
          <w:szCs w:val="18"/>
        </w:rPr>
        <w:t>.</w:t>
      </w:r>
    </w:p>
  </w:footnote>
  <w:footnote w:id="351">
    <w:p w14:paraId="50F716C4" w14:textId="6F9403F2" w:rsidR="004E119B" w:rsidRPr="001A45E8"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1A45E8">
        <w:rPr>
          <w:szCs w:val="18"/>
        </w:rPr>
        <w:t xml:space="preserve"> T0313, </w:t>
      </w:r>
      <w:r>
        <w:rPr>
          <w:szCs w:val="18"/>
        </w:rPr>
        <w:t>T0016</w:t>
      </w:r>
      <w:r w:rsidRPr="001A45E8">
        <w:rPr>
          <w:szCs w:val="18"/>
        </w:rPr>
        <w:t>.</w:t>
      </w:r>
    </w:p>
  </w:footnote>
  <w:footnote w:id="352">
    <w:p w14:paraId="32314C06" w14:textId="15409259" w:rsidR="004E119B" w:rsidRPr="00D63265"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D63265">
        <w:rPr>
          <w:szCs w:val="18"/>
        </w:rPr>
        <w:t xml:space="preserve"> T0141, T0093, </w:t>
      </w:r>
      <w:r>
        <w:rPr>
          <w:szCs w:val="18"/>
        </w:rPr>
        <w:t>T0089</w:t>
      </w:r>
      <w:r w:rsidRPr="00D63265">
        <w:rPr>
          <w:szCs w:val="18"/>
        </w:rPr>
        <w:t>.</w:t>
      </w:r>
    </w:p>
  </w:footnote>
  <w:footnote w:id="353">
    <w:p w14:paraId="283E4E75" w14:textId="6196F499" w:rsidR="004E119B" w:rsidRPr="00D63265"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D63265">
        <w:rPr>
          <w:szCs w:val="18"/>
        </w:rPr>
        <w:t xml:space="preserve"> </w:t>
      </w:r>
      <w:r>
        <w:rPr>
          <w:szCs w:val="18"/>
        </w:rPr>
        <w:t>T0330</w:t>
      </w:r>
      <w:r w:rsidRPr="00D63265">
        <w:rPr>
          <w:szCs w:val="18"/>
        </w:rPr>
        <w:t xml:space="preserve">, </w:t>
      </w:r>
      <w:r>
        <w:rPr>
          <w:szCs w:val="18"/>
        </w:rPr>
        <w:t>T0024</w:t>
      </w:r>
      <w:r w:rsidRPr="00D63265">
        <w:rPr>
          <w:szCs w:val="18"/>
        </w:rPr>
        <w:t xml:space="preserve">, T0293, </w:t>
      </w:r>
      <w:r>
        <w:rPr>
          <w:szCs w:val="18"/>
        </w:rPr>
        <w:t>T0171</w:t>
      </w:r>
      <w:r w:rsidRPr="00D63265">
        <w:rPr>
          <w:szCs w:val="18"/>
        </w:rPr>
        <w:t>.</w:t>
      </w:r>
    </w:p>
  </w:footnote>
  <w:footnote w:id="354">
    <w:p w14:paraId="7954B4E5" w14:textId="202E9FFD" w:rsidR="004E119B" w:rsidRPr="00D63265" w:rsidRDefault="004E119B" w:rsidP="009978BE">
      <w:pPr>
        <w:pStyle w:val="FootnoteText"/>
        <w:ind w:left="1138" w:right="1138" w:hanging="228"/>
        <w:contextualSpacing/>
        <w:jc w:val="left"/>
        <w:rPr>
          <w:szCs w:val="18"/>
        </w:rPr>
      </w:pPr>
      <w:r w:rsidRPr="002D31A9">
        <w:rPr>
          <w:rStyle w:val="FootnoteReference"/>
          <w:szCs w:val="18"/>
        </w:rPr>
        <w:footnoteRef/>
      </w:r>
      <w:r w:rsidRPr="00D63265">
        <w:rPr>
          <w:szCs w:val="18"/>
        </w:rPr>
        <w:t xml:space="preserve"> T0421.</w:t>
      </w:r>
    </w:p>
  </w:footnote>
  <w:footnote w:id="355">
    <w:p w14:paraId="41AC9F97" w14:textId="508392FE" w:rsidR="004E119B" w:rsidRPr="001A45E8" w:rsidRDefault="004E119B" w:rsidP="009978BE">
      <w:pPr>
        <w:pStyle w:val="FootnoteText"/>
        <w:ind w:left="1138" w:right="1138" w:hanging="228"/>
        <w:jc w:val="left"/>
        <w:rPr>
          <w:szCs w:val="18"/>
        </w:rPr>
      </w:pPr>
      <w:r w:rsidRPr="002D31A9">
        <w:rPr>
          <w:rStyle w:val="FootnoteReference"/>
          <w:szCs w:val="18"/>
        </w:rPr>
        <w:footnoteRef/>
      </w:r>
      <w:r w:rsidRPr="001A45E8">
        <w:rPr>
          <w:szCs w:val="18"/>
        </w:rPr>
        <w:t xml:space="preserve"> T0242, </w:t>
      </w:r>
      <w:r>
        <w:rPr>
          <w:szCs w:val="18"/>
        </w:rPr>
        <w:t>T0082</w:t>
      </w:r>
      <w:r w:rsidRPr="001A45E8">
        <w:rPr>
          <w:szCs w:val="18"/>
        </w:rPr>
        <w:t xml:space="preserve">, </w:t>
      </w:r>
      <w:r>
        <w:rPr>
          <w:szCs w:val="18"/>
        </w:rPr>
        <w:t>T0379</w:t>
      </w:r>
      <w:r w:rsidRPr="001A45E8">
        <w:rPr>
          <w:szCs w:val="18"/>
        </w:rPr>
        <w:t xml:space="preserve">, T0185, </w:t>
      </w:r>
      <w:r>
        <w:rPr>
          <w:szCs w:val="18"/>
        </w:rPr>
        <w:t>T0392</w:t>
      </w:r>
      <w:r w:rsidRPr="001A45E8">
        <w:rPr>
          <w:szCs w:val="18"/>
        </w:rPr>
        <w:t xml:space="preserve">, </w:t>
      </w:r>
      <w:r>
        <w:rPr>
          <w:szCs w:val="18"/>
        </w:rPr>
        <w:t>T0139</w:t>
      </w:r>
      <w:r w:rsidRPr="001A45E8">
        <w:rPr>
          <w:szCs w:val="18"/>
        </w:rPr>
        <w:t xml:space="preserve">, </w:t>
      </w:r>
      <w:r>
        <w:rPr>
          <w:szCs w:val="18"/>
        </w:rPr>
        <w:t>T0376</w:t>
      </w:r>
      <w:r w:rsidRPr="001A45E8">
        <w:rPr>
          <w:szCs w:val="18"/>
        </w:rPr>
        <w:t>.</w:t>
      </w:r>
    </w:p>
  </w:footnote>
  <w:footnote w:id="356">
    <w:p w14:paraId="16733B00" w14:textId="26A1BE38" w:rsidR="004E119B" w:rsidRPr="0060278B" w:rsidRDefault="004E119B" w:rsidP="009978BE">
      <w:pPr>
        <w:pStyle w:val="FootnoteText"/>
        <w:tabs>
          <w:tab w:val="right" w:pos="0"/>
          <w:tab w:val="left" w:pos="9639"/>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T0420</w:t>
      </w:r>
      <w:r w:rsidRPr="00840539">
        <w:rPr>
          <w:szCs w:val="18"/>
        </w:rPr>
        <w:t xml:space="preserve">, </w:t>
      </w:r>
      <w:r>
        <w:rPr>
          <w:szCs w:val="18"/>
        </w:rPr>
        <w:t>T0195</w:t>
      </w:r>
      <w:r w:rsidRPr="004637BD">
        <w:rPr>
          <w:szCs w:val="18"/>
        </w:rPr>
        <w:t xml:space="preserve">. </w:t>
      </w:r>
      <w:r w:rsidRPr="00FE5E8D">
        <w:rPr>
          <w:szCs w:val="18"/>
        </w:rPr>
        <w:t xml:space="preserve">Voir aussi </w:t>
      </w:r>
      <w:r w:rsidRPr="004637BD">
        <w:rPr>
          <w:szCs w:val="18"/>
        </w:rPr>
        <w:t>document</w:t>
      </w:r>
      <w:r>
        <w:rPr>
          <w:szCs w:val="18"/>
        </w:rPr>
        <w:t xml:space="preserve"> interne MONUSCO.</w:t>
      </w:r>
    </w:p>
  </w:footnote>
  <w:footnote w:id="357">
    <w:p w14:paraId="5DAB2BFD" w14:textId="6F188BED" w:rsidR="004E119B" w:rsidRPr="00B50F59"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B50F59">
        <w:rPr>
          <w:szCs w:val="18"/>
        </w:rPr>
        <w:t xml:space="preserve"> T0328, T0157, T0313, T0016.</w:t>
      </w:r>
    </w:p>
  </w:footnote>
  <w:footnote w:id="358">
    <w:p w14:paraId="0AC38392" w14:textId="63B36C1C" w:rsidR="004E119B" w:rsidRPr="00B50F59" w:rsidRDefault="004E119B" w:rsidP="009978BE">
      <w:pPr>
        <w:pStyle w:val="FootnoteText"/>
        <w:tabs>
          <w:tab w:val="left" w:pos="9639"/>
        </w:tabs>
        <w:ind w:left="1138" w:right="1138" w:hanging="228"/>
        <w:contextualSpacing/>
        <w:jc w:val="left"/>
        <w:rPr>
          <w:szCs w:val="18"/>
        </w:rPr>
      </w:pPr>
      <w:r w:rsidRPr="002D31A9">
        <w:rPr>
          <w:rStyle w:val="FootnoteReference"/>
          <w:szCs w:val="18"/>
        </w:rPr>
        <w:footnoteRef/>
      </w:r>
      <w:r w:rsidRPr="00B50F59">
        <w:rPr>
          <w:szCs w:val="18"/>
        </w:rPr>
        <w:t xml:space="preserve"> T0293.</w:t>
      </w:r>
    </w:p>
  </w:footnote>
  <w:footnote w:id="359">
    <w:p w14:paraId="099B38C8" w14:textId="55FBD055" w:rsidR="004E119B" w:rsidRPr="002D31A9" w:rsidRDefault="004E119B" w:rsidP="009978BE">
      <w:pPr>
        <w:pStyle w:val="FootnoteText"/>
        <w:tabs>
          <w:tab w:val="right" w:pos="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T0376</w:t>
      </w:r>
      <w:r w:rsidRPr="002D31A9">
        <w:rPr>
          <w:szCs w:val="18"/>
        </w:rPr>
        <w:t>.</w:t>
      </w:r>
    </w:p>
  </w:footnote>
  <w:footnote w:id="360">
    <w:p w14:paraId="22DE01BD" w14:textId="07A810BE" w:rsidR="004E119B" w:rsidRPr="006E341A" w:rsidRDefault="004E119B" w:rsidP="009978BE">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w:t>
      </w:r>
      <w:r w:rsidRPr="00E32702">
        <w:rPr>
          <w:szCs w:val="18"/>
        </w:rPr>
        <w:t>Voir la partie IX.A.2. du présent rapport</w:t>
      </w:r>
      <w:r w:rsidRPr="006E341A">
        <w:rPr>
          <w:szCs w:val="18"/>
        </w:rPr>
        <w:t>.</w:t>
      </w:r>
    </w:p>
  </w:footnote>
  <w:footnote w:id="361">
    <w:p w14:paraId="39F5622A" w14:textId="3C362877" w:rsidR="004E119B" w:rsidRPr="001A302E" w:rsidRDefault="004E119B" w:rsidP="009978BE">
      <w:pPr>
        <w:pStyle w:val="FootnoteText"/>
        <w:tabs>
          <w:tab w:val="right" w:pos="0"/>
        </w:tabs>
        <w:ind w:left="1138" w:right="1138" w:hanging="228"/>
        <w:contextualSpacing/>
        <w:jc w:val="left"/>
        <w:rPr>
          <w:szCs w:val="18"/>
        </w:rPr>
      </w:pPr>
      <w:r w:rsidRPr="002D31A9">
        <w:rPr>
          <w:rStyle w:val="FootnoteReference"/>
          <w:szCs w:val="18"/>
        </w:rPr>
        <w:footnoteRef/>
      </w:r>
      <w:r w:rsidRPr="001A302E">
        <w:rPr>
          <w:szCs w:val="18"/>
        </w:rPr>
        <w:t xml:space="preserve"> T0079, T0406, T0362.</w:t>
      </w:r>
    </w:p>
  </w:footnote>
  <w:footnote w:id="362">
    <w:p w14:paraId="15C3A912" w14:textId="50B35CD1" w:rsidR="004E119B" w:rsidRPr="001A302E" w:rsidRDefault="004E119B" w:rsidP="009978BE">
      <w:pPr>
        <w:pStyle w:val="FootnoteText"/>
        <w:ind w:left="1138" w:right="1138" w:hanging="228"/>
        <w:contextualSpacing/>
        <w:jc w:val="left"/>
        <w:rPr>
          <w:szCs w:val="18"/>
        </w:rPr>
      </w:pPr>
      <w:r w:rsidRPr="002D31A9">
        <w:rPr>
          <w:rStyle w:val="FootnoteReference"/>
          <w:szCs w:val="18"/>
        </w:rPr>
        <w:footnoteRef/>
      </w:r>
      <w:r w:rsidRPr="001A302E">
        <w:rPr>
          <w:szCs w:val="18"/>
        </w:rPr>
        <w:t xml:space="preserve"> T0263.</w:t>
      </w:r>
    </w:p>
  </w:footnote>
  <w:footnote w:id="363">
    <w:p w14:paraId="0E39D9C7" w14:textId="6C779DCD" w:rsidR="004E119B" w:rsidRPr="001A302E" w:rsidRDefault="004E119B" w:rsidP="009978BE">
      <w:pPr>
        <w:pStyle w:val="FootnoteText"/>
        <w:ind w:left="1138" w:right="1138" w:hanging="228"/>
        <w:contextualSpacing/>
        <w:jc w:val="left"/>
        <w:rPr>
          <w:szCs w:val="18"/>
        </w:rPr>
      </w:pPr>
      <w:r w:rsidRPr="002D31A9">
        <w:rPr>
          <w:rStyle w:val="FootnoteReference"/>
          <w:szCs w:val="18"/>
        </w:rPr>
        <w:footnoteRef/>
      </w:r>
      <w:r w:rsidRPr="001A302E">
        <w:rPr>
          <w:szCs w:val="18"/>
        </w:rPr>
        <w:t xml:space="preserve"> T0125.</w:t>
      </w:r>
    </w:p>
  </w:footnote>
  <w:footnote w:id="364">
    <w:p w14:paraId="5C6470A5" w14:textId="1DB50946" w:rsidR="004E119B" w:rsidRPr="001A302E" w:rsidRDefault="004E119B" w:rsidP="009978BE">
      <w:pPr>
        <w:pStyle w:val="FootnoteText"/>
        <w:ind w:left="1138" w:right="1138" w:hanging="228"/>
        <w:contextualSpacing/>
        <w:jc w:val="left"/>
        <w:rPr>
          <w:szCs w:val="18"/>
        </w:rPr>
      </w:pPr>
      <w:r w:rsidRPr="002D31A9">
        <w:rPr>
          <w:rStyle w:val="FootnoteReference"/>
          <w:szCs w:val="18"/>
        </w:rPr>
        <w:footnoteRef/>
      </w:r>
      <w:r w:rsidRPr="001A302E">
        <w:rPr>
          <w:szCs w:val="18"/>
        </w:rPr>
        <w:t xml:space="preserve"> T0294.</w:t>
      </w:r>
    </w:p>
  </w:footnote>
  <w:footnote w:id="365">
    <w:p w14:paraId="1442637A" w14:textId="64D95C19" w:rsidR="004E119B" w:rsidRPr="003A1757" w:rsidRDefault="004E119B" w:rsidP="009978BE">
      <w:pPr>
        <w:pStyle w:val="FootnoteText"/>
        <w:ind w:left="1138" w:right="1138" w:hanging="228"/>
        <w:contextualSpacing/>
        <w:jc w:val="left"/>
        <w:rPr>
          <w:szCs w:val="18"/>
        </w:rPr>
      </w:pPr>
      <w:r w:rsidRPr="002D31A9">
        <w:rPr>
          <w:rStyle w:val="FootnoteReference"/>
          <w:szCs w:val="18"/>
        </w:rPr>
        <w:footnoteRef/>
      </w:r>
      <w:r w:rsidRPr="003A1757">
        <w:rPr>
          <w:szCs w:val="18"/>
        </w:rPr>
        <w:t xml:space="preserve"> T0044, </w:t>
      </w:r>
      <w:r>
        <w:rPr>
          <w:szCs w:val="18"/>
        </w:rPr>
        <w:t>T0451</w:t>
      </w:r>
      <w:r w:rsidRPr="003A1757">
        <w:rPr>
          <w:szCs w:val="18"/>
        </w:rPr>
        <w:t xml:space="preserve">, T0395, </w:t>
      </w:r>
      <w:r>
        <w:rPr>
          <w:szCs w:val="18"/>
        </w:rPr>
        <w:t>T0222</w:t>
      </w:r>
      <w:r w:rsidRPr="003A1757">
        <w:rPr>
          <w:szCs w:val="18"/>
        </w:rPr>
        <w:t>.</w:t>
      </w:r>
    </w:p>
  </w:footnote>
  <w:footnote w:id="366">
    <w:p w14:paraId="51EF0A9F" w14:textId="6A30A4D4" w:rsidR="004E119B" w:rsidRPr="003A1757" w:rsidRDefault="004E119B" w:rsidP="009978BE">
      <w:pPr>
        <w:pStyle w:val="FootnoteText"/>
        <w:tabs>
          <w:tab w:val="right" w:pos="0"/>
        </w:tabs>
        <w:ind w:left="1138" w:right="1138" w:hanging="228"/>
        <w:contextualSpacing/>
        <w:jc w:val="left"/>
        <w:rPr>
          <w:szCs w:val="18"/>
        </w:rPr>
      </w:pPr>
      <w:r w:rsidRPr="002D31A9">
        <w:rPr>
          <w:rStyle w:val="FootnoteReference"/>
          <w:szCs w:val="18"/>
        </w:rPr>
        <w:footnoteRef/>
      </w:r>
      <w:r w:rsidRPr="003A1757">
        <w:rPr>
          <w:szCs w:val="18"/>
        </w:rPr>
        <w:t xml:space="preserve"> T0044.</w:t>
      </w:r>
    </w:p>
  </w:footnote>
  <w:footnote w:id="367">
    <w:p w14:paraId="5A7764A8" w14:textId="52F9B03B" w:rsidR="004E119B" w:rsidRPr="003A1757" w:rsidRDefault="004E119B" w:rsidP="009978BE">
      <w:pPr>
        <w:pStyle w:val="FootnoteText"/>
        <w:tabs>
          <w:tab w:val="right" w:pos="0"/>
        </w:tabs>
        <w:ind w:left="1138" w:right="1138" w:hanging="228"/>
        <w:contextualSpacing/>
        <w:jc w:val="left"/>
        <w:rPr>
          <w:szCs w:val="18"/>
        </w:rPr>
      </w:pPr>
      <w:r w:rsidRPr="002D31A9">
        <w:rPr>
          <w:rStyle w:val="FootnoteReference"/>
          <w:szCs w:val="18"/>
        </w:rPr>
        <w:footnoteRef/>
      </w:r>
      <w:r w:rsidRPr="003A1757">
        <w:rPr>
          <w:szCs w:val="18"/>
        </w:rPr>
        <w:t xml:space="preserve"> T0044, </w:t>
      </w:r>
      <w:r>
        <w:rPr>
          <w:szCs w:val="18"/>
        </w:rPr>
        <w:t>T0451</w:t>
      </w:r>
      <w:r w:rsidRPr="003A1757">
        <w:rPr>
          <w:szCs w:val="18"/>
        </w:rPr>
        <w:t>, T0395.</w:t>
      </w:r>
    </w:p>
  </w:footnote>
  <w:footnote w:id="368">
    <w:p w14:paraId="315D5447" w14:textId="7A280A58" w:rsidR="004E119B" w:rsidRPr="001A302E" w:rsidRDefault="004E119B" w:rsidP="009978BE">
      <w:pPr>
        <w:pStyle w:val="FootnoteText"/>
        <w:tabs>
          <w:tab w:val="right" w:pos="0"/>
        </w:tabs>
        <w:ind w:left="1138" w:right="1138" w:hanging="228"/>
        <w:contextualSpacing/>
        <w:jc w:val="left"/>
        <w:rPr>
          <w:szCs w:val="18"/>
        </w:rPr>
      </w:pPr>
      <w:r w:rsidRPr="002D31A9">
        <w:rPr>
          <w:rStyle w:val="FootnoteReference"/>
          <w:szCs w:val="18"/>
        </w:rPr>
        <w:footnoteRef/>
      </w:r>
      <w:r w:rsidRPr="001A302E">
        <w:rPr>
          <w:szCs w:val="18"/>
        </w:rPr>
        <w:t xml:space="preserve"> T0044, T0451. </w:t>
      </w:r>
    </w:p>
  </w:footnote>
  <w:footnote w:id="369">
    <w:p w14:paraId="6476FA10" w14:textId="0F1E1991" w:rsidR="004E119B" w:rsidRPr="002D31A9" w:rsidRDefault="004E119B" w:rsidP="009978BE">
      <w:pPr>
        <w:pStyle w:val="FootnoteText"/>
        <w:tabs>
          <w:tab w:val="right" w:pos="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T0044</w:t>
      </w:r>
      <w:r w:rsidRPr="002D31A9">
        <w:rPr>
          <w:szCs w:val="18"/>
        </w:rPr>
        <w:t>.</w:t>
      </w:r>
    </w:p>
  </w:footnote>
  <w:footnote w:id="370">
    <w:p w14:paraId="43642296" w14:textId="21E707C8" w:rsidR="004E119B" w:rsidRPr="00840539" w:rsidRDefault="004E119B" w:rsidP="009978BE">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T0423</w:t>
      </w:r>
      <w:r w:rsidRPr="00840539">
        <w:rPr>
          <w:szCs w:val="18"/>
        </w:rPr>
        <w:t xml:space="preserve">, </w:t>
      </w:r>
      <w:r>
        <w:rPr>
          <w:szCs w:val="18"/>
        </w:rPr>
        <w:t>T0449</w:t>
      </w:r>
      <w:r w:rsidRPr="00840539">
        <w:rPr>
          <w:szCs w:val="18"/>
        </w:rPr>
        <w:t xml:space="preserve">, </w:t>
      </w:r>
      <w:r>
        <w:rPr>
          <w:szCs w:val="18"/>
        </w:rPr>
        <w:t>T0078</w:t>
      </w:r>
      <w:r w:rsidRPr="00840539">
        <w:rPr>
          <w:szCs w:val="18"/>
        </w:rPr>
        <w:t>.</w:t>
      </w:r>
    </w:p>
  </w:footnote>
  <w:footnote w:id="371">
    <w:p w14:paraId="738FA81C" w14:textId="56074625" w:rsidR="004E119B" w:rsidRPr="0060278B" w:rsidRDefault="004E119B" w:rsidP="009978BE">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Voir la partie IX.C.1.d. du présent rapport.</w:t>
      </w:r>
    </w:p>
  </w:footnote>
  <w:footnote w:id="372">
    <w:p w14:paraId="69312F48" w14:textId="62D1551A" w:rsidR="004E119B" w:rsidRPr="001A302E" w:rsidRDefault="004E119B" w:rsidP="009978BE">
      <w:pPr>
        <w:pStyle w:val="FootnoteText"/>
        <w:tabs>
          <w:tab w:val="right" w:pos="1080"/>
        </w:tabs>
        <w:ind w:left="1138" w:right="1138" w:hanging="228"/>
        <w:contextualSpacing/>
        <w:jc w:val="left"/>
        <w:rPr>
          <w:szCs w:val="18"/>
        </w:rPr>
      </w:pPr>
      <w:r w:rsidRPr="002D31A9">
        <w:rPr>
          <w:rStyle w:val="FootnoteReference"/>
          <w:szCs w:val="18"/>
        </w:rPr>
        <w:footnoteRef/>
      </w:r>
      <w:r w:rsidRPr="001A302E">
        <w:rPr>
          <w:szCs w:val="18"/>
        </w:rPr>
        <w:t xml:space="preserve"> T0423.</w:t>
      </w:r>
    </w:p>
  </w:footnote>
  <w:footnote w:id="373">
    <w:p w14:paraId="1EEFD9C4" w14:textId="61AA8DE4" w:rsidR="004E119B" w:rsidRPr="001A302E" w:rsidRDefault="004E119B" w:rsidP="009978BE">
      <w:pPr>
        <w:pStyle w:val="FootnoteText"/>
        <w:ind w:left="1138" w:right="1138" w:hanging="228"/>
        <w:contextualSpacing/>
        <w:jc w:val="left"/>
        <w:rPr>
          <w:szCs w:val="18"/>
        </w:rPr>
      </w:pPr>
      <w:r w:rsidRPr="002D31A9">
        <w:rPr>
          <w:rStyle w:val="FootnoteReference"/>
          <w:szCs w:val="18"/>
        </w:rPr>
        <w:footnoteRef/>
      </w:r>
      <w:r w:rsidRPr="001A302E">
        <w:rPr>
          <w:szCs w:val="18"/>
        </w:rPr>
        <w:t xml:space="preserve"> T0423, </w:t>
      </w:r>
      <w:r>
        <w:rPr>
          <w:szCs w:val="18"/>
        </w:rPr>
        <w:t>T0449</w:t>
      </w:r>
      <w:r w:rsidRPr="001A302E">
        <w:rPr>
          <w:szCs w:val="18"/>
        </w:rPr>
        <w:t xml:space="preserve">, </w:t>
      </w:r>
      <w:r>
        <w:rPr>
          <w:szCs w:val="18"/>
        </w:rPr>
        <w:t>T0268</w:t>
      </w:r>
      <w:r w:rsidRPr="001A302E">
        <w:rPr>
          <w:szCs w:val="18"/>
        </w:rPr>
        <w:t>.</w:t>
      </w:r>
    </w:p>
  </w:footnote>
  <w:footnote w:id="374">
    <w:p w14:paraId="7281EA4C" w14:textId="6B3E54AA" w:rsidR="004E119B" w:rsidRPr="001A302E" w:rsidRDefault="004E119B" w:rsidP="009978BE">
      <w:pPr>
        <w:pStyle w:val="FootnoteText"/>
        <w:tabs>
          <w:tab w:val="right" w:pos="0"/>
        </w:tabs>
        <w:ind w:left="1138" w:right="1138" w:hanging="228"/>
        <w:contextualSpacing/>
        <w:jc w:val="left"/>
        <w:rPr>
          <w:szCs w:val="18"/>
        </w:rPr>
      </w:pPr>
      <w:r w:rsidRPr="002D31A9">
        <w:rPr>
          <w:rStyle w:val="FootnoteReference"/>
          <w:szCs w:val="18"/>
        </w:rPr>
        <w:footnoteRef/>
      </w:r>
      <w:r w:rsidRPr="001A302E">
        <w:rPr>
          <w:szCs w:val="18"/>
        </w:rPr>
        <w:t xml:space="preserve"> T0423, </w:t>
      </w:r>
      <w:r>
        <w:rPr>
          <w:szCs w:val="18"/>
        </w:rPr>
        <w:t>T0449</w:t>
      </w:r>
      <w:r w:rsidRPr="001A302E">
        <w:rPr>
          <w:szCs w:val="18"/>
        </w:rPr>
        <w:t xml:space="preserve">, </w:t>
      </w:r>
      <w:r>
        <w:rPr>
          <w:szCs w:val="18"/>
        </w:rPr>
        <w:t>T0096</w:t>
      </w:r>
      <w:r w:rsidRPr="001A302E">
        <w:rPr>
          <w:szCs w:val="18"/>
        </w:rPr>
        <w:t>.</w:t>
      </w:r>
    </w:p>
  </w:footnote>
  <w:footnote w:id="375">
    <w:p w14:paraId="7D066B5A" w14:textId="472CDD3C" w:rsidR="004E119B" w:rsidRPr="001A302E" w:rsidRDefault="004E119B" w:rsidP="009978BE">
      <w:pPr>
        <w:pStyle w:val="FootnoteText"/>
        <w:ind w:left="1138" w:right="1138" w:hanging="228"/>
        <w:contextualSpacing/>
        <w:jc w:val="left"/>
        <w:rPr>
          <w:szCs w:val="18"/>
        </w:rPr>
      </w:pPr>
      <w:r w:rsidRPr="002D31A9">
        <w:rPr>
          <w:rStyle w:val="FootnoteReference"/>
          <w:szCs w:val="18"/>
        </w:rPr>
        <w:footnoteRef/>
      </w:r>
      <w:r w:rsidRPr="001A302E">
        <w:rPr>
          <w:szCs w:val="18"/>
        </w:rPr>
        <w:t xml:space="preserve"> T0423, T0449, </w:t>
      </w:r>
      <w:r>
        <w:rPr>
          <w:szCs w:val="18"/>
        </w:rPr>
        <w:t>T0268</w:t>
      </w:r>
      <w:r w:rsidRPr="001A302E">
        <w:rPr>
          <w:szCs w:val="18"/>
        </w:rPr>
        <w:t>.</w:t>
      </w:r>
    </w:p>
  </w:footnote>
  <w:footnote w:id="376">
    <w:p w14:paraId="7A5164BC" w14:textId="138C2876" w:rsidR="004E119B" w:rsidRPr="001A302E" w:rsidRDefault="004E119B" w:rsidP="009978BE">
      <w:pPr>
        <w:pStyle w:val="FootnoteText"/>
        <w:tabs>
          <w:tab w:val="right" w:pos="0"/>
        </w:tabs>
        <w:ind w:left="1138" w:right="1138" w:hanging="228"/>
        <w:contextualSpacing/>
        <w:jc w:val="left"/>
        <w:rPr>
          <w:szCs w:val="18"/>
        </w:rPr>
      </w:pPr>
      <w:r w:rsidRPr="002D31A9">
        <w:rPr>
          <w:rStyle w:val="FootnoteReference"/>
          <w:szCs w:val="18"/>
        </w:rPr>
        <w:footnoteRef/>
      </w:r>
      <w:r w:rsidRPr="001A302E">
        <w:rPr>
          <w:szCs w:val="18"/>
        </w:rPr>
        <w:t xml:space="preserve"> T0268.</w:t>
      </w:r>
    </w:p>
  </w:footnote>
  <w:footnote w:id="377">
    <w:p w14:paraId="1F92890B" w14:textId="1A262D79" w:rsidR="004E119B" w:rsidRPr="001A302E" w:rsidRDefault="004E119B" w:rsidP="009978BE">
      <w:pPr>
        <w:pStyle w:val="FootnoteText"/>
        <w:tabs>
          <w:tab w:val="right" w:pos="0"/>
        </w:tabs>
        <w:ind w:left="1138" w:right="1138" w:hanging="228"/>
        <w:contextualSpacing/>
        <w:jc w:val="left"/>
        <w:rPr>
          <w:szCs w:val="18"/>
        </w:rPr>
      </w:pPr>
      <w:r w:rsidRPr="002D31A9">
        <w:rPr>
          <w:rStyle w:val="FootnoteReference"/>
          <w:szCs w:val="18"/>
        </w:rPr>
        <w:footnoteRef/>
      </w:r>
      <w:r w:rsidRPr="001A302E">
        <w:rPr>
          <w:szCs w:val="18"/>
        </w:rPr>
        <w:t xml:space="preserve"> T0423.</w:t>
      </w:r>
    </w:p>
  </w:footnote>
  <w:footnote w:id="378">
    <w:p w14:paraId="53A03181" w14:textId="7D6A2E1F" w:rsidR="004E119B" w:rsidRPr="001A302E" w:rsidRDefault="004E119B" w:rsidP="009978BE">
      <w:pPr>
        <w:pStyle w:val="FootnoteText"/>
        <w:ind w:left="1138" w:right="1138" w:hanging="228"/>
        <w:contextualSpacing/>
        <w:jc w:val="left"/>
        <w:rPr>
          <w:szCs w:val="18"/>
        </w:rPr>
      </w:pPr>
      <w:r w:rsidRPr="002D31A9">
        <w:rPr>
          <w:rStyle w:val="FootnoteReference"/>
          <w:szCs w:val="18"/>
        </w:rPr>
        <w:footnoteRef/>
      </w:r>
      <w:r w:rsidRPr="001A302E">
        <w:rPr>
          <w:szCs w:val="18"/>
        </w:rPr>
        <w:t xml:space="preserve"> </w:t>
      </w:r>
      <w:r>
        <w:rPr>
          <w:szCs w:val="18"/>
        </w:rPr>
        <w:t>T0153</w:t>
      </w:r>
      <w:r w:rsidRPr="001A302E">
        <w:rPr>
          <w:szCs w:val="18"/>
        </w:rPr>
        <w:t>, T0007.</w:t>
      </w:r>
    </w:p>
  </w:footnote>
  <w:footnote w:id="379">
    <w:p w14:paraId="4397F8C8" w14:textId="3F0EA252" w:rsidR="004E119B" w:rsidRPr="001A302E" w:rsidRDefault="004E119B" w:rsidP="009978BE">
      <w:pPr>
        <w:pStyle w:val="FootnoteText"/>
        <w:ind w:left="1138" w:right="1138" w:hanging="228"/>
        <w:contextualSpacing/>
        <w:jc w:val="left"/>
        <w:rPr>
          <w:szCs w:val="18"/>
        </w:rPr>
      </w:pPr>
      <w:r w:rsidRPr="002D31A9">
        <w:rPr>
          <w:rStyle w:val="FootnoteReference"/>
          <w:szCs w:val="18"/>
        </w:rPr>
        <w:footnoteRef/>
      </w:r>
      <w:r>
        <w:rPr>
          <w:szCs w:val="18"/>
        </w:rPr>
        <w:t xml:space="preserve"> T0153</w:t>
      </w:r>
      <w:r w:rsidRPr="001A302E">
        <w:rPr>
          <w:szCs w:val="18"/>
        </w:rPr>
        <w:t xml:space="preserve">, </w:t>
      </w:r>
      <w:r>
        <w:rPr>
          <w:szCs w:val="18"/>
        </w:rPr>
        <w:t>T0007</w:t>
      </w:r>
      <w:r w:rsidRPr="001A302E">
        <w:rPr>
          <w:szCs w:val="18"/>
        </w:rPr>
        <w:t xml:space="preserve">, T0384, </w:t>
      </w:r>
      <w:r>
        <w:rPr>
          <w:szCs w:val="18"/>
        </w:rPr>
        <w:t>T0096</w:t>
      </w:r>
      <w:r w:rsidRPr="001A302E">
        <w:rPr>
          <w:szCs w:val="18"/>
        </w:rPr>
        <w:t>.</w:t>
      </w:r>
    </w:p>
  </w:footnote>
  <w:footnote w:id="380">
    <w:p w14:paraId="382FDF1B" w14:textId="567123D8" w:rsidR="004E119B" w:rsidRPr="006E341A" w:rsidRDefault="004E119B" w:rsidP="009978BE">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T0423</w:t>
      </w:r>
      <w:r w:rsidRPr="00840539">
        <w:rPr>
          <w:szCs w:val="18"/>
        </w:rPr>
        <w:t>.</w:t>
      </w:r>
    </w:p>
  </w:footnote>
  <w:footnote w:id="381">
    <w:p w14:paraId="1F8EEF78" w14:textId="3FDD0734" w:rsidR="004E119B" w:rsidRPr="00591FD8" w:rsidRDefault="004E119B" w:rsidP="009978BE">
      <w:pPr>
        <w:pStyle w:val="FootnoteText"/>
        <w:ind w:left="1138" w:right="1138" w:hanging="228"/>
        <w:jc w:val="left"/>
        <w:rPr>
          <w:szCs w:val="18"/>
        </w:rPr>
      </w:pPr>
      <w:r w:rsidRPr="004637BD">
        <w:rPr>
          <w:rStyle w:val="FootnoteReference"/>
          <w:szCs w:val="18"/>
        </w:rPr>
        <w:footnoteRef/>
      </w:r>
      <w:r w:rsidRPr="004637BD">
        <w:rPr>
          <w:szCs w:val="18"/>
        </w:rPr>
        <w:t xml:space="preserve"> </w:t>
      </w:r>
      <w:r>
        <w:rPr>
          <w:szCs w:val="18"/>
        </w:rPr>
        <w:t>T0384</w:t>
      </w:r>
      <w:r w:rsidRPr="004637BD">
        <w:rPr>
          <w:szCs w:val="18"/>
        </w:rPr>
        <w:t xml:space="preserve">, </w:t>
      </w:r>
      <w:r>
        <w:rPr>
          <w:szCs w:val="18"/>
        </w:rPr>
        <w:t>T0096</w:t>
      </w:r>
      <w:r w:rsidRPr="004637BD">
        <w:rPr>
          <w:szCs w:val="18"/>
        </w:rPr>
        <w:t>.</w:t>
      </w:r>
    </w:p>
  </w:footnote>
  <w:footnote w:id="382">
    <w:p w14:paraId="49858E35" w14:textId="39EF7171" w:rsidR="004E119B" w:rsidRPr="002D31A9" w:rsidRDefault="004E119B" w:rsidP="009978BE">
      <w:pPr>
        <w:pStyle w:val="FootnoteText"/>
        <w:tabs>
          <w:tab w:val="right" w:pos="1080"/>
        </w:tabs>
        <w:ind w:left="1138" w:right="1138" w:hanging="228"/>
        <w:contextualSpacing/>
        <w:jc w:val="left"/>
        <w:rPr>
          <w:szCs w:val="18"/>
          <w:highlight w:val="yellow"/>
          <w:lang w:eastAsia="fr-FR"/>
        </w:rPr>
      </w:pPr>
      <w:r w:rsidRPr="00591FD8">
        <w:rPr>
          <w:rStyle w:val="FootnoteReference"/>
          <w:szCs w:val="18"/>
        </w:rPr>
        <w:footnoteRef/>
      </w:r>
      <w:r w:rsidRPr="00FE5E8D">
        <w:rPr>
          <w:szCs w:val="18"/>
        </w:rPr>
        <w:t xml:space="preserve"> </w:t>
      </w:r>
      <w:r>
        <w:rPr>
          <w:szCs w:val="18"/>
        </w:rPr>
        <w:t>Actualite.cd, « </w:t>
      </w:r>
      <w:r w:rsidRPr="00EF6E9B">
        <w:rPr>
          <w:szCs w:val="18"/>
        </w:rPr>
        <w:t>Lomami : Affrontement entre forces de l’ordre et miliciens à Mwene-Ditu</w:t>
      </w:r>
      <w:r>
        <w:rPr>
          <w:szCs w:val="18"/>
        </w:rPr>
        <w:t xml:space="preserve"> », </w:t>
      </w:r>
      <w:hyperlink r:id="rId5" w:history="1">
        <w:r w:rsidRPr="00FE5E8D">
          <w:rPr>
            <w:szCs w:val="18"/>
            <w:lang w:eastAsia="fr-FR"/>
          </w:rPr>
          <w:t>https://</w:t>
        </w:r>
        <w:r w:rsidRPr="00FE5E8D">
          <w:rPr>
            <w:szCs w:val="18"/>
          </w:rPr>
          <w:t>actualite</w:t>
        </w:r>
        <w:r w:rsidRPr="00FE5E8D">
          <w:rPr>
            <w:szCs w:val="18"/>
            <w:lang w:eastAsia="fr-FR"/>
          </w:rPr>
          <w:t>.cd/2017/03/25/lomami-affrontement-entre-forces-de-lordre-miliciens-a-mwene-ditu/</w:t>
        </w:r>
      </w:hyperlink>
      <w:r w:rsidRPr="00FE5E8D">
        <w:rPr>
          <w:szCs w:val="18"/>
          <w:lang w:eastAsia="fr-FR"/>
        </w:rPr>
        <w:t xml:space="preserve">, </w:t>
      </w:r>
      <w:r>
        <w:rPr>
          <w:szCs w:val="18"/>
          <w:lang w:eastAsia="fr-FR"/>
        </w:rPr>
        <w:t>d</w:t>
      </w:r>
      <w:r w:rsidRPr="00FE5E8D">
        <w:rPr>
          <w:szCs w:val="18"/>
          <w:lang w:eastAsia="fr-FR"/>
        </w:rPr>
        <w:t xml:space="preserve">ocument de la Nonciature, </w:t>
      </w:r>
      <w:r w:rsidRPr="00FE5E8D">
        <w:rPr>
          <w:szCs w:val="18"/>
        </w:rPr>
        <w:t xml:space="preserve">ANR, tableau illustratif des crimes et atrocité commis par le réseau terroriste du mouvement insurrectionnel « Kamuina Nsapu », </w:t>
      </w:r>
      <w:r>
        <w:rPr>
          <w:szCs w:val="18"/>
          <w:lang w:eastAsia="fr-FR"/>
        </w:rPr>
        <w:t>d</w:t>
      </w:r>
      <w:r w:rsidRPr="00FE5E8D">
        <w:rPr>
          <w:szCs w:val="18"/>
          <w:lang w:eastAsia="fr-FR"/>
        </w:rPr>
        <w:t xml:space="preserve">ocuments internes MONUSCO, </w:t>
      </w:r>
      <w:r>
        <w:rPr>
          <w:szCs w:val="18"/>
          <w:lang w:eastAsia="fr-FR"/>
        </w:rPr>
        <w:t>v</w:t>
      </w:r>
      <w:r w:rsidRPr="004637BD">
        <w:rPr>
          <w:szCs w:val="18"/>
          <w:lang w:eastAsia="fr-FR"/>
        </w:rPr>
        <w:t>idéos reçues d</w:t>
      </w:r>
      <w:r>
        <w:rPr>
          <w:szCs w:val="18"/>
          <w:lang w:eastAsia="fr-FR"/>
        </w:rPr>
        <w:t>’</w:t>
      </w:r>
      <w:r w:rsidRPr="00FE5E8D">
        <w:rPr>
          <w:szCs w:val="18"/>
          <w:lang w:eastAsia="fr-FR"/>
        </w:rPr>
        <w:t>un intermédiaire qui auraient été filmé</w:t>
      </w:r>
      <w:r>
        <w:rPr>
          <w:szCs w:val="18"/>
          <w:lang w:eastAsia="fr-FR"/>
        </w:rPr>
        <w:t>e</w:t>
      </w:r>
      <w:r w:rsidRPr="00FE5E8D">
        <w:rPr>
          <w:szCs w:val="18"/>
          <w:lang w:eastAsia="fr-FR"/>
        </w:rPr>
        <w:t xml:space="preserve">s dans les alentours de Mwene Ditu mais dont </w:t>
      </w:r>
      <w:r>
        <w:rPr>
          <w:szCs w:val="18"/>
          <w:lang w:eastAsia="fr-FR"/>
        </w:rPr>
        <w:t>l’origine</w:t>
      </w:r>
      <w:r w:rsidRPr="00FE5E8D">
        <w:rPr>
          <w:szCs w:val="18"/>
          <w:lang w:eastAsia="fr-FR"/>
        </w:rPr>
        <w:t xml:space="preserve"> n’a pu être vérifiée.  </w:t>
      </w:r>
    </w:p>
  </w:footnote>
  <w:footnote w:id="383">
    <w:p w14:paraId="23AD6943" w14:textId="1D0CEFB1" w:rsidR="004E119B" w:rsidRPr="00B50F59" w:rsidRDefault="004E119B" w:rsidP="009978BE">
      <w:pPr>
        <w:pStyle w:val="FootnoteText"/>
        <w:tabs>
          <w:tab w:val="right" w:pos="1080"/>
        </w:tabs>
        <w:ind w:left="1138" w:right="1138" w:hanging="228"/>
        <w:contextualSpacing/>
        <w:jc w:val="left"/>
        <w:rPr>
          <w:szCs w:val="18"/>
        </w:rPr>
      </w:pPr>
      <w:r w:rsidRPr="002D31A9">
        <w:rPr>
          <w:rStyle w:val="FootnoteReference"/>
          <w:szCs w:val="18"/>
        </w:rPr>
        <w:footnoteRef/>
      </w:r>
      <w:r w:rsidRPr="00B50F59">
        <w:rPr>
          <w:szCs w:val="18"/>
        </w:rPr>
        <w:t xml:space="preserve"> </w:t>
      </w:r>
      <w:r w:rsidRPr="00B50F59">
        <w:rPr>
          <w:szCs w:val="18"/>
          <w:lang w:eastAsia="fr-FR"/>
        </w:rPr>
        <w:t>T0008</w:t>
      </w:r>
      <w:r w:rsidRPr="00B50F59">
        <w:rPr>
          <w:szCs w:val="18"/>
        </w:rPr>
        <w:t>.</w:t>
      </w:r>
    </w:p>
  </w:footnote>
  <w:footnote w:id="384">
    <w:p w14:paraId="4EABF94B" w14:textId="7D384D73" w:rsidR="004E119B" w:rsidRPr="00B50F59" w:rsidRDefault="004E119B" w:rsidP="009978BE">
      <w:pPr>
        <w:pStyle w:val="FootnoteText"/>
        <w:tabs>
          <w:tab w:val="right" w:pos="1080"/>
        </w:tabs>
        <w:ind w:left="1138" w:right="1138" w:hanging="228"/>
        <w:contextualSpacing/>
        <w:jc w:val="left"/>
        <w:rPr>
          <w:szCs w:val="18"/>
        </w:rPr>
      </w:pPr>
      <w:r w:rsidRPr="002D31A9">
        <w:rPr>
          <w:rStyle w:val="FootnoteReference"/>
          <w:szCs w:val="18"/>
        </w:rPr>
        <w:footnoteRef/>
      </w:r>
      <w:r w:rsidRPr="00B50F59">
        <w:rPr>
          <w:szCs w:val="18"/>
        </w:rPr>
        <w:t xml:space="preserve"> T0384, </w:t>
      </w:r>
      <w:r w:rsidRPr="00B50F59">
        <w:rPr>
          <w:szCs w:val="18"/>
          <w:lang w:eastAsia="fr-FR"/>
        </w:rPr>
        <w:t>T0168</w:t>
      </w:r>
      <w:r w:rsidRPr="00B50F59">
        <w:rPr>
          <w:szCs w:val="18"/>
        </w:rPr>
        <w:t>.</w:t>
      </w:r>
    </w:p>
  </w:footnote>
  <w:footnote w:id="385">
    <w:p w14:paraId="368796CD" w14:textId="7F2C17E7" w:rsidR="004E119B" w:rsidRPr="00B50F59" w:rsidRDefault="004E119B" w:rsidP="009978BE">
      <w:pPr>
        <w:pStyle w:val="FootnoteText"/>
        <w:tabs>
          <w:tab w:val="right" w:pos="1080"/>
        </w:tabs>
        <w:ind w:left="1138" w:right="1138" w:hanging="228"/>
        <w:contextualSpacing/>
        <w:jc w:val="left"/>
        <w:rPr>
          <w:szCs w:val="18"/>
        </w:rPr>
      </w:pPr>
      <w:r w:rsidRPr="002D31A9">
        <w:rPr>
          <w:rStyle w:val="FootnoteReference"/>
          <w:szCs w:val="18"/>
        </w:rPr>
        <w:footnoteRef/>
      </w:r>
      <w:r w:rsidRPr="00B50F59">
        <w:rPr>
          <w:szCs w:val="18"/>
        </w:rPr>
        <w:t xml:space="preserve"> </w:t>
      </w:r>
      <w:r w:rsidRPr="00B50F59">
        <w:rPr>
          <w:szCs w:val="18"/>
          <w:lang w:eastAsia="fr-FR"/>
        </w:rPr>
        <w:t>T0148</w:t>
      </w:r>
      <w:r w:rsidRPr="00B50F59">
        <w:rPr>
          <w:szCs w:val="18"/>
        </w:rPr>
        <w:t>, T0267.</w:t>
      </w:r>
    </w:p>
  </w:footnote>
  <w:footnote w:id="386">
    <w:p w14:paraId="0AB1072D" w14:textId="19574F72" w:rsidR="004E119B" w:rsidRPr="008946FE" w:rsidRDefault="004E119B" w:rsidP="009978BE">
      <w:pPr>
        <w:pStyle w:val="FootnoteText"/>
        <w:tabs>
          <w:tab w:val="right" w:pos="1080"/>
        </w:tabs>
        <w:ind w:left="1138" w:right="1138" w:hanging="228"/>
        <w:contextualSpacing/>
        <w:jc w:val="left"/>
        <w:rPr>
          <w:szCs w:val="18"/>
        </w:rPr>
      </w:pPr>
      <w:r w:rsidRPr="002D31A9">
        <w:rPr>
          <w:rStyle w:val="FootnoteReference"/>
          <w:szCs w:val="18"/>
        </w:rPr>
        <w:footnoteRef/>
      </w:r>
      <w:r w:rsidRPr="008946FE">
        <w:rPr>
          <w:szCs w:val="18"/>
        </w:rPr>
        <w:t xml:space="preserve"> </w:t>
      </w:r>
      <w:r>
        <w:rPr>
          <w:szCs w:val="18"/>
        </w:rPr>
        <w:t>T0148</w:t>
      </w:r>
      <w:r w:rsidRPr="008946FE">
        <w:rPr>
          <w:szCs w:val="18"/>
        </w:rPr>
        <w:t>.</w:t>
      </w:r>
    </w:p>
  </w:footnote>
  <w:footnote w:id="387">
    <w:p w14:paraId="446CEE83" w14:textId="244550DB" w:rsidR="004E119B" w:rsidRPr="00B30C53" w:rsidRDefault="004E119B" w:rsidP="009978BE">
      <w:pPr>
        <w:pStyle w:val="FootnoteText"/>
        <w:tabs>
          <w:tab w:val="right" w:pos="1080"/>
        </w:tabs>
        <w:ind w:left="1138" w:right="1138" w:hanging="228"/>
        <w:contextualSpacing/>
        <w:jc w:val="left"/>
        <w:rPr>
          <w:szCs w:val="18"/>
        </w:rPr>
      </w:pPr>
      <w:r w:rsidRPr="00FE5E8D">
        <w:rPr>
          <w:szCs w:val="18"/>
          <w:vertAlign w:val="superscript"/>
        </w:rPr>
        <w:footnoteRef/>
      </w:r>
      <w:r w:rsidRPr="00B30C53">
        <w:rPr>
          <w:szCs w:val="18"/>
          <w:vertAlign w:val="superscript"/>
        </w:rPr>
        <w:t xml:space="preserve"> </w:t>
      </w:r>
      <w:r w:rsidRPr="00B30C53">
        <w:rPr>
          <w:szCs w:val="18"/>
        </w:rPr>
        <w:t>Document interne MONUSCO.</w:t>
      </w:r>
      <w:r w:rsidRPr="00B30C53">
        <w:rPr>
          <w:szCs w:val="18"/>
          <w:shd w:val="clear" w:color="auto" w:fill="F6F6F6"/>
        </w:rPr>
        <w:t xml:space="preserve"> </w:t>
      </w:r>
    </w:p>
  </w:footnote>
  <w:footnote w:id="388">
    <w:p w14:paraId="2206F507" w14:textId="091795E1" w:rsidR="004E119B" w:rsidRPr="00CB2CDD" w:rsidRDefault="004E119B" w:rsidP="009978BE">
      <w:pPr>
        <w:pStyle w:val="FootnoteText"/>
        <w:tabs>
          <w:tab w:val="right" w:pos="1080"/>
        </w:tabs>
        <w:ind w:left="1138" w:right="1138" w:hanging="228"/>
        <w:contextualSpacing/>
        <w:jc w:val="left"/>
        <w:rPr>
          <w:szCs w:val="18"/>
        </w:rPr>
      </w:pPr>
      <w:r w:rsidRPr="002D31A9">
        <w:rPr>
          <w:rStyle w:val="FootnoteReference"/>
          <w:szCs w:val="18"/>
        </w:rPr>
        <w:footnoteRef/>
      </w:r>
      <w:r w:rsidRPr="00CB2CDD">
        <w:rPr>
          <w:szCs w:val="18"/>
        </w:rPr>
        <w:t xml:space="preserve"> </w:t>
      </w:r>
      <w:r>
        <w:rPr>
          <w:szCs w:val="18"/>
        </w:rPr>
        <w:t>T0436.</w:t>
      </w:r>
      <w:r w:rsidRPr="00CB2CDD">
        <w:rPr>
          <w:szCs w:val="18"/>
        </w:rPr>
        <w:t xml:space="preserve"> Voir aussi </w:t>
      </w:r>
      <w:r>
        <w:rPr>
          <w:szCs w:val="18"/>
        </w:rPr>
        <w:t>T0398</w:t>
      </w:r>
      <w:r w:rsidRPr="00CB2CDD">
        <w:rPr>
          <w:szCs w:val="18"/>
        </w:rPr>
        <w:t xml:space="preserve">, </w:t>
      </w:r>
      <w:r>
        <w:rPr>
          <w:szCs w:val="18"/>
        </w:rPr>
        <w:t>T0143</w:t>
      </w:r>
      <w:r w:rsidRPr="00CB2CDD">
        <w:rPr>
          <w:szCs w:val="18"/>
        </w:rPr>
        <w:t>.</w:t>
      </w:r>
    </w:p>
  </w:footnote>
  <w:footnote w:id="389">
    <w:p w14:paraId="7FF2D46C" w14:textId="3B5E27E7" w:rsidR="004E119B" w:rsidRPr="00CB2CDD" w:rsidRDefault="004E119B" w:rsidP="009978BE">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T0436.</w:t>
      </w:r>
      <w:r w:rsidRPr="00840539">
        <w:rPr>
          <w:szCs w:val="18"/>
        </w:rPr>
        <w:t xml:space="preserve"> </w:t>
      </w:r>
      <w:r w:rsidRPr="00CB2CDD">
        <w:rPr>
          <w:szCs w:val="18"/>
        </w:rPr>
        <w:t xml:space="preserve">Voir aussi </w:t>
      </w:r>
      <w:r>
        <w:rPr>
          <w:szCs w:val="18"/>
        </w:rPr>
        <w:t>T0267</w:t>
      </w:r>
      <w:r w:rsidRPr="00CB2CDD">
        <w:rPr>
          <w:szCs w:val="18"/>
        </w:rPr>
        <w:t xml:space="preserve">, </w:t>
      </w:r>
      <w:r>
        <w:rPr>
          <w:szCs w:val="18"/>
        </w:rPr>
        <w:t>T0143</w:t>
      </w:r>
      <w:r w:rsidRPr="00CB2CDD">
        <w:rPr>
          <w:szCs w:val="18"/>
        </w:rPr>
        <w:t xml:space="preserve">, </w:t>
      </w:r>
      <w:r>
        <w:rPr>
          <w:szCs w:val="18"/>
        </w:rPr>
        <w:t>T0266</w:t>
      </w:r>
      <w:r w:rsidRPr="00CB2CDD">
        <w:rPr>
          <w:szCs w:val="18"/>
        </w:rPr>
        <w:t>.</w:t>
      </w:r>
    </w:p>
  </w:footnote>
  <w:footnote w:id="390">
    <w:p w14:paraId="21CC2CFF" w14:textId="11695E95" w:rsidR="004E119B" w:rsidRPr="00D13A3C" w:rsidRDefault="004E119B" w:rsidP="009978BE">
      <w:pPr>
        <w:pStyle w:val="FootnoteText"/>
        <w:ind w:left="1138" w:right="1138" w:hanging="228"/>
        <w:contextualSpacing/>
        <w:jc w:val="left"/>
        <w:rPr>
          <w:szCs w:val="18"/>
        </w:rPr>
      </w:pPr>
      <w:r w:rsidRPr="002D31A9">
        <w:rPr>
          <w:rStyle w:val="FootnoteReference"/>
          <w:szCs w:val="18"/>
        </w:rPr>
        <w:footnoteRef/>
      </w:r>
      <w:r w:rsidRPr="00D13A3C">
        <w:rPr>
          <w:szCs w:val="18"/>
        </w:rPr>
        <w:t xml:space="preserve"> T0398.</w:t>
      </w:r>
    </w:p>
  </w:footnote>
  <w:footnote w:id="391">
    <w:p w14:paraId="30E6EC8F" w14:textId="19746891" w:rsidR="004E119B" w:rsidRPr="003A1757" w:rsidRDefault="004E119B" w:rsidP="009978BE">
      <w:pPr>
        <w:pStyle w:val="FootnoteText"/>
        <w:ind w:left="1138" w:right="1138" w:hanging="228"/>
        <w:contextualSpacing/>
        <w:jc w:val="left"/>
        <w:rPr>
          <w:szCs w:val="18"/>
        </w:rPr>
      </w:pPr>
      <w:r w:rsidRPr="002D31A9">
        <w:rPr>
          <w:rStyle w:val="FootnoteReference"/>
          <w:szCs w:val="18"/>
        </w:rPr>
        <w:footnoteRef/>
      </w:r>
      <w:r w:rsidRPr="003A1757">
        <w:rPr>
          <w:szCs w:val="18"/>
        </w:rPr>
        <w:t xml:space="preserve"> T0436, </w:t>
      </w:r>
      <w:r>
        <w:rPr>
          <w:szCs w:val="18"/>
        </w:rPr>
        <w:t>T0267</w:t>
      </w:r>
      <w:r w:rsidRPr="003A1757">
        <w:rPr>
          <w:szCs w:val="18"/>
        </w:rPr>
        <w:t xml:space="preserve">, T0162, </w:t>
      </w:r>
      <w:r>
        <w:rPr>
          <w:szCs w:val="18"/>
        </w:rPr>
        <w:t>T0143</w:t>
      </w:r>
      <w:r w:rsidRPr="003A1757">
        <w:rPr>
          <w:szCs w:val="18"/>
        </w:rPr>
        <w:t xml:space="preserve">. </w:t>
      </w:r>
    </w:p>
  </w:footnote>
  <w:footnote w:id="392">
    <w:p w14:paraId="7F4D353D" w14:textId="19D6B3AB" w:rsidR="004E119B" w:rsidRPr="003A1757" w:rsidRDefault="004E119B" w:rsidP="009978BE">
      <w:pPr>
        <w:pStyle w:val="FootnoteText"/>
        <w:ind w:left="1138" w:right="1138" w:hanging="228"/>
        <w:contextualSpacing/>
        <w:jc w:val="left"/>
        <w:rPr>
          <w:szCs w:val="18"/>
        </w:rPr>
      </w:pPr>
      <w:r w:rsidRPr="002D31A9">
        <w:rPr>
          <w:rStyle w:val="FootnoteReference"/>
          <w:szCs w:val="18"/>
        </w:rPr>
        <w:footnoteRef/>
      </w:r>
      <w:r w:rsidRPr="003A1757">
        <w:rPr>
          <w:szCs w:val="18"/>
        </w:rPr>
        <w:t xml:space="preserve"> T0436, </w:t>
      </w:r>
      <w:r>
        <w:rPr>
          <w:szCs w:val="18"/>
        </w:rPr>
        <w:t>T0267</w:t>
      </w:r>
      <w:r w:rsidRPr="003A1757">
        <w:rPr>
          <w:szCs w:val="18"/>
        </w:rPr>
        <w:t xml:space="preserve">, </w:t>
      </w:r>
      <w:r>
        <w:rPr>
          <w:szCs w:val="18"/>
        </w:rPr>
        <w:t>T0084</w:t>
      </w:r>
      <w:r w:rsidRPr="003A1757">
        <w:rPr>
          <w:szCs w:val="18"/>
        </w:rPr>
        <w:t xml:space="preserve">, </w:t>
      </w:r>
      <w:r>
        <w:rPr>
          <w:szCs w:val="18"/>
        </w:rPr>
        <w:t>T0143</w:t>
      </w:r>
      <w:r w:rsidRPr="003A1757">
        <w:rPr>
          <w:szCs w:val="18"/>
        </w:rPr>
        <w:t>.</w:t>
      </w:r>
    </w:p>
  </w:footnote>
  <w:footnote w:id="393">
    <w:p w14:paraId="5000539B" w14:textId="3008E38A" w:rsidR="004E119B" w:rsidRPr="00840539" w:rsidRDefault="004E119B" w:rsidP="009978BE">
      <w:pPr>
        <w:spacing w:line="220" w:lineRule="exact"/>
        <w:ind w:left="1138" w:right="1138" w:hanging="228"/>
        <w:contextualSpacing/>
        <w:textAlignment w:val="top"/>
        <w:rPr>
          <w:sz w:val="18"/>
          <w:szCs w:val="18"/>
        </w:rPr>
      </w:pPr>
      <w:r w:rsidRPr="002D31A9">
        <w:rPr>
          <w:rStyle w:val="FootnoteReference"/>
          <w:szCs w:val="18"/>
        </w:rPr>
        <w:footnoteRef/>
      </w:r>
      <w:r w:rsidRPr="003A1757">
        <w:rPr>
          <w:sz w:val="18"/>
          <w:szCs w:val="18"/>
        </w:rPr>
        <w:t xml:space="preserve"> T0436, </w:t>
      </w:r>
      <w:r>
        <w:rPr>
          <w:sz w:val="18"/>
          <w:szCs w:val="18"/>
        </w:rPr>
        <w:t>T0148</w:t>
      </w:r>
      <w:r w:rsidRPr="003A1757">
        <w:rPr>
          <w:sz w:val="18"/>
          <w:szCs w:val="18"/>
        </w:rPr>
        <w:t xml:space="preserve">. </w:t>
      </w:r>
      <w:r w:rsidRPr="00840539">
        <w:rPr>
          <w:sz w:val="18"/>
          <w:szCs w:val="18"/>
        </w:rPr>
        <w:t xml:space="preserve">Voir aussi </w:t>
      </w:r>
      <w:r>
        <w:rPr>
          <w:sz w:val="18"/>
          <w:szCs w:val="18"/>
        </w:rPr>
        <w:t>T0267</w:t>
      </w:r>
      <w:r w:rsidRPr="00840539">
        <w:rPr>
          <w:sz w:val="18"/>
          <w:szCs w:val="18"/>
        </w:rPr>
        <w:t>.</w:t>
      </w:r>
    </w:p>
  </w:footnote>
  <w:footnote w:id="394">
    <w:p w14:paraId="37943142" w14:textId="03933BC8" w:rsidR="004E119B" w:rsidRPr="002D31A9" w:rsidRDefault="004E119B" w:rsidP="009978BE">
      <w:pPr>
        <w:spacing w:line="220" w:lineRule="exact"/>
        <w:ind w:left="1138" w:right="1138" w:hanging="228"/>
        <w:contextualSpacing/>
        <w:rPr>
          <w:sz w:val="18"/>
          <w:szCs w:val="18"/>
        </w:rPr>
      </w:pPr>
      <w:r w:rsidRPr="002D31A9">
        <w:rPr>
          <w:rStyle w:val="FootnoteReference"/>
          <w:szCs w:val="18"/>
        </w:rPr>
        <w:footnoteRef/>
      </w:r>
      <w:r w:rsidRPr="002D31A9">
        <w:rPr>
          <w:sz w:val="18"/>
          <w:szCs w:val="18"/>
        </w:rPr>
        <w:t xml:space="preserve"> </w:t>
      </w:r>
      <w:r>
        <w:rPr>
          <w:sz w:val="18"/>
          <w:szCs w:val="18"/>
        </w:rPr>
        <w:t>T0436</w:t>
      </w:r>
      <w:r w:rsidRPr="002D31A9">
        <w:rPr>
          <w:sz w:val="18"/>
          <w:szCs w:val="18"/>
        </w:rPr>
        <w:t xml:space="preserve">, </w:t>
      </w:r>
      <w:r>
        <w:rPr>
          <w:sz w:val="18"/>
          <w:szCs w:val="18"/>
        </w:rPr>
        <w:t>T0148</w:t>
      </w:r>
      <w:r w:rsidRPr="002D31A9">
        <w:rPr>
          <w:sz w:val="18"/>
          <w:szCs w:val="18"/>
        </w:rPr>
        <w:t xml:space="preserve">, </w:t>
      </w:r>
      <w:r>
        <w:rPr>
          <w:sz w:val="18"/>
          <w:szCs w:val="18"/>
        </w:rPr>
        <w:t>T0189</w:t>
      </w:r>
      <w:r w:rsidRPr="002D31A9">
        <w:rPr>
          <w:sz w:val="18"/>
          <w:szCs w:val="18"/>
        </w:rPr>
        <w:t xml:space="preserve">. Voir aussi </w:t>
      </w:r>
      <w:r>
        <w:rPr>
          <w:sz w:val="18"/>
          <w:szCs w:val="18"/>
        </w:rPr>
        <w:t>T0113</w:t>
      </w:r>
      <w:r w:rsidRPr="002D31A9">
        <w:rPr>
          <w:sz w:val="18"/>
          <w:szCs w:val="18"/>
        </w:rPr>
        <w:t>.</w:t>
      </w:r>
    </w:p>
  </w:footnote>
  <w:footnote w:id="395">
    <w:p w14:paraId="4B32838C" w14:textId="56E50629" w:rsidR="004E119B" w:rsidRPr="008946FE" w:rsidRDefault="004E119B" w:rsidP="009978BE">
      <w:pPr>
        <w:pStyle w:val="FootnoteText"/>
        <w:ind w:left="1138" w:right="1138" w:hanging="228"/>
        <w:contextualSpacing/>
        <w:jc w:val="left"/>
        <w:rPr>
          <w:szCs w:val="18"/>
        </w:rPr>
      </w:pPr>
      <w:r w:rsidRPr="002D31A9">
        <w:rPr>
          <w:rStyle w:val="FootnoteReference"/>
          <w:szCs w:val="18"/>
        </w:rPr>
        <w:footnoteRef/>
      </w:r>
      <w:r w:rsidRPr="008946FE">
        <w:rPr>
          <w:szCs w:val="18"/>
        </w:rPr>
        <w:t xml:space="preserve"> </w:t>
      </w:r>
      <w:r>
        <w:rPr>
          <w:szCs w:val="18"/>
        </w:rPr>
        <w:t>T0436</w:t>
      </w:r>
      <w:r w:rsidRPr="008946FE">
        <w:rPr>
          <w:szCs w:val="18"/>
        </w:rPr>
        <w:t xml:space="preserve">, </w:t>
      </w:r>
      <w:r>
        <w:rPr>
          <w:szCs w:val="18"/>
        </w:rPr>
        <w:t>T0021</w:t>
      </w:r>
      <w:r w:rsidRPr="008946FE">
        <w:rPr>
          <w:szCs w:val="18"/>
        </w:rPr>
        <w:t>.</w:t>
      </w:r>
    </w:p>
  </w:footnote>
  <w:footnote w:id="396">
    <w:p w14:paraId="6BED7224" w14:textId="5462831C" w:rsidR="004E119B" w:rsidRPr="003A1757" w:rsidRDefault="004E119B" w:rsidP="009978BE">
      <w:pPr>
        <w:pStyle w:val="FootnoteText"/>
        <w:ind w:left="1138" w:right="1138" w:hanging="228"/>
        <w:contextualSpacing/>
        <w:jc w:val="left"/>
        <w:rPr>
          <w:szCs w:val="18"/>
        </w:rPr>
      </w:pPr>
      <w:r w:rsidRPr="002D31A9">
        <w:rPr>
          <w:rStyle w:val="FootnoteReference"/>
          <w:szCs w:val="18"/>
        </w:rPr>
        <w:footnoteRef/>
      </w:r>
      <w:r w:rsidRPr="003A1757">
        <w:rPr>
          <w:szCs w:val="18"/>
        </w:rPr>
        <w:t xml:space="preserve"> </w:t>
      </w:r>
      <w:r>
        <w:rPr>
          <w:szCs w:val="18"/>
        </w:rPr>
        <w:t>T0436</w:t>
      </w:r>
      <w:r w:rsidRPr="003A1757">
        <w:rPr>
          <w:szCs w:val="18"/>
        </w:rPr>
        <w:t xml:space="preserve">, </w:t>
      </w:r>
      <w:r>
        <w:rPr>
          <w:szCs w:val="18"/>
        </w:rPr>
        <w:t>T0148</w:t>
      </w:r>
      <w:r w:rsidRPr="003A1757">
        <w:rPr>
          <w:szCs w:val="18"/>
        </w:rPr>
        <w:t xml:space="preserve">, </w:t>
      </w:r>
      <w:r>
        <w:rPr>
          <w:szCs w:val="18"/>
        </w:rPr>
        <w:t>T0267</w:t>
      </w:r>
      <w:r w:rsidRPr="003A1757">
        <w:rPr>
          <w:szCs w:val="18"/>
        </w:rPr>
        <w:t xml:space="preserve">, T0162, </w:t>
      </w:r>
      <w:r>
        <w:rPr>
          <w:szCs w:val="18"/>
        </w:rPr>
        <w:t>T0113</w:t>
      </w:r>
      <w:r w:rsidRPr="003A1757">
        <w:rPr>
          <w:szCs w:val="18"/>
        </w:rPr>
        <w:t xml:space="preserve">, </w:t>
      </w:r>
      <w:r>
        <w:rPr>
          <w:szCs w:val="18"/>
        </w:rPr>
        <w:t>T0084</w:t>
      </w:r>
      <w:r w:rsidRPr="003A1757">
        <w:rPr>
          <w:szCs w:val="18"/>
        </w:rPr>
        <w:t xml:space="preserve">, </w:t>
      </w:r>
      <w:r>
        <w:rPr>
          <w:szCs w:val="18"/>
        </w:rPr>
        <w:t>T0143</w:t>
      </w:r>
      <w:r w:rsidRPr="003A1757">
        <w:rPr>
          <w:szCs w:val="18"/>
        </w:rPr>
        <w:t>, T0189.</w:t>
      </w:r>
    </w:p>
  </w:footnote>
  <w:footnote w:id="397">
    <w:p w14:paraId="0F40B895" w14:textId="3D99375E" w:rsidR="004E119B" w:rsidRPr="00840539" w:rsidRDefault="004E119B" w:rsidP="009978BE">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T0267</w:t>
      </w:r>
      <w:r w:rsidRPr="00840539">
        <w:rPr>
          <w:szCs w:val="18"/>
        </w:rPr>
        <w:t xml:space="preserve">, </w:t>
      </w:r>
      <w:r>
        <w:rPr>
          <w:szCs w:val="18"/>
        </w:rPr>
        <w:t>T0266</w:t>
      </w:r>
      <w:r w:rsidRPr="00840539">
        <w:rPr>
          <w:szCs w:val="18"/>
        </w:rPr>
        <w:t>.</w:t>
      </w:r>
    </w:p>
  </w:footnote>
  <w:footnote w:id="398">
    <w:p w14:paraId="40F5D604" w14:textId="6FCBD2DF" w:rsidR="004E119B" w:rsidRPr="0060278B" w:rsidRDefault="004E119B" w:rsidP="009978BE">
      <w:pPr>
        <w:pStyle w:val="FootnoteText"/>
        <w:tabs>
          <w:tab w:val="right" w:pos="1080"/>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T0267</w:t>
      </w:r>
      <w:r w:rsidRPr="00840539">
        <w:rPr>
          <w:szCs w:val="18"/>
        </w:rPr>
        <w:t xml:space="preserve">, </w:t>
      </w:r>
      <w:r>
        <w:rPr>
          <w:szCs w:val="18"/>
        </w:rPr>
        <w:t>T0084</w:t>
      </w:r>
      <w:r w:rsidRPr="00840539">
        <w:rPr>
          <w:szCs w:val="18"/>
        </w:rPr>
        <w:t xml:space="preserve">. </w:t>
      </w:r>
      <w:r w:rsidRPr="00FE5E8D">
        <w:rPr>
          <w:szCs w:val="18"/>
        </w:rPr>
        <w:t xml:space="preserve">Voir aussi </w:t>
      </w:r>
      <w:r w:rsidRPr="004637BD">
        <w:rPr>
          <w:szCs w:val="18"/>
        </w:rPr>
        <w:t>BCNUDH</w:t>
      </w:r>
      <w:r>
        <w:rPr>
          <w:szCs w:val="18"/>
        </w:rPr>
        <w:t xml:space="preserve"> de la MONUSCO, Rapport de mission d’enquête du 27 au 30 octobre 2017, violations graves des droits de l’homme perpétrées par les présumés miliciens de Kamuina Nsapu et les militaires FARDC dans le territoire de Luebo, province du Kasaï depuis le mois de mars 2017</w:t>
      </w:r>
      <w:r w:rsidRPr="0060278B">
        <w:rPr>
          <w:szCs w:val="18"/>
        </w:rPr>
        <w:t>.</w:t>
      </w:r>
    </w:p>
  </w:footnote>
  <w:footnote w:id="399">
    <w:p w14:paraId="32201F89" w14:textId="41D18084" w:rsidR="004E119B" w:rsidRPr="009F1B3A" w:rsidRDefault="004E119B" w:rsidP="009978BE">
      <w:pPr>
        <w:pStyle w:val="FootnoteText"/>
        <w:tabs>
          <w:tab w:val="right" w:pos="1080"/>
        </w:tabs>
        <w:ind w:left="1138" w:right="1138" w:hanging="228"/>
        <w:contextualSpacing/>
        <w:jc w:val="left"/>
        <w:rPr>
          <w:szCs w:val="18"/>
        </w:rPr>
      </w:pPr>
      <w:r w:rsidRPr="002D31A9">
        <w:rPr>
          <w:rStyle w:val="FootnoteReference"/>
          <w:szCs w:val="18"/>
        </w:rPr>
        <w:footnoteRef/>
      </w:r>
      <w:r w:rsidRPr="00FE5E8D">
        <w:rPr>
          <w:szCs w:val="18"/>
        </w:rPr>
        <w:t xml:space="preserve"> </w:t>
      </w:r>
      <w:r>
        <w:rPr>
          <w:szCs w:val="18"/>
        </w:rPr>
        <w:t>T0398</w:t>
      </w:r>
      <w:r w:rsidRPr="00FE5E8D">
        <w:rPr>
          <w:szCs w:val="18"/>
        </w:rPr>
        <w:t xml:space="preserve">, </w:t>
      </w:r>
      <w:r>
        <w:rPr>
          <w:szCs w:val="18"/>
        </w:rPr>
        <w:t>T0148</w:t>
      </w:r>
      <w:r w:rsidRPr="00FE5E8D">
        <w:rPr>
          <w:szCs w:val="18"/>
        </w:rPr>
        <w:t xml:space="preserve">, </w:t>
      </w:r>
      <w:r>
        <w:rPr>
          <w:szCs w:val="18"/>
        </w:rPr>
        <w:t>T0143</w:t>
      </w:r>
      <w:r w:rsidRPr="00FE5E8D">
        <w:rPr>
          <w:szCs w:val="18"/>
        </w:rPr>
        <w:t>, rapport de la société civile</w:t>
      </w:r>
      <w:r w:rsidRPr="00FE5E8D">
        <w:rPr>
          <w:noProof/>
          <w:szCs w:val="18"/>
        </w:rPr>
        <w:t xml:space="preserve">. </w:t>
      </w:r>
      <w:r w:rsidRPr="00192143">
        <w:rPr>
          <w:noProof/>
          <w:szCs w:val="18"/>
        </w:rPr>
        <w:t xml:space="preserve">Voir aussi </w:t>
      </w:r>
      <w:r w:rsidRPr="00192143">
        <w:rPr>
          <w:szCs w:val="18"/>
        </w:rPr>
        <w:t>Accord politique global et inclusif du Centre interdiocésain de Kinshasa, 31 décembre 2016.</w:t>
      </w:r>
    </w:p>
  </w:footnote>
  <w:footnote w:id="400">
    <w:p w14:paraId="15669A92" w14:textId="22BBDE99" w:rsidR="004E119B" w:rsidRPr="002D31A9" w:rsidRDefault="004E119B" w:rsidP="009978BE">
      <w:pPr>
        <w:tabs>
          <w:tab w:val="right" w:pos="1080"/>
        </w:tabs>
        <w:spacing w:line="220" w:lineRule="exact"/>
        <w:ind w:left="1138" w:right="1138" w:hanging="228"/>
        <w:contextualSpacing/>
        <w:rPr>
          <w:sz w:val="18"/>
          <w:szCs w:val="18"/>
        </w:rPr>
      </w:pPr>
      <w:r w:rsidRPr="002D31A9">
        <w:rPr>
          <w:rStyle w:val="FootnoteReference"/>
          <w:szCs w:val="18"/>
        </w:rPr>
        <w:footnoteRef/>
      </w:r>
      <w:r w:rsidRPr="00CB2CDD">
        <w:rPr>
          <w:sz w:val="18"/>
          <w:szCs w:val="18"/>
        </w:rPr>
        <w:t xml:space="preserve"> </w:t>
      </w:r>
      <w:r>
        <w:rPr>
          <w:sz w:val="18"/>
          <w:szCs w:val="18"/>
        </w:rPr>
        <w:t>T0148.</w:t>
      </w:r>
      <w:r w:rsidRPr="004637BD">
        <w:rPr>
          <w:sz w:val="18"/>
          <w:szCs w:val="18"/>
          <w:shd w:val="clear" w:color="auto" w:fill="F6F6F6"/>
        </w:rPr>
        <w:t xml:space="preserve"> </w:t>
      </w:r>
      <w:r w:rsidRPr="004637BD">
        <w:rPr>
          <w:sz w:val="18"/>
          <w:szCs w:val="18"/>
        </w:rPr>
        <w:t xml:space="preserve">Voir aussi </w:t>
      </w:r>
      <w:r>
        <w:rPr>
          <w:sz w:val="18"/>
          <w:szCs w:val="18"/>
        </w:rPr>
        <w:t>T0162</w:t>
      </w:r>
      <w:r w:rsidRPr="004637BD">
        <w:rPr>
          <w:sz w:val="18"/>
          <w:szCs w:val="18"/>
        </w:rPr>
        <w:t xml:space="preserve">, </w:t>
      </w:r>
      <w:r>
        <w:rPr>
          <w:sz w:val="18"/>
          <w:szCs w:val="18"/>
        </w:rPr>
        <w:t>T0398</w:t>
      </w:r>
      <w:r w:rsidRPr="00FE5E8D">
        <w:rPr>
          <w:sz w:val="18"/>
          <w:szCs w:val="18"/>
        </w:rPr>
        <w:t>.</w:t>
      </w:r>
    </w:p>
  </w:footnote>
  <w:footnote w:id="401">
    <w:p w14:paraId="1C4497AD" w14:textId="5E337AC1" w:rsidR="004E119B" w:rsidRPr="003A1757" w:rsidRDefault="004E119B" w:rsidP="003104AA">
      <w:pPr>
        <w:pStyle w:val="FootnoteText"/>
        <w:tabs>
          <w:tab w:val="right" w:pos="1080"/>
        </w:tabs>
        <w:ind w:left="1138" w:right="1138" w:hanging="228"/>
        <w:contextualSpacing/>
        <w:jc w:val="left"/>
        <w:rPr>
          <w:szCs w:val="18"/>
        </w:rPr>
      </w:pPr>
      <w:r w:rsidRPr="002D31A9">
        <w:rPr>
          <w:rStyle w:val="FootnoteReference"/>
          <w:szCs w:val="18"/>
        </w:rPr>
        <w:footnoteRef/>
      </w:r>
      <w:r w:rsidRPr="003A1757">
        <w:rPr>
          <w:szCs w:val="18"/>
        </w:rPr>
        <w:t xml:space="preserve"> T0436, </w:t>
      </w:r>
      <w:r>
        <w:rPr>
          <w:szCs w:val="18"/>
        </w:rPr>
        <w:t>T0398</w:t>
      </w:r>
      <w:r w:rsidRPr="003A1757">
        <w:rPr>
          <w:szCs w:val="18"/>
        </w:rPr>
        <w:t xml:space="preserve">, </w:t>
      </w:r>
      <w:r>
        <w:rPr>
          <w:szCs w:val="18"/>
        </w:rPr>
        <w:t>T0148</w:t>
      </w:r>
      <w:r w:rsidRPr="003A1757">
        <w:rPr>
          <w:szCs w:val="18"/>
        </w:rPr>
        <w:t xml:space="preserve">, </w:t>
      </w:r>
      <w:r>
        <w:rPr>
          <w:szCs w:val="18"/>
        </w:rPr>
        <w:t>T0267</w:t>
      </w:r>
      <w:r w:rsidRPr="003A1757">
        <w:rPr>
          <w:szCs w:val="18"/>
        </w:rPr>
        <w:t>.</w:t>
      </w:r>
    </w:p>
  </w:footnote>
  <w:footnote w:id="402">
    <w:p w14:paraId="0E7B8A03" w14:textId="3332E373" w:rsidR="004E119B" w:rsidRPr="00CB2CDD" w:rsidRDefault="004E119B" w:rsidP="003104AA">
      <w:pPr>
        <w:tabs>
          <w:tab w:val="right" w:pos="1080"/>
        </w:tabs>
        <w:spacing w:line="220" w:lineRule="exact"/>
        <w:ind w:left="1138" w:right="1138" w:hanging="228"/>
        <w:contextualSpacing/>
        <w:rPr>
          <w:sz w:val="18"/>
          <w:szCs w:val="18"/>
        </w:rPr>
      </w:pPr>
      <w:r w:rsidRPr="002D31A9">
        <w:rPr>
          <w:rStyle w:val="FootnoteReference"/>
          <w:szCs w:val="18"/>
        </w:rPr>
        <w:footnoteRef/>
      </w:r>
      <w:r w:rsidRPr="003A1757">
        <w:rPr>
          <w:sz w:val="18"/>
          <w:szCs w:val="18"/>
        </w:rPr>
        <w:t xml:space="preserve"> </w:t>
      </w:r>
      <w:r>
        <w:rPr>
          <w:sz w:val="18"/>
          <w:szCs w:val="18"/>
        </w:rPr>
        <w:t>T0398</w:t>
      </w:r>
      <w:r w:rsidRPr="003A1757">
        <w:rPr>
          <w:sz w:val="18"/>
          <w:szCs w:val="18"/>
        </w:rPr>
        <w:t xml:space="preserve">, T0189. </w:t>
      </w:r>
      <w:r w:rsidRPr="00CB2CDD">
        <w:rPr>
          <w:sz w:val="18"/>
          <w:szCs w:val="18"/>
        </w:rPr>
        <w:t xml:space="preserve">Voir aussi </w:t>
      </w:r>
      <w:r>
        <w:rPr>
          <w:sz w:val="18"/>
          <w:szCs w:val="18"/>
        </w:rPr>
        <w:t>T0267</w:t>
      </w:r>
      <w:r w:rsidRPr="00CB2CDD">
        <w:rPr>
          <w:sz w:val="18"/>
          <w:szCs w:val="18"/>
        </w:rPr>
        <w:t xml:space="preserve">, </w:t>
      </w:r>
      <w:r>
        <w:rPr>
          <w:sz w:val="18"/>
          <w:szCs w:val="18"/>
        </w:rPr>
        <w:t>T0189</w:t>
      </w:r>
      <w:r w:rsidRPr="00CB2CDD">
        <w:rPr>
          <w:sz w:val="18"/>
          <w:szCs w:val="18"/>
        </w:rPr>
        <w:t xml:space="preserve">, </w:t>
      </w:r>
      <w:r>
        <w:rPr>
          <w:sz w:val="18"/>
          <w:szCs w:val="18"/>
        </w:rPr>
        <w:t>T0113</w:t>
      </w:r>
      <w:r w:rsidRPr="00CB2CDD">
        <w:rPr>
          <w:sz w:val="18"/>
          <w:szCs w:val="18"/>
        </w:rPr>
        <w:t>.</w:t>
      </w:r>
    </w:p>
  </w:footnote>
  <w:footnote w:id="403">
    <w:p w14:paraId="346A577A" w14:textId="63AF0901" w:rsidR="004E119B" w:rsidRPr="003A1757" w:rsidRDefault="004E119B" w:rsidP="003104AA">
      <w:pPr>
        <w:pStyle w:val="FootnoteText"/>
        <w:tabs>
          <w:tab w:val="right" w:pos="1080"/>
        </w:tabs>
        <w:ind w:left="1138" w:right="1138" w:hanging="228"/>
        <w:contextualSpacing/>
        <w:jc w:val="left"/>
        <w:rPr>
          <w:szCs w:val="18"/>
        </w:rPr>
      </w:pPr>
      <w:r w:rsidRPr="002D31A9">
        <w:rPr>
          <w:rStyle w:val="FootnoteReference"/>
          <w:szCs w:val="18"/>
        </w:rPr>
        <w:footnoteRef/>
      </w:r>
      <w:r w:rsidRPr="003A1757">
        <w:rPr>
          <w:szCs w:val="18"/>
        </w:rPr>
        <w:t xml:space="preserve"> T0189.</w:t>
      </w:r>
    </w:p>
  </w:footnote>
  <w:footnote w:id="404">
    <w:p w14:paraId="26C5E3F7" w14:textId="0D60D8CF" w:rsidR="004E119B" w:rsidRPr="003A1757" w:rsidRDefault="004E119B" w:rsidP="003104AA">
      <w:pPr>
        <w:pStyle w:val="FootnoteText"/>
        <w:ind w:left="1138" w:right="1138" w:hanging="228"/>
        <w:contextualSpacing/>
        <w:jc w:val="left"/>
        <w:rPr>
          <w:szCs w:val="18"/>
        </w:rPr>
      </w:pPr>
      <w:r w:rsidRPr="002D31A9">
        <w:rPr>
          <w:rStyle w:val="FootnoteReference"/>
          <w:szCs w:val="18"/>
        </w:rPr>
        <w:footnoteRef/>
      </w:r>
      <w:r w:rsidRPr="003A1757">
        <w:rPr>
          <w:szCs w:val="18"/>
        </w:rPr>
        <w:t xml:space="preserve"> </w:t>
      </w:r>
      <w:r>
        <w:rPr>
          <w:szCs w:val="18"/>
        </w:rPr>
        <w:t>T0149</w:t>
      </w:r>
      <w:r w:rsidRPr="003A1757">
        <w:rPr>
          <w:szCs w:val="18"/>
        </w:rPr>
        <w:t>, T0267, T0189.</w:t>
      </w:r>
    </w:p>
  </w:footnote>
  <w:footnote w:id="405">
    <w:p w14:paraId="10C746C9" w14:textId="0C8AA8C8" w:rsidR="004E119B" w:rsidRPr="003A1757" w:rsidRDefault="004E119B" w:rsidP="003104AA">
      <w:pPr>
        <w:pStyle w:val="FootnoteText"/>
        <w:ind w:left="1138" w:right="1138" w:hanging="228"/>
        <w:contextualSpacing/>
        <w:jc w:val="left"/>
        <w:rPr>
          <w:szCs w:val="18"/>
        </w:rPr>
      </w:pPr>
      <w:r w:rsidRPr="002D31A9">
        <w:rPr>
          <w:rStyle w:val="FootnoteReference"/>
          <w:szCs w:val="18"/>
        </w:rPr>
        <w:footnoteRef/>
      </w:r>
      <w:r w:rsidRPr="003A1757">
        <w:rPr>
          <w:szCs w:val="18"/>
        </w:rPr>
        <w:t xml:space="preserve"> T0267, </w:t>
      </w:r>
      <w:r>
        <w:rPr>
          <w:szCs w:val="18"/>
        </w:rPr>
        <w:t>T0113</w:t>
      </w:r>
      <w:r w:rsidRPr="003A1757">
        <w:rPr>
          <w:szCs w:val="18"/>
        </w:rPr>
        <w:t>.</w:t>
      </w:r>
    </w:p>
  </w:footnote>
  <w:footnote w:id="406">
    <w:p w14:paraId="47F34E82" w14:textId="60283531" w:rsidR="004E119B" w:rsidRPr="00840539" w:rsidRDefault="004E119B" w:rsidP="003104AA">
      <w:pPr>
        <w:spacing w:line="220" w:lineRule="exact"/>
        <w:ind w:left="1138" w:right="1138" w:hanging="228"/>
        <w:contextualSpacing/>
        <w:rPr>
          <w:sz w:val="18"/>
          <w:szCs w:val="18"/>
        </w:rPr>
      </w:pPr>
      <w:r w:rsidRPr="002D31A9">
        <w:rPr>
          <w:rStyle w:val="FootnoteReference"/>
          <w:szCs w:val="18"/>
        </w:rPr>
        <w:footnoteRef/>
      </w:r>
      <w:r w:rsidRPr="002D31A9">
        <w:rPr>
          <w:sz w:val="18"/>
          <w:szCs w:val="18"/>
        </w:rPr>
        <w:t xml:space="preserve"> </w:t>
      </w:r>
      <w:r>
        <w:rPr>
          <w:sz w:val="18"/>
          <w:szCs w:val="18"/>
        </w:rPr>
        <w:t>T0267</w:t>
      </w:r>
      <w:r w:rsidRPr="002D31A9">
        <w:rPr>
          <w:sz w:val="18"/>
          <w:szCs w:val="18"/>
        </w:rPr>
        <w:t xml:space="preserve">, </w:t>
      </w:r>
      <w:r>
        <w:rPr>
          <w:sz w:val="18"/>
          <w:szCs w:val="18"/>
        </w:rPr>
        <w:t>T0113</w:t>
      </w:r>
      <w:r w:rsidRPr="002D31A9">
        <w:rPr>
          <w:sz w:val="18"/>
          <w:szCs w:val="18"/>
        </w:rPr>
        <w:t xml:space="preserve">, </w:t>
      </w:r>
      <w:r>
        <w:rPr>
          <w:sz w:val="18"/>
          <w:szCs w:val="18"/>
        </w:rPr>
        <w:t>T0189</w:t>
      </w:r>
      <w:r w:rsidRPr="002D31A9">
        <w:rPr>
          <w:sz w:val="18"/>
          <w:szCs w:val="18"/>
        </w:rPr>
        <w:t xml:space="preserve">. Voir aussi </w:t>
      </w:r>
      <w:r>
        <w:rPr>
          <w:sz w:val="18"/>
          <w:szCs w:val="18"/>
        </w:rPr>
        <w:t>T0398</w:t>
      </w:r>
      <w:r w:rsidRPr="00840539">
        <w:rPr>
          <w:sz w:val="18"/>
          <w:szCs w:val="18"/>
        </w:rPr>
        <w:t>.</w:t>
      </w:r>
    </w:p>
  </w:footnote>
  <w:footnote w:id="407">
    <w:p w14:paraId="5C17A1A0" w14:textId="36EB8934" w:rsidR="004E119B" w:rsidRPr="00D13A3C" w:rsidRDefault="004E119B" w:rsidP="003104AA">
      <w:pPr>
        <w:pStyle w:val="FootnoteText"/>
        <w:ind w:left="1138" w:right="1138" w:hanging="228"/>
        <w:contextualSpacing/>
        <w:jc w:val="left"/>
        <w:rPr>
          <w:szCs w:val="18"/>
        </w:rPr>
      </w:pPr>
      <w:r w:rsidRPr="002D31A9">
        <w:rPr>
          <w:rStyle w:val="FootnoteReference"/>
          <w:szCs w:val="18"/>
        </w:rPr>
        <w:footnoteRef/>
      </w:r>
      <w:r w:rsidRPr="00D13A3C">
        <w:rPr>
          <w:szCs w:val="18"/>
        </w:rPr>
        <w:t xml:space="preserve"> T0398, T0189.</w:t>
      </w:r>
    </w:p>
  </w:footnote>
  <w:footnote w:id="408">
    <w:p w14:paraId="380A3E1C" w14:textId="3ED46AB1" w:rsidR="004E119B" w:rsidRPr="00D13A3C" w:rsidRDefault="004E119B" w:rsidP="003104AA">
      <w:pPr>
        <w:pStyle w:val="FootnoteText"/>
        <w:ind w:left="1138" w:right="1138" w:hanging="228"/>
        <w:contextualSpacing/>
        <w:jc w:val="left"/>
        <w:rPr>
          <w:szCs w:val="18"/>
        </w:rPr>
      </w:pPr>
      <w:r w:rsidRPr="002D31A9">
        <w:rPr>
          <w:rStyle w:val="FootnoteReference"/>
          <w:szCs w:val="18"/>
        </w:rPr>
        <w:footnoteRef/>
      </w:r>
      <w:r w:rsidRPr="00D13A3C">
        <w:rPr>
          <w:szCs w:val="18"/>
        </w:rPr>
        <w:t xml:space="preserve"> T0148.</w:t>
      </w:r>
    </w:p>
  </w:footnote>
  <w:footnote w:id="409">
    <w:p w14:paraId="7BFD96F4" w14:textId="4588C0DD" w:rsidR="004E119B" w:rsidRPr="00D13A3C" w:rsidRDefault="004E119B" w:rsidP="003104AA">
      <w:pPr>
        <w:pStyle w:val="FootnoteText"/>
        <w:ind w:left="1138" w:right="1138" w:hanging="228"/>
        <w:jc w:val="left"/>
        <w:rPr>
          <w:szCs w:val="18"/>
        </w:rPr>
      </w:pPr>
      <w:r w:rsidRPr="002D31A9">
        <w:rPr>
          <w:rStyle w:val="FootnoteReference"/>
          <w:szCs w:val="18"/>
        </w:rPr>
        <w:footnoteRef/>
      </w:r>
      <w:r w:rsidRPr="00D13A3C">
        <w:rPr>
          <w:szCs w:val="18"/>
        </w:rPr>
        <w:t xml:space="preserve"> T0018, </w:t>
      </w:r>
      <w:r>
        <w:rPr>
          <w:szCs w:val="18"/>
        </w:rPr>
        <w:t>T0303</w:t>
      </w:r>
      <w:r w:rsidRPr="00D13A3C">
        <w:rPr>
          <w:szCs w:val="18"/>
        </w:rPr>
        <w:t>, T0084.</w:t>
      </w:r>
    </w:p>
  </w:footnote>
  <w:footnote w:id="410">
    <w:p w14:paraId="11A04D25" w14:textId="4D1DF58C" w:rsidR="004E119B" w:rsidRPr="0060278B" w:rsidRDefault="004E119B" w:rsidP="003104AA">
      <w:pPr>
        <w:pStyle w:val="FootnoteText"/>
        <w:ind w:left="1138" w:right="1138" w:hanging="228"/>
        <w:contextualSpacing/>
        <w:jc w:val="left"/>
        <w:rPr>
          <w:szCs w:val="18"/>
        </w:rPr>
      </w:pPr>
      <w:r w:rsidRPr="002D31A9">
        <w:rPr>
          <w:rStyle w:val="FootnoteReference"/>
          <w:szCs w:val="18"/>
        </w:rPr>
        <w:footnoteRef/>
      </w:r>
      <w:r w:rsidRPr="003A1757">
        <w:rPr>
          <w:szCs w:val="18"/>
        </w:rPr>
        <w:t xml:space="preserve"> </w:t>
      </w:r>
      <w:r>
        <w:rPr>
          <w:szCs w:val="18"/>
        </w:rPr>
        <w:t>T0398</w:t>
      </w:r>
      <w:r w:rsidRPr="003A1757">
        <w:rPr>
          <w:szCs w:val="18"/>
        </w:rPr>
        <w:t xml:space="preserve">, </w:t>
      </w:r>
      <w:r>
        <w:rPr>
          <w:szCs w:val="18"/>
        </w:rPr>
        <w:t>T0267</w:t>
      </w:r>
      <w:r w:rsidRPr="003A1757">
        <w:rPr>
          <w:szCs w:val="18"/>
        </w:rPr>
        <w:t xml:space="preserve">, </w:t>
      </w:r>
      <w:r>
        <w:rPr>
          <w:szCs w:val="18"/>
        </w:rPr>
        <w:t>T0266</w:t>
      </w:r>
      <w:r w:rsidRPr="003A1757">
        <w:rPr>
          <w:szCs w:val="18"/>
        </w:rPr>
        <w:t xml:space="preserve">, T0162, T0189, </w:t>
      </w:r>
      <w:r>
        <w:rPr>
          <w:szCs w:val="18"/>
        </w:rPr>
        <w:t>T0143</w:t>
      </w:r>
      <w:r w:rsidRPr="003A1757">
        <w:rPr>
          <w:szCs w:val="18"/>
        </w:rPr>
        <w:t xml:space="preserve">, </w:t>
      </w:r>
      <w:r>
        <w:rPr>
          <w:szCs w:val="18"/>
        </w:rPr>
        <w:t>T0113</w:t>
      </w:r>
      <w:r w:rsidRPr="003A1757">
        <w:rPr>
          <w:szCs w:val="18"/>
        </w:rPr>
        <w:t>.</w:t>
      </w:r>
      <w:r>
        <w:rPr>
          <w:szCs w:val="18"/>
        </w:rPr>
        <w:t xml:space="preserve"> Une vidéo de l’incident a été partagée sur des réseaux sociaux, voir par exemple, France 24, « </w:t>
      </w:r>
      <w:r w:rsidRPr="0088645F">
        <w:rPr>
          <w:szCs w:val="18"/>
        </w:rPr>
        <w:t>Le viol public comme sentence : une milice enfonce le Kasaï dans l'horreur</w:t>
      </w:r>
      <w:r>
        <w:rPr>
          <w:szCs w:val="18"/>
        </w:rPr>
        <w:t xml:space="preserve"> », </w:t>
      </w:r>
      <w:r w:rsidRPr="0088645F">
        <w:rPr>
          <w:szCs w:val="18"/>
        </w:rPr>
        <w:t>http://observers.france24.com/fr/20171004-rdc-congo-viol-luebo-video-kamuina-nsapu-milice-kasai-horreur.</w:t>
      </w:r>
    </w:p>
  </w:footnote>
  <w:footnote w:id="411">
    <w:p w14:paraId="4DBC4BFF" w14:textId="751923D9" w:rsidR="004E119B" w:rsidRPr="002D31A9" w:rsidRDefault="004E119B" w:rsidP="003104AA">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T0398</w:t>
      </w:r>
      <w:r w:rsidRPr="002D31A9">
        <w:rPr>
          <w:szCs w:val="18"/>
        </w:rPr>
        <w:t xml:space="preserve">, </w:t>
      </w:r>
      <w:r>
        <w:rPr>
          <w:szCs w:val="18"/>
        </w:rPr>
        <w:t>T0266</w:t>
      </w:r>
      <w:r w:rsidRPr="002D31A9">
        <w:rPr>
          <w:szCs w:val="18"/>
        </w:rPr>
        <w:t>.</w:t>
      </w:r>
    </w:p>
  </w:footnote>
  <w:footnote w:id="412">
    <w:p w14:paraId="4BBC6162" w14:textId="721EEA04" w:rsidR="004E119B" w:rsidRPr="001A302E" w:rsidRDefault="004E119B" w:rsidP="003104AA">
      <w:pPr>
        <w:pStyle w:val="FootnoteText"/>
        <w:ind w:left="1138" w:right="1138" w:hanging="228"/>
        <w:contextualSpacing/>
        <w:jc w:val="left"/>
        <w:rPr>
          <w:szCs w:val="18"/>
        </w:rPr>
      </w:pPr>
      <w:r w:rsidRPr="002D31A9">
        <w:rPr>
          <w:rStyle w:val="FootnoteReference"/>
          <w:szCs w:val="18"/>
        </w:rPr>
        <w:footnoteRef/>
      </w:r>
      <w:r w:rsidRPr="001A302E">
        <w:rPr>
          <w:szCs w:val="18"/>
        </w:rPr>
        <w:t xml:space="preserve"> T0398, T0267, T0189, T0113.</w:t>
      </w:r>
    </w:p>
  </w:footnote>
  <w:footnote w:id="413">
    <w:p w14:paraId="3CBEF972" w14:textId="16F2CF63" w:rsidR="004E119B" w:rsidRPr="001A302E" w:rsidRDefault="004E119B" w:rsidP="003104AA">
      <w:pPr>
        <w:pStyle w:val="FootnoteText"/>
        <w:ind w:left="1138" w:right="1138" w:hanging="228"/>
        <w:jc w:val="left"/>
        <w:rPr>
          <w:szCs w:val="18"/>
        </w:rPr>
      </w:pPr>
      <w:r w:rsidRPr="002D31A9">
        <w:rPr>
          <w:rStyle w:val="FootnoteReference"/>
          <w:szCs w:val="18"/>
        </w:rPr>
        <w:footnoteRef/>
      </w:r>
      <w:r w:rsidRPr="001A302E">
        <w:rPr>
          <w:szCs w:val="18"/>
        </w:rPr>
        <w:t xml:space="preserve"> T0189.</w:t>
      </w:r>
    </w:p>
  </w:footnote>
  <w:footnote w:id="414">
    <w:p w14:paraId="05745891" w14:textId="56F7AD77" w:rsidR="004E119B" w:rsidRPr="002D31A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T0266</w:t>
      </w:r>
      <w:r w:rsidRPr="002D31A9">
        <w:rPr>
          <w:szCs w:val="18"/>
        </w:rPr>
        <w:t>.</w:t>
      </w:r>
    </w:p>
  </w:footnote>
  <w:footnote w:id="415">
    <w:p w14:paraId="5B767775" w14:textId="3900107B" w:rsidR="004E119B" w:rsidRPr="00192143" w:rsidRDefault="004E119B" w:rsidP="003104AA">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T0266</w:t>
      </w:r>
      <w:r w:rsidRPr="002D31A9">
        <w:rPr>
          <w:szCs w:val="18"/>
        </w:rPr>
        <w:t xml:space="preserve">, </w:t>
      </w:r>
      <w:r>
        <w:rPr>
          <w:szCs w:val="18"/>
        </w:rPr>
        <w:t>T0267</w:t>
      </w:r>
      <w:r w:rsidRPr="002D31A9">
        <w:rPr>
          <w:szCs w:val="18"/>
        </w:rPr>
        <w:t xml:space="preserve">, </w:t>
      </w:r>
      <w:r>
        <w:rPr>
          <w:szCs w:val="18"/>
        </w:rPr>
        <w:t>T0162</w:t>
      </w:r>
      <w:r w:rsidRPr="002D31A9">
        <w:rPr>
          <w:szCs w:val="18"/>
        </w:rPr>
        <w:t xml:space="preserve">, </w:t>
      </w:r>
      <w:r>
        <w:rPr>
          <w:szCs w:val="18"/>
        </w:rPr>
        <w:t>BCNUDH de la MONUSCO, Rapport de mission d’enquête du 27 au 30 octobre 2017, violations graves des droits de l’homme perpétrées par les présumés miliciens de Kamuina Nsapu et les militaires FARDC dans le territoire de Luebo, province du Kasaï depuis le mois de mars 2017</w:t>
      </w:r>
      <w:r w:rsidRPr="00192143">
        <w:rPr>
          <w:szCs w:val="18"/>
        </w:rPr>
        <w:t xml:space="preserve">. </w:t>
      </w:r>
    </w:p>
  </w:footnote>
  <w:footnote w:id="416">
    <w:p w14:paraId="6AD1B9F7" w14:textId="545E7D21" w:rsidR="004E119B" w:rsidRPr="00840539" w:rsidRDefault="004E119B" w:rsidP="003104AA">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T0266</w:t>
      </w:r>
      <w:r w:rsidRPr="00840539">
        <w:rPr>
          <w:szCs w:val="18"/>
        </w:rPr>
        <w:t>.</w:t>
      </w:r>
    </w:p>
  </w:footnote>
  <w:footnote w:id="417">
    <w:p w14:paraId="0AD8193E" w14:textId="720852D7" w:rsidR="004E119B" w:rsidRPr="00840539" w:rsidRDefault="004E119B" w:rsidP="003104AA">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T0267</w:t>
      </w:r>
      <w:r w:rsidRPr="00840539">
        <w:rPr>
          <w:szCs w:val="18"/>
        </w:rPr>
        <w:t>.</w:t>
      </w:r>
    </w:p>
  </w:footnote>
  <w:footnote w:id="418">
    <w:p w14:paraId="1F4D1134" w14:textId="26051465" w:rsidR="004E119B" w:rsidRPr="00192143" w:rsidRDefault="004E119B" w:rsidP="003104AA">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sidRPr="00840539">
        <w:rPr>
          <w:szCs w:val="18"/>
        </w:rPr>
        <w:t xml:space="preserve">Voir aussi </w:t>
      </w:r>
      <w:r>
        <w:rPr>
          <w:szCs w:val="18"/>
        </w:rPr>
        <w:t>BCNUDH de la MONUSCO, Rapport de mission d’enquête du 27 au 30 octobre 2017, violations graves des droits de l’homme perpétrées par les présumés miliciens de Kamuina Nsapu et les militaires FARDC dans le territoire de Luebo, province du Kasaï depuis le mois de mars 2017</w:t>
      </w:r>
      <w:r w:rsidRPr="00192143">
        <w:rPr>
          <w:szCs w:val="18"/>
        </w:rPr>
        <w:t>.</w:t>
      </w:r>
    </w:p>
  </w:footnote>
  <w:footnote w:id="419">
    <w:p w14:paraId="6A99BBC6" w14:textId="49EEB3AE" w:rsidR="004E119B" w:rsidRPr="00FE5E8D" w:rsidRDefault="004E119B" w:rsidP="003104AA">
      <w:pPr>
        <w:pStyle w:val="FootnoteText"/>
        <w:ind w:left="1138" w:right="1138" w:hanging="228"/>
        <w:contextualSpacing/>
        <w:jc w:val="left"/>
        <w:rPr>
          <w:szCs w:val="18"/>
        </w:rPr>
      </w:pPr>
      <w:r w:rsidRPr="002D31A9">
        <w:rPr>
          <w:rStyle w:val="FootnoteReference"/>
          <w:szCs w:val="18"/>
        </w:rPr>
        <w:footnoteRef/>
      </w:r>
      <w:r w:rsidRPr="00FE5E8D">
        <w:rPr>
          <w:szCs w:val="18"/>
        </w:rPr>
        <w:t xml:space="preserve"> </w:t>
      </w:r>
      <w:r>
        <w:rPr>
          <w:szCs w:val="18"/>
        </w:rPr>
        <w:t>BCNUDH de la MONUSCO, Rapport de mission d’enquête du 27 au 30 octobre 2017, violations graves des droits de l’homme perpétrées par les présumés miliciens de Kamuina Nsapu et les militaires FARDC dans le territoire de Luebo, province du Kasaï depuis le mois de mars 2017</w:t>
      </w:r>
      <w:r w:rsidRPr="00FE5E8D">
        <w:rPr>
          <w:szCs w:val="18"/>
        </w:rPr>
        <w:t xml:space="preserve">, </w:t>
      </w:r>
      <w:r>
        <w:rPr>
          <w:szCs w:val="18"/>
        </w:rPr>
        <w:t>T0162</w:t>
      </w:r>
      <w:r w:rsidRPr="00FE5E8D">
        <w:rPr>
          <w:szCs w:val="18"/>
        </w:rPr>
        <w:t>.</w:t>
      </w:r>
    </w:p>
  </w:footnote>
  <w:footnote w:id="420">
    <w:p w14:paraId="26C58A80" w14:textId="078BD135" w:rsidR="004E119B" w:rsidRPr="001A302E" w:rsidRDefault="004E119B" w:rsidP="003104AA">
      <w:pPr>
        <w:pStyle w:val="FootnoteText"/>
        <w:ind w:left="1138" w:right="1138" w:hanging="228"/>
        <w:contextualSpacing/>
        <w:jc w:val="left"/>
        <w:rPr>
          <w:szCs w:val="18"/>
        </w:rPr>
      </w:pPr>
      <w:r w:rsidRPr="002D31A9">
        <w:rPr>
          <w:rStyle w:val="FootnoteReference"/>
          <w:szCs w:val="18"/>
        </w:rPr>
        <w:footnoteRef/>
      </w:r>
      <w:r w:rsidRPr="001A302E">
        <w:rPr>
          <w:szCs w:val="18"/>
        </w:rPr>
        <w:t xml:space="preserve"> T0398, T0162.</w:t>
      </w:r>
    </w:p>
  </w:footnote>
  <w:footnote w:id="421">
    <w:p w14:paraId="035F15BD" w14:textId="767B31B6" w:rsidR="004E119B" w:rsidRPr="001A302E" w:rsidRDefault="004E119B" w:rsidP="003104AA">
      <w:pPr>
        <w:pStyle w:val="FootnoteText"/>
        <w:ind w:left="1138" w:right="1138" w:hanging="228"/>
        <w:contextualSpacing/>
        <w:jc w:val="left"/>
        <w:rPr>
          <w:szCs w:val="18"/>
        </w:rPr>
      </w:pPr>
      <w:r w:rsidRPr="002D31A9">
        <w:rPr>
          <w:rStyle w:val="FootnoteReference"/>
          <w:szCs w:val="18"/>
        </w:rPr>
        <w:footnoteRef/>
      </w:r>
      <w:r w:rsidRPr="001A302E">
        <w:rPr>
          <w:szCs w:val="18"/>
        </w:rPr>
        <w:t xml:space="preserve"> T0113. </w:t>
      </w:r>
    </w:p>
  </w:footnote>
  <w:footnote w:id="422">
    <w:p w14:paraId="71D1A0D7" w14:textId="5B6ED5F5" w:rsidR="004E119B" w:rsidRPr="001A302E" w:rsidRDefault="004E119B" w:rsidP="003104AA">
      <w:pPr>
        <w:pStyle w:val="FootnoteText"/>
        <w:ind w:left="1138" w:right="1138" w:hanging="228"/>
        <w:jc w:val="left"/>
        <w:rPr>
          <w:szCs w:val="18"/>
        </w:rPr>
      </w:pPr>
      <w:r w:rsidRPr="002D31A9">
        <w:rPr>
          <w:rStyle w:val="FootnoteReference"/>
          <w:szCs w:val="18"/>
        </w:rPr>
        <w:footnoteRef/>
      </w:r>
      <w:r w:rsidRPr="001A302E">
        <w:rPr>
          <w:szCs w:val="18"/>
        </w:rPr>
        <w:t xml:space="preserve"> </w:t>
      </w:r>
      <w:r>
        <w:rPr>
          <w:szCs w:val="18"/>
        </w:rPr>
        <w:t>T0266</w:t>
      </w:r>
      <w:r w:rsidRPr="001A302E">
        <w:rPr>
          <w:szCs w:val="18"/>
        </w:rPr>
        <w:t>, T0162.</w:t>
      </w:r>
    </w:p>
  </w:footnote>
  <w:footnote w:id="423">
    <w:p w14:paraId="12144641" w14:textId="7819CFBE" w:rsidR="004E119B" w:rsidRPr="00CB2CDD" w:rsidRDefault="004E119B" w:rsidP="003104AA">
      <w:pPr>
        <w:pStyle w:val="FootnoteText"/>
        <w:ind w:left="1138" w:right="1138" w:hanging="228"/>
        <w:contextualSpacing/>
        <w:jc w:val="left"/>
        <w:rPr>
          <w:szCs w:val="18"/>
        </w:rPr>
      </w:pPr>
      <w:r w:rsidRPr="002D31A9">
        <w:rPr>
          <w:rStyle w:val="FootnoteReference"/>
          <w:szCs w:val="18"/>
        </w:rPr>
        <w:footnoteRef/>
      </w:r>
      <w:r w:rsidRPr="00CB2CDD">
        <w:rPr>
          <w:szCs w:val="18"/>
        </w:rPr>
        <w:t xml:space="preserve"> </w:t>
      </w:r>
      <w:r>
        <w:rPr>
          <w:szCs w:val="18"/>
        </w:rPr>
        <w:t>T0113</w:t>
      </w:r>
      <w:r w:rsidRPr="00CB2CDD">
        <w:rPr>
          <w:szCs w:val="18"/>
        </w:rPr>
        <w:t>.</w:t>
      </w:r>
    </w:p>
  </w:footnote>
  <w:footnote w:id="424">
    <w:p w14:paraId="2ED7DFB1" w14:textId="6297DD53" w:rsidR="004E119B" w:rsidRPr="00192143" w:rsidRDefault="004E119B" w:rsidP="003104AA">
      <w:pPr>
        <w:pStyle w:val="FootnoteText"/>
        <w:ind w:left="1138" w:right="1138" w:hanging="228"/>
        <w:contextualSpacing/>
        <w:jc w:val="left"/>
        <w:rPr>
          <w:szCs w:val="18"/>
        </w:rPr>
      </w:pPr>
      <w:r w:rsidRPr="002D31A9">
        <w:rPr>
          <w:rStyle w:val="FootnoteReference"/>
          <w:szCs w:val="18"/>
        </w:rPr>
        <w:footnoteRef/>
      </w:r>
      <w:r w:rsidRPr="00CB2CDD">
        <w:rPr>
          <w:szCs w:val="18"/>
        </w:rPr>
        <w:t xml:space="preserve"> </w:t>
      </w:r>
      <w:r>
        <w:rPr>
          <w:szCs w:val="18"/>
        </w:rPr>
        <w:t>T0267</w:t>
      </w:r>
      <w:r w:rsidRPr="00CB2CDD">
        <w:rPr>
          <w:szCs w:val="18"/>
        </w:rPr>
        <w:t xml:space="preserve">, </w:t>
      </w:r>
      <w:r>
        <w:rPr>
          <w:szCs w:val="18"/>
        </w:rPr>
        <w:t>T0266</w:t>
      </w:r>
      <w:r w:rsidRPr="00CB2CDD">
        <w:rPr>
          <w:szCs w:val="18"/>
        </w:rPr>
        <w:t xml:space="preserve">. </w:t>
      </w:r>
      <w:r w:rsidRPr="00192143">
        <w:rPr>
          <w:szCs w:val="18"/>
        </w:rPr>
        <w:t xml:space="preserve">Voir aussi </w:t>
      </w:r>
      <w:r>
        <w:rPr>
          <w:szCs w:val="18"/>
        </w:rPr>
        <w:t>T0113</w:t>
      </w:r>
      <w:r w:rsidRPr="00192143">
        <w:rPr>
          <w:szCs w:val="18"/>
        </w:rPr>
        <w:t>.</w:t>
      </w:r>
    </w:p>
  </w:footnote>
  <w:footnote w:id="425">
    <w:p w14:paraId="2AAD45FF" w14:textId="08448527" w:rsidR="004E119B" w:rsidRPr="002D31A9" w:rsidRDefault="004E119B" w:rsidP="003104AA">
      <w:pPr>
        <w:pStyle w:val="FootnoteText"/>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T0163</w:t>
      </w:r>
      <w:r w:rsidRPr="002D31A9">
        <w:rPr>
          <w:szCs w:val="18"/>
        </w:rPr>
        <w:t>.</w:t>
      </w:r>
    </w:p>
  </w:footnote>
  <w:footnote w:id="426">
    <w:p w14:paraId="3BBDFB58" w14:textId="12C25C12" w:rsidR="004E119B" w:rsidRPr="00840539" w:rsidRDefault="004E119B" w:rsidP="003104AA">
      <w:pPr>
        <w:pStyle w:val="FootnoteText"/>
        <w:tabs>
          <w:tab w:val="right" w:pos="0"/>
        </w:tabs>
        <w:ind w:left="1138" w:right="1138" w:hanging="228"/>
        <w:contextualSpacing/>
        <w:jc w:val="left"/>
        <w:rPr>
          <w:szCs w:val="18"/>
        </w:rPr>
      </w:pPr>
      <w:r w:rsidRPr="0088645F">
        <w:rPr>
          <w:rStyle w:val="FootnoteReference"/>
          <w:szCs w:val="18"/>
        </w:rPr>
        <w:footnoteRef/>
      </w:r>
      <w:r w:rsidRPr="0088645F">
        <w:rPr>
          <w:szCs w:val="18"/>
        </w:rPr>
        <w:t xml:space="preserve"> </w:t>
      </w:r>
      <w:r>
        <w:rPr>
          <w:szCs w:val="18"/>
        </w:rPr>
        <w:t>Voir la partie IX.B.3. du présent rapport.</w:t>
      </w:r>
    </w:p>
  </w:footnote>
  <w:footnote w:id="427">
    <w:p w14:paraId="02603C8F" w14:textId="7537F865" w:rsidR="004E119B" w:rsidRPr="004B092E" w:rsidRDefault="004E119B" w:rsidP="003104AA">
      <w:pPr>
        <w:pStyle w:val="FootnoteText"/>
        <w:tabs>
          <w:tab w:val="right" w:pos="0"/>
        </w:tabs>
        <w:ind w:left="1138" w:right="1138" w:hanging="228"/>
        <w:jc w:val="left"/>
        <w:rPr>
          <w:szCs w:val="18"/>
        </w:rPr>
      </w:pPr>
      <w:r w:rsidRPr="002D31A9">
        <w:rPr>
          <w:rStyle w:val="FootnoteReference"/>
          <w:szCs w:val="18"/>
        </w:rPr>
        <w:footnoteRef/>
      </w:r>
      <w:r w:rsidRPr="002D31A9">
        <w:rPr>
          <w:szCs w:val="18"/>
        </w:rPr>
        <w:t xml:space="preserve"> Pour d’autres cas de viols commis </w:t>
      </w:r>
      <w:r w:rsidRPr="00840539">
        <w:rPr>
          <w:szCs w:val="18"/>
        </w:rPr>
        <w:t xml:space="preserve">par les Kamuina Nsapu sur cette </w:t>
      </w:r>
      <w:r w:rsidRPr="006E341A">
        <w:rPr>
          <w:szCs w:val="18"/>
        </w:rPr>
        <w:t>partie du territoire mais non résumé voir ainsi</w:t>
      </w:r>
      <w:r w:rsidRPr="00192143">
        <w:rPr>
          <w:szCs w:val="18"/>
        </w:rPr>
        <w:t xml:space="preserve"> </w:t>
      </w:r>
      <w:r>
        <w:rPr>
          <w:szCs w:val="18"/>
        </w:rPr>
        <w:t>T0032</w:t>
      </w:r>
      <w:r w:rsidRPr="00192143">
        <w:rPr>
          <w:szCs w:val="18"/>
        </w:rPr>
        <w:t>,</w:t>
      </w:r>
      <w:r w:rsidRPr="009F1B3A">
        <w:rPr>
          <w:szCs w:val="18"/>
        </w:rPr>
        <w:t xml:space="preserve"> </w:t>
      </w:r>
      <w:r>
        <w:rPr>
          <w:szCs w:val="18"/>
        </w:rPr>
        <w:t>T0223</w:t>
      </w:r>
      <w:r w:rsidRPr="008264D5">
        <w:rPr>
          <w:szCs w:val="18"/>
        </w:rPr>
        <w:t>,</w:t>
      </w:r>
      <w:r w:rsidRPr="004347AC">
        <w:rPr>
          <w:szCs w:val="18"/>
        </w:rPr>
        <w:t xml:space="preserve"> </w:t>
      </w:r>
      <w:r>
        <w:rPr>
          <w:szCs w:val="18"/>
        </w:rPr>
        <w:t>T0165</w:t>
      </w:r>
      <w:r w:rsidRPr="004347AC">
        <w:rPr>
          <w:szCs w:val="18"/>
        </w:rPr>
        <w:t>,</w:t>
      </w:r>
      <w:r w:rsidRPr="000F0FC3">
        <w:rPr>
          <w:szCs w:val="18"/>
        </w:rPr>
        <w:t xml:space="preserve"> </w:t>
      </w:r>
      <w:r>
        <w:rPr>
          <w:szCs w:val="18"/>
        </w:rPr>
        <w:t>T0159</w:t>
      </w:r>
      <w:r w:rsidRPr="000F0FC3">
        <w:rPr>
          <w:szCs w:val="18"/>
        </w:rPr>
        <w:t>,</w:t>
      </w:r>
      <w:r w:rsidRPr="001E2715">
        <w:rPr>
          <w:szCs w:val="18"/>
        </w:rPr>
        <w:t xml:space="preserve"> </w:t>
      </w:r>
      <w:r>
        <w:rPr>
          <w:szCs w:val="18"/>
        </w:rPr>
        <w:t>T0233</w:t>
      </w:r>
      <w:r w:rsidRPr="001E2715">
        <w:rPr>
          <w:szCs w:val="18"/>
        </w:rPr>
        <w:t>,</w:t>
      </w:r>
      <w:r w:rsidRPr="004B092E">
        <w:rPr>
          <w:szCs w:val="18"/>
        </w:rPr>
        <w:t xml:space="preserve"> </w:t>
      </w:r>
      <w:r>
        <w:rPr>
          <w:szCs w:val="18"/>
        </w:rPr>
        <w:t>T0120</w:t>
      </w:r>
      <w:r w:rsidRPr="004B092E">
        <w:rPr>
          <w:color w:val="676767"/>
          <w:szCs w:val="18"/>
          <w:lang w:eastAsia="fr-FR"/>
        </w:rPr>
        <w:t>.</w:t>
      </w:r>
    </w:p>
  </w:footnote>
  <w:footnote w:id="428">
    <w:p w14:paraId="40FFE868" w14:textId="43C2061F" w:rsidR="004E119B" w:rsidRPr="00840539" w:rsidRDefault="004E119B" w:rsidP="003104AA">
      <w:pPr>
        <w:pStyle w:val="FootnoteText"/>
        <w:ind w:left="1138" w:right="1138" w:hanging="228"/>
        <w:jc w:val="left"/>
        <w:rPr>
          <w:color w:val="000000"/>
          <w:szCs w:val="18"/>
          <w:highlight w:val="yellow"/>
          <w:lang w:eastAsia="fr-FR"/>
        </w:rPr>
      </w:pPr>
      <w:r w:rsidRPr="002D31A9">
        <w:rPr>
          <w:rStyle w:val="FootnoteReference"/>
          <w:szCs w:val="18"/>
        </w:rPr>
        <w:footnoteRef/>
      </w:r>
      <w:r w:rsidRPr="002D31A9">
        <w:rPr>
          <w:szCs w:val="18"/>
        </w:rPr>
        <w:t xml:space="preserve"> </w:t>
      </w:r>
      <w:r>
        <w:rPr>
          <w:szCs w:val="18"/>
        </w:rPr>
        <w:t>T0272</w:t>
      </w:r>
      <w:r w:rsidRPr="002D31A9">
        <w:rPr>
          <w:szCs w:val="18"/>
        </w:rPr>
        <w:t xml:space="preserve">. </w:t>
      </w:r>
    </w:p>
  </w:footnote>
  <w:footnote w:id="429">
    <w:p w14:paraId="3483A8F0" w14:textId="276FAB3E" w:rsidR="004E119B" w:rsidRPr="002D31A9" w:rsidRDefault="004E119B" w:rsidP="006B1DB8">
      <w:pPr>
        <w:pStyle w:val="FootnoteText"/>
        <w:ind w:left="1138" w:right="1138" w:hanging="287"/>
        <w:jc w:val="left"/>
        <w:rPr>
          <w:szCs w:val="18"/>
        </w:rPr>
      </w:pPr>
      <w:r w:rsidRPr="002D31A9">
        <w:rPr>
          <w:rStyle w:val="FootnoteReference"/>
          <w:szCs w:val="18"/>
        </w:rPr>
        <w:footnoteRef/>
      </w:r>
      <w:r w:rsidRPr="002D31A9">
        <w:rPr>
          <w:szCs w:val="18"/>
        </w:rPr>
        <w:t xml:space="preserve"> </w:t>
      </w:r>
      <w:r>
        <w:rPr>
          <w:szCs w:val="18"/>
        </w:rPr>
        <w:t>T0444</w:t>
      </w:r>
      <w:r w:rsidRPr="002D31A9">
        <w:rPr>
          <w:szCs w:val="18"/>
        </w:rPr>
        <w:t>.</w:t>
      </w:r>
    </w:p>
  </w:footnote>
  <w:footnote w:id="430">
    <w:p w14:paraId="39F4D0C9" w14:textId="0CD749B5" w:rsidR="004E119B" w:rsidRPr="002D31A9" w:rsidRDefault="004E119B" w:rsidP="006B1DB8">
      <w:pPr>
        <w:pStyle w:val="FootnoteText"/>
        <w:ind w:left="1138" w:right="1138" w:hanging="287"/>
        <w:jc w:val="left"/>
        <w:rPr>
          <w:szCs w:val="18"/>
        </w:rPr>
      </w:pPr>
      <w:r w:rsidRPr="002D31A9">
        <w:rPr>
          <w:rStyle w:val="FootnoteReference"/>
          <w:szCs w:val="18"/>
        </w:rPr>
        <w:footnoteRef/>
      </w:r>
      <w:r w:rsidRPr="002D31A9">
        <w:rPr>
          <w:szCs w:val="18"/>
        </w:rPr>
        <w:t xml:space="preserve"> </w:t>
      </w:r>
      <w:r>
        <w:rPr>
          <w:szCs w:val="18"/>
        </w:rPr>
        <w:t>T0166</w:t>
      </w:r>
      <w:r w:rsidRPr="002D31A9">
        <w:rPr>
          <w:szCs w:val="18"/>
        </w:rPr>
        <w:t>.</w:t>
      </w:r>
    </w:p>
  </w:footnote>
  <w:footnote w:id="431">
    <w:p w14:paraId="7FFA8170" w14:textId="3C66EBB2" w:rsidR="004E119B" w:rsidRPr="002D31A9" w:rsidRDefault="004E119B" w:rsidP="006B1DB8">
      <w:pPr>
        <w:pStyle w:val="FootnoteText"/>
        <w:ind w:left="1138" w:right="1138" w:hanging="287"/>
        <w:jc w:val="left"/>
        <w:rPr>
          <w:szCs w:val="18"/>
        </w:rPr>
      </w:pPr>
      <w:r w:rsidRPr="002D31A9">
        <w:rPr>
          <w:rStyle w:val="FootnoteReference"/>
          <w:szCs w:val="18"/>
        </w:rPr>
        <w:footnoteRef/>
      </w:r>
      <w:r w:rsidRPr="002D31A9">
        <w:rPr>
          <w:szCs w:val="18"/>
        </w:rPr>
        <w:t xml:space="preserve"> </w:t>
      </w:r>
      <w:r>
        <w:rPr>
          <w:szCs w:val="18"/>
        </w:rPr>
        <w:t>T0320</w:t>
      </w:r>
      <w:r w:rsidRPr="002D31A9">
        <w:rPr>
          <w:szCs w:val="18"/>
        </w:rPr>
        <w:t>.</w:t>
      </w:r>
    </w:p>
  </w:footnote>
  <w:footnote w:id="432">
    <w:p w14:paraId="48449E66" w14:textId="6BA5F346" w:rsidR="004E119B" w:rsidRPr="006E341A" w:rsidRDefault="004E119B" w:rsidP="006B1DB8">
      <w:pPr>
        <w:pStyle w:val="FootnoteText"/>
        <w:ind w:left="1138" w:right="1138" w:hanging="287"/>
        <w:jc w:val="left"/>
        <w:rPr>
          <w:szCs w:val="18"/>
        </w:rPr>
      </w:pPr>
      <w:r w:rsidRPr="002D31A9">
        <w:rPr>
          <w:rStyle w:val="FootnoteReference"/>
          <w:szCs w:val="18"/>
        </w:rPr>
        <w:footnoteRef/>
      </w:r>
      <w:r w:rsidRPr="002D31A9">
        <w:rPr>
          <w:szCs w:val="18"/>
        </w:rPr>
        <w:t xml:space="preserve"> </w:t>
      </w:r>
      <w:r>
        <w:rPr>
          <w:szCs w:val="18"/>
        </w:rPr>
        <w:t>Voir la partie IX.C.4.b.iii. du présent rapport.</w:t>
      </w:r>
    </w:p>
  </w:footnote>
  <w:footnote w:id="433">
    <w:p w14:paraId="0B7D7A83" w14:textId="121D7FB9" w:rsidR="004E119B" w:rsidRPr="000F5C18" w:rsidRDefault="004E119B" w:rsidP="006B1DB8">
      <w:pPr>
        <w:pStyle w:val="FootnoteText"/>
        <w:ind w:left="1138" w:right="1138" w:hanging="287"/>
        <w:jc w:val="left"/>
        <w:rPr>
          <w:szCs w:val="18"/>
        </w:rPr>
      </w:pPr>
      <w:r w:rsidRPr="002D31A9">
        <w:rPr>
          <w:rStyle w:val="FootnoteReference"/>
          <w:szCs w:val="18"/>
        </w:rPr>
        <w:footnoteRef/>
      </w:r>
      <w:r w:rsidRPr="000F5C18">
        <w:rPr>
          <w:szCs w:val="18"/>
        </w:rPr>
        <w:t xml:space="preserve"> </w:t>
      </w:r>
      <w:r>
        <w:rPr>
          <w:szCs w:val="18"/>
        </w:rPr>
        <w:t>T0217</w:t>
      </w:r>
      <w:r w:rsidRPr="000F5C18">
        <w:rPr>
          <w:szCs w:val="18"/>
        </w:rPr>
        <w:t xml:space="preserve">, T0005, </w:t>
      </w:r>
      <w:r>
        <w:rPr>
          <w:szCs w:val="18"/>
        </w:rPr>
        <w:t>T0159</w:t>
      </w:r>
      <w:r w:rsidRPr="000F5C18">
        <w:rPr>
          <w:szCs w:val="18"/>
        </w:rPr>
        <w:t>.</w:t>
      </w:r>
    </w:p>
  </w:footnote>
  <w:footnote w:id="434">
    <w:p w14:paraId="67D1A3B1" w14:textId="1BD77399" w:rsidR="004E119B" w:rsidRPr="000F5C18" w:rsidRDefault="004E119B" w:rsidP="006B1DB8">
      <w:pPr>
        <w:pStyle w:val="FootnoteText"/>
        <w:ind w:left="1138" w:right="1138" w:hanging="287"/>
        <w:jc w:val="left"/>
        <w:rPr>
          <w:szCs w:val="18"/>
        </w:rPr>
      </w:pPr>
      <w:r w:rsidRPr="002D31A9">
        <w:rPr>
          <w:rStyle w:val="FootnoteReference"/>
          <w:szCs w:val="18"/>
        </w:rPr>
        <w:footnoteRef/>
      </w:r>
      <w:r w:rsidRPr="000F5C18">
        <w:rPr>
          <w:szCs w:val="18"/>
        </w:rPr>
        <w:t xml:space="preserve"> T0241.</w:t>
      </w:r>
    </w:p>
  </w:footnote>
  <w:footnote w:id="435">
    <w:p w14:paraId="7081AEAA" w14:textId="686D3565" w:rsidR="004E119B" w:rsidRPr="000F5C18" w:rsidRDefault="004E119B" w:rsidP="006B1DB8">
      <w:pPr>
        <w:pStyle w:val="FootnoteText"/>
        <w:ind w:left="1138" w:right="1138" w:hanging="287"/>
        <w:jc w:val="left"/>
        <w:rPr>
          <w:szCs w:val="18"/>
        </w:rPr>
      </w:pPr>
      <w:r w:rsidRPr="002D31A9">
        <w:rPr>
          <w:rStyle w:val="FootnoteReference"/>
          <w:szCs w:val="18"/>
        </w:rPr>
        <w:footnoteRef/>
      </w:r>
      <w:r w:rsidRPr="000F5C18">
        <w:rPr>
          <w:szCs w:val="18"/>
        </w:rPr>
        <w:t xml:space="preserve"> T0360.</w:t>
      </w:r>
    </w:p>
  </w:footnote>
  <w:footnote w:id="436">
    <w:p w14:paraId="3A16A924" w14:textId="55DDE7B2" w:rsidR="004E119B" w:rsidRPr="001E2715" w:rsidRDefault="004E119B" w:rsidP="006B1DB8">
      <w:pPr>
        <w:pStyle w:val="FootnoteText"/>
        <w:ind w:left="1138" w:right="1138" w:hanging="287"/>
        <w:jc w:val="left"/>
        <w:rPr>
          <w:szCs w:val="18"/>
        </w:rPr>
      </w:pPr>
      <w:r w:rsidRPr="002D31A9">
        <w:rPr>
          <w:rStyle w:val="FootnoteReference"/>
          <w:szCs w:val="18"/>
        </w:rPr>
        <w:footnoteRef/>
      </w:r>
      <w:r w:rsidRPr="002D31A9">
        <w:rPr>
          <w:szCs w:val="18"/>
        </w:rPr>
        <w:t xml:space="preserve"> Voir par exemple, </w:t>
      </w:r>
      <w:r>
        <w:rPr>
          <w:szCs w:val="18"/>
        </w:rPr>
        <w:t>T0430</w:t>
      </w:r>
      <w:r w:rsidRPr="00840539">
        <w:rPr>
          <w:szCs w:val="18"/>
        </w:rPr>
        <w:t xml:space="preserve">, </w:t>
      </w:r>
      <w:r>
        <w:rPr>
          <w:szCs w:val="18"/>
        </w:rPr>
        <w:t>T0249</w:t>
      </w:r>
      <w:r w:rsidRPr="006E341A">
        <w:rPr>
          <w:szCs w:val="18"/>
        </w:rPr>
        <w:t xml:space="preserve">, </w:t>
      </w:r>
      <w:r>
        <w:rPr>
          <w:szCs w:val="18"/>
        </w:rPr>
        <w:t>T0190</w:t>
      </w:r>
      <w:r w:rsidRPr="00192143">
        <w:rPr>
          <w:szCs w:val="18"/>
        </w:rPr>
        <w:t xml:space="preserve">, </w:t>
      </w:r>
      <w:r>
        <w:rPr>
          <w:szCs w:val="18"/>
        </w:rPr>
        <w:t>T0054</w:t>
      </w:r>
      <w:r w:rsidRPr="009F1B3A">
        <w:rPr>
          <w:szCs w:val="18"/>
        </w:rPr>
        <w:t xml:space="preserve">, </w:t>
      </w:r>
      <w:r>
        <w:rPr>
          <w:szCs w:val="18"/>
        </w:rPr>
        <w:t>T0284</w:t>
      </w:r>
      <w:r w:rsidRPr="008264D5">
        <w:rPr>
          <w:szCs w:val="18"/>
        </w:rPr>
        <w:t xml:space="preserve">, </w:t>
      </w:r>
      <w:r>
        <w:rPr>
          <w:szCs w:val="18"/>
        </w:rPr>
        <w:t>T0428</w:t>
      </w:r>
      <w:r w:rsidRPr="001E2715">
        <w:rPr>
          <w:szCs w:val="18"/>
        </w:rPr>
        <w:t>.</w:t>
      </w:r>
    </w:p>
  </w:footnote>
  <w:footnote w:id="437">
    <w:p w14:paraId="1263ADD0" w14:textId="1821C156" w:rsidR="004E119B" w:rsidRPr="006956C5" w:rsidRDefault="004E119B" w:rsidP="006B1DB8">
      <w:pPr>
        <w:pStyle w:val="FootnoteText"/>
        <w:ind w:left="1152" w:right="1138" w:hanging="245"/>
        <w:jc w:val="left"/>
        <w:rPr>
          <w:szCs w:val="18"/>
        </w:rPr>
      </w:pPr>
      <w:r w:rsidRPr="002D31A9">
        <w:rPr>
          <w:rStyle w:val="FootnoteReference"/>
          <w:szCs w:val="18"/>
        </w:rPr>
        <w:footnoteRef/>
      </w:r>
      <w:r w:rsidRPr="006956C5">
        <w:rPr>
          <w:szCs w:val="18"/>
        </w:rPr>
        <w:t xml:space="preserve"> </w:t>
      </w:r>
      <w:r>
        <w:rPr>
          <w:szCs w:val="18"/>
        </w:rPr>
        <w:t>T0020</w:t>
      </w:r>
      <w:r w:rsidRPr="006956C5">
        <w:rPr>
          <w:szCs w:val="18"/>
        </w:rPr>
        <w:t xml:space="preserve">, T0092, </w:t>
      </w:r>
      <w:r>
        <w:rPr>
          <w:szCs w:val="18"/>
        </w:rPr>
        <w:t>T0190</w:t>
      </w:r>
      <w:r w:rsidRPr="006956C5">
        <w:rPr>
          <w:szCs w:val="18"/>
        </w:rPr>
        <w:t>.</w:t>
      </w:r>
    </w:p>
  </w:footnote>
  <w:footnote w:id="438">
    <w:p w14:paraId="150FAEFA" w14:textId="224EE8A7" w:rsidR="004E119B" w:rsidRPr="006956C5" w:rsidRDefault="004E119B" w:rsidP="006B1DB8">
      <w:pPr>
        <w:pStyle w:val="FootnoteText"/>
        <w:tabs>
          <w:tab w:val="right" w:pos="0"/>
        </w:tabs>
        <w:ind w:left="1138" w:right="1138" w:hanging="228"/>
        <w:contextualSpacing/>
        <w:jc w:val="left"/>
        <w:rPr>
          <w:szCs w:val="18"/>
        </w:rPr>
      </w:pPr>
      <w:r w:rsidRPr="002D31A9">
        <w:rPr>
          <w:rStyle w:val="FootnoteReference"/>
          <w:szCs w:val="18"/>
        </w:rPr>
        <w:footnoteRef/>
      </w:r>
      <w:r w:rsidRPr="006956C5">
        <w:rPr>
          <w:szCs w:val="18"/>
        </w:rPr>
        <w:t xml:space="preserve"> </w:t>
      </w:r>
      <w:r>
        <w:rPr>
          <w:szCs w:val="18"/>
        </w:rPr>
        <w:t>T0020</w:t>
      </w:r>
      <w:r w:rsidRPr="006956C5">
        <w:rPr>
          <w:szCs w:val="18"/>
        </w:rPr>
        <w:t>, T0092.</w:t>
      </w:r>
    </w:p>
  </w:footnote>
  <w:footnote w:id="439">
    <w:p w14:paraId="15B858F5" w14:textId="21167915" w:rsidR="004E119B" w:rsidRPr="006956C5" w:rsidRDefault="004E119B" w:rsidP="006B1DB8">
      <w:pPr>
        <w:pStyle w:val="FootnoteText"/>
        <w:tabs>
          <w:tab w:val="right" w:pos="0"/>
          <w:tab w:val="left" w:pos="8080"/>
        </w:tabs>
        <w:ind w:left="1138" w:right="1138" w:hanging="228"/>
        <w:contextualSpacing/>
        <w:jc w:val="left"/>
        <w:rPr>
          <w:szCs w:val="18"/>
          <w:highlight w:val="yellow"/>
          <w:lang w:eastAsia="fr-FR"/>
        </w:rPr>
      </w:pPr>
      <w:r w:rsidRPr="002D31A9">
        <w:rPr>
          <w:rStyle w:val="FootnoteReference"/>
          <w:szCs w:val="18"/>
        </w:rPr>
        <w:footnoteRef/>
      </w:r>
      <w:r w:rsidRPr="006956C5">
        <w:rPr>
          <w:szCs w:val="18"/>
        </w:rPr>
        <w:t xml:space="preserve"> </w:t>
      </w:r>
      <w:r>
        <w:rPr>
          <w:szCs w:val="18"/>
        </w:rPr>
        <w:t>T0020</w:t>
      </w:r>
      <w:r w:rsidRPr="006956C5">
        <w:rPr>
          <w:szCs w:val="18"/>
        </w:rPr>
        <w:t>, T0092,</w:t>
      </w:r>
      <w:r w:rsidRPr="006956C5">
        <w:rPr>
          <w:szCs w:val="18"/>
          <w:lang w:eastAsia="fr-FR"/>
        </w:rPr>
        <w:t xml:space="preserve"> </w:t>
      </w:r>
      <w:r>
        <w:rPr>
          <w:szCs w:val="18"/>
          <w:lang w:eastAsia="fr-FR"/>
        </w:rPr>
        <w:t>T0190</w:t>
      </w:r>
      <w:r w:rsidRPr="006956C5">
        <w:rPr>
          <w:szCs w:val="18"/>
          <w:lang w:eastAsia="fr-FR"/>
        </w:rPr>
        <w:t>.</w:t>
      </w:r>
    </w:p>
  </w:footnote>
  <w:footnote w:id="440">
    <w:p w14:paraId="5C3961F4" w14:textId="765E3190" w:rsidR="004E119B" w:rsidRPr="006956C5" w:rsidRDefault="004E119B" w:rsidP="006B1DB8">
      <w:pPr>
        <w:pStyle w:val="FootnoteText"/>
        <w:tabs>
          <w:tab w:val="right" w:pos="0"/>
        </w:tabs>
        <w:ind w:left="1138" w:right="1138" w:hanging="228"/>
        <w:contextualSpacing/>
        <w:jc w:val="left"/>
        <w:rPr>
          <w:szCs w:val="18"/>
        </w:rPr>
      </w:pPr>
      <w:r w:rsidRPr="002D31A9">
        <w:rPr>
          <w:rStyle w:val="FootnoteReference"/>
          <w:szCs w:val="18"/>
        </w:rPr>
        <w:footnoteRef/>
      </w:r>
      <w:r w:rsidRPr="006956C5">
        <w:rPr>
          <w:szCs w:val="18"/>
        </w:rPr>
        <w:t xml:space="preserve"> T0092, T0020.</w:t>
      </w:r>
    </w:p>
  </w:footnote>
  <w:footnote w:id="441">
    <w:p w14:paraId="206FBB43" w14:textId="22BB4BD7" w:rsidR="004E119B" w:rsidRPr="006956C5" w:rsidRDefault="004E119B" w:rsidP="006B1DB8">
      <w:pPr>
        <w:pStyle w:val="FootnoteText"/>
        <w:tabs>
          <w:tab w:val="right" w:pos="0"/>
        </w:tabs>
        <w:ind w:left="1138" w:right="1138" w:hanging="228"/>
        <w:contextualSpacing/>
        <w:jc w:val="left"/>
        <w:rPr>
          <w:szCs w:val="18"/>
        </w:rPr>
      </w:pPr>
      <w:r w:rsidRPr="002D31A9">
        <w:rPr>
          <w:rStyle w:val="FootnoteReference"/>
          <w:szCs w:val="18"/>
        </w:rPr>
        <w:footnoteRef/>
      </w:r>
      <w:r w:rsidRPr="006956C5">
        <w:rPr>
          <w:szCs w:val="18"/>
        </w:rPr>
        <w:t xml:space="preserve"> T0092, T0020.</w:t>
      </w:r>
    </w:p>
  </w:footnote>
  <w:footnote w:id="442">
    <w:p w14:paraId="796FC936" w14:textId="238CAD46" w:rsidR="004E119B" w:rsidRPr="006956C5" w:rsidRDefault="004E119B" w:rsidP="006B1DB8">
      <w:pPr>
        <w:pStyle w:val="FootnoteText"/>
        <w:tabs>
          <w:tab w:val="right" w:pos="0"/>
        </w:tabs>
        <w:ind w:left="1138" w:right="1138" w:hanging="228"/>
        <w:contextualSpacing/>
        <w:jc w:val="left"/>
        <w:rPr>
          <w:szCs w:val="18"/>
        </w:rPr>
      </w:pPr>
      <w:r w:rsidRPr="002D31A9">
        <w:rPr>
          <w:rStyle w:val="FootnoteReference"/>
          <w:szCs w:val="18"/>
        </w:rPr>
        <w:footnoteRef/>
      </w:r>
      <w:r w:rsidRPr="006956C5">
        <w:rPr>
          <w:szCs w:val="18"/>
        </w:rPr>
        <w:t xml:space="preserve"> T0020, </w:t>
      </w:r>
      <w:r>
        <w:rPr>
          <w:szCs w:val="18"/>
        </w:rPr>
        <w:t>T0190</w:t>
      </w:r>
      <w:r w:rsidRPr="006956C5">
        <w:rPr>
          <w:szCs w:val="18"/>
        </w:rPr>
        <w:t>.</w:t>
      </w:r>
    </w:p>
  </w:footnote>
  <w:footnote w:id="443">
    <w:p w14:paraId="50870E95" w14:textId="40B7239A" w:rsidR="004E119B" w:rsidRPr="006956C5" w:rsidRDefault="004E119B" w:rsidP="006B1DB8">
      <w:pPr>
        <w:tabs>
          <w:tab w:val="right" w:pos="0"/>
        </w:tabs>
        <w:spacing w:line="220" w:lineRule="exact"/>
        <w:ind w:left="1138" w:right="1138" w:hanging="228"/>
        <w:contextualSpacing/>
        <w:rPr>
          <w:sz w:val="18"/>
          <w:szCs w:val="18"/>
          <w:highlight w:val="yellow"/>
          <w:lang w:eastAsia="fr-FR"/>
        </w:rPr>
      </w:pPr>
      <w:r w:rsidRPr="002D31A9">
        <w:rPr>
          <w:rStyle w:val="FootnoteReference"/>
          <w:szCs w:val="18"/>
        </w:rPr>
        <w:footnoteRef/>
      </w:r>
      <w:r w:rsidRPr="006956C5">
        <w:rPr>
          <w:sz w:val="18"/>
          <w:szCs w:val="18"/>
        </w:rPr>
        <w:t xml:space="preserve"> </w:t>
      </w:r>
      <w:r>
        <w:rPr>
          <w:sz w:val="18"/>
          <w:szCs w:val="18"/>
        </w:rPr>
        <w:t>T0020</w:t>
      </w:r>
      <w:r w:rsidRPr="006956C5">
        <w:rPr>
          <w:sz w:val="18"/>
          <w:szCs w:val="18"/>
        </w:rPr>
        <w:t xml:space="preserve">, </w:t>
      </w:r>
      <w:r w:rsidRPr="006956C5">
        <w:rPr>
          <w:sz w:val="18"/>
          <w:szCs w:val="18"/>
          <w:lang w:eastAsia="fr-FR"/>
        </w:rPr>
        <w:t xml:space="preserve">T0092, </w:t>
      </w:r>
      <w:r>
        <w:rPr>
          <w:sz w:val="18"/>
          <w:szCs w:val="18"/>
          <w:lang w:eastAsia="fr-FR"/>
        </w:rPr>
        <w:t>T0190</w:t>
      </w:r>
      <w:r w:rsidRPr="006956C5">
        <w:rPr>
          <w:sz w:val="18"/>
          <w:szCs w:val="18"/>
          <w:lang w:eastAsia="fr-FR"/>
        </w:rPr>
        <w:t>.</w:t>
      </w:r>
    </w:p>
  </w:footnote>
  <w:footnote w:id="444">
    <w:p w14:paraId="68474E9B" w14:textId="6E18C3EA" w:rsidR="004E119B" w:rsidRPr="006956C5" w:rsidRDefault="004E119B" w:rsidP="006B1DB8">
      <w:pPr>
        <w:tabs>
          <w:tab w:val="right" w:pos="0"/>
        </w:tabs>
        <w:spacing w:line="220" w:lineRule="exact"/>
        <w:ind w:left="1138" w:right="1138" w:hanging="228"/>
        <w:contextualSpacing/>
        <w:rPr>
          <w:sz w:val="18"/>
          <w:szCs w:val="18"/>
        </w:rPr>
      </w:pPr>
      <w:r w:rsidRPr="002D31A9">
        <w:rPr>
          <w:rStyle w:val="FootnoteReference"/>
          <w:szCs w:val="18"/>
        </w:rPr>
        <w:footnoteRef/>
      </w:r>
      <w:r w:rsidRPr="006956C5">
        <w:rPr>
          <w:sz w:val="18"/>
          <w:szCs w:val="18"/>
        </w:rPr>
        <w:t xml:space="preserve"> T0092, </w:t>
      </w:r>
      <w:r>
        <w:rPr>
          <w:sz w:val="18"/>
          <w:szCs w:val="18"/>
        </w:rPr>
        <w:t>T0190</w:t>
      </w:r>
      <w:r w:rsidRPr="006956C5">
        <w:rPr>
          <w:sz w:val="18"/>
          <w:szCs w:val="18"/>
        </w:rPr>
        <w:t xml:space="preserve">. </w:t>
      </w:r>
    </w:p>
  </w:footnote>
  <w:footnote w:id="445">
    <w:p w14:paraId="129F8068" w14:textId="42162AE1" w:rsidR="004E119B" w:rsidRPr="00B50F59" w:rsidRDefault="004E119B" w:rsidP="006B1DB8">
      <w:pPr>
        <w:pStyle w:val="FootnoteText"/>
        <w:tabs>
          <w:tab w:val="right" w:pos="0"/>
        </w:tabs>
        <w:ind w:left="1138" w:right="1138" w:hanging="228"/>
        <w:contextualSpacing/>
        <w:jc w:val="left"/>
        <w:rPr>
          <w:szCs w:val="18"/>
        </w:rPr>
      </w:pPr>
      <w:r w:rsidRPr="002D31A9">
        <w:rPr>
          <w:rStyle w:val="FootnoteReference"/>
          <w:szCs w:val="18"/>
        </w:rPr>
        <w:footnoteRef/>
      </w:r>
      <w:r w:rsidRPr="00B50F59">
        <w:rPr>
          <w:szCs w:val="18"/>
        </w:rPr>
        <w:t xml:space="preserve"> T0312, T0342.</w:t>
      </w:r>
    </w:p>
  </w:footnote>
  <w:footnote w:id="446">
    <w:p w14:paraId="0C0DBF12" w14:textId="7CB119A9" w:rsidR="004E119B" w:rsidRPr="006956C5" w:rsidRDefault="004E119B" w:rsidP="006B1DB8">
      <w:pPr>
        <w:pStyle w:val="FootnoteText"/>
        <w:tabs>
          <w:tab w:val="right" w:pos="0"/>
        </w:tabs>
        <w:ind w:left="1138" w:right="1138" w:hanging="228"/>
        <w:contextualSpacing/>
        <w:jc w:val="left"/>
        <w:rPr>
          <w:szCs w:val="18"/>
        </w:rPr>
      </w:pPr>
      <w:r w:rsidRPr="002D31A9">
        <w:rPr>
          <w:rStyle w:val="FootnoteReference"/>
          <w:szCs w:val="18"/>
        </w:rPr>
        <w:footnoteRef/>
      </w:r>
      <w:r w:rsidRPr="006956C5">
        <w:rPr>
          <w:szCs w:val="18"/>
        </w:rPr>
        <w:t xml:space="preserve"> T0054.</w:t>
      </w:r>
    </w:p>
  </w:footnote>
  <w:footnote w:id="447">
    <w:p w14:paraId="0667CC3E" w14:textId="71124924" w:rsidR="004E119B" w:rsidRPr="006956C5" w:rsidRDefault="004E119B" w:rsidP="006B1DB8">
      <w:pPr>
        <w:pStyle w:val="FootnoteText"/>
        <w:tabs>
          <w:tab w:val="right" w:pos="0"/>
        </w:tabs>
        <w:ind w:left="1138" w:right="1138" w:hanging="228"/>
        <w:contextualSpacing/>
        <w:jc w:val="left"/>
        <w:rPr>
          <w:szCs w:val="18"/>
        </w:rPr>
      </w:pPr>
      <w:r w:rsidRPr="002D31A9">
        <w:rPr>
          <w:rStyle w:val="FootnoteReference"/>
          <w:szCs w:val="18"/>
        </w:rPr>
        <w:footnoteRef/>
      </w:r>
      <w:r w:rsidRPr="006956C5">
        <w:rPr>
          <w:szCs w:val="18"/>
        </w:rPr>
        <w:t xml:space="preserve"> T0284, T0428.</w:t>
      </w:r>
    </w:p>
  </w:footnote>
  <w:footnote w:id="448">
    <w:p w14:paraId="57130A90" w14:textId="73EAB124" w:rsidR="004E119B" w:rsidRPr="006956C5" w:rsidRDefault="004E119B" w:rsidP="006B1DB8">
      <w:pPr>
        <w:pStyle w:val="FootnoteText"/>
        <w:tabs>
          <w:tab w:val="right" w:pos="0"/>
        </w:tabs>
        <w:ind w:left="1138" w:right="1138" w:hanging="228"/>
        <w:contextualSpacing/>
        <w:jc w:val="left"/>
        <w:rPr>
          <w:szCs w:val="18"/>
        </w:rPr>
      </w:pPr>
      <w:r w:rsidRPr="002D31A9">
        <w:rPr>
          <w:rStyle w:val="FootnoteReference"/>
          <w:szCs w:val="18"/>
        </w:rPr>
        <w:footnoteRef/>
      </w:r>
      <w:r w:rsidRPr="006956C5">
        <w:rPr>
          <w:szCs w:val="18"/>
        </w:rPr>
        <w:t xml:space="preserve"> T0277.</w:t>
      </w:r>
    </w:p>
  </w:footnote>
  <w:footnote w:id="449">
    <w:p w14:paraId="10891E51" w14:textId="1C73AC1B" w:rsidR="004E119B" w:rsidRPr="006956C5" w:rsidRDefault="004E119B" w:rsidP="006B1DB8">
      <w:pPr>
        <w:pStyle w:val="FootnoteText"/>
        <w:ind w:left="1152" w:right="1138" w:hanging="245"/>
        <w:jc w:val="left"/>
        <w:rPr>
          <w:szCs w:val="18"/>
        </w:rPr>
      </w:pPr>
      <w:r w:rsidRPr="002D31A9">
        <w:rPr>
          <w:rStyle w:val="FootnoteReference"/>
          <w:szCs w:val="18"/>
        </w:rPr>
        <w:footnoteRef/>
      </w:r>
      <w:r w:rsidRPr="006956C5">
        <w:rPr>
          <w:szCs w:val="18"/>
        </w:rPr>
        <w:t xml:space="preserve"> T0014.</w:t>
      </w:r>
    </w:p>
  </w:footnote>
  <w:footnote w:id="450">
    <w:p w14:paraId="775CC165" w14:textId="7CB7184D" w:rsidR="004E119B" w:rsidRPr="006956C5" w:rsidRDefault="004E119B" w:rsidP="006B1DB8">
      <w:pPr>
        <w:pStyle w:val="FootnoteText"/>
        <w:tabs>
          <w:tab w:val="right" w:pos="0"/>
        </w:tabs>
        <w:ind w:left="1138" w:right="1138" w:hanging="228"/>
        <w:contextualSpacing/>
        <w:jc w:val="left"/>
        <w:rPr>
          <w:szCs w:val="18"/>
        </w:rPr>
      </w:pPr>
      <w:r w:rsidRPr="002D31A9">
        <w:rPr>
          <w:rStyle w:val="FootnoteReference"/>
          <w:szCs w:val="18"/>
        </w:rPr>
        <w:footnoteRef/>
      </w:r>
      <w:r w:rsidRPr="006956C5">
        <w:rPr>
          <w:szCs w:val="18"/>
        </w:rPr>
        <w:t xml:space="preserve"> T0014, T0098.</w:t>
      </w:r>
    </w:p>
  </w:footnote>
  <w:footnote w:id="451">
    <w:p w14:paraId="3C7433D5" w14:textId="6F4F6E4E" w:rsidR="004E119B" w:rsidRPr="006956C5" w:rsidRDefault="004E119B" w:rsidP="006B1DB8">
      <w:pPr>
        <w:pStyle w:val="FootnoteText"/>
        <w:tabs>
          <w:tab w:val="right" w:pos="0"/>
        </w:tabs>
        <w:ind w:left="1138" w:right="1138" w:hanging="228"/>
        <w:contextualSpacing/>
        <w:jc w:val="left"/>
        <w:rPr>
          <w:szCs w:val="18"/>
        </w:rPr>
      </w:pPr>
      <w:r w:rsidRPr="002D31A9">
        <w:rPr>
          <w:rStyle w:val="FootnoteReference"/>
          <w:szCs w:val="18"/>
        </w:rPr>
        <w:footnoteRef/>
      </w:r>
      <w:r w:rsidRPr="006956C5">
        <w:rPr>
          <w:szCs w:val="18"/>
        </w:rPr>
        <w:t xml:space="preserve"> T0402, T0414.</w:t>
      </w:r>
    </w:p>
  </w:footnote>
  <w:footnote w:id="452">
    <w:p w14:paraId="50F53AD5" w14:textId="29C05056" w:rsidR="004E119B" w:rsidRPr="006956C5" w:rsidRDefault="004E119B" w:rsidP="006B1DB8">
      <w:pPr>
        <w:pStyle w:val="FootnoteText"/>
        <w:tabs>
          <w:tab w:val="right" w:pos="0"/>
        </w:tabs>
        <w:ind w:left="1138" w:right="1138" w:hanging="228"/>
        <w:contextualSpacing/>
        <w:jc w:val="left"/>
        <w:rPr>
          <w:szCs w:val="18"/>
        </w:rPr>
      </w:pPr>
      <w:r w:rsidRPr="002D31A9">
        <w:rPr>
          <w:rStyle w:val="FootnoteReference"/>
          <w:szCs w:val="18"/>
        </w:rPr>
        <w:footnoteRef/>
      </w:r>
      <w:r w:rsidRPr="006956C5">
        <w:rPr>
          <w:szCs w:val="18"/>
        </w:rPr>
        <w:t xml:space="preserve"> T0403.</w:t>
      </w:r>
    </w:p>
  </w:footnote>
  <w:footnote w:id="453">
    <w:p w14:paraId="6ADEF004" w14:textId="17B8E2A6" w:rsidR="004E119B" w:rsidRPr="000F5C18" w:rsidRDefault="004E119B" w:rsidP="006B1DB8">
      <w:pPr>
        <w:pStyle w:val="FootnoteText"/>
        <w:tabs>
          <w:tab w:val="right" w:pos="0"/>
        </w:tabs>
        <w:ind w:left="1138" w:right="1138" w:hanging="228"/>
        <w:contextualSpacing/>
        <w:jc w:val="left"/>
        <w:rPr>
          <w:szCs w:val="18"/>
        </w:rPr>
      </w:pPr>
      <w:r w:rsidRPr="002D31A9">
        <w:rPr>
          <w:rStyle w:val="FootnoteReference"/>
          <w:szCs w:val="18"/>
        </w:rPr>
        <w:footnoteRef/>
      </w:r>
      <w:r w:rsidRPr="000F5C18">
        <w:rPr>
          <w:szCs w:val="18"/>
        </w:rPr>
        <w:t xml:space="preserve"> T0167.</w:t>
      </w:r>
    </w:p>
  </w:footnote>
  <w:footnote w:id="454">
    <w:p w14:paraId="05AAC636" w14:textId="0F5F0DF1" w:rsidR="004E119B" w:rsidRPr="001A45E8" w:rsidRDefault="004E119B" w:rsidP="006B1DB8">
      <w:pPr>
        <w:pStyle w:val="FootnoteText"/>
        <w:tabs>
          <w:tab w:val="right" w:pos="0"/>
        </w:tabs>
        <w:ind w:left="1138" w:right="1138" w:hanging="228"/>
        <w:contextualSpacing/>
        <w:jc w:val="left"/>
        <w:rPr>
          <w:szCs w:val="18"/>
        </w:rPr>
      </w:pPr>
      <w:r w:rsidRPr="002D31A9">
        <w:rPr>
          <w:rStyle w:val="FootnoteReference"/>
          <w:szCs w:val="18"/>
        </w:rPr>
        <w:footnoteRef/>
      </w:r>
      <w:r w:rsidRPr="001A45E8">
        <w:rPr>
          <w:szCs w:val="18"/>
        </w:rPr>
        <w:t xml:space="preserve"> T0325, IKS020, </w:t>
      </w:r>
      <w:r>
        <w:rPr>
          <w:szCs w:val="18"/>
        </w:rPr>
        <w:t>T0402</w:t>
      </w:r>
      <w:r w:rsidRPr="001A45E8">
        <w:rPr>
          <w:szCs w:val="18"/>
        </w:rPr>
        <w:t>.</w:t>
      </w:r>
    </w:p>
  </w:footnote>
  <w:footnote w:id="455">
    <w:p w14:paraId="0382C9BB" w14:textId="435EEA16" w:rsidR="004E119B" w:rsidRPr="001A45E8" w:rsidRDefault="004E119B" w:rsidP="006B1DB8">
      <w:pPr>
        <w:pStyle w:val="FootnoteText"/>
        <w:tabs>
          <w:tab w:val="right" w:pos="0"/>
        </w:tabs>
        <w:ind w:left="1138" w:right="1138" w:hanging="228"/>
        <w:contextualSpacing/>
        <w:jc w:val="left"/>
        <w:rPr>
          <w:szCs w:val="18"/>
        </w:rPr>
      </w:pPr>
      <w:r w:rsidRPr="002D31A9">
        <w:rPr>
          <w:rStyle w:val="FootnoteReference"/>
          <w:szCs w:val="18"/>
        </w:rPr>
        <w:footnoteRef/>
      </w:r>
      <w:r w:rsidRPr="001A45E8">
        <w:rPr>
          <w:szCs w:val="18"/>
        </w:rPr>
        <w:t xml:space="preserve"> </w:t>
      </w:r>
      <w:r>
        <w:rPr>
          <w:szCs w:val="18"/>
        </w:rPr>
        <w:t>T0262</w:t>
      </w:r>
      <w:r w:rsidRPr="001A45E8">
        <w:rPr>
          <w:szCs w:val="18"/>
        </w:rPr>
        <w:t xml:space="preserve">, </w:t>
      </w:r>
      <w:r>
        <w:rPr>
          <w:szCs w:val="18"/>
        </w:rPr>
        <w:t>T0149</w:t>
      </w:r>
      <w:r w:rsidRPr="001A45E8">
        <w:rPr>
          <w:szCs w:val="18"/>
        </w:rPr>
        <w:t xml:space="preserve">, </w:t>
      </w:r>
      <w:r>
        <w:rPr>
          <w:szCs w:val="18"/>
        </w:rPr>
        <w:t>T0402</w:t>
      </w:r>
      <w:r w:rsidRPr="001A45E8">
        <w:rPr>
          <w:szCs w:val="18"/>
        </w:rPr>
        <w:t xml:space="preserve">, </w:t>
      </w:r>
      <w:r>
        <w:rPr>
          <w:szCs w:val="18"/>
        </w:rPr>
        <w:t>T0412</w:t>
      </w:r>
      <w:r w:rsidRPr="001A45E8">
        <w:rPr>
          <w:szCs w:val="18"/>
        </w:rPr>
        <w:t xml:space="preserve">, </w:t>
      </w:r>
      <w:r>
        <w:rPr>
          <w:szCs w:val="18"/>
        </w:rPr>
        <w:t>T0282</w:t>
      </w:r>
      <w:r w:rsidRPr="001A45E8">
        <w:rPr>
          <w:szCs w:val="18"/>
        </w:rPr>
        <w:t>, T0325, T0124.</w:t>
      </w:r>
    </w:p>
  </w:footnote>
  <w:footnote w:id="456">
    <w:p w14:paraId="4B81C2AE" w14:textId="7A1728B4" w:rsidR="004E119B" w:rsidRPr="001A302E" w:rsidRDefault="004E119B" w:rsidP="006B1DB8">
      <w:pPr>
        <w:pStyle w:val="FootnoteText"/>
        <w:tabs>
          <w:tab w:val="right" w:pos="0"/>
        </w:tabs>
        <w:ind w:left="1138" w:right="1138" w:hanging="228"/>
        <w:contextualSpacing/>
        <w:jc w:val="left"/>
        <w:rPr>
          <w:szCs w:val="18"/>
        </w:rPr>
      </w:pPr>
      <w:r w:rsidRPr="002D31A9">
        <w:rPr>
          <w:rStyle w:val="FootnoteReference"/>
          <w:szCs w:val="18"/>
        </w:rPr>
        <w:footnoteRef/>
      </w:r>
      <w:r w:rsidRPr="001A302E">
        <w:rPr>
          <w:szCs w:val="18"/>
        </w:rPr>
        <w:t xml:space="preserve"> T0098.</w:t>
      </w:r>
    </w:p>
  </w:footnote>
  <w:footnote w:id="457">
    <w:p w14:paraId="4C166C72" w14:textId="09467A43" w:rsidR="004E119B" w:rsidRPr="001A302E" w:rsidRDefault="004E119B" w:rsidP="006B1DB8">
      <w:pPr>
        <w:pStyle w:val="FootnoteText"/>
        <w:tabs>
          <w:tab w:val="right" w:pos="0"/>
        </w:tabs>
        <w:ind w:left="1138" w:right="1138" w:hanging="228"/>
        <w:contextualSpacing/>
        <w:jc w:val="left"/>
        <w:rPr>
          <w:szCs w:val="18"/>
        </w:rPr>
      </w:pPr>
      <w:r w:rsidRPr="002D31A9">
        <w:rPr>
          <w:rStyle w:val="FootnoteReference"/>
          <w:szCs w:val="18"/>
        </w:rPr>
        <w:footnoteRef/>
      </w:r>
      <w:r w:rsidRPr="001A302E">
        <w:rPr>
          <w:szCs w:val="18"/>
        </w:rPr>
        <w:t xml:space="preserve"> T0106.</w:t>
      </w:r>
    </w:p>
  </w:footnote>
  <w:footnote w:id="458">
    <w:p w14:paraId="134B2616" w14:textId="484FCB19" w:rsidR="004E119B" w:rsidRPr="001A302E" w:rsidRDefault="004E119B" w:rsidP="006B1DB8">
      <w:pPr>
        <w:tabs>
          <w:tab w:val="right" w:pos="0"/>
        </w:tabs>
        <w:spacing w:line="220" w:lineRule="exact"/>
        <w:ind w:left="1138" w:right="1138" w:hanging="228"/>
        <w:contextualSpacing/>
        <w:rPr>
          <w:sz w:val="18"/>
          <w:szCs w:val="18"/>
        </w:rPr>
      </w:pPr>
      <w:r w:rsidRPr="002D31A9">
        <w:rPr>
          <w:rStyle w:val="FootnoteReference"/>
          <w:szCs w:val="18"/>
        </w:rPr>
        <w:footnoteRef/>
      </w:r>
      <w:r w:rsidRPr="001A302E">
        <w:rPr>
          <w:sz w:val="18"/>
          <w:szCs w:val="18"/>
        </w:rPr>
        <w:t xml:space="preserve"> T0014,</w:t>
      </w:r>
      <w:r w:rsidRPr="001A302E">
        <w:rPr>
          <w:color w:val="000000"/>
          <w:sz w:val="18"/>
          <w:szCs w:val="18"/>
          <w:lang w:eastAsia="fr-FR"/>
        </w:rPr>
        <w:t xml:space="preserve"> T0292.</w:t>
      </w:r>
    </w:p>
  </w:footnote>
  <w:footnote w:id="459">
    <w:p w14:paraId="4500D735" w14:textId="29545AB6" w:rsidR="004E119B" w:rsidRPr="001A302E" w:rsidRDefault="004E119B" w:rsidP="006B1DB8">
      <w:pPr>
        <w:pStyle w:val="FootnoteText"/>
        <w:ind w:left="1152" w:right="1138" w:hanging="245"/>
        <w:jc w:val="left"/>
        <w:rPr>
          <w:szCs w:val="18"/>
        </w:rPr>
      </w:pPr>
      <w:r w:rsidRPr="002D31A9">
        <w:rPr>
          <w:rStyle w:val="FootnoteReference"/>
          <w:szCs w:val="18"/>
        </w:rPr>
        <w:footnoteRef/>
      </w:r>
      <w:r w:rsidRPr="001A302E">
        <w:rPr>
          <w:szCs w:val="18"/>
        </w:rPr>
        <w:t xml:space="preserve"> T0066.</w:t>
      </w:r>
    </w:p>
  </w:footnote>
  <w:footnote w:id="460">
    <w:p w14:paraId="4C4CF574" w14:textId="61F73CA2" w:rsidR="004E119B" w:rsidRPr="001A302E" w:rsidRDefault="004E119B" w:rsidP="006B1DB8">
      <w:pPr>
        <w:pStyle w:val="FootnoteText"/>
        <w:tabs>
          <w:tab w:val="right" w:pos="0"/>
        </w:tabs>
        <w:ind w:left="1138" w:right="1138" w:hanging="228"/>
        <w:contextualSpacing/>
        <w:jc w:val="left"/>
        <w:rPr>
          <w:szCs w:val="18"/>
        </w:rPr>
      </w:pPr>
      <w:r w:rsidRPr="002D31A9">
        <w:rPr>
          <w:rStyle w:val="FootnoteReference"/>
          <w:szCs w:val="18"/>
        </w:rPr>
        <w:footnoteRef/>
      </w:r>
      <w:r w:rsidRPr="001A302E">
        <w:rPr>
          <w:szCs w:val="18"/>
        </w:rPr>
        <w:t xml:space="preserve"> T0261, T0037.</w:t>
      </w:r>
    </w:p>
  </w:footnote>
  <w:footnote w:id="461">
    <w:p w14:paraId="3F713DE1" w14:textId="7CE27094" w:rsidR="004E119B" w:rsidRPr="001A302E" w:rsidRDefault="004E119B" w:rsidP="006B1DB8">
      <w:pPr>
        <w:pStyle w:val="FootnoteText"/>
        <w:tabs>
          <w:tab w:val="right" w:pos="0"/>
        </w:tabs>
        <w:ind w:left="1138" w:right="1138" w:hanging="228"/>
        <w:contextualSpacing/>
        <w:jc w:val="left"/>
        <w:rPr>
          <w:szCs w:val="18"/>
        </w:rPr>
      </w:pPr>
      <w:r w:rsidRPr="002D31A9">
        <w:rPr>
          <w:rStyle w:val="FootnoteReference"/>
          <w:szCs w:val="18"/>
        </w:rPr>
        <w:footnoteRef/>
      </w:r>
      <w:r w:rsidRPr="001A302E">
        <w:rPr>
          <w:szCs w:val="18"/>
        </w:rPr>
        <w:t xml:space="preserve"> T0390.</w:t>
      </w:r>
    </w:p>
  </w:footnote>
  <w:footnote w:id="462">
    <w:p w14:paraId="765FB94D" w14:textId="0AF68E4A" w:rsidR="004E119B" w:rsidRPr="001A302E" w:rsidRDefault="004E119B" w:rsidP="006B1DB8">
      <w:pPr>
        <w:pStyle w:val="FootnoteText"/>
        <w:tabs>
          <w:tab w:val="right" w:pos="0"/>
        </w:tabs>
        <w:ind w:left="1138" w:right="1138" w:hanging="228"/>
        <w:contextualSpacing/>
        <w:jc w:val="left"/>
        <w:rPr>
          <w:szCs w:val="18"/>
        </w:rPr>
      </w:pPr>
      <w:r w:rsidRPr="002D31A9">
        <w:rPr>
          <w:rStyle w:val="FootnoteReference"/>
          <w:szCs w:val="18"/>
        </w:rPr>
        <w:footnoteRef/>
      </w:r>
      <w:r w:rsidRPr="001A302E">
        <w:rPr>
          <w:szCs w:val="18"/>
        </w:rPr>
        <w:t xml:space="preserve"> T0292.</w:t>
      </w:r>
    </w:p>
  </w:footnote>
  <w:footnote w:id="463">
    <w:p w14:paraId="5154B3A3" w14:textId="17EC5141" w:rsidR="004E119B" w:rsidRPr="001A302E" w:rsidRDefault="004E119B" w:rsidP="006B1DB8">
      <w:pPr>
        <w:pStyle w:val="FootnoteText"/>
        <w:tabs>
          <w:tab w:val="right" w:pos="0"/>
        </w:tabs>
        <w:ind w:left="1138" w:right="1138" w:hanging="228"/>
        <w:contextualSpacing/>
        <w:jc w:val="left"/>
        <w:rPr>
          <w:szCs w:val="18"/>
        </w:rPr>
      </w:pPr>
      <w:r w:rsidRPr="002D31A9">
        <w:rPr>
          <w:rStyle w:val="FootnoteReference"/>
          <w:szCs w:val="18"/>
        </w:rPr>
        <w:footnoteRef/>
      </w:r>
      <w:r w:rsidRPr="001A302E">
        <w:rPr>
          <w:szCs w:val="18"/>
        </w:rPr>
        <w:t xml:space="preserve"> T0041.</w:t>
      </w:r>
    </w:p>
  </w:footnote>
  <w:footnote w:id="464">
    <w:p w14:paraId="397C4703" w14:textId="7CA1DFC4" w:rsidR="004E119B" w:rsidRPr="001A302E" w:rsidRDefault="004E119B" w:rsidP="006B1DB8">
      <w:pPr>
        <w:pStyle w:val="FootnoteText"/>
        <w:tabs>
          <w:tab w:val="right" w:pos="0"/>
        </w:tabs>
        <w:ind w:left="1138" w:right="1138" w:hanging="228"/>
        <w:contextualSpacing/>
        <w:jc w:val="left"/>
        <w:rPr>
          <w:szCs w:val="18"/>
        </w:rPr>
      </w:pPr>
      <w:r w:rsidRPr="002D31A9">
        <w:rPr>
          <w:rStyle w:val="FootnoteReference"/>
          <w:szCs w:val="18"/>
        </w:rPr>
        <w:footnoteRef/>
      </w:r>
      <w:r w:rsidRPr="001A302E">
        <w:rPr>
          <w:szCs w:val="18"/>
        </w:rPr>
        <w:t xml:space="preserve"> T0414, T0301. </w:t>
      </w:r>
    </w:p>
  </w:footnote>
  <w:footnote w:id="465">
    <w:p w14:paraId="6FBD0CE9" w14:textId="1902FDF1" w:rsidR="004E119B" w:rsidRPr="001A302E" w:rsidRDefault="004E119B" w:rsidP="006B1DB8">
      <w:pPr>
        <w:pStyle w:val="FootnoteText"/>
        <w:tabs>
          <w:tab w:val="right" w:pos="0"/>
        </w:tabs>
        <w:ind w:left="1138" w:right="1138" w:hanging="228"/>
        <w:contextualSpacing/>
        <w:jc w:val="left"/>
        <w:rPr>
          <w:szCs w:val="18"/>
        </w:rPr>
      </w:pPr>
      <w:r w:rsidRPr="002D31A9">
        <w:rPr>
          <w:rStyle w:val="FootnoteReference"/>
          <w:szCs w:val="18"/>
        </w:rPr>
        <w:footnoteRef/>
      </w:r>
      <w:r w:rsidRPr="001A302E">
        <w:rPr>
          <w:szCs w:val="18"/>
        </w:rPr>
        <w:t xml:space="preserve"> T0312, T0342.</w:t>
      </w:r>
    </w:p>
  </w:footnote>
  <w:footnote w:id="466">
    <w:p w14:paraId="5B97FE33" w14:textId="0D9C0BC6" w:rsidR="004E119B" w:rsidRPr="00EC7100" w:rsidRDefault="004E119B" w:rsidP="006B1DB8">
      <w:pPr>
        <w:pStyle w:val="FootnoteText"/>
        <w:ind w:left="1138" w:right="1138" w:hanging="228"/>
        <w:jc w:val="left"/>
        <w:rPr>
          <w:szCs w:val="18"/>
        </w:rPr>
      </w:pPr>
      <w:r w:rsidRPr="002D31A9">
        <w:rPr>
          <w:rStyle w:val="FootnoteReference"/>
          <w:szCs w:val="18"/>
        </w:rPr>
        <w:footnoteRef/>
      </w:r>
      <w:r w:rsidRPr="00EC7100">
        <w:rPr>
          <w:szCs w:val="18"/>
        </w:rPr>
        <w:t xml:space="preserve"> </w:t>
      </w:r>
      <w:r>
        <w:rPr>
          <w:szCs w:val="18"/>
        </w:rPr>
        <w:t>T0130</w:t>
      </w:r>
      <w:r w:rsidRPr="00EC7100">
        <w:rPr>
          <w:szCs w:val="18"/>
        </w:rPr>
        <w:t xml:space="preserve">, </w:t>
      </w:r>
      <w:r>
        <w:rPr>
          <w:szCs w:val="18"/>
        </w:rPr>
        <w:t>T0230</w:t>
      </w:r>
      <w:r w:rsidRPr="00EC7100">
        <w:rPr>
          <w:szCs w:val="18"/>
        </w:rPr>
        <w:t>, T0161.</w:t>
      </w:r>
    </w:p>
  </w:footnote>
  <w:footnote w:id="467">
    <w:p w14:paraId="70FFD7FF" w14:textId="792CEFE8" w:rsidR="004E119B" w:rsidRPr="00EC7100"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EC7100">
        <w:rPr>
          <w:szCs w:val="18"/>
        </w:rPr>
        <w:t xml:space="preserve"> T0014, </w:t>
      </w:r>
      <w:r>
        <w:rPr>
          <w:szCs w:val="18"/>
        </w:rPr>
        <w:t>T0323</w:t>
      </w:r>
      <w:r w:rsidRPr="00EC7100">
        <w:rPr>
          <w:szCs w:val="18"/>
        </w:rPr>
        <w:t>.</w:t>
      </w:r>
    </w:p>
  </w:footnote>
  <w:footnote w:id="468">
    <w:p w14:paraId="220E39F0" w14:textId="5BFC706D" w:rsidR="004E119B" w:rsidRPr="00EC7100" w:rsidRDefault="004E119B" w:rsidP="006B1DB8">
      <w:pPr>
        <w:pStyle w:val="FootnoteText"/>
        <w:ind w:left="1138" w:right="1138" w:hanging="228"/>
        <w:jc w:val="left"/>
        <w:rPr>
          <w:szCs w:val="18"/>
        </w:rPr>
      </w:pPr>
      <w:r w:rsidRPr="002D31A9">
        <w:rPr>
          <w:rStyle w:val="FootnoteReference"/>
          <w:szCs w:val="18"/>
        </w:rPr>
        <w:footnoteRef/>
      </w:r>
      <w:r w:rsidRPr="00EC7100">
        <w:rPr>
          <w:szCs w:val="18"/>
        </w:rPr>
        <w:t xml:space="preserve"> </w:t>
      </w:r>
      <w:r>
        <w:rPr>
          <w:szCs w:val="18"/>
        </w:rPr>
        <w:t>T0111</w:t>
      </w:r>
      <w:r w:rsidRPr="00EC7100">
        <w:rPr>
          <w:szCs w:val="18"/>
        </w:rPr>
        <w:t xml:space="preserve">, </w:t>
      </w:r>
      <w:r>
        <w:rPr>
          <w:szCs w:val="18"/>
        </w:rPr>
        <w:t>T0130</w:t>
      </w:r>
      <w:r w:rsidRPr="00EC7100">
        <w:rPr>
          <w:szCs w:val="18"/>
        </w:rPr>
        <w:t xml:space="preserve">, </w:t>
      </w:r>
      <w:r>
        <w:rPr>
          <w:szCs w:val="18"/>
        </w:rPr>
        <w:t>T0445</w:t>
      </w:r>
      <w:r w:rsidRPr="00EC7100">
        <w:rPr>
          <w:szCs w:val="18"/>
        </w:rPr>
        <w:t>, T0438.</w:t>
      </w:r>
    </w:p>
  </w:footnote>
  <w:footnote w:id="469">
    <w:p w14:paraId="16D18009" w14:textId="7E413B05" w:rsidR="004E119B" w:rsidRPr="00CE3CD0" w:rsidRDefault="004E119B" w:rsidP="006B1DB8">
      <w:pPr>
        <w:pStyle w:val="FootnoteText"/>
        <w:ind w:left="1152" w:right="1138" w:hanging="245"/>
        <w:jc w:val="left"/>
        <w:rPr>
          <w:szCs w:val="18"/>
        </w:rPr>
      </w:pPr>
      <w:r w:rsidRPr="002D31A9">
        <w:rPr>
          <w:rStyle w:val="FootnoteReference"/>
          <w:szCs w:val="18"/>
        </w:rPr>
        <w:footnoteRef/>
      </w:r>
      <w:r w:rsidRPr="00CE3CD0">
        <w:rPr>
          <w:szCs w:val="18"/>
        </w:rPr>
        <w:t xml:space="preserve"> </w:t>
      </w:r>
      <w:r>
        <w:rPr>
          <w:szCs w:val="18"/>
        </w:rPr>
        <w:t>T0091</w:t>
      </w:r>
      <w:r w:rsidRPr="00CE3CD0">
        <w:rPr>
          <w:szCs w:val="18"/>
        </w:rPr>
        <w:t xml:space="preserve">, </w:t>
      </w:r>
      <w:r>
        <w:rPr>
          <w:szCs w:val="18"/>
        </w:rPr>
        <w:t>T0103</w:t>
      </w:r>
      <w:r w:rsidRPr="00CE3CD0">
        <w:rPr>
          <w:szCs w:val="18"/>
        </w:rPr>
        <w:t>, T0235, T0391.</w:t>
      </w:r>
    </w:p>
  </w:footnote>
  <w:footnote w:id="470">
    <w:p w14:paraId="7E29968F" w14:textId="514B6C72" w:rsidR="004E119B" w:rsidRPr="00CE3CD0" w:rsidRDefault="004E119B" w:rsidP="006B1DB8">
      <w:pPr>
        <w:pStyle w:val="FootnoteText"/>
        <w:ind w:left="1138" w:right="1138" w:hanging="228"/>
        <w:jc w:val="left"/>
        <w:rPr>
          <w:szCs w:val="18"/>
        </w:rPr>
      </w:pPr>
      <w:r w:rsidRPr="002D31A9">
        <w:rPr>
          <w:rStyle w:val="FootnoteReference"/>
          <w:szCs w:val="18"/>
        </w:rPr>
        <w:footnoteRef/>
      </w:r>
      <w:r w:rsidRPr="00CE3CD0">
        <w:rPr>
          <w:szCs w:val="18"/>
        </w:rPr>
        <w:t xml:space="preserve"> T0235, </w:t>
      </w:r>
      <w:r>
        <w:rPr>
          <w:szCs w:val="18"/>
        </w:rPr>
        <w:t>T0230</w:t>
      </w:r>
      <w:r w:rsidRPr="00CE3CD0">
        <w:rPr>
          <w:szCs w:val="18"/>
        </w:rPr>
        <w:t xml:space="preserve">. </w:t>
      </w:r>
    </w:p>
  </w:footnote>
  <w:footnote w:id="471">
    <w:p w14:paraId="1C81DC1F" w14:textId="74391EF7" w:rsidR="004E119B" w:rsidRPr="000F5C18" w:rsidRDefault="004E119B" w:rsidP="006B1DB8">
      <w:pPr>
        <w:spacing w:line="220" w:lineRule="exact"/>
        <w:ind w:left="1138" w:right="1138" w:hanging="228"/>
        <w:rPr>
          <w:sz w:val="18"/>
          <w:szCs w:val="18"/>
        </w:rPr>
      </w:pPr>
      <w:r w:rsidRPr="002D31A9">
        <w:rPr>
          <w:rStyle w:val="FootnoteReference"/>
          <w:szCs w:val="18"/>
        </w:rPr>
        <w:footnoteRef/>
      </w:r>
      <w:r w:rsidRPr="000F5C18">
        <w:rPr>
          <w:sz w:val="18"/>
          <w:szCs w:val="18"/>
        </w:rPr>
        <w:t xml:space="preserve"> T0091, </w:t>
      </w:r>
      <w:r>
        <w:rPr>
          <w:sz w:val="18"/>
          <w:szCs w:val="18"/>
        </w:rPr>
        <w:t>T0130</w:t>
      </w:r>
      <w:r w:rsidRPr="000F5C18">
        <w:rPr>
          <w:sz w:val="18"/>
          <w:szCs w:val="18"/>
        </w:rPr>
        <w:t>, T0194.</w:t>
      </w:r>
    </w:p>
  </w:footnote>
  <w:footnote w:id="472">
    <w:p w14:paraId="3CE64197" w14:textId="2E00D9B7" w:rsidR="004E119B" w:rsidRPr="00CE3CD0" w:rsidRDefault="004E119B" w:rsidP="006B1DB8">
      <w:pPr>
        <w:spacing w:line="220" w:lineRule="exact"/>
        <w:ind w:left="1138" w:right="1138" w:hanging="228"/>
        <w:rPr>
          <w:sz w:val="18"/>
          <w:szCs w:val="18"/>
        </w:rPr>
      </w:pPr>
      <w:r w:rsidRPr="002D31A9">
        <w:rPr>
          <w:rStyle w:val="FootnoteReference"/>
          <w:szCs w:val="18"/>
        </w:rPr>
        <w:footnoteRef/>
      </w:r>
      <w:r w:rsidRPr="00CE3CD0">
        <w:rPr>
          <w:sz w:val="18"/>
          <w:szCs w:val="18"/>
        </w:rPr>
        <w:t xml:space="preserve"> </w:t>
      </w:r>
      <w:r>
        <w:rPr>
          <w:sz w:val="18"/>
          <w:szCs w:val="18"/>
        </w:rPr>
        <w:t>T0091</w:t>
      </w:r>
      <w:r w:rsidRPr="00CE3CD0">
        <w:rPr>
          <w:sz w:val="18"/>
          <w:szCs w:val="18"/>
        </w:rPr>
        <w:t xml:space="preserve">, </w:t>
      </w:r>
      <w:r>
        <w:rPr>
          <w:sz w:val="18"/>
          <w:szCs w:val="18"/>
        </w:rPr>
        <w:t>T0130</w:t>
      </w:r>
      <w:r w:rsidRPr="00CE3CD0">
        <w:rPr>
          <w:sz w:val="18"/>
          <w:szCs w:val="18"/>
        </w:rPr>
        <w:t xml:space="preserve">, </w:t>
      </w:r>
      <w:r>
        <w:rPr>
          <w:sz w:val="18"/>
          <w:szCs w:val="18"/>
        </w:rPr>
        <w:t>T0291</w:t>
      </w:r>
      <w:r w:rsidRPr="00CE3CD0">
        <w:rPr>
          <w:sz w:val="18"/>
          <w:szCs w:val="18"/>
        </w:rPr>
        <w:t xml:space="preserve">, T0280. </w:t>
      </w:r>
    </w:p>
  </w:footnote>
  <w:footnote w:id="473">
    <w:p w14:paraId="686F1DC3" w14:textId="427034CD" w:rsidR="004E119B" w:rsidRPr="00CE3CD0" w:rsidRDefault="004E119B" w:rsidP="006B1DB8">
      <w:pPr>
        <w:spacing w:line="220" w:lineRule="exact"/>
        <w:ind w:left="1138" w:right="1138" w:hanging="228"/>
        <w:rPr>
          <w:sz w:val="18"/>
          <w:szCs w:val="18"/>
        </w:rPr>
      </w:pPr>
      <w:r w:rsidRPr="002D31A9">
        <w:rPr>
          <w:rStyle w:val="FootnoteReference"/>
          <w:szCs w:val="18"/>
        </w:rPr>
        <w:footnoteRef/>
      </w:r>
      <w:r w:rsidRPr="00CE3CD0">
        <w:rPr>
          <w:sz w:val="18"/>
          <w:szCs w:val="18"/>
        </w:rPr>
        <w:t xml:space="preserve"> </w:t>
      </w:r>
      <w:r>
        <w:rPr>
          <w:sz w:val="18"/>
          <w:szCs w:val="18"/>
        </w:rPr>
        <w:t>T0130</w:t>
      </w:r>
      <w:r w:rsidRPr="00CE3CD0">
        <w:rPr>
          <w:sz w:val="18"/>
          <w:szCs w:val="18"/>
        </w:rPr>
        <w:t xml:space="preserve">, T0280, </w:t>
      </w:r>
      <w:r>
        <w:rPr>
          <w:sz w:val="18"/>
          <w:szCs w:val="18"/>
        </w:rPr>
        <w:t>T0230</w:t>
      </w:r>
      <w:r w:rsidRPr="00CE3CD0">
        <w:rPr>
          <w:sz w:val="18"/>
          <w:szCs w:val="18"/>
        </w:rPr>
        <w:t xml:space="preserve">. </w:t>
      </w:r>
      <w:r w:rsidRPr="00CE3CD0">
        <w:rPr>
          <w:color w:val="676767"/>
          <w:sz w:val="18"/>
          <w:szCs w:val="18"/>
          <w:lang w:eastAsia="fr-FR"/>
        </w:rPr>
        <w:t>  </w:t>
      </w:r>
    </w:p>
  </w:footnote>
  <w:footnote w:id="474">
    <w:p w14:paraId="09D5AEDD" w14:textId="5468F2D5" w:rsidR="004E119B" w:rsidRPr="00EC7100"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EC7100">
        <w:rPr>
          <w:szCs w:val="18"/>
        </w:rPr>
        <w:t xml:space="preserve"> T0194.</w:t>
      </w:r>
    </w:p>
  </w:footnote>
  <w:footnote w:id="475">
    <w:p w14:paraId="65A212C6" w14:textId="5140862E" w:rsidR="004E119B" w:rsidRPr="00840539" w:rsidRDefault="004E119B" w:rsidP="006B1DB8">
      <w:pPr>
        <w:pStyle w:val="FootnoteText"/>
        <w:ind w:left="1138" w:right="1138" w:hanging="228"/>
        <w:jc w:val="left"/>
        <w:rPr>
          <w:szCs w:val="18"/>
          <w:highlight w:val="yellow"/>
        </w:rPr>
      </w:pPr>
      <w:r w:rsidRPr="002D31A9">
        <w:rPr>
          <w:rStyle w:val="FootnoteReference"/>
          <w:szCs w:val="18"/>
        </w:rPr>
        <w:footnoteRef/>
      </w:r>
      <w:r w:rsidRPr="00EC7100">
        <w:rPr>
          <w:szCs w:val="18"/>
        </w:rPr>
        <w:t xml:space="preserve"> T0235, T0391, </w:t>
      </w:r>
      <w:r>
        <w:rPr>
          <w:szCs w:val="18"/>
        </w:rPr>
        <w:t>T0009</w:t>
      </w:r>
      <w:r w:rsidRPr="00EC7100">
        <w:rPr>
          <w:szCs w:val="18"/>
        </w:rPr>
        <w:t xml:space="preserve">. </w:t>
      </w:r>
      <w:r w:rsidRPr="00840539">
        <w:rPr>
          <w:szCs w:val="18"/>
        </w:rPr>
        <w:t xml:space="preserve">Voir aussi </w:t>
      </w:r>
      <w:r>
        <w:rPr>
          <w:szCs w:val="18"/>
        </w:rPr>
        <w:t>T0135</w:t>
      </w:r>
      <w:r w:rsidRPr="00840539">
        <w:rPr>
          <w:szCs w:val="18"/>
        </w:rPr>
        <w:t>.</w:t>
      </w:r>
    </w:p>
  </w:footnote>
  <w:footnote w:id="476">
    <w:p w14:paraId="15B72281" w14:textId="7E326F62" w:rsidR="004E119B" w:rsidRPr="008946FE" w:rsidRDefault="004E119B" w:rsidP="006B1DB8">
      <w:pPr>
        <w:pStyle w:val="FootnoteText"/>
        <w:ind w:left="1138" w:right="1138" w:hanging="228"/>
        <w:jc w:val="left"/>
        <w:rPr>
          <w:szCs w:val="18"/>
        </w:rPr>
      </w:pPr>
      <w:r w:rsidRPr="002D31A9">
        <w:rPr>
          <w:rStyle w:val="FootnoteReference"/>
          <w:szCs w:val="18"/>
        </w:rPr>
        <w:footnoteRef/>
      </w:r>
      <w:r w:rsidRPr="008946FE">
        <w:rPr>
          <w:szCs w:val="18"/>
        </w:rPr>
        <w:t xml:space="preserve"> </w:t>
      </w:r>
      <w:r>
        <w:rPr>
          <w:szCs w:val="18"/>
        </w:rPr>
        <w:t>T0391</w:t>
      </w:r>
      <w:r w:rsidRPr="008946FE">
        <w:rPr>
          <w:szCs w:val="18"/>
        </w:rPr>
        <w:t>.</w:t>
      </w:r>
    </w:p>
  </w:footnote>
  <w:footnote w:id="477">
    <w:p w14:paraId="2DB369E9" w14:textId="3B21EEDF" w:rsidR="004E119B" w:rsidRPr="008946FE" w:rsidRDefault="004E119B" w:rsidP="006B1DB8">
      <w:pPr>
        <w:pStyle w:val="FootnoteText"/>
        <w:ind w:left="1138" w:right="1138" w:hanging="228"/>
        <w:jc w:val="left"/>
        <w:rPr>
          <w:szCs w:val="18"/>
        </w:rPr>
      </w:pPr>
      <w:r w:rsidRPr="002D31A9">
        <w:rPr>
          <w:rStyle w:val="FootnoteReference"/>
          <w:szCs w:val="18"/>
        </w:rPr>
        <w:footnoteRef/>
      </w:r>
      <w:r w:rsidRPr="008946FE">
        <w:rPr>
          <w:szCs w:val="18"/>
        </w:rPr>
        <w:t xml:space="preserve"> </w:t>
      </w:r>
      <w:r>
        <w:rPr>
          <w:szCs w:val="18"/>
        </w:rPr>
        <w:t>T0091</w:t>
      </w:r>
      <w:r w:rsidRPr="008946FE">
        <w:rPr>
          <w:szCs w:val="18"/>
        </w:rPr>
        <w:t>.</w:t>
      </w:r>
    </w:p>
  </w:footnote>
  <w:footnote w:id="478">
    <w:p w14:paraId="56F2C837" w14:textId="654010EF" w:rsidR="004E119B" w:rsidRPr="00CE3CD0"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CE3CD0">
        <w:rPr>
          <w:szCs w:val="18"/>
        </w:rPr>
        <w:t xml:space="preserve"> </w:t>
      </w:r>
      <w:r>
        <w:rPr>
          <w:szCs w:val="18"/>
        </w:rPr>
        <w:t>T0091</w:t>
      </w:r>
      <w:r w:rsidRPr="00CE3CD0">
        <w:rPr>
          <w:szCs w:val="18"/>
        </w:rPr>
        <w:t>,</w:t>
      </w:r>
      <w:r w:rsidRPr="00CE3CD0">
        <w:rPr>
          <w:szCs w:val="18"/>
          <w:lang w:eastAsia="fr-FR"/>
        </w:rPr>
        <w:t xml:space="preserve"> T0391.</w:t>
      </w:r>
    </w:p>
  </w:footnote>
  <w:footnote w:id="479">
    <w:p w14:paraId="3AF7C524" w14:textId="26BC7832" w:rsidR="004E119B" w:rsidRPr="00CE3CD0" w:rsidRDefault="004E119B" w:rsidP="006B1DB8">
      <w:pPr>
        <w:pStyle w:val="FootnoteText"/>
        <w:ind w:left="1138" w:right="1138" w:hanging="228"/>
        <w:jc w:val="left"/>
        <w:rPr>
          <w:szCs w:val="18"/>
        </w:rPr>
      </w:pPr>
      <w:r w:rsidRPr="002D31A9">
        <w:rPr>
          <w:rStyle w:val="FootnoteReference"/>
          <w:szCs w:val="18"/>
        </w:rPr>
        <w:footnoteRef/>
      </w:r>
      <w:r w:rsidRPr="00CE3CD0">
        <w:rPr>
          <w:szCs w:val="18"/>
        </w:rPr>
        <w:t xml:space="preserve"> T0394.</w:t>
      </w:r>
    </w:p>
  </w:footnote>
  <w:footnote w:id="480">
    <w:p w14:paraId="4E52C3C7" w14:textId="3BA5E8CC" w:rsidR="004E119B" w:rsidRPr="00CE3CD0"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CE3CD0">
        <w:rPr>
          <w:szCs w:val="18"/>
        </w:rPr>
        <w:t xml:space="preserve"> </w:t>
      </w:r>
      <w:r>
        <w:rPr>
          <w:szCs w:val="18"/>
        </w:rPr>
        <w:t>T0235</w:t>
      </w:r>
      <w:r w:rsidRPr="00CE3CD0">
        <w:rPr>
          <w:szCs w:val="18"/>
        </w:rPr>
        <w:t xml:space="preserve">, T0391, </w:t>
      </w:r>
      <w:r>
        <w:rPr>
          <w:szCs w:val="18"/>
        </w:rPr>
        <w:t>T0397</w:t>
      </w:r>
      <w:r w:rsidRPr="00CE3CD0">
        <w:rPr>
          <w:szCs w:val="18"/>
        </w:rPr>
        <w:t xml:space="preserve">, </w:t>
      </w:r>
      <w:r>
        <w:rPr>
          <w:szCs w:val="18"/>
        </w:rPr>
        <w:t>T0297</w:t>
      </w:r>
      <w:r w:rsidRPr="00CE3CD0">
        <w:rPr>
          <w:szCs w:val="18"/>
        </w:rPr>
        <w:t xml:space="preserve">, </w:t>
      </w:r>
      <w:r>
        <w:rPr>
          <w:szCs w:val="18"/>
        </w:rPr>
        <w:t>T0130</w:t>
      </w:r>
      <w:r w:rsidRPr="00CE3CD0">
        <w:rPr>
          <w:szCs w:val="18"/>
        </w:rPr>
        <w:t xml:space="preserve">, </w:t>
      </w:r>
      <w:r>
        <w:rPr>
          <w:szCs w:val="18"/>
        </w:rPr>
        <w:t>T0230</w:t>
      </w:r>
      <w:r w:rsidRPr="00CE3CD0">
        <w:rPr>
          <w:szCs w:val="18"/>
        </w:rPr>
        <w:t xml:space="preserve">, </w:t>
      </w:r>
      <w:r>
        <w:rPr>
          <w:szCs w:val="18"/>
        </w:rPr>
        <w:t>T0135</w:t>
      </w:r>
      <w:r w:rsidRPr="00CE3CD0">
        <w:rPr>
          <w:szCs w:val="18"/>
        </w:rPr>
        <w:t xml:space="preserve">, </w:t>
      </w:r>
      <w:r>
        <w:rPr>
          <w:szCs w:val="18"/>
        </w:rPr>
        <w:t>T0341</w:t>
      </w:r>
      <w:r w:rsidRPr="00CE3CD0">
        <w:rPr>
          <w:szCs w:val="18"/>
        </w:rPr>
        <w:t xml:space="preserve">, </w:t>
      </w:r>
      <w:r>
        <w:rPr>
          <w:szCs w:val="18"/>
        </w:rPr>
        <w:t>T0434</w:t>
      </w:r>
      <w:r w:rsidRPr="00CE3CD0">
        <w:rPr>
          <w:szCs w:val="18"/>
        </w:rPr>
        <w:t>.</w:t>
      </w:r>
    </w:p>
  </w:footnote>
  <w:footnote w:id="481">
    <w:p w14:paraId="582D90FE" w14:textId="5BEFE452" w:rsidR="004E119B" w:rsidRPr="002D31A9" w:rsidRDefault="004E119B" w:rsidP="006B1DB8">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T0443</w:t>
      </w:r>
      <w:r w:rsidRPr="002D31A9">
        <w:rPr>
          <w:szCs w:val="18"/>
        </w:rPr>
        <w:t>.</w:t>
      </w:r>
    </w:p>
  </w:footnote>
  <w:footnote w:id="482">
    <w:p w14:paraId="67204919" w14:textId="1F6BD275" w:rsidR="004E119B" w:rsidRPr="00840539" w:rsidRDefault="004E119B" w:rsidP="006B1DB8">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T0391</w:t>
      </w:r>
      <w:r w:rsidRPr="002D31A9">
        <w:rPr>
          <w:szCs w:val="18"/>
        </w:rPr>
        <w:t xml:space="preserve">. Voir aussi </w:t>
      </w:r>
      <w:r>
        <w:rPr>
          <w:szCs w:val="18"/>
        </w:rPr>
        <w:t>T0397</w:t>
      </w:r>
      <w:r w:rsidRPr="00840539">
        <w:rPr>
          <w:szCs w:val="18"/>
        </w:rPr>
        <w:t>.</w:t>
      </w:r>
    </w:p>
  </w:footnote>
  <w:footnote w:id="483">
    <w:p w14:paraId="5CA12257" w14:textId="6CD1FDF9" w:rsidR="004E119B" w:rsidRPr="00EC7100" w:rsidRDefault="004E119B" w:rsidP="006B1DB8">
      <w:pPr>
        <w:pStyle w:val="FootnoteText"/>
        <w:ind w:left="1152" w:right="1138" w:hanging="245"/>
        <w:jc w:val="left"/>
        <w:rPr>
          <w:szCs w:val="18"/>
        </w:rPr>
      </w:pPr>
      <w:r w:rsidRPr="002D31A9">
        <w:rPr>
          <w:rStyle w:val="FootnoteReference"/>
          <w:szCs w:val="18"/>
        </w:rPr>
        <w:footnoteRef/>
      </w:r>
      <w:r w:rsidRPr="00EC7100">
        <w:rPr>
          <w:szCs w:val="18"/>
        </w:rPr>
        <w:t xml:space="preserve"> T0122.</w:t>
      </w:r>
    </w:p>
  </w:footnote>
  <w:footnote w:id="484">
    <w:p w14:paraId="2CAF50C7" w14:textId="2F7BC68E" w:rsidR="004E119B" w:rsidRPr="001A302E" w:rsidRDefault="004E119B" w:rsidP="006B1DB8">
      <w:pPr>
        <w:pStyle w:val="FootnoteText"/>
        <w:ind w:left="1138" w:right="1138" w:hanging="228"/>
        <w:jc w:val="left"/>
        <w:rPr>
          <w:szCs w:val="18"/>
        </w:rPr>
      </w:pPr>
      <w:r w:rsidRPr="002D31A9">
        <w:rPr>
          <w:rStyle w:val="FootnoteReference"/>
          <w:szCs w:val="18"/>
        </w:rPr>
        <w:footnoteRef/>
      </w:r>
      <w:r w:rsidRPr="001A302E">
        <w:rPr>
          <w:szCs w:val="18"/>
        </w:rPr>
        <w:t xml:space="preserve"> T0142.</w:t>
      </w:r>
    </w:p>
  </w:footnote>
  <w:footnote w:id="485">
    <w:p w14:paraId="5CBAAEB8" w14:textId="105CED21" w:rsidR="004E119B" w:rsidRPr="001A302E" w:rsidRDefault="004E119B" w:rsidP="006B1DB8">
      <w:pPr>
        <w:pStyle w:val="FootnoteText"/>
        <w:ind w:left="1138" w:right="1138" w:hanging="228"/>
        <w:jc w:val="left"/>
        <w:rPr>
          <w:szCs w:val="18"/>
        </w:rPr>
      </w:pPr>
      <w:r w:rsidRPr="002D31A9">
        <w:rPr>
          <w:rStyle w:val="FootnoteReference"/>
          <w:szCs w:val="18"/>
        </w:rPr>
        <w:footnoteRef/>
      </w:r>
      <w:r w:rsidRPr="001A302E">
        <w:rPr>
          <w:szCs w:val="18"/>
        </w:rPr>
        <w:t xml:space="preserve"> T0292.</w:t>
      </w:r>
    </w:p>
  </w:footnote>
  <w:footnote w:id="486">
    <w:p w14:paraId="00CDAD2D" w14:textId="66037B75" w:rsidR="004E119B" w:rsidRPr="001A302E" w:rsidRDefault="004E119B" w:rsidP="006B1DB8">
      <w:pPr>
        <w:pStyle w:val="FootnoteText"/>
        <w:ind w:left="1138" w:right="1138" w:hanging="228"/>
        <w:jc w:val="left"/>
        <w:rPr>
          <w:szCs w:val="18"/>
        </w:rPr>
      </w:pPr>
      <w:r w:rsidRPr="002D31A9">
        <w:rPr>
          <w:rStyle w:val="FootnoteReference"/>
          <w:szCs w:val="18"/>
        </w:rPr>
        <w:footnoteRef/>
      </w:r>
      <w:r w:rsidRPr="001A302E">
        <w:rPr>
          <w:szCs w:val="18"/>
        </w:rPr>
        <w:t xml:space="preserve"> T0397.</w:t>
      </w:r>
    </w:p>
  </w:footnote>
  <w:footnote w:id="487">
    <w:p w14:paraId="6D795323" w14:textId="6C2C0D5C" w:rsidR="004E119B" w:rsidRPr="001A302E" w:rsidRDefault="004E119B" w:rsidP="006B1DB8">
      <w:pPr>
        <w:pStyle w:val="FootnoteText"/>
        <w:ind w:left="1138" w:right="1138" w:hanging="228"/>
        <w:jc w:val="left"/>
        <w:rPr>
          <w:szCs w:val="18"/>
        </w:rPr>
      </w:pPr>
      <w:r w:rsidRPr="002D31A9">
        <w:rPr>
          <w:rStyle w:val="FootnoteReference"/>
          <w:szCs w:val="18"/>
        </w:rPr>
        <w:footnoteRef/>
      </w:r>
      <w:r w:rsidRPr="001A302E">
        <w:rPr>
          <w:szCs w:val="18"/>
        </w:rPr>
        <w:t xml:space="preserve"> T0391.</w:t>
      </w:r>
    </w:p>
  </w:footnote>
  <w:footnote w:id="488">
    <w:p w14:paraId="627763F8" w14:textId="68786BC8" w:rsidR="004E119B" w:rsidRPr="001A302E" w:rsidRDefault="004E119B" w:rsidP="006B1DB8">
      <w:pPr>
        <w:pStyle w:val="FootnoteText"/>
        <w:ind w:left="1138" w:right="1138" w:hanging="228"/>
        <w:jc w:val="left"/>
        <w:rPr>
          <w:szCs w:val="18"/>
        </w:rPr>
      </w:pPr>
      <w:r w:rsidRPr="002D31A9">
        <w:rPr>
          <w:rStyle w:val="FootnoteReference"/>
          <w:szCs w:val="18"/>
        </w:rPr>
        <w:footnoteRef/>
      </w:r>
      <w:r w:rsidRPr="001A302E">
        <w:rPr>
          <w:szCs w:val="18"/>
        </w:rPr>
        <w:t xml:space="preserve"> T0142.</w:t>
      </w:r>
    </w:p>
  </w:footnote>
  <w:footnote w:id="489">
    <w:p w14:paraId="19430906" w14:textId="571C0F29" w:rsidR="004E119B" w:rsidRPr="00CE3CD0" w:rsidRDefault="004E119B" w:rsidP="006B1DB8">
      <w:pPr>
        <w:spacing w:line="220" w:lineRule="exact"/>
        <w:ind w:left="1138" w:right="1138" w:hanging="228"/>
        <w:rPr>
          <w:color w:val="676767"/>
          <w:sz w:val="18"/>
          <w:szCs w:val="18"/>
          <w:highlight w:val="yellow"/>
          <w:lang w:eastAsia="fr-FR"/>
        </w:rPr>
      </w:pPr>
      <w:r w:rsidRPr="002D31A9">
        <w:rPr>
          <w:rStyle w:val="FootnoteReference"/>
          <w:szCs w:val="18"/>
        </w:rPr>
        <w:footnoteRef/>
      </w:r>
      <w:r w:rsidRPr="00CE3CD0">
        <w:rPr>
          <w:sz w:val="18"/>
          <w:szCs w:val="18"/>
        </w:rPr>
        <w:t xml:space="preserve"> </w:t>
      </w:r>
      <w:r>
        <w:rPr>
          <w:sz w:val="18"/>
          <w:szCs w:val="18"/>
        </w:rPr>
        <w:t>T0446</w:t>
      </w:r>
      <w:r w:rsidRPr="00CE3CD0">
        <w:rPr>
          <w:sz w:val="18"/>
          <w:szCs w:val="18"/>
        </w:rPr>
        <w:t xml:space="preserve">, </w:t>
      </w:r>
      <w:r>
        <w:rPr>
          <w:sz w:val="18"/>
          <w:szCs w:val="18"/>
        </w:rPr>
        <w:t>T0235</w:t>
      </w:r>
      <w:r w:rsidRPr="00CE3CD0">
        <w:rPr>
          <w:sz w:val="18"/>
          <w:szCs w:val="18"/>
        </w:rPr>
        <w:t xml:space="preserve">, T0391, </w:t>
      </w:r>
      <w:r>
        <w:rPr>
          <w:sz w:val="18"/>
          <w:szCs w:val="18"/>
        </w:rPr>
        <w:t>T0130</w:t>
      </w:r>
      <w:r w:rsidRPr="00CE3CD0">
        <w:rPr>
          <w:sz w:val="18"/>
          <w:szCs w:val="18"/>
        </w:rPr>
        <w:t xml:space="preserve">, </w:t>
      </w:r>
      <w:r>
        <w:rPr>
          <w:sz w:val="18"/>
          <w:szCs w:val="18"/>
        </w:rPr>
        <w:t>T0230</w:t>
      </w:r>
      <w:r w:rsidRPr="00CE3CD0">
        <w:rPr>
          <w:color w:val="676767"/>
          <w:sz w:val="18"/>
          <w:szCs w:val="18"/>
          <w:lang w:eastAsia="fr-FR"/>
        </w:rPr>
        <w:t>.</w:t>
      </w:r>
    </w:p>
  </w:footnote>
  <w:footnote w:id="490">
    <w:p w14:paraId="3BBDDC2F" w14:textId="47CE6096" w:rsidR="004E119B" w:rsidRPr="00CE3CD0" w:rsidRDefault="004E119B" w:rsidP="006B1DB8">
      <w:pPr>
        <w:pStyle w:val="FootnoteText"/>
        <w:ind w:left="1138" w:right="1138" w:hanging="228"/>
        <w:jc w:val="left"/>
        <w:rPr>
          <w:szCs w:val="18"/>
        </w:rPr>
      </w:pPr>
      <w:r w:rsidRPr="002D31A9">
        <w:rPr>
          <w:rStyle w:val="FootnoteReference"/>
          <w:szCs w:val="18"/>
        </w:rPr>
        <w:footnoteRef/>
      </w:r>
      <w:r w:rsidRPr="00CE3CD0">
        <w:rPr>
          <w:szCs w:val="18"/>
        </w:rPr>
        <w:t xml:space="preserve"> T0235, </w:t>
      </w:r>
      <w:r>
        <w:rPr>
          <w:szCs w:val="18"/>
        </w:rPr>
        <w:t>T0230</w:t>
      </w:r>
      <w:r w:rsidRPr="00CE3CD0">
        <w:rPr>
          <w:szCs w:val="18"/>
        </w:rPr>
        <w:t>.</w:t>
      </w:r>
    </w:p>
  </w:footnote>
  <w:footnote w:id="491">
    <w:p w14:paraId="7DB4C8F8" w14:textId="0D2D06E0" w:rsidR="004E119B" w:rsidRPr="001A302E" w:rsidRDefault="004E119B" w:rsidP="006B1DB8">
      <w:pPr>
        <w:spacing w:line="220" w:lineRule="exact"/>
        <w:ind w:left="1138" w:right="1138" w:hanging="228"/>
        <w:rPr>
          <w:sz w:val="18"/>
          <w:szCs w:val="18"/>
        </w:rPr>
      </w:pPr>
      <w:r w:rsidRPr="002D31A9">
        <w:rPr>
          <w:rStyle w:val="FootnoteReference"/>
          <w:szCs w:val="18"/>
        </w:rPr>
        <w:footnoteRef/>
      </w:r>
      <w:r w:rsidRPr="001A302E">
        <w:rPr>
          <w:sz w:val="18"/>
          <w:szCs w:val="18"/>
        </w:rPr>
        <w:t xml:space="preserve"> T0394. </w:t>
      </w:r>
    </w:p>
  </w:footnote>
  <w:footnote w:id="492">
    <w:p w14:paraId="1B8EC064" w14:textId="130B865F" w:rsidR="004E119B" w:rsidRPr="001A302E" w:rsidRDefault="004E119B" w:rsidP="006B1DB8">
      <w:pPr>
        <w:pStyle w:val="FootnoteText"/>
        <w:ind w:left="1138" w:right="1138" w:hanging="228"/>
        <w:jc w:val="left"/>
        <w:rPr>
          <w:szCs w:val="18"/>
        </w:rPr>
      </w:pPr>
      <w:r w:rsidRPr="002D31A9">
        <w:rPr>
          <w:rStyle w:val="FootnoteReference"/>
          <w:szCs w:val="18"/>
        </w:rPr>
        <w:footnoteRef/>
      </w:r>
      <w:r w:rsidRPr="001A302E">
        <w:rPr>
          <w:szCs w:val="18"/>
        </w:rPr>
        <w:t xml:space="preserve"> </w:t>
      </w:r>
      <w:r>
        <w:rPr>
          <w:szCs w:val="18"/>
        </w:rPr>
        <w:t>T0130</w:t>
      </w:r>
      <w:r w:rsidRPr="001A302E">
        <w:rPr>
          <w:szCs w:val="18"/>
        </w:rPr>
        <w:t>, T0230.</w:t>
      </w:r>
    </w:p>
  </w:footnote>
  <w:footnote w:id="493">
    <w:p w14:paraId="4E777E31" w14:textId="743D2E9C" w:rsidR="004E119B" w:rsidRPr="00CE3CD0" w:rsidRDefault="004E119B" w:rsidP="006B1DB8">
      <w:pPr>
        <w:pStyle w:val="FootnoteText"/>
        <w:ind w:left="1138" w:right="1138" w:hanging="228"/>
        <w:jc w:val="left"/>
        <w:rPr>
          <w:szCs w:val="18"/>
        </w:rPr>
      </w:pPr>
      <w:r w:rsidRPr="002D31A9">
        <w:rPr>
          <w:rStyle w:val="FootnoteReference"/>
          <w:szCs w:val="18"/>
        </w:rPr>
        <w:footnoteRef/>
      </w:r>
      <w:r w:rsidRPr="00CE3CD0">
        <w:rPr>
          <w:szCs w:val="18"/>
        </w:rPr>
        <w:t xml:space="preserve"> </w:t>
      </w:r>
      <w:r>
        <w:rPr>
          <w:szCs w:val="18"/>
        </w:rPr>
        <w:t>T0091</w:t>
      </w:r>
      <w:r w:rsidRPr="00CE3CD0">
        <w:rPr>
          <w:szCs w:val="18"/>
        </w:rPr>
        <w:t>, T0446.</w:t>
      </w:r>
    </w:p>
  </w:footnote>
  <w:footnote w:id="494">
    <w:p w14:paraId="5930EAAD" w14:textId="66D0FDA7" w:rsidR="004E119B" w:rsidRPr="00CE3CD0" w:rsidRDefault="004E119B" w:rsidP="006B1DB8">
      <w:pPr>
        <w:pStyle w:val="FootnoteText"/>
        <w:ind w:left="1138" w:right="1138" w:hanging="228"/>
        <w:jc w:val="left"/>
        <w:rPr>
          <w:szCs w:val="18"/>
        </w:rPr>
      </w:pPr>
      <w:r w:rsidRPr="002D31A9">
        <w:rPr>
          <w:rStyle w:val="FootnoteReference"/>
          <w:szCs w:val="18"/>
        </w:rPr>
        <w:footnoteRef/>
      </w:r>
      <w:r w:rsidRPr="00CE3CD0">
        <w:rPr>
          <w:szCs w:val="18"/>
        </w:rPr>
        <w:t xml:space="preserve"> </w:t>
      </w:r>
      <w:r>
        <w:rPr>
          <w:szCs w:val="18"/>
        </w:rPr>
        <w:t>T0091</w:t>
      </w:r>
      <w:r w:rsidRPr="00CE3CD0">
        <w:rPr>
          <w:szCs w:val="18"/>
        </w:rPr>
        <w:t xml:space="preserve">, </w:t>
      </w:r>
      <w:r>
        <w:rPr>
          <w:szCs w:val="18"/>
        </w:rPr>
        <w:t>T0446</w:t>
      </w:r>
      <w:r w:rsidRPr="00CE3CD0">
        <w:rPr>
          <w:szCs w:val="18"/>
        </w:rPr>
        <w:t xml:space="preserve">, T0235, </w:t>
      </w:r>
      <w:r>
        <w:rPr>
          <w:szCs w:val="18"/>
        </w:rPr>
        <w:t>T0130</w:t>
      </w:r>
      <w:r w:rsidRPr="00CE3CD0">
        <w:rPr>
          <w:szCs w:val="18"/>
        </w:rPr>
        <w:t xml:space="preserve">, </w:t>
      </w:r>
      <w:r>
        <w:rPr>
          <w:szCs w:val="18"/>
        </w:rPr>
        <w:t>T0230</w:t>
      </w:r>
      <w:r w:rsidRPr="00CE3CD0">
        <w:rPr>
          <w:szCs w:val="18"/>
        </w:rPr>
        <w:t>.</w:t>
      </w:r>
    </w:p>
  </w:footnote>
  <w:footnote w:id="495">
    <w:p w14:paraId="44A7D6A0" w14:textId="3E07590B" w:rsidR="004E119B" w:rsidRPr="00B50F59" w:rsidRDefault="004E119B" w:rsidP="006B1DB8">
      <w:pPr>
        <w:pStyle w:val="FootnoteText"/>
        <w:ind w:left="1138" w:right="1138" w:hanging="228"/>
        <w:jc w:val="left"/>
        <w:rPr>
          <w:szCs w:val="18"/>
        </w:rPr>
      </w:pPr>
      <w:r w:rsidRPr="002D31A9">
        <w:rPr>
          <w:rStyle w:val="FootnoteReference"/>
          <w:szCs w:val="18"/>
        </w:rPr>
        <w:footnoteRef/>
      </w:r>
      <w:r w:rsidRPr="00B50F59">
        <w:rPr>
          <w:szCs w:val="18"/>
        </w:rPr>
        <w:t xml:space="preserve"> T0230.</w:t>
      </w:r>
    </w:p>
  </w:footnote>
  <w:footnote w:id="496">
    <w:p w14:paraId="75E1818D" w14:textId="0F908F7F" w:rsidR="004E119B" w:rsidRPr="00B50F59" w:rsidRDefault="004E119B" w:rsidP="006B1DB8">
      <w:pPr>
        <w:pStyle w:val="FootnoteText"/>
        <w:ind w:left="1152" w:right="1138" w:hanging="245"/>
        <w:jc w:val="left"/>
        <w:rPr>
          <w:szCs w:val="18"/>
        </w:rPr>
      </w:pPr>
      <w:r w:rsidRPr="002D31A9">
        <w:rPr>
          <w:rStyle w:val="FootnoteReference"/>
          <w:szCs w:val="18"/>
        </w:rPr>
        <w:footnoteRef/>
      </w:r>
      <w:r w:rsidRPr="00B50F59">
        <w:rPr>
          <w:szCs w:val="18"/>
        </w:rPr>
        <w:t xml:space="preserve"> T0235.</w:t>
      </w:r>
    </w:p>
  </w:footnote>
  <w:footnote w:id="497">
    <w:p w14:paraId="6733FEB9" w14:textId="1F1AC4A0" w:rsidR="004E119B" w:rsidRPr="00B50F59" w:rsidRDefault="004E119B" w:rsidP="006B1DB8">
      <w:pPr>
        <w:pStyle w:val="FootnoteText"/>
        <w:ind w:left="1138" w:right="1138" w:hanging="228"/>
        <w:jc w:val="left"/>
        <w:rPr>
          <w:szCs w:val="18"/>
        </w:rPr>
      </w:pPr>
      <w:r w:rsidRPr="002D31A9">
        <w:rPr>
          <w:rStyle w:val="FootnoteReference"/>
          <w:szCs w:val="18"/>
        </w:rPr>
        <w:footnoteRef/>
      </w:r>
      <w:r w:rsidRPr="00B50F59">
        <w:rPr>
          <w:szCs w:val="18"/>
        </w:rPr>
        <w:t xml:space="preserve"> T0391.</w:t>
      </w:r>
    </w:p>
  </w:footnote>
  <w:footnote w:id="498">
    <w:p w14:paraId="50BFECD4" w14:textId="62C54693" w:rsidR="004E119B" w:rsidRPr="00B50F59" w:rsidRDefault="004E119B" w:rsidP="006B1DB8">
      <w:pPr>
        <w:pStyle w:val="FootnoteText"/>
        <w:ind w:left="1138" w:right="1138" w:hanging="228"/>
        <w:jc w:val="left"/>
        <w:rPr>
          <w:szCs w:val="18"/>
        </w:rPr>
      </w:pPr>
      <w:r w:rsidRPr="002D31A9">
        <w:rPr>
          <w:rStyle w:val="FootnoteReference"/>
          <w:szCs w:val="18"/>
        </w:rPr>
        <w:footnoteRef/>
      </w:r>
      <w:r w:rsidRPr="00B50F59">
        <w:rPr>
          <w:szCs w:val="18"/>
        </w:rPr>
        <w:t xml:space="preserve"> T0130.</w:t>
      </w:r>
    </w:p>
  </w:footnote>
  <w:footnote w:id="499">
    <w:p w14:paraId="6DED50E3" w14:textId="6A62D595" w:rsidR="004E119B" w:rsidRPr="00B50F59" w:rsidRDefault="004E119B" w:rsidP="006B1DB8">
      <w:pPr>
        <w:pStyle w:val="FootnoteText"/>
        <w:ind w:left="1138" w:right="1138" w:hanging="228"/>
        <w:jc w:val="left"/>
        <w:rPr>
          <w:szCs w:val="18"/>
        </w:rPr>
      </w:pPr>
      <w:r w:rsidRPr="002D31A9">
        <w:rPr>
          <w:rStyle w:val="FootnoteReference"/>
          <w:szCs w:val="18"/>
        </w:rPr>
        <w:footnoteRef/>
      </w:r>
      <w:r w:rsidRPr="00B50F59">
        <w:rPr>
          <w:szCs w:val="18"/>
        </w:rPr>
        <w:t xml:space="preserve"> T0135, T0391.</w:t>
      </w:r>
    </w:p>
  </w:footnote>
  <w:footnote w:id="500">
    <w:p w14:paraId="4445066E" w14:textId="1AF19F3B" w:rsidR="004E119B" w:rsidRPr="002D31A9" w:rsidRDefault="004E119B" w:rsidP="006B1DB8">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T0227</w:t>
      </w:r>
      <w:r w:rsidRPr="002D31A9">
        <w:rPr>
          <w:szCs w:val="18"/>
        </w:rPr>
        <w:t>.</w:t>
      </w:r>
    </w:p>
  </w:footnote>
  <w:footnote w:id="501">
    <w:p w14:paraId="27148E71" w14:textId="1DD1601B" w:rsidR="004E119B" w:rsidRPr="002D31A9" w:rsidRDefault="004E119B" w:rsidP="006B1DB8">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T0135</w:t>
      </w:r>
      <w:r w:rsidRPr="002D31A9">
        <w:rPr>
          <w:szCs w:val="18"/>
        </w:rPr>
        <w:t>.</w:t>
      </w:r>
    </w:p>
  </w:footnote>
  <w:footnote w:id="502">
    <w:p w14:paraId="5AA94EC7" w14:textId="19F7D5AF" w:rsidR="004E119B" w:rsidRPr="002D31A9" w:rsidRDefault="004E119B" w:rsidP="006B1DB8">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T0443</w:t>
      </w:r>
      <w:r w:rsidRPr="002D31A9">
        <w:rPr>
          <w:szCs w:val="18"/>
        </w:rPr>
        <w:t>.</w:t>
      </w:r>
    </w:p>
  </w:footnote>
  <w:footnote w:id="503">
    <w:p w14:paraId="2C401E4E" w14:textId="546A7011" w:rsidR="004E119B" w:rsidRPr="002D31A9" w:rsidRDefault="004E119B" w:rsidP="006B1DB8">
      <w:pPr>
        <w:pStyle w:val="FootnoteText"/>
        <w:ind w:left="1138" w:right="1138" w:hanging="228"/>
        <w:jc w:val="left"/>
        <w:rPr>
          <w:szCs w:val="18"/>
        </w:rPr>
      </w:pPr>
      <w:r w:rsidRPr="002D31A9">
        <w:rPr>
          <w:rStyle w:val="FootnoteReference"/>
          <w:szCs w:val="18"/>
        </w:rPr>
        <w:footnoteRef/>
      </w:r>
      <w:r w:rsidRPr="002D31A9">
        <w:rPr>
          <w:szCs w:val="18"/>
        </w:rPr>
        <w:t xml:space="preserve"> Voir par exemple, </w:t>
      </w:r>
      <w:r>
        <w:rPr>
          <w:szCs w:val="18"/>
        </w:rPr>
        <w:t>T0350 (poste frontière de Kale</w:t>
      </w:r>
      <w:r w:rsidRPr="002D31A9">
        <w:rPr>
          <w:szCs w:val="18"/>
        </w:rPr>
        <w:t>mba-Mbuji).</w:t>
      </w:r>
    </w:p>
  </w:footnote>
  <w:footnote w:id="504">
    <w:p w14:paraId="32D77366" w14:textId="31528424" w:rsidR="004E119B" w:rsidRPr="002D31A9" w:rsidRDefault="004E119B" w:rsidP="006B1DB8">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T0323</w:t>
      </w:r>
      <w:r w:rsidRPr="002D31A9">
        <w:rPr>
          <w:szCs w:val="18"/>
        </w:rPr>
        <w:t>.</w:t>
      </w:r>
    </w:p>
  </w:footnote>
  <w:footnote w:id="505">
    <w:p w14:paraId="0E72DA76" w14:textId="176AF824" w:rsidR="004E119B" w:rsidRPr="006E341A"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2D31A9">
        <w:rPr>
          <w:szCs w:val="18"/>
        </w:rPr>
        <w:t xml:space="preserve"> </w:t>
      </w:r>
      <w:r>
        <w:rPr>
          <w:szCs w:val="18"/>
        </w:rPr>
        <w:t>T0217</w:t>
      </w:r>
      <w:r w:rsidRPr="00840539">
        <w:rPr>
          <w:szCs w:val="18"/>
        </w:rPr>
        <w:t xml:space="preserve">, </w:t>
      </w:r>
      <w:r>
        <w:rPr>
          <w:szCs w:val="18"/>
        </w:rPr>
        <w:t>T0264</w:t>
      </w:r>
      <w:r w:rsidRPr="00840539">
        <w:rPr>
          <w:szCs w:val="18"/>
        </w:rPr>
        <w:t xml:space="preserve"> (village de Lubami Monga)</w:t>
      </w:r>
      <w:r>
        <w:rPr>
          <w:szCs w:val="18"/>
        </w:rPr>
        <w:t>,</w:t>
      </w:r>
      <w:r w:rsidRPr="00840539">
        <w:rPr>
          <w:szCs w:val="18"/>
        </w:rPr>
        <w:t xml:space="preserve"> </w:t>
      </w:r>
      <w:r>
        <w:rPr>
          <w:szCs w:val="18"/>
        </w:rPr>
        <w:t>T0285</w:t>
      </w:r>
      <w:r w:rsidRPr="00840539">
        <w:rPr>
          <w:szCs w:val="18"/>
        </w:rPr>
        <w:t xml:space="preserve">, </w:t>
      </w:r>
      <w:r>
        <w:rPr>
          <w:szCs w:val="18"/>
        </w:rPr>
        <w:t>T0031</w:t>
      </w:r>
      <w:r w:rsidRPr="00840539">
        <w:rPr>
          <w:szCs w:val="18"/>
        </w:rPr>
        <w:t xml:space="preserve">, </w:t>
      </w:r>
      <w:r>
        <w:rPr>
          <w:szCs w:val="18"/>
        </w:rPr>
        <w:t>T0282</w:t>
      </w:r>
      <w:r w:rsidRPr="00840539">
        <w:rPr>
          <w:szCs w:val="18"/>
        </w:rPr>
        <w:t xml:space="preserve">, </w:t>
      </w:r>
      <w:r>
        <w:rPr>
          <w:szCs w:val="18"/>
        </w:rPr>
        <w:t>T0404</w:t>
      </w:r>
      <w:r w:rsidRPr="00840539">
        <w:rPr>
          <w:szCs w:val="18"/>
        </w:rPr>
        <w:t xml:space="preserve">, </w:t>
      </w:r>
      <w:r>
        <w:rPr>
          <w:szCs w:val="18"/>
        </w:rPr>
        <w:t>T0285</w:t>
      </w:r>
      <w:r w:rsidRPr="00840539">
        <w:rPr>
          <w:szCs w:val="18"/>
        </w:rPr>
        <w:t xml:space="preserve"> (Village de Sumbula)</w:t>
      </w:r>
      <w:r>
        <w:rPr>
          <w:szCs w:val="18"/>
        </w:rPr>
        <w:t>,</w:t>
      </w:r>
      <w:r w:rsidRPr="00840539">
        <w:rPr>
          <w:szCs w:val="18"/>
        </w:rPr>
        <w:t xml:space="preserve"> </w:t>
      </w:r>
      <w:r>
        <w:rPr>
          <w:szCs w:val="18"/>
        </w:rPr>
        <w:t>T0411</w:t>
      </w:r>
      <w:r w:rsidRPr="00840539">
        <w:rPr>
          <w:szCs w:val="18"/>
        </w:rPr>
        <w:t xml:space="preserve"> (village de Mayimbi)</w:t>
      </w:r>
      <w:r>
        <w:rPr>
          <w:szCs w:val="18"/>
        </w:rPr>
        <w:t>,</w:t>
      </w:r>
      <w:r w:rsidRPr="00840539">
        <w:rPr>
          <w:szCs w:val="18"/>
        </w:rPr>
        <w:t xml:space="preserve"> </w:t>
      </w:r>
      <w:r>
        <w:rPr>
          <w:szCs w:val="18"/>
        </w:rPr>
        <w:t>T0105,</w:t>
      </w:r>
      <w:r w:rsidRPr="00840539">
        <w:rPr>
          <w:szCs w:val="18"/>
        </w:rPr>
        <w:t xml:space="preserve"> </w:t>
      </w:r>
      <w:r>
        <w:rPr>
          <w:szCs w:val="18"/>
        </w:rPr>
        <w:t>T0043</w:t>
      </w:r>
      <w:r w:rsidRPr="00840539">
        <w:rPr>
          <w:szCs w:val="18"/>
        </w:rPr>
        <w:t xml:space="preserve"> (village de Ngombe)</w:t>
      </w:r>
      <w:r>
        <w:rPr>
          <w:szCs w:val="18"/>
        </w:rPr>
        <w:t>,</w:t>
      </w:r>
      <w:r w:rsidRPr="00840539">
        <w:rPr>
          <w:szCs w:val="18"/>
        </w:rPr>
        <w:t xml:space="preserve"> </w:t>
      </w:r>
      <w:r>
        <w:rPr>
          <w:szCs w:val="18"/>
        </w:rPr>
        <w:t>T0434</w:t>
      </w:r>
      <w:r w:rsidRPr="00840539">
        <w:rPr>
          <w:szCs w:val="18"/>
        </w:rPr>
        <w:t xml:space="preserve">, </w:t>
      </w:r>
      <w:r>
        <w:rPr>
          <w:szCs w:val="18"/>
        </w:rPr>
        <w:t>T0341</w:t>
      </w:r>
      <w:r w:rsidRPr="00840539">
        <w:rPr>
          <w:szCs w:val="18"/>
        </w:rPr>
        <w:t xml:space="preserve">, </w:t>
      </w:r>
      <w:r>
        <w:rPr>
          <w:szCs w:val="18"/>
        </w:rPr>
        <w:t>T0233</w:t>
      </w:r>
      <w:r w:rsidRPr="00840539">
        <w:rPr>
          <w:szCs w:val="18"/>
        </w:rPr>
        <w:t xml:space="preserve"> (village de Lupemba)</w:t>
      </w:r>
      <w:r>
        <w:rPr>
          <w:szCs w:val="18"/>
        </w:rPr>
        <w:t>,</w:t>
      </w:r>
      <w:r w:rsidRPr="00840539">
        <w:rPr>
          <w:szCs w:val="18"/>
        </w:rPr>
        <w:t xml:space="preserve"> </w:t>
      </w:r>
      <w:r>
        <w:rPr>
          <w:szCs w:val="18"/>
        </w:rPr>
        <w:t>T0210</w:t>
      </w:r>
      <w:r w:rsidRPr="00840539">
        <w:rPr>
          <w:szCs w:val="18"/>
        </w:rPr>
        <w:t xml:space="preserve"> (village de Kalamba Mununga)</w:t>
      </w:r>
      <w:r>
        <w:rPr>
          <w:szCs w:val="18"/>
        </w:rPr>
        <w:t>,</w:t>
      </w:r>
      <w:r w:rsidRPr="00840539">
        <w:rPr>
          <w:szCs w:val="18"/>
        </w:rPr>
        <w:t xml:space="preserve"> </w:t>
      </w:r>
      <w:r>
        <w:rPr>
          <w:szCs w:val="18"/>
        </w:rPr>
        <w:t>T0412</w:t>
      </w:r>
      <w:r w:rsidRPr="00840539">
        <w:rPr>
          <w:szCs w:val="18"/>
        </w:rPr>
        <w:t xml:space="preserve"> (village de </w:t>
      </w:r>
      <w:r w:rsidRPr="006E341A">
        <w:rPr>
          <w:szCs w:val="18"/>
          <w:lang w:eastAsia="fr-FR"/>
        </w:rPr>
        <w:t>Kamanbamdji)</w:t>
      </w:r>
      <w:r w:rsidRPr="006E341A">
        <w:rPr>
          <w:szCs w:val="18"/>
        </w:rPr>
        <w:t>.</w:t>
      </w:r>
    </w:p>
  </w:footnote>
  <w:footnote w:id="506">
    <w:p w14:paraId="6733A281" w14:textId="4321AF55" w:rsidR="004E119B" w:rsidRPr="006956C5" w:rsidRDefault="004E119B" w:rsidP="006B1DB8">
      <w:pPr>
        <w:pStyle w:val="FootnoteText"/>
        <w:ind w:left="1138" w:right="1138" w:hanging="228"/>
        <w:jc w:val="left"/>
        <w:rPr>
          <w:szCs w:val="18"/>
        </w:rPr>
      </w:pPr>
      <w:r w:rsidRPr="002D31A9">
        <w:rPr>
          <w:rStyle w:val="FootnoteReference"/>
          <w:szCs w:val="18"/>
        </w:rPr>
        <w:footnoteRef/>
      </w:r>
      <w:r w:rsidRPr="006956C5">
        <w:rPr>
          <w:szCs w:val="18"/>
        </w:rPr>
        <w:t xml:space="preserve"> </w:t>
      </w:r>
      <w:r>
        <w:rPr>
          <w:szCs w:val="18"/>
        </w:rPr>
        <w:t>T0217</w:t>
      </w:r>
      <w:r w:rsidRPr="006956C5">
        <w:rPr>
          <w:szCs w:val="18"/>
        </w:rPr>
        <w:t>, T0128.</w:t>
      </w:r>
    </w:p>
  </w:footnote>
  <w:footnote w:id="507">
    <w:p w14:paraId="42EE0D33" w14:textId="3354892C" w:rsidR="004E119B" w:rsidRPr="00633737"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633737">
        <w:rPr>
          <w:szCs w:val="18"/>
        </w:rPr>
        <w:t xml:space="preserve"> </w:t>
      </w:r>
      <w:r>
        <w:rPr>
          <w:szCs w:val="18"/>
        </w:rPr>
        <w:t>T0408</w:t>
      </w:r>
      <w:r w:rsidRPr="00633737">
        <w:rPr>
          <w:szCs w:val="18"/>
        </w:rPr>
        <w:t xml:space="preserve">, </w:t>
      </w:r>
      <w:r>
        <w:rPr>
          <w:szCs w:val="18"/>
        </w:rPr>
        <w:t>T0169</w:t>
      </w:r>
      <w:r w:rsidRPr="00633737">
        <w:rPr>
          <w:szCs w:val="18"/>
        </w:rPr>
        <w:t xml:space="preserve">, </w:t>
      </w:r>
      <w:r>
        <w:rPr>
          <w:szCs w:val="18"/>
        </w:rPr>
        <w:t>T0179</w:t>
      </w:r>
      <w:r w:rsidRPr="00633737">
        <w:rPr>
          <w:szCs w:val="18"/>
        </w:rPr>
        <w:t xml:space="preserve">, T0281, </w:t>
      </w:r>
      <w:r>
        <w:rPr>
          <w:szCs w:val="18"/>
        </w:rPr>
        <w:t>T0297</w:t>
      </w:r>
      <w:r w:rsidRPr="00633737">
        <w:rPr>
          <w:szCs w:val="18"/>
        </w:rPr>
        <w:t>, T0452.</w:t>
      </w:r>
    </w:p>
  </w:footnote>
  <w:footnote w:id="508">
    <w:p w14:paraId="417D2B4E" w14:textId="2E2343F3" w:rsidR="004E119B" w:rsidRPr="002D31A9" w:rsidRDefault="004E119B" w:rsidP="006B1DB8">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T0179</w:t>
      </w:r>
      <w:r w:rsidRPr="002D31A9">
        <w:rPr>
          <w:szCs w:val="18"/>
        </w:rPr>
        <w:t>.</w:t>
      </w:r>
    </w:p>
  </w:footnote>
  <w:footnote w:id="509">
    <w:p w14:paraId="79F317A3" w14:textId="0A32EB37" w:rsidR="004E119B" w:rsidRPr="002D31A9" w:rsidRDefault="004E119B" w:rsidP="006B1DB8">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T0179</w:t>
      </w:r>
    </w:p>
  </w:footnote>
  <w:footnote w:id="510">
    <w:p w14:paraId="7DDED347" w14:textId="4A3E3631" w:rsidR="004E119B" w:rsidRPr="00840539" w:rsidRDefault="004E119B" w:rsidP="006B1DB8">
      <w:pPr>
        <w:pStyle w:val="FootnoteText"/>
        <w:ind w:left="1152" w:right="1138" w:hanging="245"/>
        <w:jc w:val="left"/>
        <w:rPr>
          <w:szCs w:val="18"/>
        </w:rPr>
      </w:pPr>
      <w:r w:rsidRPr="002D31A9">
        <w:rPr>
          <w:rStyle w:val="FootnoteReference"/>
          <w:szCs w:val="18"/>
        </w:rPr>
        <w:footnoteRef/>
      </w:r>
      <w:r w:rsidRPr="002D31A9">
        <w:rPr>
          <w:szCs w:val="18"/>
        </w:rPr>
        <w:t xml:space="preserve"> Par exemple </w:t>
      </w:r>
      <w:r>
        <w:rPr>
          <w:szCs w:val="18"/>
        </w:rPr>
        <w:t>T0196</w:t>
      </w:r>
      <w:r w:rsidRPr="00840539">
        <w:rPr>
          <w:szCs w:val="18"/>
        </w:rPr>
        <w:t xml:space="preserve"> (village de Bwalu Kai)</w:t>
      </w:r>
      <w:r>
        <w:rPr>
          <w:szCs w:val="18"/>
        </w:rPr>
        <w:t>,</w:t>
      </w:r>
      <w:r w:rsidRPr="00840539">
        <w:rPr>
          <w:szCs w:val="18"/>
        </w:rPr>
        <w:t xml:space="preserve"> </w:t>
      </w:r>
      <w:r>
        <w:rPr>
          <w:szCs w:val="18"/>
        </w:rPr>
        <w:t>T0077</w:t>
      </w:r>
      <w:r w:rsidRPr="00840539">
        <w:rPr>
          <w:szCs w:val="18"/>
        </w:rPr>
        <w:t xml:space="preserve"> (village de Kilolo)</w:t>
      </w:r>
      <w:r>
        <w:rPr>
          <w:szCs w:val="18"/>
        </w:rPr>
        <w:t>,</w:t>
      </w:r>
      <w:r w:rsidRPr="00840539">
        <w:rPr>
          <w:szCs w:val="18"/>
        </w:rPr>
        <w:t xml:space="preserve"> </w:t>
      </w:r>
      <w:r>
        <w:rPr>
          <w:szCs w:val="18"/>
        </w:rPr>
        <w:t>T0009</w:t>
      </w:r>
      <w:r w:rsidRPr="00840539">
        <w:rPr>
          <w:szCs w:val="18"/>
        </w:rPr>
        <w:t xml:space="preserve"> (Forêt de Botsha à la frontière avec l’Angola).</w:t>
      </w:r>
    </w:p>
  </w:footnote>
  <w:footnote w:id="511">
    <w:p w14:paraId="685C4FCA" w14:textId="23A08DBD" w:rsidR="004E119B" w:rsidRPr="00B50F59" w:rsidRDefault="004E119B" w:rsidP="006B1DB8">
      <w:pPr>
        <w:pStyle w:val="FootnoteText"/>
        <w:ind w:left="1138" w:right="1138" w:hanging="228"/>
        <w:jc w:val="left"/>
        <w:rPr>
          <w:szCs w:val="18"/>
        </w:rPr>
      </w:pPr>
      <w:r w:rsidRPr="002D31A9">
        <w:rPr>
          <w:rStyle w:val="FootnoteReference"/>
          <w:szCs w:val="18"/>
        </w:rPr>
        <w:footnoteRef/>
      </w:r>
      <w:r w:rsidRPr="00B50F59">
        <w:rPr>
          <w:szCs w:val="18"/>
        </w:rPr>
        <w:t xml:space="preserve"> T0077.</w:t>
      </w:r>
    </w:p>
  </w:footnote>
  <w:footnote w:id="512">
    <w:p w14:paraId="386DE21B" w14:textId="08789F82" w:rsidR="004E119B" w:rsidRPr="00633737" w:rsidRDefault="004E119B" w:rsidP="006B1DB8">
      <w:pPr>
        <w:pStyle w:val="FootnoteText"/>
        <w:ind w:left="1138" w:right="1138" w:hanging="228"/>
        <w:jc w:val="left"/>
        <w:rPr>
          <w:szCs w:val="18"/>
        </w:rPr>
      </w:pPr>
      <w:r w:rsidRPr="002D31A9">
        <w:rPr>
          <w:rStyle w:val="FootnoteReference"/>
          <w:szCs w:val="18"/>
        </w:rPr>
        <w:footnoteRef/>
      </w:r>
      <w:r w:rsidRPr="00633737">
        <w:rPr>
          <w:szCs w:val="18"/>
        </w:rPr>
        <w:t xml:space="preserve"> </w:t>
      </w:r>
      <w:r>
        <w:rPr>
          <w:szCs w:val="18"/>
        </w:rPr>
        <w:t>T0128</w:t>
      </w:r>
      <w:r w:rsidRPr="00633737">
        <w:rPr>
          <w:szCs w:val="18"/>
        </w:rPr>
        <w:t xml:space="preserve">, T0386, </w:t>
      </w:r>
      <w:r>
        <w:rPr>
          <w:szCs w:val="18"/>
        </w:rPr>
        <w:t>T0385</w:t>
      </w:r>
      <w:r w:rsidRPr="00633737">
        <w:rPr>
          <w:szCs w:val="18"/>
        </w:rPr>
        <w:t xml:space="preserve">, </w:t>
      </w:r>
      <w:r>
        <w:rPr>
          <w:szCs w:val="18"/>
        </w:rPr>
        <w:t>T0247</w:t>
      </w:r>
      <w:r w:rsidRPr="00633737">
        <w:rPr>
          <w:szCs w:val="18"/>
        </w:rPr>
        <w:t>.</w:t>
      </w:r>
    </w:p>
  </w:footnote>
  <w:footnote w:id="513">
    <w:p w14:paraId="6A880AF6" w14:textId="10238AD1" w:rsidR="004E119B" w:rsidRPr="002D31A9" w:rsidRDefault="004E119B" w:rsidP="006B1DB8">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T0386</w:t>
      </w:r>
      <w:r w:rsidRPr="002D31A9">
        <w:rPr>
          <w:szCs w:val="18"/>
        </w:rPr>
        <w:t xml:space="preserve">, </w:t>
      </w:r>
      <w:r>
        <w:rPr>
          <w:szCs w:val="18"/>
        </w:rPr>
        <w:t>T0385</w:t>
      </w:r>
      <w:r w:rsidRPr="002D31A9">
        <w:rPr>
          <w:szCs w:val="18"/>
        </w:rPr>
        <w:t>.</w:t>
      </w:r>
    </w:p>
  </w:footnote>
  <w:footnote w:id="514">
    <w:p w14:paraId="00196174" w14:textId="41A613A7" w:rsidR="004E119B" w:rsidRPr="002D31A9" w:rsidRDefault="004E119B" w:rsidP="006B1DB8">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T0247</w:t>
      </w:r>
      <w:r w:rsidRPr="002D31A9">
        <w:rPr>
          <w:szCs w:val="18"/>
        </w:rPr>
        <w:t>.</w:t>
      </w:r>
    </w:p>
  </w:footnote>
  <w:footnote w:id="515">
    <w:p w14:paraId="68BC49B3" w14:textId="2AF52566" w:rsidR="004E119B" w:rsidRPr="006E341A"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2D31A9">
        <w:rPr>
          <w:szCs w:val="18"/>
        </w:rPr>
        <w:t xml:space="preserve"> Par exemple, </w:t>
      </w:r>
      <w:r>
        <w:rPr>
          <w:szCs w:val="18"/>
        </w:rPr>
        <w:t>T0274</w:t>
      </w:r>
      <w:r w:rsidRPr="002D31A9">
        <w:rPr>
          <w:szCs w:val="18"/>
        </w:rPr>
        <w:t xml:space="preserve"> (forêt de Shampotre)</w:t>
      </w:r>
      <w:r>
        <w:rPr>
          <w:szCs w:val="18"/>
        </w:rPr>
        <w:t>,</w:t>
      </w:r>
      <w:r w:rsidRPr="00840539">
        <w:rPr>
          <w:szCs w:val="18"/>
        </w:rPr>
        <w:t xml:space="preserve"> </w:t>
      </w:r>
      <w:r>
        <w:rPr>
          <w:szCs w:val="18"/>
        </w:rPr>
        <w:t>T0128</w:t>
      </w:r>
      <w:r w:rsidRPr="00840539">
        <w:rPr>
          <w:szCs w:val="18"/>
        </w:rPr>
        <w:t xml:space="preserve"> (village de Lubami-Monga)</w:t>
      </w:r>
      <w:r>
        <w:rPr>
          <w:szCs w:val="18"/>
        </w:rPr>
        <w:t>,</w:t>
      </w:r>
      <w:r w:rsidRPr="00840539">
        <w:rPr>
          <w:szCs w:val="18"/>
        </w:rPr>
        <w:t xml:space="preserve"> </w:t>
      </w:r>
      <w:r>
        <w:rPr>
          <w:szCs w:val="18"/>
        </w:rPr>
        <w:t>T0077</w:t>
      </w:r>
      <w:r w:rsidRPr="00840539">
        <w:rPr>
          <w:szCs w:val="18"/>
        </w:rPr>
        <w:t xml:space="preserve"> (village de Shamungole)</w:t>
      </w:r>
      <w:r>
        <w:rPr>
          <w:szCs w:val="18"/>
        </w:rPr>
        <w:t>,</w:t>
      </w:r>
      <w:r w:rsidRPr="00840539">
        <w:rPr>
          <w:szCs w:val="18"/>
        </w:rPr>
        <w:t xml:space="preserve"> </w:t>
      </w:r>
      <w:r>
        <w:rPr>
          <w:szCs w:val="18"/>
        </w:rPr>
        <w:t>T0452</w:t>
      </w:r>
      <w:r w:rsidRPr="00840539">
        <w:rPr>
          <w:szCs w:val="18"/>
        </w:rPr>
        <w:t xml:space="preserve"> (village de Tshinota) ; </w:t>
      </w:r>
      <w:r>
        <w:rPr>
          <w:szCs w:val="18"/>
        </w:rPr>
        <w:t>T0031</w:t>
      </w:r>
      <w:r w:rsidRPr="00840539">
        <w:rPr>
          <w:szCs w:val="18"/>
        </w:rPr>
        <w:t xml:space="preserve"> (forêt de</w:t>
      </w:r>
      <w:r>
        <w:rPr>
          <w:szCs w:val="18"/>
        </w:rPr>
        <w:t xml:space="preserve"> Kabungu – village de Sumbula).</w:t>
      </w:r>
    </w:p>
  </w:footnote>
  <w:footnote w:id="516">
    <w:p w14:paraId="1A643877" w14:textId="6D2AD1E7" w:rsidR="004E119B" w:rsidRPr="002D31A9" w:rsidRDefault="004E119B" w:rsidP="006B1DB8">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T0128</w:t>
      </w:r>
      <w:r w:rsidRPr="002D31A9">
        <w:rPr>
          <w:szCs w:val="18"/>
        </w:rPr>
        <w:t>.</w:t>
      </w:r>
    </w:p>
  </w:footnote>
  <w:footnote w:id="517">
    <w:p w14:paraId="11D6E594" w14:textId="65575E43" w:rsidR="004E119B" w:rsidRPr="00D63265" w:rsidRDefault="004E119B" w:rsidP="006B1DB8">
      <w:pPr>
        <w:pStyle w:val="FootnoteText"/>
        <w:ind w:left="1138" w:right="1138" w:hanging="228"/>
        <w:jc w:val="left"/>
        <w:rPr>
          <w:szCs w:val="18"/>
        </w:rPr>
      </w:pPr>
      <w:r w:rsidRPr="002D31A9">
        <w:rPr>
          <w:rStyle w:val="FootnoteReference"/>
          <w:szCs w:val="18"/>
        </w:rPr>
        <w:footnoteRef/>
      </w:r>
      <w:r w:rsidRPr="00D63265">
        <w:rPr>
          <w:szCs w:val="18"/>
        </w:rPr>
        <w:t xml:space="preserve"> T0217, T0264.</w:t>
      </w:r>
    </w:p>
  </w:footnote>
  <w:footnote w:id="518">
    <w:p w14:paraId="7C322904" w14:textId="3E3FB416" w:rsidR="004E119B" w:rsidRPr="00D63265" w:rsidRDefault="004E119B" w:rsidP="006B1DB8">
      <w:pPr>
        <w:spacing w:line="220" w:lineRule="exact"/>
        <w:ind w:left="1138" w:right="1138" w:hanging="228"/>
        <w:rPr>
          <w:sz w:val="18"/>
          <w:szCs w:val="18"/>
        </w:rPr>
      </w:pPr>
      <w:r w:rsidRPr="002D31A9">
        <w:rPr>
          <w:rStyle w:val="FootnoteReference"/>
          <w:szCs w:val="18"/>
        </w:rPr>
        <w:footnoteRef/>
      </w:r>
      <w:r w:rsidRPr="00D63265">
        <w:rPr>
          <w:sz w:val="18"/>
          <w:szCs w:val="18"/>
        </w:rPr>
        <w:t xml:space="preserve"> T0408.</w:t>
      </w:r>
    </w:p>
  </w:footnote>
  <w:footnote w:id="519">
    <w:p w14:paraId="2B5C7EE2" w14:textId="1A830EC5" w:rsidR="004E119B" w:rsidRPr="00D63265" w:rsidRDefault="004E119B" w:rsidP="006B1DB8">
      <w:pPr>
        <w:pStyle w:val="FootnoteText"/>
        <w:ind w:left="1138" w:right="1138" w:hanging="228"/>
        <w:jc w:val="left"/>
        <w:rPr>
          <w:szCs w:val="18"/>
        </w:rPr>
      </w:pPr>
      <w:r w:rsidRPr="002D31A9">
        <w:rPr>
          <w:rStyle w:val="FootnoteReference"/>
          <w:szCs w:val="18"/>
        </w:rPr>
        <w:footnoteRef/>
      </w:r>
      <w:r w:rsidRPr="00D63265">
        <w:rPr>
          <w:szCs w:val="18"/>
        </w:rPr>
        <w:t xml:space="preserve"> T0408, </w:t>
      </w:r>
      <w:r>
        <w:rPr>
          <w:szCs w:val="18"/>
        </w:rPr>
        <w:t>T0366</w:t>
      </w:r>
      <w:r w:rsidRPr="00D63265">
        <w:rPr>
          <w:szCs w:val="18"/>
        </w:rPr>
        <w:t>.</w:t>
      </w:r>
    </w:p>
  </w:footnote>
  <w:footnote w:id="520">
    <w:p w14:paraId="167C6478" w14:textId="714A59A9" w:rsidR="004E119B" w:rsidRPr="00CB2CDD" w:rsidRDefault="004E119B" w:rsidP="006B1DB8">
      <w:pPr>
        <w:pStyle w:val="FootnoteText"/>
        <w:ind w:left="1152" w:right="1138" w:hanging="245"/>
        <w:jc w:val="left"/>
        <w:rPr>
          <w:szCs w:val="18"/>
        </w:rPr>
      </w:pPr>
      <w:r w:rsidRPr="002D31A9">
        <w:rPr>
          <w:rStyle w:val="FootnoteReference"/>
          <w:szCs w:val="18"/>
        </w:rPr>
        <w:footnoteRef/>
      </w:r>
      <w:r w:rsidRPr="00CB2CDD">
        <w:rPr>
          <w:szCs w:val="18"/>
        </w:rPr>
        <w:t xml:space="preserve"> </w:t>
      </w:r>
      <w:r>
        <w:rPr>
          <w:szCs w:val="18"/>
        </w:rPr>
        <w:t>T0408</w:t>
      </w:r>
      <w:r w:rsidRPr="00CB2CDD">
        <w:rPr>
          <w:szCs w:val="18"/>
        </w:rPr>
        <w:t xml:space="preserve">. Voir aussi </w:t>
      </w:r>
      <w:r>
        <w:rPr>
          <w:szCs w:val="18"/>
        </w:rPr>
        <w:t>T0161</w:t>
      </w:r>
      <w:r w:rsidRPr="00CB2CDD">
        <w:rPr>
          <w:szCs w:val="18"/>
        </w:rPr>
        <w:t>.</w:t>
      </w:r>
    </w:p>
  </w:footnote>
  <w:footnote w:id="521">
    <w:p w14:paraId="3D270432" w14:textId="417911C8" w:rsidR="004E119B" w:rsidRPr="00CB2CDD" w:rsidRDefault="004E119B" w:rsidP="006B1DB8">
      <w:pPr>
        <w:pStyle w:val="FootnoteText"/>
        <w:ind w:left="1138" w:right="1138" w:hanging="228"/>
        <w:jc w:val="left"/>
        <w:rPr>
          <w:szCs w:val="18"/>
        </w:rPr>
      </w:pPr>
      <w:r w:rsidRPr="002D31A9">
        <w:rPr>
          <w:rStyle w:val="FootnoteReference"/>
          <w:szCs w:val="18"/>
        </w:rPr>
        <w:footnoteRef/>
      </w:r>
      <w:r w:rsidRPr="00CB2CDD">
        <w:rPr>
          <w:szCs w:val="18"/>
        </w:rPr>
        <w:t xml:space="preserve"> </w:t>
      </w:r>
      <w:r>
        <w:rPr>
          <w:szCs w:val="18"/>
        </w:rPr>
        <w:t>T0408</w:t>
      </w:r>
      <w:r w:rsidRPr="00CB2CDD">
        <w:rPr>
          <w:szCs w:val="18"/>
        </w:rPr>
        <w:t xml:space="preserve">. Voir aussi </w:t>
      </w:r>
      <w:r>
        <w:rPr>
          <w:szCs w:val="18"/>
        </w:rPr>
        <w:t>T0366</w:t>
      </w:r>
      <w:r w:rsidRPr="00CB2CDD">
        <w:rPr>
          <w:szCs w:val="18"/>
        </w:rPr>
        <w:t xml:space="preserve">, </w:t>
      </w:r>
      <w:r>
        <w:rPr>
          <w:szCs w:val="18"/>
        </w:rPr>
        <w:t>T0179</w:t>
      </w:r>
      <w:r w:rsidRPr="00CB2CDD">
        <w:rPr>
          <w:szCs w:val="18"/>
        </w:rPr>
        <w:t xml:space="preserve">. </w:t>
      </w:r>
    </w:p>
  </w:footnote>
  <w:footnote w:id="522">
    <w:p w14:paraId="1CD8B946" w14:textId="4CDD23AA" w:rsidR="004E119B" w:rsidRPr="006E341A" w:rsidRDefault="004E119B" w:rsidP="006B1DB8">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T0408</w:t>
      </w:r>
      <w:r w:rsidRPr="00840539">
        <w:rPr>
          <w:szCs w:val="18"/>
        </w:rPr>
        <w:t xml:space="preserve">, </w:t>
      </w:r>
      <w:r>
        <w:rPr>
          <w:szCs w:val="18"/>
        </w:rPr>
        <w:t>T0366</w:t>
      </w:r>
      <w:r w:rsidRPr="000F0FC3">
        <w:rPr>
          <w:szCs w:val="18"/>
        </w:rPr>
        <w:t>,</w:t>
      </w:r>
      <w:r w:rsidRPr="00840539">
        <w:rPr>
          <w:szCs w:val="18"/>
        </w:rPr>
        <w:t xml:space="preserve"> </w:t>
      </w:r>
      <w:r>
        <w:rPr>
          <w:szCs w:val="18"/>
        </w:rPr>
        <w:t>T0452</w:t>
      </w:r>
      <w:r w:rsidRPr="002D31A9">
        <w:rPr>
          <w:szCs w:val="18"/>
        </w:rPr>
        <w:t xml:space="preserve">. </w:t>
      </w:r>
      <w:r w:rsidRPr="00840539">
        <w:rPr>
          <w:szCs w:val="18"/>
        </w:rPr>
        <w:t xml:space="preserve">Voir aussi </w:t>
      </w:r>
      <w:r>
        <w:rPr>
          <w:szCs w:val="18"/>
        </w:rPr>
        <w:t>T0161</w:t>
      </w:r>
      <w:r w:rsidRPr="006E341A">
        <w:rPr>
          <w:szCs w:val="18"/>
        </w:rPr>
        <w:t>.</w:t>
      </w:r>
    </w:p>
  </w:footnote>
  <w:footnote w:id="523">
    <w:p w14:paraId="4148745E" w14:textId="6ED4DCB0" w:rsidR="004E119B" w:rsidRPr="0060278B" w:rsidRDefault="004E119B" w:rsidP="0036071B">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T0285</w:t>
      </w:r>
      <w:r w:rsidRPr="00840539">
        <w:rPr>
          <w:szCs w:val="18"/>
        </w:rPr>
        <w:t>,</w:t>
      </w:r>
      <w:r w:rsidRPr="006E341A">
        <w:rPr>
          <w:szCs w:val="18"/>
        </w:rPr>
        <w:t xml:space="preserve"> </w:t>
      </w:r>
      <w:r>
        <w:rPr>
          <w:szCs w:val="18"/>
        </w:rPr>
        <w:t>document i</w:t>
      </w:r>
      <w:r w:rsidRPr="006E341A">
        <w:rPr>
          <w:szCs w:val="18"/>
        </w:rPr>
        <w:t>nterne MONUSCO</w:t>
      </w:r>
      <w:r>
        <w:rPr>
          <w:szCs w:val="18"/>
        </w:rPr>
        <w:t>.</w:t>
      </w:r>
    </w:p>
  </w:footnote>
  <w:footnote w:id="524">
    <w:p w14:paraId="13A50DFF" w14:textId="7519436A" w:rsidR="004E119B" w:rsidRPr="00D63265" w:rsidRDefault="004E119B" w:rsidP="006B1DB8">
      <w:pPr>
        <w:spacing w:line="220" w:lineRule="exact"/>
        <w:ind w:left="1138" w:right="1138" w:hanging="228"/>
        <w:rPr>
          <w:sz w:val="18"/>
          <w:szCs w:val="18"/>
        </w:rPr>
      </w:pPr>
      <w:r w:rsidRPr="002D31A9">
        <w:rPr>
          <w:rStyle w:val="FootnoteReference"/>
          <w:szCs w:val="18"/>
        </w:rPr>
        <w:footnoteRef/>
      </w:r>
      <w:r w:rsidRPr="00D63265">
        <w:rPr>
          <w:sz w:val="18"/>
          <w:szCs w:val="18"/>
        </w:rPr>
        <w:t xml:space="preserve"> T0336, T0182, T0220, T0192.</w:t>
      </w:r>
    </w:p>
  </w:footnote>
  <w:footnote w:id="525">
    <w:p w14:paraId="3E16ACEE" w14:textId="2E7F822E" w:rsidR="004E119B" w:rsidRPr="00D63265" w:rsidRDefault="004E119B" w:rsidP="006B1DB8">
      <w:pPr>
        <w:pStyle w:val="FootnoteText"/>
        <w:ind w:left="1138" w:right="1138" w:hanging="228"/>
        <w:jc w:val="left"/>
        <w:rPr>
          <w:szCs w:val="18"/>
        </w:rPr>
      </w:pPr>
      <w:r w:rsidRPr="002D31A9">
        <w:rPr>
          <w:rStyle w:val="FootnoteReference"/>
          <w:szCs w:val="18"/>
        </w:rPr>
        <w:footnoteRef/>
      </w:r>
      <w:r w:rsidRPr="00D63265">
        <w:rPr>
          <w:szCs w:val="18"/>
        </w:rPr>
        <w:t xml:space="preserve"> T0220.</w:t>
      </w:r>
    </w:p>
  </w:footnote>
  <w:footnote w:id="526">
    <w:p w14:paraId="06F4F045" w14:textId="62630360" w:rsidR="004E119B" w:rsidRPr="00D63265" w:rsidRDefault="004E119B" w:rsidP="006B1DB8">
      <w:pPr>
        <w:pStyle w:val="FootnoteText"/>
        <w:ind w:left="1138" w:right="1138" w:hanging="228"/>
        <w:jc w:val="left"/>
        <w:rPr>
          <w:szCs w:val="18"/>
        </w:rPr>
      </w:pPr>
      <w:r w:rsidRPr="002D31A9">
        <w:rPr>
          <w:rStyle w:val="FootnoteReference"/>
          <w:szCs w:val="18"/>
        </w:rPr>
        <w:footnoteRef/>
      </w:r>
      <w:r w:rsidRPr="00D63265">
        <w:rPr>
          <w:szCs w:val="18"/>
        </w:rPr>
        <w:t xml:space="preserve"> T0182.</w:t>
      </w:r>
    </w:p>
  </w:footnote>
  <w:footnote w:id="527">
    <w:p w14:paraId="7DB23751" w14:textId="0F28B935" w:rsidR="004E119B" w:rsidRPr="00D63265" w:rsidRDefault="004E119B" w:rsidP="006B1DB8">
      <w:pPr>
        <w:pStyle w:val="FootnoteText"/>
        <w:ind w:left="1138" w:right="1138" w:hanging="228"/>
        <w:jc w:val="left"/>
        <w:rPr>
          <w:szCs w:val="18"/>
        </w:rPr>
      </w:pPr>
      <w:r w:rsidRPr="002D31A9">
        <w:rPr>
          <w:rStyle w:val="FootnoteReference"/>
          <w:szCs w:val="18"/>
        </w:rPr>
        <w:footnoteRef/>
      </w:r>
      <w:r w:rsidRPr="00D63265">
        <w:rPr>
          <w:szCs w:val="18"/>
        </w:rPr>
        <w:t xml:space="preserve"> </w:t>
      </w:r>
      <w:r>
        <w:rPr>
          <w:szCs w:val="18"/>
        </w:rPr>
        <w:t>T0453</w:t>
      </w:r>
      <w:r w:rsidRPr="00D63265">
        <w:rPr>
          <w:szCs w:val="18"/>
        </w:rPr>
        <w:t xml:space="preserve">, </w:t>
      </w:r>
      <w:r>
        <w:rPr>
          <w:szCs w:val="18"/>
        </w:rPr>
        <w:t>T0336</w:t>
      </w:r>
      <w:r w:rsidRPr="00D63265">
        <w:rPr>
          <w:szCs w:val="18"/>
        </w:rPr>
        <w:t xml:space="preserve">, T0182, </w:t>
      </w:r>
      <w:r>
        <w:rPr>
          <w:szCs w:val="18"/>
        </w:rPr>
        <w:t>T0270</w:t>
      </w:r>
      <w:r w:rsidRPr="00D63265">
        <w:rPr>
          <w:szCs w:val="18"/>
        </w:rPr>
        <w:t xml:space="preserve">, </w:t>
      </w:r>
      <w:r>
        <w:rPr>
          <w:szCs w:val="18"/>
        </w:rPr>
        <w:t>T0259</w:t>
      </w:r>
      <w:r w:rsidRPr="00D63265">
        <w:rPr>
          <w:szCs w:val="18"/>
        </w:rPr>
        <w:t xml:space="preserve">, </w:t>
      </w:r>
      <w:r>
        <w:rPr>
          <w:szCs w:val="18"/>
        </w:rPr>
        <w:t>T0426</w:t>
      </w:r>
      <w:r w:rsidRPr="00D63265">
        <w:rPr>
          <w:szCs w:val="18"/>
        </w:rPr>
        <w:t xml:space="preserve">, T0182, </w:t>
      </w:r>
      <w:r>
        <w:rPr>
          <w:szCs w:val="18"/>
        </w:rPr>
        <w:t>T0220</w:t>
      </w:r>
      <w:r w:rsidRPr="00D63265">
        <w:rPr>
          <w:szCs w:val="18"/>
        </w:rPr>
        <w:t>.</w:t>
      </w:r>
    </w:p>
  </w:footnote>
  <w:footnote w:id="528">
    <w:p w14:paraId="39011DBB" w14:textId="76562C80" w:rsidR="004E119B" w:rsidRPr="00D63265" w:rsidRDefault="004E119B" w:rsidP="006B1DB8">
      <w:pPr>
        <w:pStyle w:val="FootnoteText"/>
        <w:ind w:left="1138" w:right="1138" w:hanging="228"/>
        <w:jc w:val="left"/>
        <w:rPr>
          <w:szCs w:val="18"/>
        </w:rPr>
      </w:pPr>
      <w:r w:rsidRPr="002D31A9">
        <w:rPr>
          <w:rStyle w:val="FootnoteReference"/>
          <w:szCs w:val="18"/>
        </w:rPr>
        <w:footnoteRef/>
      </w:r>
      <w:r w:rsidRPr="00D63265">
        <w:rPr>
          <w:szCs w:val="18"/>
        </w:rPr>
        <w:t xml:space="preserve"> T0259.</w:t>
      </w:r>
    </w:p>
  </w:footnote>
  <w:footnote w:id="529">
    <w:p w14:paraId="7ADE59C9" w14:textId="5B6F366D" w:rsidR="004E119B" w:rsidRPr="00D63265" w:rsidRDefault="004E119B" w:rsidP="006B1DB8">
      <w:pPr>
        <w:pStyle w:val="FootnoteText"/>
        <w:tabs>
          <w:tab w:val="right" w:pos="284"/>
        </w:tabs>
        <w:ind w:left="1138" w:right="1138" w:hanging="228"/>
        <w:jc w:val="left"/>
        <w:rPr>
          <w:szCs w:val="18"/>
        </w:rPr>
      </w:pPr>
      <w:r w:rsidRPr="002D31A9">
        <w:rPr>
          <w:rStyle w:val="FootnoteReference"/>
          <w:szCs w:val="18"/>
        </w:rPr>
        <w:footnoteRef/>
      </w:r>
      <w:r w:rsidRPr="00D63265">
        <w:rPr>
          <w:szCs w:val="18"/>
        </w:rPr>
        <w:t xml:space="preserve"> T0182.</w:t>
      </w:r>
    </w:p>
  </w:footnote>
  <w:footnote w:id="530">
    <w:p w14:paraId="3F275F78" w14:textId="7D30E1B2" w:rsidR="004E119B" w:rsidRPr="00D63265" w:rsidRDefault="004E119B" w:rsidP="006B1DB8">
      <w:pPr>
        <w:pStyle w:val="FootnoteText"/>
        <w:ind w:left="1138" w:right="1138" w:hanging="228"/>
        <w:jc w:val="left"/>
        <w:rPr>
          <w:szCs w:val="18"/>
        </w:rPr>
      </w:pPr>
      <w:r w:rsidRPr="002D31A9">
        <w:rPr>
          <w:rStyle w:val="FootnoteReference"/>
          <w:szCs w:val="18"/>
        </w:rPr>
        <w:footnoteRef/>
      </w:r>
      <w:r w:rsidRPr="00D63265">
        <w:rPr>
          <w:szCs w:val="18"/>
        </w:rPr>
        <w:t xml:space="preserve"> T0182.</w:t>
      </w:r>
    </w:p>
  </w:footnote>
  <w:footnote w:id="531">
    <w:p w14:paraId="6486445A" w14:textId="685FDDA7" w:rsidR="004E119B" w:rsidRPr="00D63265" w:rsidRDefault="004E119B" w:rsidP="006B1DB8">
      <w:pPr>
        <w:pStyle w:val="FootnoteText"/>
        <w:ind w:left="1138" w:right="1138" w:hanging="228"/>
        <w:jc w:val="left"/>
        <w:rPr>
          <w:szCs w:val="18"/>
        </w:rPr>
      </w:pPr>
      <w:r w:rsidRPr="002D31A9">
        <w:rPr>
          <w:rStyle w:val="FootnoteReference"/>
          <w:szCs w:val="18"/>
        </w:rPr>
        <w:footnoteRef/>
      </w:r>
      <w:r w:rsidRPr="00D63265">
        <w:rPr>
          <w:szCs w:val="18"/>
        </w:rPr>
        <w:t xml:space="preserve"> T0220.</w:t>
      </w:r>
    </w:p>
  </w:footnote>
  <w:footnote w:id="532">
    <w:p w14:paraId="0DF90EA9" w14:textId="77232DA4" w:rsidR="004E119B" w:rsidRPr="00D63265" w:rsidRDefault="004E119B" w:rsidP="006B1DB8">
      <w:pPr>
        <w:pStyle w:val="FootnoteText"/>
        <w:ind w:left="1152" w:right="1138" w:hanging="245"/>
        <w:jc w:val="left"/>
        <w:rPr>
          <w:szCs w:val="18"/>
        </w:rPr>
      </w:pPr>
      <w:r w:rsidRPr="002D31A9">
        <w:rPr>
          <w:rStyle w:val="FootnoteReference"/>
          <w:szCs w:val="18"/>
        </w:rPr>
        <w:footnoteRef/>
      </w:r>
      <w:r w:rsidRPr="00D63265">
        <w:rPr>
          <w:szCs w:val="18"/>
        </w:rPr>
        <w:t xml:space="preserve"> </w:t>
      </w:r>
      <w:r>
        <w:rPr>
          <w:szCs w:val="18"/>
        </w:rPr>
        <w:t>T0259</w:t>
      </w:r>
      <w:r w:rsidRPr="00D63265">
        <w:rPr>
          <w:szCs w:val="18"/>
        </w:rPr>
        <w:t xml:space="preserve">, </w:t>
      </w:r>
      <w:r>
        <w:rPr>
          <w:szCs w:val="18"/>
        </w:rPr>
        <w:t>T0336</w:t>
      </w:r>
      <w:r w:rsidRPr="00D63265">
        <w:rPr>
          <w:szCs w:val="18"/>
          <w:lang w:eastAsia="fr-FR"/>
        </w:rPr>
        <w:t xml:space="preserve">, T0182, </w:t>
      </w:r>
      <w:r>
        <w:rPr>
          <w:szCs w:val="18"/>
          <w:lang w:eastAsia="fr-FR"/>
        </w:rPr>
        <w:t>T0270.</w:t>
      </w:r>
    </w:p>
  </w:footnote>
  <w:footnote w:id="533">
    <w:p w14:paraId="26B41455" w14:textId="7EB7C200" w:rsidR="004E119B" w:rsidRPr="00D63265" w:rsidRDefault="004E119B" w:rsidP="006B1DB8">
      <w:pPr>
        <w:pStyle w:val="FootnoteText"/>
        <w:ind w:left="1152" w:right="1138" w:hanging="245"/>
        <w:jc w:val="left"/>
        <w:rPr>
          <w:szCs w:val="18"/>
        </w:rPr>
      </w:pPr>
      <w:r w:rsidRPr="002D31A9">
        <w:rPr>
          <w:rStyle w:val="FootnoteReference"/>
          <w:szCs w:val="18"/>
        </w:rPr>
        <w:footnoteRef/>
      </w:r>
      <w:r w:rsidRPr="00D63265">
        <w:rPr>
          <w:szCs w:val="18"/>
        </w:rPr>
        <w:t xml:space="preserve"> T0192.</w:t>
      </w:r>
    </w:p>
  </w:footnote>
  <w:footnote w:id="534">
    <w:p w14:paraId="657CB76D" w14:textId="72D544CC" w:rsidR="004E119B" w:rsidRPr="00D63265" w:rsidRDefault="004E119B" w:rsidP="006B1DB8">
      <w:pPr>
        <w:pStyle w:val="FootnoteText"/>
        <w:ind w:left="1152" w:right="1138" w:hanging="245"/>
        <w:jc w:val="left"/>
        <w:rPr>
          <w:szCs w:val="18"/>
          <w:highlight w:val="yellow"/>
          <w:lang w:eastAsia="fr-FR"/>
        </w:rPr>
      </w:pPr>
      <w:r w:rsidRPr="002D31A9">
        <w:rPr>
          <w:rStyle w:val="FootnoteReference"/>
          <w:szCs w:val="18"/>
        </w:rPr>
        <w:footnoteRef/>
      </w:r>
      <w:r w:rsidRPr="00D63265">
        <w:rPr>
          <w:szCs w:val="18"/>
        </w:rPr>
        <w:t xml:space="preserve"> </w:t>
      </w:r>
      <w:r>
        <w:rPr>
          <w:szCs w:val="18"/>
        </w:rPr>
        <w:t>T0336</w:t>
      </w:r>
      <w:r w:rsidRPr="00D63265">
        <w:rPr>
          <w:szCs w:val="18"/>
        </w:rPr>
        <w:t>, T0220.</w:t>
      </w:r>
    </w:p>
  </w:footnote>
  <w:footnote w:id="535">
    <w:p w14:paraId="16114CD8" w14:textId="2B59751D" w:rsidR="004E119B" w:rsidRPr="00B50F59" w:rsidRDefault="004E119B" w:rsidP="006B1DB8">
      <w:pPr>
        <w:pStyle w:val="FootnoteText"/>
        <w:ind w:left="1138" w:right="1138" w:hanging="228"/>
        <w:jc w:val="left"/>
        <w:rPr>
          <w:szCs w:val="18"/>
          <w:lang w:val="en-US"/>
        </w:rPr>
      </w:pPr>
      <w:r w:rsidRPr="002D31A9">
        <w:rPr>
          <w:rStyle w:val="FootnoteReference"/>
          <w:szCs w:val="18"/>
        </w:rPr>
        <w:footnoteRef/>
      </w:r>
      <w:r w:rsidRPr="00B50F59">
        <w:rPr>
          <w:szCs w:val="18"/>
          <w:lang w:val="en-US"/>
        </w:rPr>
        <w:t xml:space="preserve"> T0220.</w:t>
      </w:r>
    </w:p>
  </w:footnote>
  <w:footnote w:id="536">
    <w:p w14:paraId="30BDB1D8" w14:textId="20AB8FB7" w:rsidR="004E119B" w:rsidRPr="00B50F59" w:rsidRDefault="004E119B" w:rsidP="006B1DB8">
      <w:pPr>
        <w:spacing w:line="220" w:lineRule="exact"/>
        <w:ind w:left="1138" w:right="1138" w:hanging="228"/>
        <w:rPr>
          <w:sz w:val="18"/>
          <w:szCs w:val="18"/>
          <w:lang w:val="en-US" w:eastAsia="fr-FR"/>
        </w:rPr>
      </w:pPr>
      <w:r w:rsidRPr="002D31A9">
        <w:rPr>
          <w:rStyle w:val="FootnoteReference"/>
          <w:szCs w:val="18"/>
        </w:rPr>
        <w:footnoteRef/>
      </w:r>
      <w:r w:rsidRPr="00B50F59">
        <w:rPr>
          <w:sz w:val="18"/>
          <w:szCs w:val="18"/>
          <w:lang w:val="en-US"/>
        </w:rPr>
        <w:t xml:space="preserve"> T0336, T0182, T0220, </w:t>
      </w:r>
      <w:r>
        <w:rPr>
          <w:sz w:val="18"/>
          <w:szCs w:val="18"/>
          <w:lang w:val="en-US"/>
        </w:rPr>
        <w:t>T0281</w:t>
      </w:r>
      <w:r w:rsidRPr="00B50F59">
        <w:rPr>
          <w:sz w:val="18"/>
          <w:szCs w:val="18"/>
          <w:lang w:val="en-US"/>
        </w:rPr>
        <w:t>, T0144, T0426.</w:t>
      </w:r>
    </w:p>
  </w:footnote>
  <w:footnote w:id="537">
    <w:p w14:paraId="785C67DC" w14:textId="5CE31AC0" w:rsidR="004E119B" w:rsidRPr="00FE5E8D" w:rsidRDefault="004E119B" w:rsidP="006B1DB8">
      <w:pPr>
        <w:pStyle w:val="FootnoteText"/>
        <w:ind w:left="1138" w:right="1138" w:hanging="228"/>
        <w:jc w:val="left"/>
        <w:rPr>
          <w:szCs w:val="18"/>
          <w:lang w:val="en-US"/>
        </w:rPr>
      </w:pPr>
      <w:r w:rsidRPr="002D31A9">
        <w:rPr>
          <w:rStyle w:val="FootnoteReference"/>
          <w:szCs w:val="18"/>
        </w:rPr>
        <w:footnoteRef/>
      </w:r>
      <w:r w:rsidRPr="00FE5E8D">
        <w:rPr>
          <w:szCs w:val="18"/>
          <w:lang w:val="en-US"/>
        </w:rPr>
        <w:t xml:space="preserve"> </w:t>
      </w:r>
      <w:r w:rsidRPr="00835F93">
        <w:rPr>
          <w:szCs w:val="18"/>
          <w:lang w:val="en-US"/>
        </w:rPr>
        <w:t xml:space="preserve">HCDH, </w:t>
      </w:r>
      <w:r w:rsidRPr="00F97CE6">
        <w:rPr>
          <w:szCs w:val="18"/>
          <w:lang w:val="en-US"/>
        </w:rPr>
        <w:t>Report of a Mission of the United Nations High Commissioner for Human Rights – accounts of Congolese fleeing the crisis in the Kasai region, in the Democratic Republic of the Congo, août 2017</w:t>
      </w:r>
      <w:r w:rsidRPr="00FE5E8D">
        <w:rPr>
          <w:szCs w:val="18"/>
          <w:lang w:val="en-US"/>
        </w:rPr>
        <w:t xml:space="preserve">. </w:t>
      </w:r>
    </w:p>
  </w:footnote>
  <w:footnote w:id="538">
    <w:p w14:paraId="0C094C33" w14:textId="087BE076" w:rsidR="004E119B" w:rsidRPr="00CB2CDD" w:rsidRDefault="004E119B" w:rsidP="006B1DB8">
      <w:pPr>
        <w:pStyle w:val="FootnoteText"/>
        <w:ind w:left="1138" w:right="1138" w:hanging="228"/>
        <w:jc w:val="left"/>
        <w:rPr>
          <w:szCs w:val="18"/>
        </w:rPr>
      </w:pPr>
      <w:r w:rsidRPr="002D31A9">
        <w:rPr>
          <w:rStyle w:val="FootnoteReference"/>
          <w:szCs w:val="18"/>
        </w:rPr>
        <w:footnoteRef/>
      </w:r>
      <w:r w:rsidRPr="00CB2CDD">
        <w:rPr>
          <w:szCs w:val="18"/>
        </w:rPr>
        <w:t xml:space="preserve"> </w:t>
      </w:r>
      <w:r>
        <w:rPr>
          <w:szCs w:val="18"/>
        </w:rPr>
        <w:t>T0039</w:t>
      </w:r>
      <w:r w:rsidRPr="00CB2CDD">
        <w:rPr>
          <w:szCs w:val="18"/>
        </w:rPr>
        <w:t xml:space="preserve">, </w:t>
      </w:r>
      <w:r>
        <w:rPr>
          <w:szCs w:val="18"/>
        </w:rPr>
        <w:t>T0081</w:t>
      </w:r>
      <w:r w:rsidRPr="00CB2CDD">
        <w:rPr>
          <w:szCs w:val="18"/>
        </w:rPr>
        <w:t xml:space="preserve">. Voir aussi </w:t>
      </w:r>
      <w:r>
        <w:rPr>
          <w:szCs w:val="18"/>
        </w:rPr>
        <w:t>T0182</w:t>
      </w:r>
      <w:r w:rsidRPr="00CB2CDD">
        <w:rPr>
          <w:szCs w:val="18"/>
        </w:rPr>
        <w:t>.</w:t>
      </w:r>
    </w:p>
  </w:footnote>
  <w:footnote w:id="539">
    <w:p w14:paraId="5BBCFBF2" w14:textId="28F62999" w:rsidR="004E119B" w:rsidRPr="001A302E" w:rsidRDefault="004E119B" w:rsidP="006B1DB8">
      <w:pPr>
        <w:spacing w:line="220" w:lineRule="exact"/>
        <w:ind w:left="1138" w:right="1138" w:hanging="228"/>
        <w:rPr>
          <w:sz w:val="18"/>
          <w:szCs w:val="18"/>
        </w:rPr>
      </w:pPr>
      <w:r w:rsidRPr="002D31A9">
        <w:rPr>
          <w:rStyle w:val="FootnoteReference"/>
          <w:szCs w:val="18"/>
        </w:rPr>
        <w:footnoteRef/>
      </w:r>
      <w:r w:rsidRPr="001A302E">
        <w:rPr>
          <w:sz w:val="18"/>
          <w:szCs w:val="18"/>
        </w:rPr>
        <w:t xml:space="preserve"> </w:t>
      </w:r>
      <w:r>
        <w:rPr>
          <w:sz w:val="18"/>
          <w:szCs w:val="18"/>
        </w:rPr>
        <w:t>T0081</w:t>
      </w:r>
      <w:r w:rsidRPr="001A302E">
        <w:rPr>
          <w:sz w:val="18"/>
          <w:szCs w:val="18"/>
        </w:rPr>
        <w:t xml:space="preserve">, </w:t>
      </w:r>
      <w:r>
        <w:rPr>
          <w:sz w:val="18"/>
          <w:szCs w:val="18"/>
        </w:rPr>
        <w:t>T0038</w:t>
      </w:r>
      <w:r w:rsidRPr="001A302E">
        <w:rPr>
          <w:sz w:val="18"/>
          <w:szCs w:val="18"/>
        </w:rPr>
        <w:t xml:space="preserve">, </w:t>
      </w:r>
      <w:r>
        <w:rPr>
          <w:sz w:val="18"/>
          <w:szCs w:val="18"/>
        </w:rPr>
        <w:t>T0182</w:t>
      </w:r>
      <w:r w:rsidRPr="001A302E">
        <w:rPr>
          <w:sz w:val="18"/>
          <w:szCs w:val="18"/>
        </w:rPr>
        <w:t xml:space="preserve">, T0039. </w:t>
      </w:r>
    </w:p>
  </w:footnote>
  <w:footnote w:id="540">
    <w:p w14:paraId="7C1A4E53" w14:textId="4185302D" w:rsidR="004E119B" w:rsidRPr="001A302E" w:rsidRDefault="004E119B" w:rsidP="006B1DB8">
      <w:pPr>
        <w:pStyle w:val="FootnoteText"/>
        <w:ind w:left="1138" w:right="1138" w:hanging="228"/>
        <w:jc w:val="left"/>
        <w:rPr>
          <w:szCs w:val="18"/>
        </w:rPr>
      </w:pPr>
      <w:r w:rsidRPr="002D31A9">
        <w:rPr>
          <w:rStyle w:val="FootnoteReference"/>
          <w:szCs w:val="18"/>
        </w:rPr>
        <w:footnoteRef/>
      </w:r>
      <w:r w:rsidRPr="001A302E">
        <w:rPr>
          <w:szCs w:val="18"/>
        </w:rPr>
        <w:t xml:space="preserve"> </w:t>
      </w:r>
      <w:r>
        <w:rPr>
          <w:szCs w:val="18"/>
        </w:rPr>
        <w:t>T0081</w:t>
      </w:r>
      <w:r w:rsidRPr="001A302E">
        <w:rPr>
          <w:szCs w:val="18"/>
        </w:rPr>
        <w:t xml:space="preserve">, </w:t>
      </w:r>
      <w:r>
        <w:rPr>
          <w:szCs w:val="18"/>
        </w:rPr>
        <w:t>T0038</w:t>
      </w:r>
      <w:r w:rsidRPr="001A302E">
        <w:rPr>
          <w:szCs w:val="18"/>
        </w:rPr>
        <w:t>, T0039.</w:t>
      </w:r>
    </w:p>
  </w:footnote>
  <w:footnote w:id="541">
    <w:p w14:paraId="183BB712" w14:textId="6D5F3D55" w:rsidR="004E119B" w:rsidRPr="00D63265" w:rsidRDefault="004E119B" w:rsidP="006B1DB8">
      <w:pPr>
        <w:pStyle w:val="FootnoteText"/>
        <w:ind w:left="1138" w:right="1138" w:hanging="228"/>
        <w:jc w:val="left"/>
        <w:rPr>
          <w:szCs w:val="18"/>
        </w:rPr>
      </w:pPr>
      <w:r w:rsidRPr="002D31A9">
        <w:rPr>
          <w:rStyle w:val="FootnoteReference"/>
          <w:szCs w:val="18"/>
        </w:rPr>
        <w:footnoteRef/>
      </w:r>
      <w:r w:rsidRPr="00D63265">
        <w:rPr>
          <w:szCs w:val="18"/>
        </w:rPr>
        <w:t xml:space="preserve"> T0039, </w:t>
      </w:r>
      <w:r>
        <w:rPr>
          <w:szCs w:val="18"/>
        </w:rPr>
        <w:t>T0081</w:t>
      </w:r>
      <w:r w:rsidRPr="00D63265">
        <w:rPr>
          <w:szCs w:val="18"/>
        </w:rPr>
        <w:t xml:space="preserve">. </w:t>
      </w:r>
    </w:p>
  </w:footnote>
  <w:footnote w:id="542">
    <w:p w14:paraId="45EAFD30" w14:textId="72D7F6CC" w:rsidR="004E119B" w:rsidRPr="00D63265" w:rsidRDefault="004E119B" w:rsidP="006B1DB8">
      <w:pPr>
        <w:pStyle w:val="FootnoteText"/>
        <w:ind w:left="1138" w:right="1138" w:hanging="228"/>
        <w:jc w:val="left"/>
        <w:rPr>
          <w:szCs w:val="18"/>
        </w:rPr>
      </w:pPr>
      <w:r w:rsidRPr="002D31A9">
        <w:rPr>
          <w:rStyle w:val="FootnoteReference"/>
          <w:szCs w:val="18"/>
        </w:rPr>
        <w:footnoteRef/>
      </w:r>
      <w:r w:rsidRPr="00D63265">
        <w:rPr>
          <w:szCs w:val="18"/>
        </w:rPr>
        <w:t xml:space="preserve"> </w:t>
      </w:r>
      <w:r>
        <w:rPr>
          <w:szCs w:val="18"/>
        </w:rPr>
        <w:t>T0038</w:t>
      </w:r>
      <w:r w:rsidRPr="00D63265">
        <w:rPr>
          <w:szCs w:val="18"/>
        </w:rPr>
        <w:t>, T0091, T0039.</w:t>
      </w:r>
    </w:p>
  </w:footnote>
  <w:footnote w:id="543">
    <w:p w14:paraId="62FFF77F" w14:textId="61732AE3" w:rsidR="004E119B" w:rsidRPr="004347AC" w:rsidRDefault="004E119B" w:rsidP="006B1DB8">
      <w:pPr>
        <w:pStyle w:val="FootnoteText"/>
        <w:ind w:left="1138" w:right="1138" w:hanging="228"/>
        <w:jc w:val="left"/>
        <w:rPr>
          <w:szCs w:val="18"/>
        </w:rPr>
      </w:pPr>
      <w:r w:rsidRPr="002D31A9">
        <w:rPr>
          <w:rStyle w:val="FootnoteReference"/>
          <w:szCs w:val="18"/>
        </w:rPr>
        <w:footnoteRef/>
      </w:r>
      <w:r w:rsidRPr="004347AC">
        <w:rPr>
          <w:szCs w:val="18"/>
        </w:rPr>
        <w:t xml:space="preserve"> </w:t>
      </w:r>
      <w:r>
        <w:rPr>
          <w:szCs w:val="18"/>
        </w:rPr>
        <w:t>T0144</w:t>
      </w:r>
      <w:r w:rsidRPr="004347AC">
        <w:rPr>
          <w:szCs w:val="18"/>
        </w:rPr>
        <w:t xml:space="preserve">, </w:t>
      </w:r>
      <w:r>
        <w:rPr>
          <w:szCs w:val="18"/>
        </w:rPr>
        <w:t>T0336</w:t>
      </w:r>
      <w:r w:rsidRPr="004347AC">
        <w:rPr>
          <w:szCs w:val="18"/>
        </w:rPr>
        <w:t>. Voir au</w:t>
      </w:r>
      <w:r>
        <w:rPr>
          <w:szCs w:val="18"/>
        </w:rPr>
        <w:t>s</w:t>
      </w:r>
      <w:r w:rsidRPr="004347AC">
        <w:rPr>
          <w:szCs w:val="18"/>
        </w:rPr>
        <w:t>s</w:t>
      </w:r>
      <w:r>
        <w:rPr>
          <w:szCs w:val="18"/>
        </w:rPr>
        <w:t>i</w:t>
      </w:r>
      <w:r w:rsidRPr="004347AC">
        <w:rPr>
          <w:szCs w:val="18"/>
        </w:rPr>
        <w:t xml:space="preserve"> </w:t>
      </w:r>
      <w:r>
        <w:rPr>
          <w:szCs w:val="18"/>
        </w:rPr>
        <w:t>T0315</w:t>
      </w:r>
      <w:r w:rsidRPr="004347AC">
        <w:rPr>
          <w:szCs w:val="18"/>
        </w:rPr>
        <w:t xml:space="preserve">, </w:t>
      </w:r>
      <w:r>
        <w:rPr>
          <w:szCs w:val="18"/>
        </w:rPr>
        <w:t>T0220</w:t>
      </w:r>
      <w:r w:rsidRPr="004347AC">
        <w:rPr>
          <w:szCs w:val="18"/>
        </w:rPr>
        <w:t>.</w:t>
      </w:r>
    </w:p>
  </w:footnote>
  <w:footnote w:id="544">
    <w:p w14:paraId="10C6B3E8" w14:textId="506CD767" w:rsidR="004E119B" w:rsidRPr="004347AC" w:rsidRDefault="004E119B" w:rsidP="006B1DB8">
      <w:pPr>
        <w:pStyle w:val="FootnoteText"/>
        <w:ind w:left="1138" w:right="1138" w:hanging="228"/>
        <w:jc w:val="left"/>
        <w:rPr>
          <w:szCs w:val="18"/>
        </w:rPr>
      </w:pPr>
      <w:r w:rsidRPr="002D31A9">
        <w:rPr>
          <w:rStyle w:val="FootnoteReference"/>
          <w:szCs w:val="18"/>
        </w:rPr>
        <w:footnoteRef/>
      </w:r>
      <w:r w:rsidRPr="00CB2CDD">
        <w:rPr>
          <w:szCs w:val="18"/>
        </w:rPr>
        <w:t xml:space="preserve"> </w:t>
      </w:r>
      <w:r>
        <w:rPr>
          <w:szCs w:val="18"/>
        </w:rPr>
        <w:t>T0144,</w:t>
      </w:r>
      <w:r w:rsidRPr="00CB2CDD">
        <w:rPr>
          <w:szCs w:val="18"/>
        </w:rPr>
        <w:t xml:space="preserve"> </w:t>
      </w:r>
      <w:r>
        <w:rPr>
          <w:szCs w:val="18"/>
        </w:rPr>
        <w:t>T0336</w:t>
      </w:r>
      <w:r w:rsidRPr="00CB2CDD">
        <w:rPr>
          <w:szCs w:val="18"/>
        </w:rPr>
        <w:t xml:space="preserve">. </w:t>
      </w:r>
      <w:r w:rsidRPr="004347AC">
        <w:rPr>
          <w:szCs w:val="18"/>
        </w:rPr>
        <w:t xml:space="preserve">Voir aussi </w:t>
      </w:r>
      <w:r>
        <w:rPr>
          <w:szCs w:val="18"/>
        </w:rPr>
        <w:t>T0315</w:t>
      </w:r>
      <w:r w:rsidRPr="004347AC">
        <w:rPr>
          <w:szCs w:val="18"/>
        </w:rPr>
        <w:t xml:space="preserve">, </w:t>
      </w:r>
      <w:r>
        <w:rPr>
          <w:szCs w:val="18"/>
        </w:rPr>
        <w:t>T0220</w:t>
      </w:r>
      <w:r w:rsidRPr="004347AC">
        <w:rPr>
          <w:szCs w:val="18"/>
        </w:rPr>
        <w:t>.</w:t>
      </w:r>
    </w:p>
  </w:footnote>
  <w:footnote w:id="545">
    <w:p w14:paraId="31F08CEB" w14:textId="54859BA5" w:rsidR="004E119B" w:rsidRPr="00D63265" w:rsidRDefault="004E119B" w:rsidP="006B1DB8">
      <w:pPr>
        <w:pStyle w:val="FootnoteText"/>
        <w:ind w:left="1138" w:right="1138" w:hanging="228"/>
        <w:jc w:val="left"/>
        <w:rPr>
          <w:szCs w:val="18"/>
        </w:rPr>
      </w:pPr>
      <w:r w:rsidRPr="002D31A9">
        <w:rPr>
          <w:rStyle w:val="FootnoteReference"/>
          <w:szCs w:val="18"/>
        </w:rPr>
        <w:footnoteRef/>
      </w:r>
      <w:r w:rsidRPr="00D63265">
        <w:rPr>
          <w:szCs w:val="18"/>
        </w:rPr>
        <w:t xml:space="preserve"> </w:t>
      </w:r>
      <w:r>
        <w:rPr>
          <w:szCs w:val="18"/>
        </w:rPr>
        <w:t>T0144</w:t>
      </w:r>
      <w:r w:rsidRPr="00D63265">
        <w:rPr>
          <w:szCs w:val="18"/>
        </w:rPr>
        <w:t>,</w:t>
      </w:r>
      <w:r w:rsidRPr="00D63265">
        <w:rPr>
          <w:szCs w:val="18"/>
          <w:lang w:eastAsia="fr-FR"/>
        </w:rPr>
        <w:t xml:space="preserve"> </w:t>
      </w:r>
      <w:r>
        <w:rPr>
          <w:szCs w:val="18"/>
          <w:lang w:eastAsia="fr-FR"/>
        </w:rPr>
        <w:t>T0336</w:t>
      </w:r>
      <w:r w:rsidRPr="00D63265">
        <w:rPr>
          <w:szCs w:val="18"/>
          <w:lang w:eastAsia="fr-FR"/>
        </w:rPr>
        <w:t>, T0220.</w:t>
      </w:r>
    </w:p>
  </w:footnote>
  <w:footnote w:id="546">
    <w:p w14:paraId="745AF1B4" w14:textId="75030AEF" w:rsidR="004E119B" w:rsidRPr="00B50F59" w:rsidRDefault="004E119B" w:rsidP="006B1DB8">
      <w:pPr>
        <w:pStyle w:val="FootnoteText"/>
        <w:ind w:left="1138" w:right="1138" w:hanging="228"/>
        <w:jc w:val="left"/>
        <w:rPr>
          <w:szCs w:val="18"/>
        </w:rPr>
      </w:pPr>
      <w:r w:rsidRPr="002D31A9">
        <w:rPr>
          <w:rStyle w:val="FootnoteReference"/>
          <w:szCs w:val="18"/>
        </w:rPr>
        <w:footnoteRef/>
      </w:r>
      <w:r w:rsidRPr="00B50F59">
        <w:rPr>
          <w:szCs w:val="18"/>
        </w:rPr>
        <w:t xml:space="preserve"> T0081.</w:t>
      </w:r>
    </w:p>
  </w:footnote>
  <w:footnote w:id="547">
    <w:p w14:paraId="5FF77A87" w14:textId="54B3A17F" w:rsidR="004E119B" w:rsidRPr="00B50F59" w:rsidRDefault="004E119B" w:rsidP="006B1DB8">
      <w:pPr>
        <w:pStyle w:val="FootnoteText"/>
        <w:ind w:left="1138" w:right="1138" w:hanging="228"/>
        <w:jc w:val="left"/>
        <w:rPr>
          <w:szCs w:val="18"/>
        </w:rPr>
      </w:pPr>
      <w:r w:rsidRPr="002D31A9">
        <w:rPr>
          <w:rStyle w:val="FootnoteReference"/>
          <w:szCs w:val="18"/>
        </w:rPr>
        <w:footnoteRef/>
      </w:r>
      <w:r w:rsidRPr="00B50F59">
        <w:rPr>
          <w:szCs w:val="18"/>
        </w:rPr>
        <w:t xml:space="preserve"> T0220.</w:t>
      </w:r>
    </w:p>
  </w:footnote>
  <w:footnote w:id="548">
    <w:p w14:paraId="34247BDD" w14:textId="4A44D6F3" w:rsidR="004E119B" w:rsidRPr="00CB2CDD" w:rsidRDefault="004E119B" w:rsidP="006B1DB8">
      <w:pPr>
        <w:pStyle w:val="FootnoteText"/>
        <w:ind w:left="1152" w:right="1138" w:hanging="245"/>
        <w:jc w:val="left"/>
        <w:rPr>
          <w:szCs w:val="18"/>
        </w:rPr>
      </w:pPr>
      <w:r w:rsidRPr="002D31A9">
        <w:rPr>
          <w:rStyle w:val="FootnoteReference"/>
          <w:szCs w:val="18"/>
        </w:rPr>
        <w:footnoteRef/>
      </w:r>
      <w:r w:rsidRPr="00CB2CDD">
        <w:rPr>
          <w:szCs w:val="18"/>
        </w:rPr>
        <w:t xml:space="preserve"> </w:t>
      </w:r>
      <w:r>
        <w:rPr>
          <w:szCs w:val="18"/>
        </w:rPr>
        <w:t>T0081</w:t>
      </w:r>
      <w:r w:rsidRPr="00CB2CDD">
        <w:rPr>
          <w:szCs w:val="18"/>
        </w:rPr>
        <w:t>.</w:t>
      </w:r>
    </w:p>
  </w:footnote>
  <w:footnote w:id="549">
    <w:p w14:paraId="76B0998F" w14:textId="137CF037" w:rsidR="004E119B" w:rsidRPr="00CB2CDD" w:rsidRDefault="004E119B" w:rsidP="006B1DB8">
      <w:pPr>
        <w:pStyle w:val="FootnoteText"/>
        <w:tabs>
          <w:tab w:val="right" w:pos="0"/>
        </w:tabs>
        <w:ind w:left="1138" w:right="1138" w:hanging="228"/>
        <w:jc w:val="left"/>
        <w:rPr>
          <w:color w:val="676767"/>
          <w:szCs w:val="18"/>
          <w:highlight w:val="yellow"/>
          <w:lang w:eastAsia="fr-FR"/>
        </w:rPr>
      </w:pPr>
      <w:r w:rsidRPr="002D31A9">
        <w:rPr>
          <w:rStyle w:val="FootnoteReference"/>
          <w:szCs w:val="18"/>
        </w:rPr>
        <w:footnoteRef/>
      </w:r>
      <w:r w:rsidRPr="00CB2CDD">
        <w:rPr>
          <w:szCs w:val="18"/>
        </w:rPr>
        <w:t xml:space="preserve"> </w:t>
      </w:r>
      <w:r>
        <w:rPr>
          <w:szCs w:val="18"/>
        </w:rPr>
        <w:t>T0038</w:t>
      </w:r>
      <w:r w:rsidRPr="00CB2CDD">
        <w:rPr>
          <w:szCs w:val="18"/>
        </w:rPr>
        <w:t xml:space="preserve">. Voir aussi </w:t>
      </w:r>
      <w:r>
        <w:rPr>
          <w:szCs w:val="18"/>
        </w:rPr>
        <w:t>T0315</w:t>
      </w:r>
      <w:r w:rsidRPr="00CB2CDD">
        <w:rPr>
          <w:szCs w:val="18"/>
        </w:rPr>
        <w:t>.</w:t>
      </w:r>
    </w:p>
  </w:footnote>
  <w:footnote w:id="550">
    <w:p w14:paraId="6FFFFFB4" w14:textId="142586E7" w:rsidR="004E119B" w:rsidRPr="00D63265"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D63265">
        <w:rPr>
          <w:szCs w:val="18"/>
        </w:rPr>
        <w:t xml:space="preserve"> T0344, T0427.</w:t>
      </w:r>
    </w:p>
  </w:footnote>
  <w:footnote w:id="551">
    <w:p w14:paraId="4B0186DD" w14:textId="0204085E" w:rsidR="004E119B" w:rsidRPr="00D63265" w:rsidRDefault="004E119B" w:rsidP="006B1DB8">
      <w:pPr>
        <w:pStyle w:val="FootnoteText"/>
        <w:ind w:left="1138" w:right="1138" w:hanging="228"/>
        <w:jc w:val="left"/>
        <w:rPr>
          <w:szCs w:val="18"/>
        </w:rPr>
      </w:pPr>
      <w:r w:rsidRPr="002D31A9">
        <w:rPr>
          <w:rStyle w:val="FootnoteReference"/>
          <w:szCs w:val="18"/>
        </w:rPr>
        <w:footnoteRef/>
      </w:r>
      <w:r w:rsidRPr="00D63265">
        <w:rPr>
          <w:szCs w:val="18"/>
        </w:rPr>
        <w:t xml:space="preserve"> T0344.</w:t>
      </w:r>
    </w:p>
  </w:footnote>
  <w:footnote w:id="552">
    <w:p w14:paraId="149FAA79" w14:textId="721637D6" w:rsidR="004E119B" w:rsidRPr="00D63265" w:rsidRDefault="004E119B" w:rsidP="006B1DB8">
      <w:pPr>
        <w:pStyle w:val="FootnoteText"/>
        <w:ind w:left="1138" w:right="1138" w:hanging="228"/>
        <w:jc w:val="left"/>
        <w:rPr>
          <w:szCs w:val="18"/>
        </w:rPr>
      </w:pPr>
      <w:r w:rsidRPr="002D31A9">
        <w:rPr>
          <w:rStyle w:val="FootnoteReference"/>
          <w:szCs w:val="18"/>
        </w:rPr>
        <w:footnoteRef/>
      </w:r>
      <w:r w:rsidRPr="00D63265">
        <w:rPr>
          <w:szCs w:val="18"/>
        </w:rPr>
        <w:t xml:space="preserve"> T0344, T0427. </w:t>
      </w:r>
    </w:p>
  </w:footnote>
  <w:footnote w:id="553">
    <w:p w14:paraId="4C5BA3CC" w14:textId="4D3F4F93" w:rsidR="004E119B" w:rsidRPr="00D63265" w:rsidRDefault="004E119B" w:rsidP="006B1DB8">
      <w:pPr>
        <w:pStyle w:val="FootnoteText"/>
        <w:ind w:left="1138" w:right="1138" w:hanging="228"/>
        <w:jc w:val="left"/>
        <w:rPr>
          <w:szCs w:val="18"/>
        </w:rPr>
      </w:pPr>
      <w:r w:rsidRPr="002D31A9">
        <w:rPr>
          <w:rStyle w:val="FootnoteReference"/>
          <w:szCs w:val="18"/>
        </w:rPr>
        <w:footnoteRef/>
      </w:r>
      <w:r w:rsidRPr="00D63265">
        <w:rPr>
          <w:szCs w:val="18"/>
        </w:rPr>
        <w:t xml:space="preserve"> T0029.</w:t>
      </w:r>
    </w:p>
  </w:footnote>
  <w:footnote w:id="554">
    <w:p w14:paraId="72A799A8" w14:textId="2A84DB4E" w:rsidR="004E119B" w:rsidRPr="00D63265" w:rsidRDefault="004E119B" w:rsidP="006B1DB8">
      <w:pPr>
        <w:pStyle w:val="FootnoteText"/>
        <w:ind w:left="1138" w:right="1138" w:hanging="228"/>
        <w:jc w:val="left"/>
        <w:rPr>
          <w:szCs w:val="18"/>
        </w:rPr>
      </w:pPr>
      <w:r w:rsidRPr="002D31A9">
        <w:rPr>
          <w:rStyle w:val="FootnoteReference"/>
          <w:szCs w:val="18"/>
        </w:rPr>
        <w:footnoteRef/>
      </w:r>
      <w:r w:rsidRPr="00D63265">
        <w:rPr>
          <w:szCs w:val="18"/>
        </w:rPr>
        <w:t xml:space="preserve"> T0344, T0029, T0427.</w:t>
      </w:r>
    </w:p>
  </w:footnote>
  <w:footnote w:id="555">
    <w:p w14:paraId="22BEA5FD" w14:textId="732B5348" w:rsidR="004E119B" w:rsidRPr="00D63265" w:rsidRDefault="004E119B" w:rsidP="006B1DB8">
      <w:pPr>
        <w:pStyle w:val="FootnoteText"/>
        <w:ind w:left="1138" w:right="1138" w:hanging="228"/>
        <w:jc w:val="left"/>
        <w:rPr>
          <w:szCs w:val="18"/>
        </w:rPr>
      </w:pPr>
      <w:r w:rsidRPr="002D31A9">
        <w:rPr>
          <w:rStyle w:val="FootnoteReference"/>
          <w:szCs w:val="18"/>
        </w:rPr>
        <w:footnoteRef/>
      </w:r>
      <w:r w:rsidRPr="00D63265">
        <w:rPr>
          <w:szCs w:val="18"/>
        </w:rPr>
        <w:t xml:space="preserve"> T0344, </w:t>
      </w:r>
      <w:r>
        <w:rPr>
          <w:szCs w:val="18"/>
        </w:rPr>
        <w:t>T0315</w:t>
      </w:r>
      <w:r w:rsidRPr="00D63265">
        <w:rPr>
          <w:szCs w:val="18"/>
        </w:rPr>
        <w:t xml:space="preserve">. </w:t>
      </w:r>
    </w:p>
  </w:footnote>
  <w:footnote w:id="556">
    <w:p w14:paraId="06F29A61" w14:textId="6FBC4B7F" w:rsidR="004E119B" w:rsidRPr="00CB2CDD" w:rsidRDefault="004E119B" w:rsidP="006B1DB8">
      <w:pPr>
        <w:pStyle w:val="FootnoteText"/>
        <w:ind w:left="1138" w:right="1138" w:hanging="228"/>
        <w:jc w:val="left"/>
        <w:rPr>
          <w:szCs w:val="18"/>
        </w:rPr>
      </w:pPr>
      <w:r w:rsidRPr="002D31A9">
        <w:rPr>
          <w:rStyle w:val="FootnoteReference"/>
          <w:szCs w:val="18"/>
        </w:rPr>
        <w:footnoteRef/>
      </w:r>
      <w:r w:rsidRPr="00CB2CDD">
        <w:rPr>
          <w:szCs w:val="18"/>
        </w:rPr>
        <w:t xml:space="preserve"> </w:t>
      </w:r>
      <w:r>
        <w:rPr>
          <w:szCs w:val="18"/>
        </w:rPr>
        <w:t>T0344</w:t>
      </w:r>
      <w:r w:rsidRPr="00CB2CDD">
        <w:rPr>
          <w:szCs w:val="18"/>
        </w:rPr>
        <w:t xml:space="preserve">, </w:t>
      </w:r>
      <w:r>
        <w:rPr>
          <w:szCs w:val="18"/>
        </w:rPr>
        <w:t>v</w:t>
      </w:r>
      <w:r w:rsidRPr="00CB2CDD">
        <w:rPr>
          <w:szCs w:val="18"/>
        </w:rPr>
        <w:t xml:space="preserve">oir aussi </w:t>
      </w:r>
      <w:r>
        <w:rPr>
          <w:szCs w:val="18"/>
        </w:rPr>
        <w:t>T0324</w:t>
      </w:r>
      <w:r w:rsidRPr="00CB2CDD">
        <w:rPr>
          <w:szCs w:val="18"/>
        </w:rPr>
        <w:t>.</w:t>
      </w:r>
    </w:p>
  </w:footnote>
  <w:footnote w:id="557">
    <w:p w14:paraId="241928F2" w14:textId="50DDE9FA" w:rsidR="004E119B" w:rsidRPr="00CB2CDD" w:rsidRDefault="004E119B" w:rsidP="006B1DB8">
      <w:pPr>
        <w:pStyle w:val="FootnoteText"/>
        <w:ind w:left="1138" w:right="1138" w:hanging="228"/>
        <w:jc w:val="left"/>
        <w:rPr>
          <w:szCs w:val="18"/>
        </w:rPr>
      </w:pPr>
      <w:r w:rsidRPr="002D31A9">
        <w:rPr>
          <w:rStyle w:val="FootnoteReference"/>
          <w:szCs w:val="18"/>
        </w:rPr>
        <w:footnoteRef/>
      </w:r>
      <w:r w:rsidRPr="00CB2CDD">
        <w:rPr>
          <w:szCs w:val="18"/>
        </w:rPr>
        <w:t xml:space="preserve"> </w:t>
      </w:r>
      <w:r>
        <w:rPr>
          <w:szCs w:val="18"/>
        </w:rPr>
        <w:t>T0315</w:t>
      </w:r>
      <w:r w:rsidRPr="00CB2CDD">
        <w:rPr>
          <w:szCs w:val="18"/>
        </w:rPr>
        <w:t>,</w:t>
      </w:r>
      <w:r w:rsidRPr="00CB2CDD">
        <w:rPr>
          <w:color w:val="676767"/>
          <w:szCs w:val="18"/>
          <w:lang w:eastAsia="fr-FR"/>
        </w:rPr>
        <w:t xml:space="preserve"> </w:t>
      </w:r>
      <w:r>
        <w:rPr>
          <w:szCs w:val="18"/>
          <w:lang w:eastAsia="fr-FR"/>
        </w:rPr>
        <w:t>T0344</w:t>
      </w:r>
      <w:r w:rsidRPr="00CB2CDD">
        <w:rPr>
          <w:szCs w:val="18"/>
          <w:lang w:eastAsia="fr-FR"/>
        </w:rPr>
        <w:t>.</w:t>
      </w:r>
      <w:r w:rsidRPr="00CB2CDD">
        <w:rPr>
          <w:color w:val="676767"/>
          <w:szCs w:val="18"/>
          <w:lang w:eastAsia="fr-FR"/>
        </w:rPr>
        <w:t xml:space="preserve"> </w:t>
      </w:r>
    </w:p>
  </w:footnote>
  <w:footnote w:id="558">
    <w:p w14:paraId="74449E1C" w14:textId="43B38E13" w:rsidR="004E119B" w:rsidRPr="00B50F59" w:rsidRDefault="004E119B" w:rsidP="006B1DB8">
      <w:pPr>
        <w:pStyle w:val="FootnoteText"/>
        <w:ind w:left="1138" w:right="1138" w:hanging="228"/>
        <w:jc w:val="left"/>
        <w:rPr>
          <w:szCs w:val="18"/>
        </w:rPr>
      </w:pPr>
      <w:r w:rsidRPr="002D31A9">
        <w:rPr>
          <w:rStyle w:val="FootnoteReference"/>
          <w:szCs w:val="18"/>
        </w:rPr>
        <w:footnoteRef/>
      </w:r>
      <w:r w:rsidRPr="00B50F59">
        <w:rPr>
          <w:szCs w:val="18"/>
        </w:rPr>
        <w:t xml:space="preserve"> T0344.</w:t>
      </w:r>
    </w:p>
  </w:footnote>
  <w:footnote w:id="559">
    <w:p w14:paraId="07727BFB" w14:textId="226DD973" w:rsidR="004E119B" w:rsidRPr="00B50F59" w:rsidRDefault="004E119B" w:rsidP="006B1DB8">
      <w:pPr>
        <w:pStyle w:val="FootnoteText"/>
        <w:ind w:left="1138" w:right="1138" w:hanging="228"/>
        <w:jc w:val="left"/>
        <w:rPr>
          <w:szCs w:val="18"/>
        </w:rPr>
      </w:pPr>
      <w:r w:rsidRPr="002D31A9">
        <w:rPr>
          <w:rStyle w:val="FootnoteReference"/>
          <w:szCs w:val="18"/>
        </w:rPr>
        <w:footnoteRef/>
      </w:r>
      <w:r w:rsidRPr="00B50F59">
        <w:rPr>
          <w:szCs w:val="18"/>
        </w:rPr>
        <w:t xml:space="preserve"> T0315.</w:t>
      </w:r>
    </w:p>
  </w:footnote>
  <w:footnote w:id="560">
    <w:p w14:paraId="4E0AFD90" w14:textId="743D05B9" w:rsidR="004E119B" w:rsidRPr="00B50F59" w:rsidRDefault="004E119B" w:rsidP="006B1DB8">
      <w:pPr>
        <w:pStyle w:val="FootnoteText"/>
        <w:ind w:left="1138" w:right="1138" w:hanging="228"/>
        <w:jc w:val="left"/>
        <w:rPr>
          <w:szCs w:val="18"/>
        </w:rPr>
      </w:pPr>
      <w:r w:rsidRPr="002D31A9">
        <w:rPr>
          <w:rStyle w:val="FootnoteReference"/>
          <w:szCs w:val="18"/>
        </w:rPr>
        <w:footnoteRef/>
      </w:r>
      <w:r w:rsidRPr="00B50F59">
        <w:rPr>
          <w:szCs w:val="18"/>
        </w:rPr>
        <w:t xml:space="preserve"> T0315, T0029.</w:t>
      </w:r>
    </w:p>
  </w:footnote>
  <w:footnote w:id="561">
    <w:p w14:paraId="16AE4BB1" w14:textId="6F024838" w:rsidR="004E119B" w:rsidRPr="00B50F59" w:rsidRDefault="004E119B" w:rsidP="006B1DB8">
      <w:pPr>
        <w:pStyle w:val="FootnoteText"/>
        <w:ind w:left="1138" w:right="1138" w:hanging="228"/>
        <w:jc w:val="left"/>
        <w:rPr>
          <w:color w:val="676767"/>
          <w:szCs w:val="18"/>
          <w:highlight w:val="yellow"/>
          <w:lang w:eastAsia="fr-FR"/>
        </w:rPr>
      </w:pPr>
      <w:r w:rsidRPr="002D31A9">
        <w:rPr>
          <w:szCs w:val="18"/>
          <w:vertAlign w:val="superscript"/>
          <w:lang w:eastAsia="fr-FR"/>
        </w:rPr>
        <w:footnoteRef/>
      </w:r>
      <w:r w:rsidRPr="00B50F59">
        <w:rPr>
          <w:szCs w:val="18"/>
          <w:lang w:eastAsia="fr-FR"/>
        </w:rPr>
        <w:t xml:space="preserve"> T0344.</w:t>
      </w:r>
    </w:p>
  </w:footnote>
  <w:footnote w:id="562">
    <w:p w14:paraId="379A78A1" w14:textId="10619733" w:rsidR="004E119B" w:rsidRPr="00B50F59" w:rsidRDefault="004E119B" w:rsidP="006B1DB8">
      <w:pPr>
        <w:pStyle w:val="FootnoteText"/>
        <w:ind w:left="1138" w:right="1138" w:hanging="228"/>
        <w:jc w:val="left"/>
        <w:rPr>
          <w:szCs w:val="18"/>
        </w:rPr>
      </w:pPr>
      <w:r w:rsidRPr="002D31A9">
        <w:rPr>
          <w:rStyle w:val="FootnoteReference"/>
          <w:szCs w:val="18"/>
        </w:rPr>
        <w:footnoteRef/>
      </w:r>
      <w:r w:rsidRPr="00B50F59">
        <w:rPr>
          <w:szCs w:val="18"/>
        </w:rPr>
        <w:t xml:space="preserve"> T0029.</w:t>
      </w:r>
    </w:p>
  </w:footnote>
  <w:footnote w:id="563">
    <w:p w14:paraId="3C127C39" w14:textId="2A9877E3" w:rsidR="004E119B" w:rsidRPr="00B50F59" w:rsidRDefault="004E119B" w:rsidP="006B1DB8">
      <w:pPr>
        <w:pStyle w:val="FootnoteText"/>
        <w:ind w:left="1138" w:right="1138" w:hanging="228"/>
        <w:jc w:val="left"/>
        <w:rPr>
          <w:szCs w:val="18"/>
        </w:rPr>
      </w:pPr>
      <w:r w:rsidRPr="002D31A9">
        <w:rPr>
          <w:rStyle w:val="FootnoteReference"/>
          <w:szCs w:val="18"/>
        </w:rPr>
        <w:footnoteRef/>
      </w:r>
      <w:r w:rsidRPr="00B50F59">
        <w:rPr>
          <w:szCs w:val="18"/>
        </w:rPr>
        <w:t xml:space="preserve"> T0344. </w:t>
      </w:r>
    </w:p>
  </w:footnote>
  <w:footnote w:id="564">
    <w:p w14:paraId="2C347857" w14:textId="75CA083B" w:rsidR="004E119B" w:rsidRPr="00633737" w:rsidRDefault="004E119B" w:rsidP="006B1DB8">
      <w:pPr>
        <w:pStyle w:val="FootnoteText"/>
        <w:ind w:left="1152" w:right="1138" w:hanging="245"/>
        <w:jc w:val="left"/>
        <w:rPr>
          <w:szCs w:val="18"/>
        </w:rPr>
      </w:pPr>
      <w:r w:rsidRPr="002D31A9">
        <w:rPr>
          <w:rStyle w:val="FootnoteReference"/>
          <w:szCs w:val="18"/>
        </w:rPr>
        <w:footnoteRef/>
      </w:r>
      <w:r w:rsidRPr="00633737">
        <w:rPr>
          <w:szCs w:val="18"/>
        </w:rPr>
        <w:t xml:space="preserve"> </w:t>
      </w:r>
      <w:r>
        <w:rPr>
          <w:szCs w:val="18"/>
        </w:rPr>
        <w:t>T0088</w:t>
      </w:r>
      <w:r w:rsidRPr="00633737">
        <w:rPr>
          <w:szCs w:val="18"/>
        </w:rPr>
        <w:t xml:space="preserve">, T0201, T0238, </w:t>
      </w:r>
      <w:r>
        <w:rPr>
          <w:szCs w:val="18"/>
        </w:rPr>
        <w:t>T0104</w:t>
      </w:r>
      <w:r w:rsidRPr="00633737">
        <w:rPr>
          <w:szCs w:val="18"/>
        </w:rPr>
        <w:t xml:space="preserve">, </w:t>
      </w:r>
      <w:r>
        <w:rPr>
          <w:szCs w:val="18"/>
        </w:rPr>
        <w:t>T0156</w:t>
      </w:r>
      <w:r w:rsidRPr="00633737">
        <w:rPr>
          <w:szCs w:val="18"/>
        </w:rPr>
        <w:t xml:space="preserve">, T0197, </w:t>
      </w:r>
      <w:r>
        <w:rPr>
          <w:szCs w:val="18"/>
        </w:rPr>
        <w:t>T0150</w:t>
      </w:r>
      <w:r w:rsidRPr="00633737">
        <w:rPr>
          <w:szCs w:val="18"/>
        </w:rPr>
        <w:t xml:space="preserve">, </w:t>
      </w:r>
      <w:r>
        <w:rPr>
          <w:szCs w:val="18"/>
        </w:rPr>
        <w:t>T0067</w:t>
      </w:r>
      <w:r w:rsidRPr="00633737">
        <w:rPr>
          <w:szCs w:val="18"/>
        </w:rPr>
        <w:t xml:space="preserve">. </w:t>
      </w:r>
    </w:p>
  </w:footnote>
  <w:footnote w:id="565">
    <w:p w14:paraId="73F96F14" w14:textId="7C8CBF8D" w:rsidR="004E119B" w:rsidRPr="008946FE"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8946FE">
        <w:rPr>
          <w:szCs w:val="18"/>
        </w:rPr>
        <w:t xml:space="preserve"> </w:t>
      </w:r>
      <w:r>
        <w:rPr>
          <w:szCs w:val="18"/>
        </w:rPr>
        <w:t>T0281</w:t>
      </w:r>
      <w:r w:rsidRPr="008946FE">
        <w:rPr>
          <w:szCs w:val="18"/>
        </w:rPr>
        <w:t>.</w:t>
      </w:r>
    </w:p>
  </w:footnote>
  <w:footnote w:id="566">
    <w:p w14:paraId="43274B6D" w14:textId="152F6CB3" w:rsidR="004E119B" w:rsidRPr="008946FE"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8946FE">
        <w:rPr>
          <w:szCs w:val="18"/>
        </w:rPr>
        <w:t xml:space="preserve"> </w:t>
      </w:r>
      <w:r>
        <w:rPr>
          <w:szCs w:val="18"/>
        </w:rPr>
        <w:t>T0205</w:t>
      </w:r>
      <w:r w:rsidRPr="008946FE">
        <w:rPr>
          <w:szCs w:val="18"/>
        </w:rPr>
        <w:t>.</w:t>
      </w:r>
    </w:p>
  </w:footnote>
  <w:footnote w:id="567">
    <w:p w14:paraId="5585637F" w14:textId="0EAB284C" w:rsidR="004E119B" w:rsidRPr="008946FE"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8946FE">
        <w:rPr>
          <w:szCs w:val="18"/>
        </w:rPr>
        <w:t xml:space="preserve"> </w:t>
      </w:r>
      <w:r>
        <w:rPr>
          <w:szCs w:val="18"/>
        </w:rPr>
        <w:t>T0205</w:t>
      </w:r>
      <w:r w:rsidRPr="008946FE">
        <w:rPr>
          <w:szCs w:val="18"/>
        </w:rPr>
        <w:t>.</w:t>
      </w:r>
    </w:p>
  </w:footnote>
  <w:footnote w:id="568">
    <w:p w14:paraId="7946E33D" w14:textId="4A55EFAB" w:rsidR="004E119B" w:rsidRPr="008946FE"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8946FE">
        <w:rPr>
          <w:szCs w:val="18"/>
        </w:rPr>
        <w:t xml:space="preserve"> </w:t>
      </w:r>
      <w:r>
        <w:rPr>
          <w:szCs w:val="18"/>
        </w:rPr>
        <w:t>T0150</w:t>
      </w:r>
      <w:r w:rsidRPr="008946FE">
        <w:rPr>
          <w:szCs w:val="18"/>
        </w:rPr>
        <w:t>.</w:t>
      </w:r>
    </w:p>
  </w:footnote>
  <w:footnote w:id="569">
    <w:p w14:paraId="2F888EC7" w14:textId="0DF8E5E5" w:rsidR="004E119B" w:rsidRPr="006E341A" w:rsidRDefault="004E119B" w:rsidP="006B1DB8">
      <w:pPr>
        <w:pStyle w:val="FootnoteText"/>
        <w:tabs>
          <w:tab w:val="right" w:pos="0"/>
          <w:tab w:val="right" w:pos="142"/>
        </w:tabs>
        <w:ind w:left="1138" w:right="1138" w:hanging="228"/>
        <w:jc w:val="left"/>
        <w:rPr>
          <w:szCs w:val="18"/>
        </w:rPr>
      </w:pPr>
      <w:r w:rsidRPr="002D31A9">
        <w:rPr>
          <w:rStyle w:val="FootnoteReference"/>
          <w:szCs w:val="18"/>
        </w:rPr>
        <w:footnoteRef/>
      </w:r>
      <w:r w:rsidRPr="00FE5E8D">
        <w:rPr>
          <w:szCs w:val="18"/>
        </w:rPr>
        <w:t xml:space="preserve"> </w:t>
      </w:r>
      <w:r>
        <w:rPr>
          <w:szCs w:val="18"/>
        </w:rPr>
        <w:t>T0232</w:t>
      </w:r>
      <w:r w:rsidRPr="00FE5E8D">
        <w:rPr>
          <w:szCs w:val="18"/>
        </w:rPr>
        <w:t xml:space="preserve">, </w:t>
      </w:r>
      <w:r>
        <w:rPr>
          <w:szCs w:val="18"/>
        </w:rPr>
        <w:t>T0014</w:t>
      </w:r>
      <w:r w:rsidRPr="00FE5E8D">
        <w:rPr>
          <w:szCs w:val="18"/>
        </w:rPr>
        <w:t xml:space="preserve">, </w:t>
      </w:r>
      <w:r>
        <w:rPr>
          <w:szCs w:val="18"/>
        </w:rPr>
        <w:t>T0048</w:t>
      </w:r>
      <w:r w:rsidRPr="00FE5E8D">
        <w:rPr>
          <w:szCs w:val="18"/>
        </w:rPr>
        <w:t xml:space="preserve">, </w:t>
      </w:r>
      <w:r>
        <w:rPr>
          <w:szCs w:val="18"/>
        </w:rPr>
        <w:t>T0161</w:t>
      </w:r>
      <w:r w:rsidRPr="00FE5E8D">
        <w:rPr>
          <w:szCs w:val="18"/>
        </w:rPr>
        <w:t xml:space="preserve">, </w:t>
      </w:r>
      <w:r>
        <w:rPr>
          <w:szCs w:val="18"/>
        </w:rPr>
        <w:t>T0025</w:t>
      </w:r>
      <w:r w:rsidRPr="00FE5E8D">
        <w:rPr>
          <w:szCs w:val="18"/>
        </w:rPr>
        <w:t xml:space="preserve">, </w:t>
      </w:r>
      <w:r w:rsidRPr="002D31A9">
        <w:rPr>
          <w:szCs w:val="18"/>
        </w:rPr>
        <w:t>BCNUDH de la MONUSCO, Rapport de mission d’enquête spéciale du 25 août au 1</w:t>
      </w:r>
      <w:r w:rsidRPr="00137490">
        <w:rPr>
          <w:szCs w:val="18"/>
          <w:vertAlign w:val="superscript"/>
        </w:rPr>
        <w:t>er</w:t>
      </w:r>
      <w:r w:rsidRPr="002D31A9">
        <w:rPr>
          <w:szCs w:val="18"/>
        </w:rPr>
        <w:t xml:space="preserve"> </w:t>
      </w:r>
      <w:r w:rsidRPr="004637BD">
        <w:rPr>
          <w:szCs w:val="18"/>
        </w:rPr>
        <w:t>septembre 2017, Violations graves des droits de l’homme perpétrées par les membres du groupe d’autodéfense Bana Mura, les militaires des FARDC et les miliciens de Kamuina Nsapu dans le territoire de Kamonia, province du Kasaï, en avril 2017, octobre 2017</w:t>
      </w:r>
      <w:r w:rsidRPr="00FE5E8D">
        <w:rPr>
          <w:szCs w:val="18"/>
        </w:rPr>
        <w:t xml:space="preserve">. Voir aussi </w:t>
      </w:r>
      <w:r w:rsidRPr="002D31A9">
        <w:rPr>
          <w:szCs w:val="18"/>
        </w:rPr>
        <w:t>FIDH, Rapport d’enquête, Massacres au Kasaï : des crimes contre l’humanité au service d’un chaos organisé République démocratique du Congo, décembre 2017</w:t>
      </w:r>
      <w:r w:rsidRPr="006E341A">
        <w:rPr>
          <w:szCs w:val="18"/>
        </w:rPr>
        <w:t xml:space="preserve">. </w:t>
      </w:r>
    </w:p>
  </w:footnote>
  <w:footnote w:id="570">
    <w:p w14:paraId="24DA2643" w14:textId="73EC21C5" w:rsidR="004E119B" w:rsidRPr="00EC7100"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EC7100">
        <w:rPr>
          <w:szCs w:val="18"/>
        </w:rPr>
        <w:t xml:space="preserve"> T0404, </w:t>
      </w:r>
      <w:r>
        <w:rPr>
          <w:szCs w:val="18"/>
        </w:rPr>
        <w:t>T0445</w:t>
      </w:r>
      <w:r w:rsidRPr="00EC7100">
        <w:rPr>
          <w:szCs w:val="18"/>
        </w:rPr>
        <w:t>, T0156, T0252.</w:t>
      </w:r>
    </w:p>
  </w:footnote>
  <w:footnote w:id="571">
    <w:p w14:paraId="5FFA9422" w14:textId="390813CF" w:rsidR="004E119B" w:rsidRPr="00633737" w:rsidRDefault="004E119B" w:rsidP="006B1DB8">
      <w:pPr>
        <w:tabs>
          <w:tab w:val="right" w:pos="0"/>
        </w:tabs>
        <w:spacing w:line="220" w:lineRule="exact"/>
        <w:ind w:left="1138" w:right="1138" w:hanging="228"/>
        <w:rPr>
          <w:sz w:val="18"/>
          <w:szCs w:val="18"/>
        </w:rPr>
      </w:pPr>
      <w:r w:rsidRPr="002D31A9">
        <w:rPr>
          <w:rStyle w:val="FootnoteReference"/>
          <w:szCs w:val="18"/>
        </w:rPr>
        <w:footnoteRef/>
      </w:r>
      <w:r w:rsidRPr="00633737">
        <w:rPr>
          <w:sz w:val="18"/>
          <w:szCs w:val="18"/>
        </w:rPr>
        <w:t xml:space="preserve"> </w:t>
      </w:r>
      <w:r>
        <w:rPr>
          <w:sz w:val="18"/>
          <w:szCs w:val="18"/>
        </w:rPr>
        <w:t>T0111</w:t>
      </w:r>
      <w:r w:rsidRPr="00633737">
        <w:rPr>
          <w:sz w:val="18"/>
          <w:szCs w:val="18"/>
        </w:rPr>
        <w:t>,</w:t>
      </w:r>
      <w:r w:rsidRPr="00633737">
        <w:rPr>
          <w:sz w:val="18"/>
          <w:szCs w:val="18"/>
          <w:lang w:eastAsia="fr-FR"/>
        </w:rPr>
        <w:t xml:space="preserve"> </w:t>
      </w:r>
      <w:r>
        <w:rPr>
          <w:sz w:val="18"/>
          <w:szCs w:val="18"/>
        </w:rPr>
        <w:t>T0445</w:t>
      </w:r>
      <w:r w:rsidRPr="00633737">
        <w:rPr>
          <w:sz w:val="18"/>
          <w:szCs w:val="18"/>
        </w:rPr>
        <w:t xml:space="preserve">, </w:t>
      </w:r>
      <w:r>
        <w:rPr>
          <w:sz w:val="18"/>
          <w:szCs w:val="18"/>
        </w:rPr>
        <w:t>T0232</w:t>
      </w:r>
      <w:r w:rsidRPr="00633737">
        <w:rPr>
          <w:sz w:val="18"/>
          <w:szCs w:val="18"/>
        </w:rPr>
        <w:t>,</w:t>
      </w:r>
      <w:r w:rsidRPr="00633737">
        <w:rPr>
          <w:sz w:val="18"/>
          <w:szCs w:val="18"/>
          <w:lang w:eastAsia="fr-FR"/>
        </w:rPr>
        <w:t xml:space="preserve"> </w:t>
      </w:r>
      <w:r>
        <w:rPr>
          <w:sz w:val="18"/>
          <w:szCs w:val="18"/>
          <w:lang w:eastAsia="fr-FR"/>
        </w:rPr>
        <w:t>T0048</w:t>
      </w:r>
      <w:r w:rsidRPr="00633737">
        <w:rPr>
          <w:sz w:val="18"/>
          <w:szCs w:val="18"/>
          <w:lang w:eastAsia="fr-FR"/>
        </w:rPr>
        <w:t xml:space="preserve">, T0161, </w:t>
      </w:r>
      <w:r>
        <w:rPr>
          <w:sz w:val="18"/>
          <w:szCs w:val="18"/>
          <w:lang w:eastAsia="fr-FR"/>
        </w:rPr>
        <w:t>T0116</w:t>
      </w:r>
      <w:r w:rsidRPr="00633737">
        <w:rPr>
          <w:sz w:val="18"/>
          <w:szCs w:val="18"/>
          <w:lang w:eastAsia="fr-FR"/>
        </w:rPr>
        <w:t>.</w:t>
      </w:r>
    </w:p>
  </w:footnote>
  <w:footnote w:id="572">
    <w:p w14:paraId="2B11B43E" w14:textId="797B3EF3" w:rsidR="004E119B" w:rsidRPr="006E341A"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2D31A9">
        <w:rPr>
          <w:szCs w:val="18"/>
        </w:rPr>
        <w:t xml:space="preserve"> </w:t>
      </w:r>
      <w:r>
        <w:rPr>
          <w:szCs w:val="18"/>
        </w:rPr>
        <w:t>T0252</w:t>
      </w:r>
      <w:r w:rsidRPr="00840539">
        <w:rPr>
          <w:szCs w:val="18"/>
        </w:rPr>
        <w:t xml:space="preserve">, </w:t>
      </w:r>
      <w:r>
        <w:rPr>
          <w:szCs w:val="18"/>
        </w:rPr>
        <w:t>T0161</w:t>
      </w:r>
      <w:r w:rsidRPr="00840539">
        <w:rPr>
          <w:szCs w:val="18"/>
        </w:rPr>
        <w:t xml:space="preserve">, </w:t>
      </w:r>
      <w:r>
        <w:rPr>
          <w:szCs w:val="18"/>
        </w:rPr>
        <w:t>T0048</w:t>
      </w:r>
      <w:r w:rsidRPr="00840539">
        <w:rPr>
          <w:szCs w:val="18"/>
        </w:rPr>
        <w:t xml:space="preserve">, </w:t>
      </w:r>
      <w:r>
        <w:rPr>
          <w:szCs w:val="18"/>
        </w:rPr>
        <w:t>T0445</w:t>
      </w:r>
      <w:r w:rsidRPr="00840539">
        <w:rPr>
          <w:szCs w:val="18"/>
        </w:rPr>
        <w:t xml:space="preserve">, Voir aussi </w:t>
      </w:r>
      <w:r w:rsidRPr="002D31A9">
        <w:rPr>
          <w:szCs w:val="18"/>
        </w:rPr>
        <w:t>BCNUDH de la MONUSCO, Rapport de mission d’enquête spéciale du 25 août au 1</w:t>
      </w:r>
      <w:r w:rsidRPr="00137490">
        <w:rPr>
          <w:szCs w:val="18"/>
          <w:vertAlign w:val="superscript"/>
        </w:rPr>
        <w:t>er</w:t>
      </w:r>
      <w:r w:rsidRPr="002D31A9">
        <w:rPr>
          <w:szCs w:val="18"/>
        </w:rPr>
        <w:t xml:space="preserve"> septembre 2017</w:t>
      </w:r>
      <w:r w:rsidRPr="00840539">
        <w:rPr>
          <w:szCs w:val="18"/>
        </w:rPr>
        <w:t>, Violations graves des droits de l’homme perpétrées par les membres du groupe d’autodéfense Bana Mura, les militaires des FARDC et les miliciens de Kamuina Nsapu dans le territoire de Kamonia, province du K</w:t>
      </w:r>
      <w:r w:rsidRPr="006E341A">
        <w:rPr>
          <w:szCs w:val="18"/>
        </w:rPr>
        <w:t>asaï, en avril 2017, octobre 2017</w:t>
      </w:r>
      <w:r>
        <w:rPr>
          <w:szCs w:val="18"/>
        </w:rPr>
        <w:t xml:space="preserve"> ; </w:t>
      </w:r>
      <w:r w:rsidRPr="002D31A9">
        <w:rPr>
          <w:szCs w:val="18"/>
        </w:rPr>
        <w:t>FIDH, Rapport d’enquête, Massacres au Kasaï : des crimes contre l’humanité au service d’un chaos organisé République démocratique du Congo, décembre 2017</w:t>
      </w:r>
      <w:r w:rsidRPr="006E341A">
        <w:rPr>
          <w:szCs w:val="18"/>
        </w:rPr>
        <w:t>.</w:t>
      </w:r>
    </w:p>
  </w:footnote>
  <w:footnote w:id="573">
    <w:p w14:paraId="613C8AD5" w14:textId="435F2AB0" w:rsidR="004E119B" w:rsidRPr="006E341A"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2D31A9">
        <w:rPr>
          <w:szCs w:val="18"/>
        </w:rPr>
        <w:t xml:space="preserve"> </w:t>
      </w:r>
      <w:r>
        <w:rPr>
          <w:szCs w:val="18"/>
        </w:rPr>
        <w:t>T0252</w:t>
      </w:r>
      <w:r w:rsidRPr="002D31A9">
        <w:rPr>
          <w:szCs w:val="18"/>
        </w:rPr>
        <w:t> ; FIDH, Rapport d’enquête, Massacres au Kasaï : des crimes contre l’humanité au service d’un chaos organisé République démocratique du Congo, décembre 2017</w:t>
      </w:r>
      <w:r w:rsidRPr="00840539">
        <w:rPr>
          <w:szCs w:val="18"/>
        </w:rPr>
        <w:t xml:space="preserve">; </w:t>
      </w:r>
      <w:r w:rsidRPr="002D31A9">
        <w:rPr>
          <w:szCs w:val="18"/>
        </w:rPr>
        <w:t>BCNUDH de la MONUSCO, Rapport de mission d’enquête spéciale du 25 août au 1</w:t>
      </w:r>
      <w:r w:rsidRPr="00137490">
        <w:rPr>
          <w:szCs w:val="18"/>
          <w:vertAlign w:val="superscript"/>
        </w:rPr>
        <w:t>er</w:t>
      </w:r>
      <w:r w:rsidRPr="002D31A9">
        <w:rPr>
          <w:szCs w:val="18"/>
        </w:rPr>
        <w:t xml:space="preserve"> septembre 2017</w:t>
      </w:r>
      <w:r w:rsidRPr="00840539">
        <w:rPr>
          <w:szCs w:val="18"/>
        </w:rPr>
        <w:t>, Violations graves des droits de l’homme perpétrées par les membres du groupe d’autodéfense Bana Mura, les militaires des FARDC et les miliciens de Kamuina Nsapu dans le territoire de Kamonia, province du K</w:t>
      </w:r>
      <w:r w:rsidRPr="006E341A">
        <w:rPr>
          <w:szCs w:val="18"/>
        </w:rPr>
        <w:t xml:space="preserve">asaï, en avril 2017, octobre 2017. </w:t>
      </w:r>
    </w:p>
  </w:footnote>
  <w:footnote w:id="574">
    <w:p w14:paraId="6AA70530" w14:textId="40974F6E" w:rsidR="004E119B" w:rsidRPr="002D31A9"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2D31A9">
        <w:rPr>
          <w:szCs w:val="18"/>
        </w:rPr>
        <w:t xml:space="preserve"> </w:t>
      </w:r>
      <w:r>
        <w:rPr>
          <w:szCs w:val="18"/>
        </w:rPr>
        <w:t>T0193</w:t>
      </w:r>
      <w:r w:rsidRPr="002D31A9">
        <w:rPr>
          <w:szCs w:val="18"/>
        </w:rPr>
        <w:t>.</w:t>
      </w:r>
    </w:p>
  </w:footnote>
  <w:footnote w:id="575">
    <w:p w14:paraId="247EED4A" w14:textId="46A90957" w:rsidR="004E119B" w:rsidRPr="00840539" w:rsidRDefault="004E119B" w:rsidP="006B1DB8">
      <w:pPr>
        <w:pStyle w:val="FootnoteText"/>
        <w:ind w:left="1152" w:right="1138" w:hanging="245"/>
        <w:jc w:val="left"/>
        <w:rPr>
          <w:szCs w:val="18"/>
        </w:rPr>
      </w:pPr>
      <w:r w:rsidRPr="002D31A9">
        <w:rPr>
          <w:rStyle w:val="FootnoteReference"/>
          <w:szCs w:val="18"/>
        </w:rPr>
        <w:footnoteRef/>
      </w:r>
      <w:r w:rsidRPr="002D31A9">
        <w:rPr>
          <w:szCs w:val="18"/>
        </w:rPr>
        <w:t xml:space="preserve"> </w:t>
      </w:r>
      <w:r>
        <w:rPr>
          <w:szCs w:val="18"/>
        </w:rPr>
        <w:t>T0097</w:t>
      </w:r>
      <w:r w:rsidRPr="002D31A9">
        <w:rPr>
          <w:szCs w:val="18"/>
        </w:rPr>
        <w:t xml:space="preserve">, </w:t>
      </w:r>
      <w:r>
        <w:rPr>
          <w:szCs w:val="18"/>
        </w:rPr>
        <w:t>T0252</w:t>
      </w:r>
      <w:r w:rsidRPr="00840539">
        <w:rPr>
          <w:szCs w:val="18"/>
        </w:rPr>
        <w:t xml:space="preserve">. </w:t>
      </w:r>
    </w:p>
  </w:footnote>
  <w:footnote w:id="576">
    <w:p w14:paraId="3461E41C" w14:textId="356966EE" w:rsidR="004E119B" w:rsidRPr="00633737"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633737">
        <w:rPr>
          <w:szCs w:val="18"/>
        </w:rPr>
        <w:t xml:space="preserve"> </w:t>
      </w:r>
      <w:r>
        <w:rPr>
          <w:szCs w:val="18"/>
        </w:rPr>
        <w:t>T0422</w:t>
      </w:r>
      <w:r w:rsidRPr="00633737">
        <w:rPr>
          <w:szCs w:val="18"/>
        </w:rPr>
        <w:t xml:space="preserve">, T0100, </w:t>
      </w:r>
      <w:r>
        <w:rPr>
          <w:szCs w:val="18"/>
        </w:rPr>
        <w:t>T0445</w:t>
      </w:r>
      <w:r w:rsidRPr="00633737">
        <w:rPr>
          <w:szCs w:val="18"/>
        </w:rPr>
        <w:t xml:space="preserve">, </w:t>
      </w:r>
      <w:r>
        <w:rPr>
          <w:szCs w:val="18"/>
        </w:rPr>
        <w:t>T0116</w:t>
      </w:r>
      <w:r w:rsidRPr="00633737">
        <w:rPr>
          <w:szCs w:val="18"/>
        </w:rPr>
        <w:t xml:space="preserve">, </w:t>
      </w:r>
      <w:r>
        <w:rPr>
          <w:szCs w:val="18"/>
        </w:rPr>
        <w:t>T0310</w:t>
      </w:r>
      <w:r w:rsidRPr="00633737">
        <w:rPr>
          <w:szCs w:val="18"/>
        </w:rPr>
        <w:t xml:space="preserve">, </w:t>
      </w:r>
      <w:r>
        <w:rPr>
          <w:szCs w:val="18"/>
        </w:rPr>
        <w:t>T0232</w:t>
      </w:r>
      <w:r w:rsidRPr="00633737">
        <w:rPr>
          <w:szCs w:val="18"/>
        </w:rPr>
        <w:t xml:space="preserve">, </w:t>
      </w:r>
      <w:r>
        <w:rPr>
          <w:szCs w:val="18"/>
        </w:rPr>
        <w:t>T0404</w:t>
      </w:r>
      <w:r w:rsidRPr="00633737">
        <w:rPr>
          <w:szCs w:val="18"/>
        </w:rPr>
        <w:t>, T0201.</w:t>
      </w:r>
    </w:p>
  </w:footnote>
  <w:footnote w:id="577">
    <w:p w14:paraId="2A78D0CD" w14:textId="333E2BE4" w:rsidR="004E119B" w:rsidRPr="00EC7100"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EC7100">
        <w:rPr>
          <w:szCs w:val="18"/>
        </w:rPr>
        <w:t xml:space="preserve"> T0445, </w:t>
      </w:r>
      <w:r>
        <w:rPr>
          <w:szCs w:val="18"/>
        </w:rPr>
        <w:t>T0116</w:t>
      </w:r>
      <w:r w:rsidRPr="00EC7100">
        <w:rPr>
          <w:szCs w:val="18"/>
        </w:rPr>
        <w:t>, T0310.</w:t>
      </w:r>
    </w:p>
  </w:footnote>
  <w:footnote w:id="578">
    <w:p w14:paraId="77EF1F03" w14:textId="3D4D66D1" w:rsidR="004E119B" w:rsidRPr="00EC7100"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EC7100">
        <w:rPr>
          <w:szCs w:val="18"/>
        </w:rPr>
        <w:t xml:space="preserve"> T0232.</w:t>
      </w:r>
    </w:p>
  </w:footnote>
  <w:footnote w:id="579">
    <w:p w14:paraId="2B85AE6D" w14:textId="661A6EF3" w:rsidR="004E119B" w:rsidRPr="00EC7100" w:rsidRDefault="004E119B" w:rsidP="006B1DB8">
      <w:pPr>
        <w:tabs>
          <w:tab w:val="right" w:pos="0"/>
        </w:tabs>
        <w:spacing w:line="220" w:lineRule="exact"/>
        <w:ind w:left="1138" w:right="1138" w:hanging="228"/>
        <w:rPr>
          <w:sz w:val="18"/>
          <w:szCs w:val="18"/>
        </w:rPr>
      </w:pPr>
      <w:r w:rsidRPr="002D31A9">
        <w:rPr>
          <w:rStyle w:val="FootnoteReference"/>
          <w:szCs w:val="18"/>
        </w:rPr>
        <w:footnoteRef/>
      </w:r>
      <w:r w:rsidRPr="00EC7100">
        <w:rPr>
          <w:sz w:val="18"/>
          <w:szCs w:val="18"/>
        </w:rPr>
        <w:t xml:space="preserve"> T0404,</w:t>
      </w:r>
      <w:r w:rsidRPr="00EC7100">
        <w:rPr>
          <w:sz w:val="18"/>
          <w:szCs w:val="18"/>
          <w:lang w:eastAsia="fr-FR"/>
        </w:rPr>
        <w:t xml:space="preserve"> </w:t>
      </w:r>
      <w:r>
        <w:rPr>
          <w:sz w:val="18"/>
          <w:szCs w:val="18"/>
          <w:lang w:eastAsia="fr-FR"/>
        </w:rPr>
        <w:t>T0111</w:t>
      </w:r>
      <w:r w:rsidRPr="00EC7100">
        <w:rPr>
          <w:sz w:val="18"/>
          <w:szCs w:val="18"/>
          <w:lang w:eastAsia="fr-FR"/>
        </w:rPr>
        <w:t xml:space="preserve">, </w:t>
      </w:r>
      <w:r>
        <w:rPr>
          <w:sz w:val="18"/>
          <w:szCs w:val="18"/>
          <w:lang w:eastAsia="fr-FR"/>
        </w:rPr>
        <w:t>T0116</w:t>
      </w:r>
      <w:r w:rsidRPr="00EC7100">
        <w:rPr>
          <w:sz w:val="18"/>
          <w:szCs w:val="18"/>
          <w:lang w:eastAsia="fr-FR"/>
        </w:rPr>
        <w:t>.</w:t>
      </w:r>
    </w:p>
  </w:footnote>
  <w:footnote w:id="580">
    <w:p w14:paraId="42815AA6" w14:textId="461EEB69" w:rsidR="004E119B" w:rsidRPr="00EC7100"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EC7100">
        <w:rPr>
          <w:szCs w:val="18"/>
        </w:rPr>
        <w:t xml:space="preserve"> T0252.</w:t>
      </w:r>
    </w:p>
  </w:footnote>
  <w:footnote w:id="581">
    <w:p w14:paraId="777F5DFB" w14:textId="66E3FECE" w:rsidR="004E119B" w:rsidRPr="00EC7100"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EC7100">
        <w:rPr>
          <w:szCs w:val="18"/>
        </w:rPr>
        <w:t xml:space="preserve"> T0310.</w:t>
      </w:r>
    </w:p>
  </w:footnote>
  <w:footnote w:id="582">
    <w:p w14:paraId="6C45518E" w14:textId="5BA71807" w:rsidR="004E119B" w:rsidRPr="00EC7100"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EC7100">
        <w:rPr>
          <w:szCs w:val="18"/>
        </w:rPr>
        <w:t xml:space="preserve"> T0201.</w:t>
      </w:r>
    </w:p>
  </w:footnote>
  <w:footnote w:id="583">
    <w:p w14:paraId="3A5699AA" w14:textId="6AEC1CD9" w:rsidR="004E119B" w:rsidRPr="00EC7100"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EC7100">
        <w:rPr>
          <w:szCs w:val="18"/>
        </w:rPr>
        <w:t xml:space="preserve"> T0404.</w:t>
      </w:r>
    </w:p>
  </w:footnote>
  <w:footnote w:id="584">
    <w:p w14:paraId="2751E9F3" w14:textId="11B10144" w:rsidR="004E119B" w:rsidRPr="00633737" w:rsidRDefault="004E119B" w:rsidP="006B1DB8">
      <w:pPr>
        <w:pStyle w:val="FootnoteText"/>
        <w:tabs>
          <w:tab w:val="right" w:pos="0"/>
        </w:tabs>
        <w:ind w:left="1138" w:right="1138" w:hanging="228"/>
        <w:jc w:val="left"/>
        <w:rPr>
          <w:szCs w:val="18"/>
        </w:rPr>
      </w:pPr>
      <w:r w:rsidRPr="002D31A9">
        <w:rPr>
          <w:rStyle w:val="FootnoteReference"/>
          <w:szCs w:val="18"/>
        </w:rPr>
        <w:footnoteRef/>
      </w:r>
      <w:r w:rsidRPr="00633737">
        <w:rPr>
          <w:szCs w:val="18"/>
        </w:rPr>
        <w:t xml:space="preserve"> T0205, T0117, </w:t>
      </w:r>
      <w:r>
        <w:rPr>
          <w:szCs w:val="18"/>
        </w:rPr>
        <w:t>T0111</w:t>
      </w:r>
      <w:r w:rsidRPr="00633737">
        <w:rPr>
          <w:szCs w:val="18"/>
        </w:rPr>
        <w:t>.</w:t>
      </w:r>
    </w:p>
  </w:footnote>
  <w:footnote w:id="585">
    <w:p w14:paraId="0C88C4EE" w14:textId="2068317C" w:rsidR="004E119B" w:rsidRPr="00633737" w:rsidRDefault="004E119B" w:rsidP="006B1DB8">
      <w:pPr>
        <w:pStyle w:val="FootnoteText"/>
        <w:ind w:left="1138" w:right="1138" w:hanging="228"/>
        <w:jc w:val="left"/>
        <w:rPr>
          <w:szCs w:val="18"/>
        </w:rPr>
      </w:pPr>
      <w:r w:rsidRPr="002D31A9">
        <w:rPr>
          <w:rStyle w:val="FootnoteReference"/>
          <w:szCs w:val="18"/>
        </w:rPr>
        <w:footnoteRef/>
      </w:r>
      <w:r w:rsidRPr="00633737">
        <w:rPr>
          <w:szCs w:val="18"/>
        </w:rPr>
        <w:t xml:space="preserve"> T0014.</w:t>
      </w:r>
    </w:p>
  </w:footnote>
  <w:footnote w:id="586">
    <w:p w14:paraId="75F79408" w14:textId="7B13A051" w:rsidR="004E119B" w:rsidRPr="00633737" w:rsidRDefault="004E119B" w:rsidP="006B1DB8">
      <w:pPr>
        <w:pStyle w:val="FootnoteText"/>
        <w:ind w:left="1138" w:right="1138" w:hanging="228"/>
        <w:jc w:val="left"/>
        <w:rPr>
          <w:szCs w:val="18"/>
        </w:rPr>
      </w:pPr>
      <w:r w:rsidRPr="002D31A9">
        <w:rPr>
          <w:rStyle w:val="FootnoteReference"/>
          <w:szCs w:val="18"/>
        </w:rPr>
        <w:footnoteRef/>
      </w:r>
      <w:r w:rsidRPr="00633737">
        <w:rPr>
          <w:szCs w:val="18"/>
        </w:rPr>
        <w:t xml:space="preserve"> </w:t>
      </w:r>
      <w:r>
        <w:rPr>
          <w:szCs w:val="18"/>
        </w:rPr>
        <w:t>T0100</w:t>
      </w:r>
      <w:r w:rsidRPr="00633737">
        <w:rPr>
          <w:szCs w:val="18"/>
        </w:rPr>
        <w:t xml:space="preserve">, </w:t>
      </w:r>
      <w:r>
        <w:rPr>
          <w:szCs w:val="18"/>
        </w:rPr>
        <w:t>T0250</w:t>
      </w:r>
      <w:r w:rsidRPr="00633737">
        <w:rPr>
          <w:szCs w:val="18"/>
        </w:rPr>
        <w:t xml:space="preserve">, T0161, </w:t>
      </w:r>
      <w:r>
        <w:rPr>
          <w:szCs w:val="18"/>
        </w:rPr>
        <w:t>T0381</w:t>
      </w:r>
      <w:r w:rsidRPr="00633737">
        <w:rPr>
          <w:szCs w:val="18"/>
        </w:rPr>
        <w:t xml:space="preserve">, </w:t>
      </w:r>
      <w:r>
        <w:rPr>
          <w:szCs w:val="18"/>
        </w:rPr>
        <w:t>T0025</w:t>
      </w:r>
      <w:r w:rsidRPr="00633737">
        <w:rPr>
          <w:szCs w:val="18"/>
        </w:rPr>
        <w:t>.</w:t>
      </w:r>
    </w:p>
  </w:footnote>
  <w:footnote w:id="587">
    <w:p w14:paraId="35F6F23D" w14:textId="48DD2674" w:rsidR="004E119B" w:rsidRPr="00CB2CDD" w:rsidRDefault="004E119B" w:rsidP="006B1DB8">
      <w:pPr>
        <w:pStyle w:val="FootnoteText"/>
        <w:ind w:left="1138" w:right="1138" w:hanging="228"/>
        <w:jc w:val="left"/>
        <w:rPr>
          <w:szCs w:val="18"/>
        </w:rPr>
      </w:pPr>
      <w:r w:rsidRPr="002D31A9">
        <w:rPr>
          <w:rStyle w:val="FootnoteReference"/>
          <w:szCs w:val="18"/>
        </w:rPr>
        <w:footnoteRef/>
      </w:r>
      <w:r w:rsidRPr="00CB2CDD">
        <w:rPr>
          <w:szCs w:val="18"/>
        </w:rPr>
        <w:t xml:space="preserve"> </w:t>
      </w:r>
      <w:r>
        <w:rPr>
          <w:szCs w:val="18"/>
        </w:rPr>
        <w:t>T0250</w:t>
      </w:r>
      <w:r w:rsidRPr="00CB2CDD">
        <w:rPr>
          <w:szCs w:val="18"/>
        </w:rPr>
        <w:t>.</w:t>
      </w:r>
    </w:p>
  </w:footnote>
  <w:footnote w:id="588">
    <w:p w14:paraId="5DB7E766" w14:textId="09682779" w:rsidR="004E119B" w:rsidRPr="00CB2CDD" w:rsidRDefault="004E119B" w:rsidP="006B1DB8">
      <w:pPr>
        <w:pStyle w:val="FootnoteText"/>
        <w:ind w:left="1138" w:right="1138" w:hanging="228"/>
        <w:jc w:val="left"/>
        <w:rPr>
          <w:szCs w:val="18"/>
        </w:rPr>
      </w:pPr>
      <w:r w:rsidRPr="002D31A9">
        <w:rPr>
          <w:rStyle w:val="FootnoteReference"/>
          <w:szCs w:val="18"/>
        </w:rPr>
        <w:footnoteRef/>
      </w:r>
      <w:r w:rsidRPr="00CB2CDD">
        <w:rPr>
          <w:szCs w:val="18"/>
        </w:rPr>
        <w:t xml:space="preserve"> </w:t>
      </w:r>
      <w:r>
        <w:rPr>
          <w:szCs w:val="18"/>
        </w:rPr>
        <w:t>T0161</w:t>
      </w:r>
      <w:r w:rsidRPr="00CB2CDD">
        <w:rPr>
          <w:szCs w:val="18"/>
        </w:rPr>
        <w:t>.</w:t>
      </w:r>
    </w:p>
  </w:footnote>
  <w:footnote w:id="589">
    <w:p w14:paraId="73351AB4" w14:textId="170D66CA" w:rsidR="004E119B" w:rsidRPr="00CB2CDD" w:rsidRDefault="004E119B" w:rsidP="003D75DA">
      <w:pPr>
        <w:pStyle w:val="FootnoteText"/>
        <w:ind w:left="1152" w:right="1138" w:hanging="245"/>
        <w:jc w:val="left"/>
        <w:rPr>
          <w:szCs w:val="18"/>
        </w:rPr>
      </w:pPr>
      <w:r w:rsidRPr="002D31A9">
        <w:rPr>
          <w:rStyle w:val="FootnoteReference"/>
          <w:szCs w:val="18"/>
        </w:rPr>
        <w:footnoteRef/>
      </w:r>
      <w:r w:rsidRPr="00CB2CDD">
        <w:rPr>
          <w:szCs w:val="18"/>
        </w:rPr>
        <w:t xml:space="preserve"> </w:t>
      </w:r>
      <w:r>
        <w:rPr>
          <w:szCs w:val="18"/>
        </w:rPr>
        <w:t>T0349</w:t>
      </w:r>
      <w:r w:rsidRPr="00CB2CDD">
        <w:rPr>
          <w:szCs w:val="18"/>
        </w:rPr>
        <w:t xml:space="preserve">, </w:t>
      </w:r>
      <w:r>
        <w:rPr>
          <w:szCs w:val="18"/>
        </w:rPr>
        <w:t>T0161</w:t>
      </w:r>
      <w:r w:rsidRPr="00CB2CDD">
        <w:rPr>
          <w:szCs w:val="18"/>
        </w:rPr>
        <w:t xml:space="preserve">. Voir aussi </w:t>
      </w:r>
      <w:r>
        <w:rPr>
          <w:szCs w:val="18"/>
        </w:rPr>
        <w:t>T0156</w:t>
      </w:r>
      <w:r w:rsidRPr="00CB2CDD">
        <w:rPr>
          <w:szCs w:val="18"/>
        </w:rPr>
        <w:t xml:space="preserve">, </w:t>
      </w:r>
      <w:r>
        <w:rPr>
          <w:szCs w:val="18"/>
        </w:rPr>
        <w:t>T0310</w:t>
      </w:r>
      <w:r w:rsidRPr="00CB2CDD">
        <w:rPr>
          <w:szCs w:val="18"/>
        </w:rPr>
        <w:t xml:space="preserve">, </w:t>
      </w:r>
      <w:r>
        <w:rPr>
          <w:szCs w:val="18"/>
        </w:rPr>
        <w:t>T0116</w:t>
      </w:r>
      <w:r w:rsidRPr="00CB2CDD">
        <w:rPr>
          <w:szCs w:val="18"/>
        </w:rPr>
        <w:t>.</w:t>
      </w:r>
    </w:p>
  </w:footnote>
  <w:footnote w:id="590">
    <w:p w14:paraId="574E65BF" w14:textId="087C4FDD" w:rsidR="004E119B" w:rsidRPr="00B50F59" w:rsidRDefault="004E119B" w:rsidP="003D75DA">
      <w:pPr>
        <w:pStyle w:val="FootnoteText"/>
        <w:tabs>
          <w:tab w:val="right" w:pos="0"/>
        </w:tabs>
        <w:ind w:left="1138" w:right="1138" w:hanging="228"/>
        <w:jc w:val="left"/>
        <w:rPr>
          <w:szCs w:val="18"/>
        </w:rPr>
      </w:pPr>
      <w:r w:rsidRPr="002D31A9">
        <w:rPr>
          <w:rStyle w:val="FootnoteReference"/>
          <w:szCs w:val="18"/>
        </w:rPr>
        <w:footnoteRef/>
      </w:r>
      <w:r w:rsidRPr="00B50F59">
        <w:rPr>
          <w:szCs w:val="18"/>
        </w:rPr>
        <w:t xml:space="preserve"> T0422, T0048, T0213, T0104.</w:t>
      </w:r>
    </w:p>
  </w:footnote>
  <w:footnote w:id="591">
    <w:p w14:paraId="75A2420D" w14:textId="2B9FFD02" w:rsidR="004E119B" w:rsidRPr="00B50F59" w:rsidRDefault="004E119B" w:rsidP="003D75DA">
      <w:pPr>
        <w:pStyle w:val="FootnoteText"/>
        <w:ind w:left="1138" w:right="1138" w:hanging="228"/>
        <w:jc w:val="left"/>
        <w:rPr>
          <w:szCs w:val="18"/>
        </w:rPr>
      </w:pPr>
      <w:r w:rsidRPr="002D31A9">
        <w:rPr>
          <w:rStyle w:val="FootnoteReference"/>
          <w:szCs w:val="18"/>
        </w:rPr>
        <w:footnoteRef/>
      </w:r>
      <w:r w:rsidRPr="00B50F59">
        <w:rPr>
          <w:szCs w:val="18"/>
        </w:rPr>
        <w:t xml:space="preserve"> T0193.</w:t>
      </w:r>
    </w:p>
  </w:footnote>
  <w:footnote w:id="592">
    <w:p w14:paraId="6CCCDB9D" w14:textId="04053E93" w:rsidR="004E119B" w:rsidRPr="00B50F59" w:rsidRDefault="004E119B" w:rsidP="003D75DA">
      <w:pPr>
        <w:pStyle w:val="FootnoteText"/>
        <w:ind w:left="1138" w:right="1138" w:hanging="228"/>
        <w:jc w:val="left"/>
        <w:rPr>
          <w:szCs w:val="18"/>
        </w:rPr>
      </w:pPr>
      <w:r w:rsidRPr="002D31A9">
        <w:rPr>
          <w:rStyle w:val="FootnoteReference"/>
          <w:szCs w:val="18"/>
        </w:rPr>
        <w:footnoteRef/>
      </w:r>
      <w:r w:rsidRPr="00B50F59">
        <w:rPr>
          <w:szCs w:val="18"/>
        </w:rPr>
        <w:t xml:space="preserve"> T0193.</w:t>
      </w:r>
    </w:p>
  </w:footnote>
  <w:footnote w:id="593">
    <w:p w14:paraId="0A120FA6" w14:textId="18BDC092" w:rsidR="004E119B" w:rsidRPr="00B50F59" w:rsidRDefault="004E119B" w:rsidP="003D75DA">
      <w:pPr>
        <w:pStyle w:val="FootnoteText"/>
        <w:ind w:left="1138" w:right="1138" w:hanging="228"/>
        <w:jc w:val="left"/>
        <w:rPr>
          <w:szCs w:val="18"/>
        </w:rPr>
      </w:pPr>
      <w:r w:rsidRPr="002D31A9">
        <w:rPr>
          <w:rStyle w:val="FootnoteReference"/>
          <w:szCs w:val="18"/>
        </w:rPr>
        <w:footnoteRef/>
      </w:r>
      <w:r w:rsidRPr="00B50F59">
        <w:rPr>
          <w:szCs w:val="18"/>
        </w:rPr>
        <w:t xml:space="preserve"> T0118.</w:t>
      </w:r>
    </w:p>
  </w:footnote>
  <w:footnote w:id="594">
    <w:p w14:paraId="71EEFF49" w14:textId="7038D69F" w:rsidR="004E119B" w:rsidRPr="00B50F59" w:rsidRDefault="004E119B" w:rsidP="003D75DA">
      <w:pPr>
        <w:pStyle w:val="FootnoteText"/>
        <w:ind w:left="1138" w:right="1138" w:hanging="228"/>
        <w:jc w:val="left"/>
        <w:rPr>
          <w:szCs w:val="18"/>
        </w:rPr>
      </w:pPr>
      <w:r w:rsidRPr="002D31A9">
        <w:rPr>
          <w:rStyle w:val="FootnoteReference"/>
          <w:szCs w:val="18"/>
        </w:rPr>
        <w:footnoteRef/>
      </w:r>
      <w:r w:rsidRPr="00B50F59">
        <w:rPr>
          <w:szCs w:val="18"/>
        </w:rPr>
        <w:t xml:space="preserve"> </w:t>
      </w:r>
      <w:r>
        <w:rPr>
          <w:szCs w:val="18"/>
        </w:rPr>
        <w:t>T0119</w:t>
      </w:r>
      <w:r w:rsidRPr="00B50F59">
        <w:rPr>
          <w:szCs w:val="18"/>
        </w:rPr>
        <w:t>.</w:t>
      </w:r>
    </w:p>
  </w:footnote>
  <w:footnote w:id="595">
    <w:p w14:paraId="652FD249" w14:textId="64B34E71" w:rsidR="004E119B" w:rsidRPr="00B50F59" w:rsidRDefault="004E119B" w:rsidP="003D75DA">
      <w:pPr>
        <w:pStyle w:val="FootnoteText"/>
        <w:ind w:left="1138" w:right="1138" w:hanging="228"/>
        <w:jc w:val="left"/>
        <w:rPr>
          <w:szCs w:val="18"/>
        </w:rPr>
      </w:pPr>
      <w:r w:rsidRPr="002D31A9">
        <w:rPr>
          <w:rStyle w:val="FootnoteReference"/>
          <w:szCs w:val="18"/>
        </w:rPr>
        <w:footnoteRef/>
      </w:r>
      <w:r w:rsidRPr="00B50F59">
        <w:rPr>
          <w:szCs w:val="18"/>
        </w:rPr>
        <w:t xml:space="preserve"> T0036.</w:t>
      </w:r>
    </w:p>
  </w:footnote>
  <w:footnote w:id="596">
    <w:p w14:paraId="26392AFE" w14:textId="08F75DB7" w:rsidR="004E119B" w:rsidRPr="00B50F59" w:rsidRDefault="004E119B" w:rsidP="003D75DA">
      <w:pPr>
        <w:pStyle w:val="FootnoteText"/>
        <w:ind w:left="1138" w:right="1138" w:hanging="228"/>
        <w:jc w:val="left"/>
        <w:rPr>
          <w:szCs w:val="18"/>
        </w:rPr>
      </w:pPr>
      <w:r w:rsidRPr="002D31A9">
        <w:rPr>
          <w:rStyle w:val="FootnoteReference"/>
          <w:szCs w:val="18"/>
        </w:rPr>
        <w:footnoteRef/>
      </w:r>
      <w:r w:rsidRPr="00B50F59">
        <w:rPr>
          <w:szCs w:val="18"/>
        </w:rPr>
        <w:t xml:space="preserve"> T0127.</w:t>
      </w:r>
    </w:p>
  </w:footnote>
  <w:footnote w:id="597">
    <w:p w14:paraId="7A33090B" w14:textId="27750496" w:rsidR="004E119B" w:rsidRPr="00B50F59" w:rsidRDefault="004E119B" w:rsidP="003D75DA">
      <w:pPr>
        <w:pStyle w:val="FootnoteText"/>
        <w:ind w:left="1138" w:right="1138" w:hanging="228"/>
        <w:jc w:val="left"/>
        <w:rPr>
          <w:szCs w:val="18"/>
        </w:rPr>
      </w:pPr>
      <w:r w:rsidRPr="002D31A9">
        <w:rPr>
          <w:rStyle w:val="FootnoteReference"/>
          <w:szCs w:val="18"/>
        </w:rPr>
        <w:footnoteRef/>
      </w:r>
      <w:r w:rsidRPr="00B50F59">
        <w:rPr>
          <w:szCs w:val="18"/>
        </w:rPr>
        <w:t xml:space="preserve"> T0161, T0048, T0111, T0193.</w:t>
      </w:r>
    </w:p>
  </w:footnote>
  <w:footnote w:id="598">
    <w:p w14:paraId="12EEE2BC" w14:textId="0C10C689" w:rsidR="004E119B" w:rsidRPr="00B50F59" w:rsidRDefault="004E119B" w:rsidP="003D75DA">
      <w:pPr>
        <w:pStyle w:val="FootnoteText"/>
        <w:ind w:left="1138" w:right="1138" w:hanging="228"/>
        <w:jc w:val="left"/>
        <w:rPr>
          <w:szCs w:val="18"/>
        </w:rPr>
      </w:pPr>
      <w:r w:rsidRPr="002D31A9">
        <w:rPr>
          <w:rStyle w:val="FootnoteReference"/>
          <w:szCs w:val="18"/>
        </w:rPr>
        <w:footnoteRef/>
      </w:r>
      <w:r w:rsidRPr="00B50F59">
        <w:rPr>
          <w:szCs w:val="18"/>
        </w:rPr>
        <w:t xml:space="preserve"> T0111.</w:t>
      </w:r>
    </w:p>
  </w:footnote>
  <w:footnote w:id="599">
    <w:p w14:paraId="717D03F6" w14:textId="795B5208" w:rsidR="004E119B" w:rsidRPr="00B50F59" w:rsidRDefault="004E119B" w:rsidP="003D75DA">
      <w:pPr>
        <w:pStyle w:val="FootnoteText"/>
        <w:ind w:left="1138" w:right="1138" w:hanging="228"/>
        <w:jc w:val="left"/>
        <w:rPr>
          <w:szCs w:val="18"/>
        </w:rPr>
      </w:pPr>
      <w:r w:rsidRPr="002D31A9">
        <w:rPr>
          <w:rStyle w:val="FootnoteReference"/>
          <w:szCs w:val="18"/>
        </w:rPr>
        <w:footnoteRef/>
      </w:r>
      <w:r w:rsidRPr="00B50F59">
        <w:rPr>
          <w:szCs w:val="18"/>
        </w:rPr>
        <w:t xml:space="preserve"> T0111.</w:t>
      </w:r>
    </w:p>
  </w:footnote>
  <w:footnote w:id="600">
    <w:p w14:paraId="640DE103" w14:textId="6083C4B5" w:rsidR="004E119B" w:rsidRPr="00B50F59" w:rsidRDefault="004E119B" w:rsidP="003D75DA">
      <w:pPr>
        <w:pStyle w:val="FootnoteText"/>
        <w:ind w:left="1152" w:right="1138" w:hanging="245"/>
        <w:jc w:val="left"/>
        <w:rPr>
          <w:szCs w:val="18"/>
        </w:rPr>
      </w:pPr>
      <w:r w:rsidRPr="002D31A9">
        <w:rPr>
          <w:rStyle w:val="FootnoteReference"/>
          <w:szCs w:val="18"/>
        </w:rPr>
        <w:footnoteRef/>
      </w:r>
      <w:r w:rsidRPr="00B50F59">
        <w:rPr>
          <w:szCs w:val="18"/>
        </w:rPr>
        <w:t xml:space="preserve"> T0404.</w:t>
      </w:r>
    </w:p>
  </w:footnote>
  <w:footnote w:id="601">
    <w:p w14:paraId="037E189E" w14:textId="0D58FDB5" w:rsidR="004E119B" w:rsidRPr="00B50F59" w:rsidRDefault="004E119B" w:rsidP="003D75DA">
      <w:pPr>
        <w:pStyle w:val="FootnoteText"/>
        <w:ind w:left="1138" w:right="1138" w:hanging="228"/>
        <w:jc w:val="left"/>
        <w:rPr>
          <w:szCs w:val="18"/>
        </w:rPr>
      </w:pPr>
      <w:r w:rsidRPr="002D31A9">
        <w:rPr>
          <w:rStyle w:val="FootnoteReference"/>
          <w:szCs w:val="18"/>
        </w:rPr>
        <w:footnoteRef/>
      </w:r>
      <w:r w:rsidRPr="00B50F59">
        <w:rPr>
          <w:szCs w:val="18"/>
        </w:rPr>
        <w:t xml:space="preserve"> T0097.</w:t>
      </w:r>
    </w:p>
  </w:footnote>
  <w:footnote w:id="602">
    <w:p w14:paraId="178327CA" w14:textId="2B884238" w:rsidR="004E119B" w:rsidRPr="004637BD" w:rsidRDefault="004E119B" w:rsidP="003D75DA">
      <w:pPr>
        <w:pStyle w:val="FootnoteText"/>
        <w:tabs>
          <w:tab w:val="right" w:pos="0"/>
        </w:tabs>
        <w:ind w:left="1138" w:right="1138" w:hanging="228"/>
        <w:jc w:val="left"/>
        <w:rPr>
          <w:szCs w:val="18"/>
        </w:rPr>
      </w:pPr>
      <w:r w:rsidRPr="002D31A9">
        <w:rPr>
          <w:rStyle w:val="FootnoteReference"/>
          <w:szCs w:val="18"/>
        </w:rPr>
        <w:footnoteRef/>
      </w:r>
      <w:r w:rsidRPr="009A0EE8">
        <w:rPr>
          <w:szCs w:val="18"/>
        </w:rPr>
        <w:t xml:space="preserve"> T0275, T0253, T0154. </w:t>
      </w:r>
      <w:r w:rsidRPr="00FE5E8D">
        <w:rPr>
          <w:szCs w:val="18"/>
        </w:rPr>
        <w:t>Pour des allégations similaires dans d’autres villages, voir</w:t>
      </w:r>
      <w:r w:rsidRPr="004637BD">
        <w:rPr>
          <w:szCs w:val="18"/>
        </w:rPr>
        <w:t xml:space="preserve"> BCNUDH de la MONUSCO, Rapport de mission d’enquête spéciale du 25 août au 1</w:t>
      </w:r>
      <w:r w:rsidRPr="00A62F91">
        <w:rPr>
          <w:szCs w:val="18"/>
          <w:vertAlign w:val="superscript"/>
        </w:rPr>
        <w:t>er</w:t>
      </w:r>
      <w:r w:rsidRPr="004637BD">
        <w:rPr>
          <w:szCs w:val="18"/>
        </w:rPr>
        <w:t xml:space="preserve"> septembre 2017, Violations graves des droits de l’homme perpétrées par les membres du groupe d’autodéfense Bana Mura, les militaires des FARDC et les miliciens de Kamuina Nsapu dans le territo</w:t>
      </w:r>
      <w:r w:rsidRPr="00591FD8">
        <w:rPr>
          <w:szCs w:val="18"/>
        </w:rPr>
        <w:t>ire de Kamonia, province du Kasaï, en avril 2017, octobre 2017; </w:t>
      </w:r>
      <w:r w:rsidRPr="00FE5E8D">
        <w:rPr>
          <w:szCs w:val="18"/>
        </w:rPr>
        <w:t xml:space="preserve">HCDH, </w:t>
      </w:r>
      <w:r w:rsidRPr="003D1FF1">
        <w:rPr>
          <w:szCs w:val="18"/>
        </w:rPr>
        <w:t>Report of a Mission of the United Nations High Commissioner for Human Rights – accounts of Congolese fleeing the crisis in the Kasai region, in the Democratic Republic of the Congo,</w:t>
      </w:r>
      <w:r w:rsidRPr="00FE5E8D">
        <w:rPr>
          <w:szCs w:val="18"/>
        </w:rPr>
        <w:t xml:space="preserve"> août 201</w:t>
      </w:r>
      <w:r w:rsidRPr="004637BD">
        <w:rPr>
          <w:szCs w:val="18"/>
        </w:rPr>
        <w:t>, para 42.</w:t>
      </w:r>
    </w:p>
  </w:footnote>
  <w:footnote w:id="603">
    <w:p w14:paraId="1D9A2150" w14:textId="50ED8AB0" w:rsidR="004E119B" w:rsidRPr="002D31A9" w:rsidRDefault="004E119B" w:rsidP="003D75DA">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T0197</w:t>
      </w:r>
      <w:r w:rsidRPr="002D31A9">
        <w:rPr>
          <w:szCs w:val="18"/>
        </w:rPr>
        <w:t>.</w:t>
      </w:r>
    </w:p>
  </w:footnote>
  <w:footnote w:id="604">
    <w:p w14:paraId="3CFCC4FE" w14:textId="1D7317B9" w:rsidR="004E119B" w:rsidRPr="006E341A" w:rsidRDefault="004E119B" w:rsidP="003D75DA">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T0025</w:t>
      </w:r>
      <w:r w:rsidRPr="00840539">
        <w:rPr>
          <w:szCs w:val="18"/>
        </w:rPr>
        <w:t>,</w:t>
      </w:r>
      <w:r w:rsidRPr="006E341A">
        <w:rPr>
          <w:szCs w:val="18"/>
        </w:rPr>
        <w:t xml:space="preserve"> </w:t>
      </w:r>
      <w:r>
        <w:rPr>
          <w:szCs w:val="18"/>
        </w:rPr>
        <w:t>T0176</w:t>
      </w:r>
      <w:r w:rsidRPr="006E341A">
        <w:rPr>
          <w:szCs w:val="18"/>
        </w:rPr>
        <w:t>.</w:t>
      </w:r>
    </w:p>
  </w:footnote>
  <w:footnote w:id="605">
    <w:p w14:paraId="481E1053" w14:textId="7BFE6BAE" w:rsidR="004E119B" w:rsidRPr="002D31A9" w:rsidRDefault="004E119B" w:rsidP="003D75DA">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T0193</w:t>
      </w:r>
      <w:r w:rsidRPr="002D31A9">
        <w:rPr>
          <w:szCs w:val="18"/>
        </w:rPr>
        <w:t>.</w:t>
      </w:r>
    </w:p>
  </w:footnote>
  <w:footnote w:id="606">
    <w:p w14:paraId="44652801" w14:textId="24BF1FAE" w:rsidR="004E119B" w:rsidRPr="009F1B3A" w:rsidRDefault="004E119B" w:rsidP="003D75DA">
      <w:pPr>
        <w:pStyle w:val="FootnoteText"/>
        <w:ind w:left="1138" w:right="1138" w:hanging="228"/>
        <w:jc w:val="left"/>
        <w:rPr>
          <w:szCs w:val="18"/>
        </w:rPr>
      </w:pPr>
      <w:r w:rsidRPr="002D31A9">
        <w:rPr>
          <w:rStyle w:val="FootnoteReference"/>
          <w:szCs w:val="18"/>
        </w:rPr>
        <w:footnoteRef/>
      </w:r>
      <w:r w:rsidRPr="002D31A9">
        <w:rPr>
          <w:szCs w:val="18"/>
        </w:rPr>
        <w:t xml:space="preserve"> Pour d’autres exemples non résumés dans cette section, voir :</w:t>
      </w:r>
      <w:r w:rsidRPr="00840539">
        <w:rPr>
          <w:szCs w:val="18"/>
        </w:rPr>
        <w:t xml:space="preserve"> </w:t>
      </w:r>
      <w:r>
        <w:rPr>
          <w:szCs w:val="18"/>
        </w:rPr>
        <w:t>T0065</w:t>
      </w:r>
      <w:r w:rsidRPr="00840539">
        <w:rPr>
          <w:szCs w:val="18"/>
        </w:rPr>
        <w:t>,</w:t>
      </w:r>
      <w:r w:rsidRPr="006E341A">
        <w:rPr>
          <w:szCs w:val="18"/>
        </w:rPr>
        <w:t xml:space="preserve"> </w:t>
      </w:r>
      <w:r>
        <w:rPr>
          <w:szCs w:val="18"/>
        </w:rPr>
        <w:t>T0381</w:t>
      </w:r>
      <w:r w:rsidRPr="006E341A">
        <w:rPr>
          <w:szCs w:val="18"/>
        </w:rPr>
        <w:t xml:space="preserve">, </w:t>
      </w:r>
      <w:r>
        <w:rPr>
          <w:szCs w:val="18"/>
        </w:rPr>
        <w:t>T0176</w:t>
      </w:r>
      <w:r w:rsidRPr="00192143">
        <w:rPr>
          <w:szCs w:val="18"/>
        </w:rPr>
        <w:t xml:space="preserve">, </w:t>
      </w:r>
      <w:r>
        <w:rPr>
          <w:szCs w:val="18"/>
        </w:rPr>
        <w:t>T0100</w:t>
      </w:r>
      <w:r w:rsidRPr="009F1B3A">
        <w:rPr>
          <w:szCs w:val="18"/>
        </w:rPr>
        <w:t>.</w:t>
      </w:r>
    </w:p>
  </w:footnote>
  <w:footnote w:id="607">
    <w:p w14:paraId="77BC7EC2" w14:textId="4AA2259E" w:rsidR="004E119B" w:rsidRPr="00840539" w:rsidRDefault="004E119B" w:rsidP="003D75DA">
      <w:pPr>
        <w:pStyle w:val="FootnoteText"/>
        <w:ind w:left="1152" w:right="1138" w:hanging="245"/>
        <w:jc w:val="left"/>
        <w:rPr>
          <w:szCs w:val="18"/>
        </w:rPr>
      </w:pPr>
      <w:r w:rsidRPr="002D31A9">
        <w:rPr>
          <w:rStyle w:val="FootnoteReference"/>
          <w:szCs w:val="18"/>
        </w:rPr>
        <w:footnoteRef/>
      </w:r>
      <w:r w:rsidRPr="002D31A9">
        <w:rPr>
          <w:szCs w:val="18"/>
        </w:rPr>
        <w:t xml:space="preserve"> </w:t>
      </w:r>
      <w:r>
        <w:rPr>
          <w:szCs w:val="18"/>
        </w:rPr>
        <w:t>T0327</w:t>
      </w:r>
      <w:r w:rsidRPr="00840539">
        <w:rPr>
          <w:szCs w:val="18"/>
        </w:rPr>
        <w:t>.</w:t>
      </w:r>
    </w:p>
  </w:footnote>
  <w:footnote w:id="608">
    <w:p w14:paraId="1557D4DC" w14:textId="485AC60E" w:rsidR="004E119B" w:rsidRPr="00840539" w:rsidRDefault="004E119B" w:rsidP="003D75DA">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T0264</w:t>
      </w:r>
      <w:r w:rsidRPr="00840539">
        <w:rPr>
          <w:szCs w:val="18"/>
        </w:rPr>
        <w:t>.</w:t>
      </w:r>
    </w:p>
  </w:footnote>
  <w:footnote w:id="609">
    <w:p w14:paraId="658DC37A" w14:textId="5B5ED377" w:rsidR="004E119B" w:rsidRPr="002D31A9" w:rsidRDefault="004E119B" w:rsidP="003D75DA">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T0213</w:t>
      </w:r>
      <w:r w:rsidRPr="002D31A9">
        <w:rPr>
          <w:szCs w:val="18"/>
        </w:rPr>
        <w:t xml:space="preserve">. Pour un récit similaire à la une barrière au niveau du village de Mukuandianga, voir </w:t>
      </w:r>
      <w:r>
        <w:rPr>
          <w:szCs w:val="18"/>
        </w:rPr>
        <w:t>T0289</w:t>
      </w:r>
      <w:r w:rsidRPr="002D31A9">
        <w:rPr>
          <w:szCs w:val="18"/>
        </w:rPr>
        <w:t>.</w:t>
      </w:r>
    </w:p>
  </w:footnote>
  <w:footnote w:id="610">
    <w:p w14:paraId="0A910B12" w14:textId="697A6136" w:rsidR="004E119B" w:rsidRPr="00B50F59" w:rsidRDefault="004E119B" w:rsidP="003D75DA">
      <w:pPr>
        <w:pStyle w:val="FootnoteText"/>
        <w:ind w:left="1138" w:right="1138" w:hanging="228"/>
        <w:jc w:val="left"/>
        <w:rPr>
          <w:szCs w:val="18"/>
        </w:rPr>
      </w:pPr>
      <w:r w:rsidRPr="002D31A9">
        <w:rPr>
          <w:rStyle w:val="FootnoteReference"/>
          <w:szCs w:val="18"/>
        </w:rPr>
        <w:footnoteRef/>
      </w:r>
      <w:r w:rsidRPr="00B50F59">
        <w:rPr>
          <w:szCs w:val="18"/>
        </w:rPr>
        <w:t xml:space="preserve"> T0238.</w:t>
      </w:r>
    </w:p>
  </w:footnote>
  <w:footnote w:id="611">
    <w:p w14:paraId="79626CA8" w14:textId="109D7301" w:rsidR="004E119B" w:rsidRPr="00B50F59" w:rsidRDefault="004E119B" w:rsidP="003D75DA">
      <w:pPr>
        <w:pStyle w:val="FootnoteText"/>
        <w:ind w:left="1138" w:right="1138" w:hanging="228"/>
        <w:jc w:val="left"/>
        <w:rPr>
          <w:szCs w:val="18"/>
        </w:rPr>
      </w:pPr>
      <w:r w:rsidRPr="002D31A9">
        <w:rPr>
          <w:rStyle w:val="FootnoteReference"/>
          <w:szCs w:val="18"/>
        </w:rPr>
        <w:footnoteRef/>
      </w:r>
      <w:r w:rsidRPr="00B50F59">
        <w:rPr>
          <w:szCs w:val="18"/>
        </w:rPr>
        <w:t xml:space="preserve"> T0100.</w:t>
      </w:r>
    </w:p>
  </w:footnote>
  <w:footnote w:id="612">
    <w:p w14:paraId="4FEF4EEF" w14:textId="08ECD30D" w:rsidR="004E119B" w:rsidRPr="00633737" w:rsidRDefault="004E119B" w:rsidP="003D75DA">
      <w:pPr>
        <w:pStyle w:val="FootnoteText"/>
        <w:tabs>
          <w:tab w:val="right" w:pos="142"/>
        </w:tabs>
        <w:ind w:left="1138" w:right="1138" w:hanging="228"/>
        <w:jc w:val="left"/>
        <w:rPr>
          <w:szCs w:val="18"/>
        </w:rPr>
      </w:pPr>
      <w:r w:rsidRPr="002D31A9">
        <w:rPr>
          <w:rStyle w:val="FootnoteReference"/>
          <w:szCs w:val="18"/>
        </w:rPr>
        <w:footnoteRef/>
      </w:r>
      <w:r w:rsidRPr="00633737">
        <w:rPr>
          <w:szCs w:val="18"/>
        </w:rPr>
        <w:t xml:space="preserve"> T0283.</w:t>
      </w:r>
    </w:p>
  </w:footnote>
  <w:footnote w:id="613">
    <w:p w14:paraId="2AB401DD" w14:textId="5F539334" w:rsidR="004E119B" w:rsidRPr="00633737" w:rsidRDefault="004E119B" w:rsidP="003D75DA">
      <w:pPr>
        <w:pStyle w:val="FootnoteText"/>
        <w:tabs>
          <w:tab w:val="right" w:pos="142"/>
        </w:tabs>
        <w:ind w:left="1138" w:right="1138" w:hanging="228"/>
        <w:jc w:val="left"/>
        <w:rPr>
          <w:szCs w:val="18"/>
        </w:rPr>
      </w:pPr>
      <w:r w:rsidRPr="002D31A9">
        <w:rPr>
          <w:rStyle w:val="FootnoteReference"/>
          <w:szCs w:val="18"/>
        </w:rPr>
        <w:footnoteRef/>
      </w:r>
      <w:r w:rsidRPr="00633737">
        <w:rPr>
          <w:szCs w:val="18"/>
        </w:rPr>
        <w:t xml:space="preserve"> </w:t>
      </w:r>
      <w:r>
        <w:rPr>
          <w:szCs w:val="18"/>
        </w:rPr>
        <w:t>T0100</w:t>
      </w:r>
      <w:r w:rsidRPr="00633737">
        <w:rPr>
          <w:szCs w:val="18"/>
        </w:rPr>
        <w:t xml:space="preserve">, T0283, </w:t>
      </w:r>
      <w:r>
        <w:rPr>
          <w:szCs w:val="18"/>
        </w:rPr>
        <w:t>T0025</w:t>
      </w:r>
      <w:r w:rsidRPr="00633737">
        <w:rPr>
          <w:szCs w:val="18"/>
        </w:rPr>
        <w:t xml:space="preserve">, </w:t>
      </w:r>
      <w:r>
        <w:rPr>
          <w:szCs w:val="18"/>
        </w:rPr>
        <w:t>T0176</w:t>
      </w:r>
      <w:r w:rsidRPr="00633737">
        <w:rPr>
          <w:szCs w:val="18"/>
        </w:rPr>
        <w:t xml:space="preserve">, </w:t>
      </w:r>
      <w:r>
        <w:rPr>
          <w:szCs w:val="18"/>
        </w:rPr>
        <w:t>T0289</w:t>
      </w:r>
      <w:r w:rsidRPr="00633737">
        <w:rPr>
          <w:szCs w:val="18"/>
        </w:rPr>
        <w:t>.</w:t>
      </w:r>
    </w:p>
  </w:footnote>
  <w:footnote w:id="614">
    <w:p w14:paraId="56B8495C" w14:textId="60FAD0F7" w:rsidR="004E119B" w:rsidRPr="00840539" w:rsidRDefault="004E119B" w:rsidP="003D75DA">
      <w:pPr>
        <w:pStyle w:val="FootnoteText"/>
        <w:tabs>
          <w:tab w:val="right" w:pos="142"/>
        </w:tabs>
        <w:ind w:left="1138" w:right="1138" w:hanging="228"/>
        <w:jc w:val="left"/>
        <w:rPr>
          <w:szCs w:val="18"/>
        </w:rPr>
      </w:pPr>
      <w:r w:rsidRPr="002D31A9">
        <w:rPr>
          <w:rStyle w:val="FootnoteReference"/>
          <w:szCs w:val="18"/>
        </w:rPr>
        <w:footnoteRef/>
      </w:r>
      <w:r w:rsidRPr="002D31A9">
        <w:rPr>
          <w:szCs w:val="18"/>
        </w:rPr>
        <w:t xml:space="preserve"> </w:t>
      </w:r>
      <w:r>
        <w:rPr>
          <w:szCs w:val="18"/>
        </w:rPr>
        <w:t>T0282</w:t>
      </w:r>
      <w:r w:rsidRPr="00840539">
        <w:rPr>
          <w:szCs w:val="18"/>
        </w:rPr>
        <w:t xml:space="preserve">. Voir aussi </w:t>
      </w:r>
      <w:r>
        <w:rPr>
          <w:szCs w:val="18"/>
        </w:rPr>
        <w:t>T0100</w:t>
      </w:r>
      <w:r w:rsidRPr="00840539">
        <w:rPr>
          <w:szCs w:val="18"/>
        </w:rPr>
        <w:t>.</w:t>
      </w:r>
    </w:p>
  </w:footnote>
  <w:footnote w:id="615">
    <w:p w14:paraId="76E33299" w14:textId="66AC796B" w:rsidR="004E119B" w:rsidRPr="00840539" w:rsidRDefault="004E119B" w:rsidP="003D75DA">
      <w:pPr>
        <w:pStyle w:val="FootnoteText"/>
        <w:tabs>
          <w:tab w:val="right" w:pos="142"/>
        </w:tabs>
        <w:ind w:left="1138" w:right="1138" w:hanging="228"/>
        <w:jc w:val="left"/>
        <w:rPr>
          <w:szCs w:val="18"/>
        </w:rPr>
      </w:pPr>
      <w:r w:rsidRPr="002D31A9">
        <w:rPr>
          <w:rStyle w:val="FootnoteReference"/>
          <w:szCs w:val="18"/>
        </w:rPr>
        <w:footnoteRef/>
      </w:r>
      <w:r w:rsidRPr="002D31A9">
        <w:rPr>
          <w:szCs w:val="18"/>
        </w:rPr>
        <w:t xml:space="preserve"> </w:t>
      </w:r>
      <w:r>
        <w:rPr>
          <w:szCs w:val="18"/>
        </w:rPr>
        <w:t>T0252</w:t>
      </w:r>
      <w:r w:rsidRPr="00840539">
        <w:rPr>
          <w:szCs w:val="18"/>
        </w:rPr>
        <w:t>.</w:t>
      </w:r>
    </w:p>
  </w:footnote>
  <w:footnote w:id="616">
    <w:p w14:paraId="0519122B" w14:textId="5C29A3D5" w:rsidR="004E119B" w:rsidRPr="00840539" w:rsidRDefault="004E119B" w:rsidP="003D75DA">
      <w:pPr>
        <w:pStyle w:val="FootnoteText"/>
        <w:ind w:left="1152" w:right="1138" w:hanging="245"/>
        <w:jc w:val="left"/>
        <w:rPr>
          <w:szCs w:val="18"/>
        </w:rPr>
      </w:pPr>
      <w:r w:rsidRPr="002D31A9">
        <w:rPr>
          <w:rStyle w:val="FootnoteReference"/>
          <w:szCs w:val="18"/>
        </w:rPr>
        <w:footnoteRef/>
      </w:r>
      <w:r w:rsidRPr="002D31A9">
        <w:rPr>
          <w:szCs w:val="18"/>
        </w:rPr>
        <w:t xml:space="preserve"> </w:t>
      </w:r>
      <w:r>
        <w:rPr>
          <w:szCs w:val="18"/>
        </w:rPr>
        <w:t>T0050</w:t>
      </w:r>
      <w:r w:rsidRPr="00840539">
        <w:rPr>
          <w:szCs w:val="18"/>
        </w:rPr>
        <w:t>.</w:t>
      </w:r>
    </w:p>
  </w:footnote>
  <w:footnote w:id="617">
    <w:p w14:paraId="2DDAB564" w14:textId="06B58DC9" w:rsidR="004E119B" w:rsidRPr="002D31A9" w:rsidRDefault="004E119B" w:rsidP="003D75DA">
      <w:pPr>
        <w:pStyle w:val="FootnoteText"/>
        <w:tabs>
          <w:tab w:val="right" w:pos="142"/>
        </w:tabs>
        <w:ind w:left="1138" w:right="1138" w:hanging="228"/>
        <w:jc w:val="left"/>
        <w:rPr>
          <w:szCs w:val="18"/>
        </w:rPr>
      </w:pPr>
      <w:r w:rsidRPr="002D31A9">
        <w:rPr>
          <w:rStyle w:val="FootnoteReference"/>
          <w:szCs w:val="18"/>
        </w:rPr>
        <w:footnoteRef/>
      </w:r>
      <w:r w:rsidRPr="002D31A9">
        <w:rPr>
          <w:szCs w:val="18"/>
        </w:rPr>
        <w:t xml:space="preserve"> </w:t>
      </w:r>
      <w:r>
        <w:rPr>
          <w:szCs w:val="18"/>
        </w:rPr>
        <w:t>T0169</w:t>
      </w:r>
      <w:r w:rsidRPr="002D31A9">
        <w:rPr>
          <w:szCs w:val="18"/>
        </w:rPr>
        <w:t>.</w:t>
      </w:r>
    </w:p>
  </w:footnote>
  <w:footnote w:id="618">
    <w:p w14:paraId="3A6D98E4" w14:textId="0BEEAC7A" w:rsidR="004E119B" w:rsidRPr="002D31A9" w:rsidRDefault="004E119B" w:rsidP="003D75DA">
      <w:pPr>
        <w:pStyle w:val="FootnoteText"/>
        <w:tabs>
          <w:tab w:val="right" w:pos="0"/>
          <w:tab w:val="right" w:pos="142"/>
        </w:tabs>
        <w:ind w:left="1138" w:right="1138" w:hanging="228"/>
        <w:contextualSpacing/>
        <w:jc w:val="left"/>
        <w:rPr>
          <w:szCs w:val="18"/>
        </w:rPr>
      </w:pPr>
      <w:r w:rsidRPr="002D31A9">
        <w:rPr>
          <w:rStyle w:val="FootnoteReference"/>
          <w:szCs w:val="18"/>
        </w:rPr>
        <w:footnoteRef/>
      </w:r>
      <w:r w:rsidRPr="002D31A9">
        <w:rPr>
          <w:szCs w:val="18"/>
        </w:rPr>
        <w:t xml:space="preserve"> </w:t>
      </w:r>
      <w:r>
        <w:rPr>
          <w:szCs w:val="18"/>
        </w:rPr>
        <w:t>T0325</w:t>
      </w:r>
      <w:r w:rsidRPr="002D31A9">
        <w:rPr>
          <w:szCs w:val="18"/>
        </w:rPr>
        <w:t>.</w:t>
      </w:r>
    </w:p>
  </w:footnote>
  <w:footnote w:id="619">
    <w:p w14:paraId="198F3B52" w14:textId="6D67789F" w:rsidR="004E119B" w:rsidRPr="002D31A9" w:rsidRDefault="004E119B" w:rsidP="003D75DA">
      <w:pPr>
        <w:pStyle w:val="FootnoteText"/>
        <w:tabs>
          <w:tab w:val="right" w:pos="142"/>
        </w:tabs>
        <w:ind w:left="1138" w:right="1138" w:hanging="228"/>
        <w:jc w:val="left"/>
        <w:rPr>
          <w:szCs w:val="18"/>
        </w:rPr>
      </w:pPr>
      <w:r w:rsidRPr="002D31A9">
        <w:rPr>
          <w:rStyle w:val="FootnoteReference"/>
          <w:szCs w:val="18"/>
        </w:rPr>
        <w:footnoteRef/>
      </w:r>
      <w:r w:rsidRPr="002D31A9">
        <w:rPr>
          <w:szCs w:val="18"/>
        </w:rPr>
        <w:t xml:space="preserve"> </w:t>
      </w:r>
      <w:r>
        <w:rPr>
          <w:szCs w:val="18"/>
        </w:rPr>
        <w:t>T0079</w:t>
      </w:r>
      <w:r w:rsidRPr="002D31A9">
        <w:rPr>
          <w:szCs w:val="18"/>
        </w:rPr>
        <w:t>.</w:t>
      </w:r>
    </w:p>
  </w:footnote>
  <w:footnote w:id="620">
    <w:p w14:paraId="26E3801F" w14:textId="6356A186" w:rsidR="004E119B" w:rsidRPr="006E341A" w:rsidRDefault="004E119B" w:rsidP="003D75DA">
      <w:pPr>
        <w:pStyle w:val="FootnoteText"/>
        <w:tabs>
          <w:tab w:val="right" w:pos="142"/>
        </w:tabs>
        <w:ind w:left="1138" w:right="1138" w:hanging="228"/>
        <w:jc w:val="left"/>
        <w:rPr>
          <w:szCs w:val="18"/>
        </w:rPr>
      </w:pPr>
      <w:r w:rsidRPr="002D31A9">
        <w:rPr>
          <w:rStyle w:val="FootnoteReference"/>
          <w:szCs w:val="18"/>
        </w:rPr>
        <w:footnoteRef/>
      </w:r>
      <w:r w:rsidRPr="002D31A9">
        <w:rPr>
          <w:szCs w:val="18"/>
        </w:rPr>
        <w:t xml:space="preserve"> Pour d’autres exactions commises par les FARDC pendant la fuite et non listés ici voir par exemple, </w:t>
      </w:r>
      <w:r>
        <w:rPr>
          <w:szCs w:val="18"/>
        </w:rPr>
        <w:t>T0433</w:t>
      </w:r>
      <w:r w:rsidRPr="00840539">
        <w:rPr>
          <w:szCs w:val="18"/>
        </w:rPr>
        <w:t xml:space="preserve">, </w:t>
      </w:r>
      <w:r>
        <w:rPr>
          <w:szCs w:val="18"/>
        </w:rPr>
        <w:t>T0448</w:t>
      </w:r>
      <w:r w:rsidRPr="006E341A">
        <w:rPr>
          <w:szCs w:val="18"/>
        </w:rPr>
        <w:t xml:space="preserve">, </w:t>
      </w:r>
      <w:r>
        <w:rPr>
          <w:szCs w:val="18"/>
        </w:rPr>
        <w:t>T0104</w:t>
      </w:r>
      <w:r w:rsidRPr="006E341A">
        <w:rPr>
          <w:szCs w:val="18"/>
        </w:rPr>
        <w:t>.</w:t>
      </w:r>
    </w:p>
  </w:footnote>
  <w:footnote w:id="621">
    <w:p w14:paraId="00B6FC1C" w14:textId="1797108D" w:rsidR="004E119B" w:rsidRPr="00B50F59" w:rsidRDefault="004E119B" w:rsidP="003D75DA">
      <w:pPr>
        <w:pStyle w:val="FootnoteText"/>
        <w:tabs>
          <w:tab w:val="right" w:pos="142"/>
        </w:tabs>
        <w:ind w:left="1138" w:right="1138" w:hanging="228"/>
        <w:jc w:val="left"/>
        <w:rPr>
          <w:szCs w:val="18"/>
        </w:rPr>
      </w:pPr>
      <w:r w:rsidRPr="002D31A9">
        <w:rPr>
          <w:rStyle w:val="FootnoteReference"/>
          <w:szCs w:val="18"/>
        </w:rPr>
        <w:footnoteRef/>
      </w:r>
      <w:r w:rsidRPr="00B50F59">
        <w:rPr>
          <w:szCs w:val="18"/>
        </w:rPr>
        <w:t xml:space="preserve"> T0406, T0362.</w:t>
      </w:r>
    </w:p>
  </w:footnote>
  <w:footnote w:id="622">
    <w:p w14:paraId="06F25F4B" w14:textId="6BA876BB" w:rsidR="004E119B" w:rsidRPr="00B50F59" w:rsidRDefault="004E119B" w:rsidP="003D75DA">
      <w:pPr>
        <w:pStyle w:val="FootnoteText"/>
        <w:tabs>
          <w:tab w:val="right" w:pos="142"/>
        </w:tabs>
        <w:ind w:left="1138" w:right="1138" w:hanging="228"/>
        <w:jc w:val="left"/>
        <w:rPr>
          <w:szCs w:val="18"/>
        </w:rPr>
      </w:pPr>
      <w:r w:rsidRPr="002D31A9">
        <w:rPr>
          <w:rStyle w:val="FootnoteReference"/>
          <w:szCs w:val="18"/>
        </w:rPr>
        <w:footnoteRef/>
      </w:r>
      <w:r w:rsidRPr="00B50F59">
        <w:rPr>
          <w:szCs w:val="18"/>
        </w:rPr>
        <w:t xml:space="preserve"> T0234.</w:t>
      </w:r>
    </w:p>
  </w:footnote>
  <w:footnote w:id="623">
    <w:p w14:paraId="1B3E7EAA" w14:textId="5C3C2235" w:rsidR="004E119B" w:rsidRPr="00B50F59" w:rsidRDefault="004E119B" w:rsidP="003D75DA">
      <w:pPr>
        <w:pStyle w:val="FootnoteText"/>
        <w:ind w:left="1152" w:right="1138" w:hanging="245"/>
        <w:jc w:val="left"/>
        <w:rPr>
          <w:szCs w:val="18"/>
        </w:rPr>
      </w:pPr>
      <w:r w:rsidRPr="002D31A9">
        <w:rPr>
          <w:rStyle w:val="FootnoteReference"/>
          <w:szCs w:val="18"/>
        </w:rPr>
        <w:footnoteRef/>
      </w:r>
      <w:r w:rsidRPr="00B50F59">
        <w:rPr>
          <w:szCs w:val="18"/>
        </w:rPr>
        <w:t xml:space="preserve"> T0361.</w:t>
      </w:r>
    </w:p>
  </w:footnote>
  <w:footnote w:id="624">
    <w:p w14:paraId="478E0A80" w14:textId="76222C5A" w:rsidR="004E119B" w:rsidRPr="00B50F59" w:rsidRDefault="004E119B" w:rsidP="003D75DA">
      <w:pPr>
        <w:pStyle w:val="FootnoteText"/>
        <w:ind w:left="1138" w:right="1138" w:hanging="228"/>
        <w:jc w:val="left"/>
        <w:rPr>
          <w:szCs w:val="18"/>
        </w:rPr>
      </w:pPr>
      <w:r w:rsidRPr="002D31A9">
        <w:rPr>
          <w:rStyle w:val="FootnoteReference"/>
          <w:szCs w:val="18"/>
        </w:rPr>
        <w:footnoteRef/>
      </w:r>
      <w:r w:rsidRPr="00B50F59">
        <w:rPr>
          <w:szCs w:val="18"/>
        </w:rPr>
        <w:t xml:space="preserve"> T0240.</w:t>
      </w:r>
    </w:p>
  </w:footnote>
  <w:footnote w:id="625">
    <w:p w14:paraId="1CD70E16" w14:textId="25D1D3B0" w:rsidR="004E119B" w:rsidRPr="00840539" w:rsidRDefault="004E119B" w:rsidP="003D75DA">
      <w:pPr>
        <w:pStyle w:val="FootnoteText"/>
        <w:ind w:left="1138" w:right="1138" w:hanging="228"/>
        <w:jc w:val="left"/>
        <w:rPr>
          <w:szCs w:val="18"/>
        </w:rPr>
      </w:pPr>
      <w:r w:rsidRPr="002D31A9">
        <w:rPr>
          <w:rStyle w:val="FootnoteReference"/>
          <w:szCs w:val="18"/>
        </w:rPr>
        <w:footnoteRef/>
      </w:r>
      <w:r w:rsidRPr="002D31A9">
        <w:rPr>
          <w:szCs w:val="18"/>
        </w:rPr>
        <w:t xml:space="preserve"> </w:t>
      </w:r>
      <w:r w:rsidRPr="00197843">
        <w:rPr>
          <w:szCs w:val="18"/>
        </w:rPr>
        <w:t>Voir la partie IX.C.4.b.iii. du présent rapport.</w:t>
      </w:r>
    </w:p>
  </w:footnote>
  <w:footnote w:id="626">
    <w:p w14:paraId="01441566" w14:textId="50B0691B" w:rsidR="004E119B" w:rsidRPr="00840539" w:rsidRDefault="004E119B" w:rsidP="003D75DA">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T0276</w:t>
      </w:r>
      <w:r w:rsidRPr="00840539">
        <w:rPr>
          <w:szCs w:val="18"/>
        </w:rPr>
        <w:t xml:space="preserve">, </w:t>
      </w:r>
      <w:r>
        <w:rPr>
          <w:szCs w:val="18"/>
        </w:rPr>
        <w:t>T0335</w:t>
      </w:r>
      <w:r w:rsidRPr="00840539">
        <w:rPr>
          <w:szCs w:val="18"/>
        </w:rPr>
        <w:t>.</w:t>
      </w:r>
    </w:p>
  </w:footnote>
  <w:footnote w:id="627">
    <w:p w14:paraId="2BF58E65" w14:textId="60DB5926" w:rsidR="004E119B" w:rsidRPr="006E341A" w:rsidRDefault="004E119B" w:rsidP="003D75DA">
      <w:pPr>
        <w:spacing w:line="220" w:lineRule="exact"/>
        <w:ind w:left="1138" w:right="1138" w:hanging="228"/>
        <w:rPr>
          <w:szCs w:val="18"/>
          <w:highlight w:val="yellow"/>
        </w:rPr>
      </w:pPr>
      <w:r w:rsidRPr="002D31A9">
        <w:rPr>
          <w:rStyle w:val="FootnoteReference"/>
          <w:szCs w:val="18"/>
        </w:rPr>
        <w:footnoteRef/>
      </w:r>
      <w:r w:rsidRPr="002D31A9">
        <w:rPr>
          <w:szCs w:val="18"/>
        </w:rPr>
        <w:t xml:space="preserve"> </w:t>
      </w:r>
      <w:r>
        <w:rPr>
          <w:szCs w:val="18"/>
        </w:rPr>
        <w:t>T0276</w:t>
      </w:r>
      <w:r w:rsidRPr="00840539">
        <w:rPr>
          <w:szCs w:val="18"/>
        </w:rPr>
        <w:t xml:space="preserve">, </w:t>
      </w:r>
      <w:r>
        <w:rPr>
          <w:szCs w:val="18"/>
        </w:rPr>
        <w:t>T0254</w:t>
      </w:r>
      <w:r w:rsidRPr="00840539">
        <w:rPr>
          <w:szCs w:val="18"/>
        </w:rPr>
        <w:t xml:space="preserve">. Voir aussi </w:t>
      </w:r>
      <w:r w:rsidRPr="002D31A9">
        <w:rPr>
          <w:sz w:val="18"/>
          <w:szCs w:val="18"/>
        </w:rPr>
        <w:t xml:space="preserve">FIDH, Rapport d’enquête, Massacres au Kasaï : des crimes contre l’humanité au service d’un chaos organisé République démocratique du Congo, décembre </w:t>
      </w:r>
      <w:r w:rsidRPr="00FE5E8D">
        <w:rPr>
          <w:sz w:val="18"/>
          <w:szCs w:val="18"/>
        </w:rPr>
        <w:t>2017</w:t>
      </w:r>
      <w:r>
        <w:rPr>
          <w:szCs w:val="18"/>
        </w:rPr>
        <w:t>,</w:t>
      </w:r>
      <w:r w:rsidRPr="00FE5E8D">
        <w:rPr>
          <w:szCs w:val="18"/>
        </w:rPr>
        <w:t xml:space="preserve"> </w:t>
      </w:r>
      <w:r w:rsidRPr="00FE5E8D">
        <w:rPr>
          <w:sz w:val="18"/>
          <w:szCs w:val="18"/>
        </w:rPr>
        <w:t>IRRI</w:t>
      </w:r>
      <w:r w:rsidRPr="00B43025">
        <w:rPr>
          <w:sz w:val="18"/>
          <w:szCs w:val="18"/>
        </w:rPr>
        <w:t>, Conflit et déplacement au Kasaï, Janvier 2018</w:t>
      </w:r>
      <w:r w:rsidRPr="006E341A">
        <w:rPr>
          <w:szCs w:val="18"/>
        </w:rPr>
        <w:t>.</w:t>
      </w:r>
    </w:p>
  </w:footnote>
  <w:footnote w:id="628">
    <w:p w14:paraId="06649635" w14:textId="171598BC" w:rsidR="004E119B" w:rsidRPr="00EC7100" w:rsidRDefault="004E119B" w:rsidP="003D75DA">
      <w:pPr>
        <w:pStyle w:val="FootnoteText"/>
        <w:ind w:left="1138" w:right="1138" w:hanging="228"/>
        <w:jc w:val="left"/>
        <w:rPr>
          <w:szCs w:val="18"/>
        </w:rPr>
      </w:pPr>
      <w:r w:rsidRPr="002D31A9">
        <w:rPr>
          <w:rStyle w:val="FootnoteReference"/>
          <w:szCs w:val="18"/>
        </w:rPr>
        <w:footnoteRef/>
      </w:r>
      <w:r w:rsidRPr="00EC7100">
        <w:rPr>
          <w:szCs w:val="18"/>
        </w:rPr>
        <w:t xml:space="preserve"> T0335, T0276.</w:t>
      </w:r>
    </w:p>
  </w:footnote>
  <w:footnote w:id="629">
    <w:p w14:paraId="5BE3223E" w14:textId="608C47DD" w:rsidR="004E119B" w:rsidRPr="00633737" w:rsidRDefault="004E119B" w:rsidP="003D75DA">
      <w:pPr>
        <w:pStyle w:val="FootnoteText"/>
        <w:ind w:left="1138" w:right="1138" w:hanging="228"/>
        <w:jc w:val="left"/>
        <w:rPr>
          <w:szCs w:val="18"/>
        </w:rPr>
      </w:pPr>
      <w:r w:rsidRPr="002D31A9">
        <w:rPr>
          <w:rStyle w:val="FootnoteReference"/>
          <w:szCs w:val="18"/>
        </w:rPr>
        <w:footnoteRef/>
      </w:r>
      <w:r w:rsidRPr="00633737">
        <w:rPr>
          <w:szCs w:val="18"/>
        </w:rPr>
        <w:t xml:space="preserve"> </w:t>
      </w:r>
      <w:r>
        <w:rPr>
          <w:szCs w:val="18"/>
        </w:rPr>
        <w:t>T0069</w:t>
      </w:r>
      <w:r w:rsidRPr="00633737">
        <w:rPr>
          <w:szCs w:val="18"/>
        </w:rPr>
        <w:t xml:space="preserve">, T0062, </w:t>
      </w:r>
      <w:r>
        <w:rPr>
          <w:szCs w:val="18"/>
        </w:rPr>
        <w:t>T0063</w:t>
      </w:r>
      <w:r w:rsidRPr="00633737">
        <w:rPr>
          <w:szCs w:val="18"/>
        </w:rPr>
        <w:t>.</w:t>
      </w:r>
    </w:p>
  </w:footnote>
  <w:footnote w:id="630">
    <w:p w14:paraId="33A58272" w14:textId="7B4E0484" w:rsidR="004E119B" w:rsidRPr="00633737" w:rsidRDefault="004E119B" w:rsidP="003D75DA">
      <w:pPr>
        <w:pStyle w:val="FootnoteText"/>
        <w:ind w:left="1138" w:right="1138" w:hanging="228"/>
        <w:jc w:val="left"/>
        <w:rPr>
          <w:szCs w:val="18"/>
        </w:rPr>
      </w:pPr>
      <w:r w:rsidRPr="002D31A9">
        <w:rPr>
          <w:rStyle w:val="FootnoteReference"/>
          <w:szCs w:val="18"/>
        </w:rPr>
        <w:footnoteRef/>
      </w:r>
      <w:r w:rsidRPr="00633737">
        <w:rPr>
          <w:szCs w:val="18"/>
        </w:rPr>
        <w:t xml:space="preserve"> </w:t>
      </w:r>
      <w:r>
        <w:rPr>
          <w:szCs w:val="18"/>
        </w:rPr>
        <w:t>T0069</w:t>
      </w:r>
      <w:r w:rsidRPr="00633737">
        <w:rPr>
          <w:szCs w:val="18"/>
        </w:rPr>
        <w:t xml:space="preserve">, </w:t>
      </w:r>
      <w:r>
        <w:rPr>
          <w:szCs w:val="18"/>
        </w:rPr>
        <w:t>T0349</w:t>
      </w:r>
      <w:r w:rsidRPr="00633737">
        <w:rPr>
          <w:szCs w:val="18"/>
        </w:rPr>
        <w:t xml:space="preserve">, T0062, </w:t>
      </w:r>
      <w:r>
        <w:rPr>
          <w:szCs w:val="18"/>
        </w:rPr>
        <w:t>T0063</w:t>
      </w:r>
      <w:r w:rsidRPr="00633737">
        <w:rPr>
          <w:szCs w:val="18"/>
        </w:rPr>
        <w:t>.</w:t>
      </w:r>
    </w:p>
  </w:footnote>
  <w:footnote w:id="631">
    <w:p w14:paraId="6F8A305E" w14:textId="0A754E4D" w:rsidR="004E119B" w:rsidRPr="006956C5" w:rsidRDefault="004E119B" w:rsidP="003D75DA">
      <w:pPr>
        <w:pStyle w:val="FootnoteText"/>
        <w:ind w:left="1138" w:right="1138" w:hanging="228"/>
        <w:jc w:val="left"/>
        <w:rPr>
          <w:szCs w:val="18"/>
        </w:rPr>
      </w:pPr>
      <w:r w:rsidRPr="002D31A9">
        <w:rPr>
          <w:rStyle w:val="FootnoteReference"/>
          <w:szCs w:val="18"/>
        </w:rPr>
        <w:footnoteRef/>
      </w:r>
      <w:r w:rsidRPr="006956C5">
        <w:rPr>
          <w:szCs w:val="18"/>
        </w:rPr>
        <w:t xml:space="preserve"> T0134.</w:t>
      </w:r>
    </w:p>
  </w:footnote>
  <w:footnote w:id="632">
    <w:p w14:paraId="236E8800" w14:textId="2C0D0A95" w:rsidR="004E119B" w:rsidRPr="002D31A9" w:rsidRDefault="004E119B" w:rsidP="003D75DA">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T0069</w:t>
      </w:r>
      <w:r w:rsidRPr="002D31A9">
        <w:rPr>
          <w:szCs w:val="18"/>
        </w:rPr>
        <w:t>.</w:t>
      </w:r>
    </w:p>
  </w:footnote>
  <w:footnote w:id="633">
    <w:p w14:paraId="62643998" w14:textId="35675441" w:rsidR="004E119B" w:rsidRPr="002D31A9" w:rsidRDefault="004E119B" w:rsidP="003D75DA">
      <w:pPr>
        <w:pStyle w:val="FootnoteText"/>
        <w:ind w:left="1152" w:right="1138" w:hanging="245"/>
        <w:jc w:val="left"/>
        <w:rPr>
          <w:szCs w:val="18"/>
        </w:rPr>
      </w:pPr>
      <w:r w:rsidRPr="002D31A9">
        <w:rPr>
          <w:rStyle w:val="FootnoteReference"/>
          <w:szCs w:val="18"/>
        </w:rPr>
        <w:footnoteRef/>
      </w:r>
      <w:r w:rsidRPr="002D31A9">
        <w:rPr>
          <w:szCs w:val="18"/>
        </w:rPr>
        <w:t xml:space="preserve"> </w:t>
      </w:r>
      <w:r>
        <w:rPr>
          <w:szCs w:val="18"/>
        </w:rPr>
        <w:t>T0173</w:t>
      </w:r>
      <w:r w:rsidRPr="002D31A9">
        <w:rPr>
          <w:szCs w:val="18"/>
        </w:rPr>
        <w:t>.</w:t>
      </w:r>
    </w:p>
  </w:footnote>
  <w:footnote w:id="634">
    <w:p w14:paraId="3A027501" w14:textId="545D13EB" w:rsidR="004E119B" w:rsidRPr="002D31A9" w:rsidRDefault="004E119B" w:rsidP="003D75DA">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T0256</w:t>
      </w:r>
      <w:r w:rsidRPr="002D31A9">
        <w:rPr>
          <w:szCs w:val="18"/>
        </w:rPr>
        <w:t>.</w:t>
      </w:r>
    </w:p>
  </w:footnote>
  <w:footnote w:id="635">
    <w:p w14:paraId="0B4F79B7" w14:textId="383FA385" w:rsidR="004E119B" w:rsidRPr="002D31A9" w:rsidRDefault="004E119B" w:rsidP="003D75DA">
      <w:pPr>
        <w:spacing w:line="220" w:lineRule="exact"/>
        <w:ind w:left="1138" w:right="1138" w:hanging="228"/>
        <w:rPr>
          <w:sz w:val="18"/>
          <w:szCs w:val="18"/>
        </w:rPr>
      </w:pPr>
      <w:r w:rsidRPr="002D31A9">
        <w:rPr>
          <w:rStyle w:val="FootnoteReference"/>
          <w:szCs w:val="18"/>
        </w:rPr>
        <w:footnoteRef/>
      </w:r>
      <w:r w:rsidRPr="002D31A9">
        <w:rPr>
          <w:sz w:val="18"/>
          <w:szCs w:val="18"/>
        </w:rPr>
        <w:t xml:space="preserve"> </w:t>
      </w:r>
      <w:r>
        <w:rPr>
          <w:sz w:val="18"/>
          <w:szCs w:val="18"/>
        </w:rPr>
        <w:t>T0349</w:t>
      </w:r>
      <w:r w:rsidRPr="002D31A9">
        <w:rPr>
          <w:sz w:val="18"/>
          <w:szCs w:val="18"/>
        </w:rPr>
        <w:t xml:space="preserve">. </w:t>
      </w:r>
    </w:p>
  </w:footnote>
  <w:footnote w:id="636">
    <w:p w14:paraId="791A3494" w14:textId="4DBD7D80" w:rsidR="004E119B" w:rsidRPr="006E341A" w:rsidRDefault="004E119B" w:rsidP="003D75DA">
      <w:pPr>
        <w:pStyle w:val="FootnoteText"/>
        <w:ind w:left="1138" w:right="1138" w:hanging="228"/>
        <w:jc w:val="left"/>
        <w:rPr>
          <w:szCs w:val="18"/>
          <w:highlight w:val="yellow"/>
        </w:rPr>
      </w:pPr>
      <w:r w:rsidRPr="002D31A9">
        <w:rPr>
          <w:rStyle w:val="FootnoteReference"/>
          <w:szCs w:val="18"/>
        </w:rPr>
        <w:footnoteRef/>
      </w:r>
      <w:r w:rsidRPr="002D31A9">
        <w:rPr>
          <w:szCs w:val="18"/>
        </w:rPr>
        <w:t xml:space="preserve"> </w:t>
      </w:r>
      <w:r w:rsidRPr="00FE5E8D">
        <w:rPr>
          <w:szCs w:val="18"/>
        </w:rPr>
        <w:t xml:space="preserve">Pour d’autres attaques commises par les milices Bana Mura dans le secteur de Lovua-Longatshimo voir </w:t>
      </w:r>
      <w:r w:rsidRPr="004637BD">
        <w:rPr>
          <w:szCs w:val="18"/>
        </w:rPr>
        <w:t>BCNUDH de la MONUSCO, Rapport de mission d’enquête spéciale du 25 août au 1</w:t>
      </w:r>
      <w:r w:rsidRPr="00871A84">
        <w:rPr>
          <w:szCs w:val="18"/>
          <w:vertAlign w:val="superscript"/>
        </w:rPr>
        <w:t>er</w:t>
      </w:r>
      <w:r w:rsidRPr="004637BD">
        <w:rPr>
          <w:szCs w:val="18"/>
        </w:rPr>
        <w:t xml:space="preserve"> septembre 2017, Violations graves des droits de l’homme perpétrées par les membres du groupe d’autodéfense Bana Mura, les militaires des FARDC et les miliciens de Kamuina Nsapu dans le territoire de Kamonia, province du Kasaï, en avril 2017, octobre 2017</w:t>
      </w:r>
      <w:r w:rsidRPr="00FE5E8D">
        <w:rPr>
          <w:szCs w:val="18"/>
        </w:rPr>
        <w:t xml:space="preserve"> ; HCDH, </w:t>
      </w:r>
      <w:r w:rsidRPr="00197843">
        <w:rPr>
          <w:szCs w:val="18"/>
        </w:rPr>
        <w:t>Report of a Mission of the United Nations High Commissioner for Human Rights – accounts of Congolese fleeing the crisis in the Kasai region, in the Democratic Republic of the Congo</w:t>
      </w:r>
      <w:r w:rsidRPr="00FE5E8D">
        <w:rPr>
          <w:szCs w:val="18"/>
        </w:rPr>
        <w:t xml:space="preserve">, août 2017; </w:t>
      </w:r>
      <w:r w:rsidRPr="004637BD">
        <w:rPr>
          <w:szCs w:val="18"/>
        </w:rPr>
        <w:t>FIDH, Rapport d’enquête, Massacres au Kasaï : des crimes contre l’humanité au service d’un chaos organisé République démocratique du Congo, décembre 2017</w:t>
      </w:r>
      <w:r>
        <w:rPr>
          <w:szCs w:val="18"/>
        </w:rPr>
        <w:t>.</w:t>
      </w:r>
    </w:p>
  </w:footnote>
  <w:footnote w:id="637">
    <w:p w14:paraId="7D6018A2" w14:textId="52D698C7" w:rsidR="004E119B" w:rsidRPr="00CB2CDD" w:rsidRDefault="004E119B" w:rsidP="003D75DA">
      <w:pPr>
        <w:pStyle w:val="FootnoteText"/>
        <w:ind w:left="1138" w:right="1138" w:hanging="228"/>
        <w:jc w:val="left"/>
        <w:rPr>
          <w:szCs w:val="18"/>
        </w:rPr>
      </w:pPr>
      <w:r w:rsidRPr="002D31A9">
        <w:rPr>
          <w:rStyle w:val="FootnoteReference"/>
          <w:szCs w:val="18"/>
        </w:rPr>
        <w:footnoteRef/>
      </w:r>
      <w:r w:rsidRPr="00CB2CDD">
        <w:rPr>
          <w:szCs w:val="18"/>
        </w:rPr>
        <w:t xml:space="preserve"> </w:t>
      </w:r>
      <w:r>
        <w:rPr>
          <w:szCs w:val="18"/>
        </w:rPr>
        <w:t>T0050</w:t>
      </w:r>
      <w:r w:rsidRPr="00CB2CDD">
        <w:rPr>
          <w:szCs w:val="18"/>
        </w:rPr>
        <w:t xml:space="preserve">, </w:t>
      </w:r>
      <w:r>
        <w:rPr>
          <w:szCs w:val="18"/>
        </w:rPr>
        <w:t>T0405</w:t>
      </w:r>
      <w:r w:rsidRPr="00CB2CDD">
        <w:rPr>
          <w:szCs w:val="18"/>
        </w:rPr>
        <w:t xml:space="preserve">, </w:t>
      </w:r>
      <w:r>
        <w:rPr>
          <w:szCs w:val="18"/>
        </w:rPr>
        <w:t>T0441</w:t>
      </w:r>
      <w:r w:rsidRPr="00CB2CDD">
        <w:rPr>
          <w:szCs w:val="18"/>
        </w:rPr>
        <w:t>.</w:t>
      </w:r>
    </w:p>
  </w:footnote>
  <w:footnote w:id="638">
    <w:p w14:paraId="6A9DFD41" w14:textId="0FBF8EF1" w:rsidR="004E119B" w:rsidRPr="004637BD" w:rsidRDefault="004E119B" w:rsidP="003D75DA">
      <w:pPr>
        <w:pStyle w:val="FootnoteText"/>
        <w:ind w:left="1138" w:right="1138" w:hanging="228"/>
        <w:jc w:val="left"/>
        <w:rPr>
          <w:szCs w:val="18"/>
        </w:rPr>
      </w:pPr>
      <w:r w:rsidRPr="002D31A9">
        <w:rPr>
          <w:rStyle w:val="FootnoteReference"/>
          <w:szCs w:val="18"/>
        </w:rPr>
        <w:footnoteRef/>
      </w:r>
      <w:r w:rsidRPr="00CB2CDD">
        <w:rPr>
          <w:szCs w:val="18"/>
        </w:rPr>
        <w:t xml:space="preserve"> </w:t>
      </w:r>
      <w:r>
        <w:rPr>
          <w:szCs w:val="18"/>
        </w:rPr>
        <w:t>T0401</w:t>
      </w:r>
      <w:r w:rsidRPr="00CB2CDD">
        <w:rPr>
          <w:szCs w:val="18"/>
        </w:rPr>
        <w:t xml:space="preserve">, </w:t>
      </w:r>
      <w:r>
        <w:rPr>
          <w:szCs w:val="18"/>
        </w:rPr>
        <w:t>T0034</w:t>
      </w:r>
      <w:r w:rsidRPr="00CB2CDD">
        <w:rPr>
          <w:szCs w:val="18"/>
        </w:rPr>
        <w:t xml:space="preserve">, </w:t>
      </w:r>
      <w:r>
        <w:rPr>
          <w:szCs w:val="18"/>
        </w:rPr>
        <w:t>T0202</w:t>
      </w:r>
      <w:r w:rsidRPr="00CB2CDD">
        <w:rPr>
          <w:szCs w:val="18"/>
        </w:rPr>
        <w:t xml:space="preserve">, </w:t>
      </w:r>
      <w:r>
        <w:rPr>
          <w:szCs w:val="18"/>
        </w:rPr>
        <w:t>T0206</w:t>
      </w:r>
      <w:r w:rsidRPr="004637BD">
        <w:rPr>
          <w:szCs w:val="18"/>
        </w:rPr>
        <w:t xml:space="preserve"> ; FIDH, Rapport d’enquête, Massacres au Kasaï : des crimes contre l’humanité au service d’un chaos organisé République démocratique du Congo, décembre 2017</w:t>
      </w:r>
      <w:r w:rsidRPr="00FE5E8D">
        <w:rPr>
          <w:szCs w:val="18"/>
        </w:rPr>
        <w:t>.</w:t>
      </w:r>
      <w:r w:rsidRPr="004637BD">
        <w:rPr>
          <w:szCs w:val="18"/>
        </w:rPr>
        <w:t xml:space="preserve"> </w:t>
      </w:r>
    </w:p>
  </w:footnote>
  <w:footnote w:id="639">
    <w:p w14:paraId="4A0990F0" w14:textId="74BED837" w:rsidR="004E119B" w:rsidRPr="004637BD" w:rsidRDefault="004E119B" w:rsidP="003D75DA">
      <w:pPr>
        <w:pStyle w:val="FootnoteText"/>
        <w:ind w:left="1152" w:right="1138" w:hanging="245"/>
        <w:jc w:val="left"/>
        <w:rPr>
          <w:szCs w:val="18"/>
        </w:rPr>
      </w:pPr>
      <w:r w:rsidRPr="004637BD">
        <w:rPr>
          <w:rStyle w:val="FootnoteReference"/>
          <w:szCs w:val="18"/>
        </w:rPr>
        <w:footnoteRef/>
      </w:r>
      <w:r w:rsidRPr="004637BD">
        <w:rPr>
          <w:szCs w:val="18"/>
        </w:rPr>
        <w:t xml:space="preserve"> FIDH, Rapport d’enquête, Massacres au Kasaï : des crimes contre l’humanité au service d’un chaos organisé République démocratique du Congo, décembre 2017 ; </w:t>
      </w:r>
      <w:r>
        <w:rPr>
          <w:szCs w:val="18"/>
        </w:rPr>
        <w:t>T0034</w:t>
      </w:r>
      <w:r w:rsidRPr="004637BD">
        <w:rPr>
          <w:szCs w:val="18"/>
        </w:rPr>
        <w:t xml:space="preserve">, </w:t>
      </w:r>
      <w:r>
        <w:rPr>
          <w:szCs w:val="18"/>
        </w:rPr>
        <w:t>T0206</w:t>
      </w:r>
      <w:r w:rsidRPr="004637BD">
        <w:rPr>
          <w:szCs w:val="18"/>
        </w:rPr>
        <w:t>.</w:t>
      </w:r>
    </w:p>
  </w:footnote>
  <w:footnote w:id="640">
    <w:p w14:paraId="6C0A175C" w14:textId="1E5AAAF2" w:rsidR="004E119B" w:rsidRPr="00FE5E8D" w:rsidRDefault="004E119B" w:rsidP="003D75DA">
      <w:pPr>
        <w:tabs>
          <w:tab w:val="right" w:pos="900"/>
          <w:tab w:val="left" w:pos="1134"/>
          <w:tab w:val="left" w:pos="1530"/>
          <w:tab w:val="left" w:pos="1984"/>
          <w:tab w:val="left" w:leader="dot" w:pos="7654"/>
          <w:tab w:val="right" w:pos="8929"/>
          <w:tab w:val="right" w:pos="9639"/>
        </w:tabs>
        <w:spacing w:line="220" w:lineRule="exact"/>
        <w:ind w:left="1138" w:right="1138" w:hanging="228"/>
        <w:rPr>
          <w:sz w:val="18"/>
          <w:szCs w:val="18"/>
        </w:rPr>
      </w:pPr>
      <w:r w:rsidRPr="004637BD">
        <w:rPr>
          <w:rStyle w:val="FootnoteReference"/>
          <w:szCs w:val="18"/>
        </w:rPr>
        <w:footnoteRef/>
      </w:r>
      <w:r w:rsidRPr="00591FD8">
        <w:rPr>
          <w:sz w:val="18"/>
          <w:szCs w:val="18"/>
        </w:rPr>
        <w:t xml:space="preserve"> </w:t>
      </w:r>
      <w:r>
        <w:rPr>
          <w:sz w:val="18"/>
          <w:szCs w:val="18"/>
        </w:rPr>
        <w:t>T0034</w:t>
      </w:r>
      <w:r w:rsidRPr="00591FD8">
        <w:rPr>
          <w:sz w:val="18"/>
          <w:szCs w:val="18"/>
        </w:rPr>
        <w:t xml:space="preserve">. </w:t>
      </w:r>
    </w:p>
  </w:footnote>
  <w:footnote w:id="641">
    <w:p w14:paraId="5A2F0BE6" w14:textId="4D245F4A" w:rsidR="004E119B" w:rsidRPr="004637BD" w:rsidRDefault="004E119B" w:rsidP="003D75DA">
      <w:pPr>
        <w:spacing w:line="220" w:lineRule="exact"/>
        <w:ind w:left="1138" w:right="1138" w:hanging="228"/>
        <w:rPr>
          <w:sz w:val="18"/>
          <w:szCs w:val="18"/>
        </w:rPr>
      </w:pPr>
      <w:r w:rsidRPr="004637BD">
        <w:rPr>
          <w:rStyle w:val="FootnoteReference"/>
          <w:szCs w:val="18"/>
        </w:rPr>
        <w:footnoteRef/>
      </w:r>
      <w:r w:rsidRPr="004637BD">
        <w:rPr>
          <w:sz w:val="18"/>
          <w:szCs w:val="18"/>
        </w:rPr>
        <w:t xml:space="preserve"> </w:t>
      </w:r>
      <w:r>
        <w:rPr>
          <w:sz w:val="18"/>
          <w:szCs w:val="18"/>
        </w:rPr>
        <w:t>T0034</w:t>
      </w:r>
      <w:r w:rsidRPr="004637BD">
        <w:rPr>
          <w:sz w:val="18"/>
          <w:szCs w:val="18"/>
        </w:rPr>
        <w:t>,</w:t>
      </w:r>
      <w:r>
        <w:rPr>
          <w:sz w:val="18"/>
          <w:szCs w:val="18"/>
        </w:rPr>
        <w:t xml:space="preserve"> T0202, T0206,</w:t>
      </w:r>
      <w:r w:rsidRPr="004637BD">
        <w:rPr>
          <w:sz w:val="18"/>
          <w:szCs w:val="18"/>
        </w:rPr>
        <w:t xml:space="preserve"> FIDH, Rapport d’enquête, Massacres au Kasaï : des crimes contre l’humanité au service d’un chaos </w:t>
      </w:r>
      <w:r w:rsidRPr="00591FD8">
        <w:rPr>
          <w:sz w:val="18"/>
          <w:szCs w:val="18"/>
        </w:rPr>
        <w:t>organisé République démocratique du Congo, décembre 2017</w:t>
      </w:r>
      <w:r w:rsidRPr="00FE5E8D">
        <w:rPr>
          <w:sz w:val="18"/>
          <w:szCs w:val="18"/>
        </w:rPr>
        <w:t>.</w:t>
      </w:r>
    </w:p>
  </w:footnote>
  <w:footnote w:id="642">
    <w:p w14:paraId="59E84A8C" w14:textId="348D2ABD" w:rsidR="004E119B" w:rsidRPr="00FE5E8D" w:rsidRDefault="004E119B" w:rsidP="003D75DA">
      <w:pPr>
        <w:pStyle w:val="FootnoteText"/>
        <w:tabs>
          <w:tab w:val="right" w:pos="0"/>
        </w:tabs>
        <w:ind w:left="1138" w:right="1138" w:hanging="228"/>
        <w:jc w:val="left"/>
        <w:rPr>
          <w:szCs w:val="18"/>
          <w:lang w:val="en-US"/>
        </w:rPr>
      </w:pPr>
      <w:r w:rsidRPr="004637BD">
        <w:rPr>
          <w:rStyle w:val="FootnoteReference"/>
          <w:szCs w:val="18"/>
        </w:rPr>
        <w:footnoteRef/>
      </w:r>
      <w:r w:rsidRPr="00FE5E8D">
        <w:rPr>
          <w:szCs w:val="18"/>
          <w:lang w:val="en-US"/>
        </w:rPr>
        <w:t xml:space="preserve"> </w:t>
      </w:r>
      <w:r>
        <w:rPr>
          <w:szCs w:val="18"/>
          <w:lang w:val="en-US"/>
        </w:rPr>
        <w:t>T0375</w:t>
      </w:r>
      <w:r w:rsidRPr="00FE5E8D">
        <w:rPr>
          <w:szCs w:val="18"/>
          <w:lang w:val="en-US"/>
        </w:rPr>
        <w:t xml:space="preserve"> ; Voir aussi </w:t>
      </w:r>
      <w:r w:rsidRPr="004637BD">
        <w:rPr>
          <w:szCs w:val="18"/>
          <w:lang w:val="en-US"/>
        </w:rPr>
        <w:t xml:space="preserve">HCDH, </w:t>
      </w:r>
      <w:r w:rsidRPr="00197843">
        <w:rPr>
          <w:szCs w:val="18"/>
          <w:lang w:val="en-US"/>
        </w:rPr>
        <w:t>Report of a Mission of the United Nations High Commissioner for Human Rights – accounts of Congolese fleeing the crisis in the Kasai region, in the Democratic Republic of the Congo</w:t>
      </w:r>
      <w:r w:rsidRPr="0094347A">
        <w:rPr>
          <w:szCs w:val="18"/>
          <w:lang w:val="en-US"/>
        </w:rPr>
        <w:t xml:space="preserve">, août 2017, </w:t>
      </w:r>
      <w:r w:rsidRPr="00FE5E8D">
        <w:rPr>
          <w:szCs w:val="18"/>
          <w:lang w:val="en-US"/>
        </w:rPr>
        <w:t>para. 39.</w:t>
      </w:r>
    </w:p>
  </w:footnote>
  <w:footnote w:id="643">
    <w:p w14:paraId="3F80CE73" w14:textId="64BF4518" w:rsidR="004E119B" w:rsidRPr="00FE5E8D" w:rsidRDefault="004E119B" w:rsidP="003D75DA">
      <w:pPr>
        <w:pStyle w:val="FootnoteText"/>
        <w:ind w:left="1138" w:right="1138" w:hanging="228"/>
        <w:jc w:val="left"/>
        <w:rPr>
          <w:szCs w:val="18"/>
          <w:lang w:val="en-US"/>
        </w:rPr>
      </w:pPr>
      <w:r w:rsidRPr="004637BD">
        <w:rPr>
          <w:rStyle w:val="FootnoteReference"/>
          <w:szCs w:val="18"/>
        </w:rPr>
        <w:footnoteRef/>
      </w:r>
      <w:r w:rsidRPr="00FE5E8D">
        <w:rPr>
          <w:szCs w:val="18"/>
          <w:lang w:val="en-US"/>
        </w:rPr>
        <w:t xml:space="preserve"> </w:t>
      </w:r>
      <w:r>
        <w:rPr>
          <w:szCs w:val="18"/>
          <w:lang w:val="en-US"/>
        </w:rPr>
        <w:t>T0437</w:t>
      </w:r>
      <w:r w:rsidRPr="00FE5E8D">
        <w:rPr>
          <w:szCs w:val="18"/>
          <w:lang w:val="en-US"/>
        </w:rPr>
        <w:t xml:space="preserve">, </w:t>
      </w:r>
      <w:r>
        <w:rPr>
          <w:szCs w:val="18"/>
          <w:lang w:val="en-US"/>
        </w:rPr>
        <w:t>T0034</w:t>
      </w:r>
      <w:r w:rsidRPr="00FE5E8D">
        <w:rPr>
          <w:szCs w:val="18"/>
          <w:lang w:val="en-US"/>
        </w:rPr>
        <w:t xml:space="preserve">, </w:t>
      </w:r>
      <w:r>
        <w:rPr>
          <w:szCs w:val="18"/>
          <w:lang w:val="en-US"/>
        </w:rPr>
        <w:t>T0416</w:t>
      </w:r>
      <w:r w:rsidRPr="00FE5E8D">
        <w:rPr>
          <w:szCs w:val="18"/>
          <w:lang w:val="en-US"/>
        </w:rPr>
        <w:t xml:space="preserve">, </w:t>
      </w:r>
      <w:r>
        <w:rPr>
          <w:szCs w:val="18"/>
          <w:lang w:val="en-US"/>
        </w:rPr>
        <w:t>T0375</w:t>
      </w:r>
      <w:r w:rsidRPr="00FE5E8D">
        <w:rPr>
          <w:szCs w:val="18"/>
          <w:lang w:val="en-US"/>
        </w:rPr>
        <w:t>.</w:t>
      </w:r>
    </w:p>
  </w:footnote>
  <w:footnote w:id="644">
    <w:p w14:paraId="4B7CF9B4" w14:textId="5096652B" w:rsidR="004E119B" w:rsidRPr="00FE5E8D" w:rsidRDefault="004E119B" w:rsidP="003D75DA">
      <w:pPr>
        <w:pStyle w:val="FootnoteText"/>
        <w:tabs>
          <w:tab w:val="right" w:pos="0"/>
        </w:tabs>
        <w:ind w:left="1138" w:right="1138" w:hanging="228"/>
        <w:jc w:val="left"/>
        <w:rPr>
          <w:szCs w:val="18"/>
          <w:lang w:val="en-US"/>
        </w:rPr>
      </w:pPr>
      <w:r w:rsidRPr="004637BD">
        <w:rPr>
          <w:rStyle w:val="FootnoteReference"/>
          <w:szCs w:val="18"/>
        </w:rPr>
        <w:footnoteRef/>
      </w:r>
      <w:r w:rsidRPr="00FE5E8D">
        <w:rPr>
          <w:szCs w:val="18"/>
          <w:lang w:val="en-US"/>
        </w:rPr>
        <w:t xml:space="preserve"> </w:t>
      </w:r>
      <w:r>
        <w:rPr>
          <w:szCs w:val="18"/>
          <w:lang w:val="en-US"/>
        </w:rPr>
        <w:t>T0278</w:t>
      </w:r>
      <w:r w:rsidRPr="00FE5E8D">
        <w:rPr>
          <w:szCs w:val="18"/>
          <w:lang w:val="en-US"/>
        </w:rPr>
        <w:t>,</w:t>
      </w:r>
      <w:r w:rsidRPr="00FE5E8D">
        <w:rPr>
          <w:color w:val="676767"/>
          <w:szCs w:val="18"/>
          <w:lang w:val="en-US" w:eastAsia="fr-FR"/>
        </w:rPr>
        <w:t xml:space="preserve"> </w:t>
      </w:r>
      <w:r>
        <w:rPr>
          <w:szCs w:val="18"/>
          <w:lang w:val="en-US"/>
        </w:rPr>
        <w:t>T0375</w:t>
      </w:r>
      <w:r w:rsidRPr="00FE5E8D">
        <w:rPr>
          <w:szCs w:val="18"/>
          <w:lang w:val="en-US"/>
        </w:rPr>
        <w:t xml:space="preserve"> ; Voir aussi </w:t>
      </w:r>
      <w:r w:rsidRPr="004637BD">
        <w:rPr>
          <w:szCs w:val="18"/>
          <w:lang w:val="en-US"/>
        </w:rPr>
        <w:t xml:space="preserve">HCDH, </w:t>
      </w:r>
      <w:r w:rsidRPr="00197843">
        <w:rPr>
          <w:szCs w:val="18"/>
          <w:lang w:val="en-US"/>
        </w:rPr>
        <w:t>Report of a Mission of the United Nations High Commissioner for Human Rights – accounts of Congolese fleeing the crisis in the Kasai region, in the Democratic Republic of the Congo</w:t>
      </w:r>
      <w:r w:rsidRPr="0094347A">
        <w:rPr>
          <w:szCs w:val="18"/>
          <w:lang w:val="en-US"/>
        </w:rPr>
        <w:t xml:space="preserve">, août 2017, </w:t>
      </w:r>
      <w:r w:rsidRPr="00FE5E8D">
        <w:rPr>
          <w:szCs w:val="18"/>
          <w:lang w:val="en-US"/>
        </w:rPr>
        <w:t xml:space="preserve">para 20. </w:t>
      </w:r>
    </w:p>
  </w:footnote>
  <w:footnote w:id="645">
    <w:p w14:paraId="148445C3" w14:textId="1501DF39" w:rsidR="004E119B" w:rsidRPr="00633737" w:rsidRDefault="004E119B" w:rsidP="003D75DA">
      <w:pPr>
        <w:pStyle w:val="FootnoteText"/>
        <w:tabs>
          <w:tab w:val="right" w:pos="0"/>
        </w:tabs>
        <w:ind w:left="1138" w:right="1138" w:hanging="228"/>
        <w:jc w:val="left"/>
        <w:rPr>
          <w:szCs w:val="18"/>
        </w:rPr>
      </w:pPr>
      <w:r w:rsidRPr="004637BD">
        <w:rPr>
          <w:rStyle w:val="FootnoteReference"/>
          <w:szCs w:val="18"/>
        </w:rPr>
        <w:footnoteRef/>
      </w:r>
      <w:r w:rsidRPr="00633737">
        <w:rPr>
          <w:szCs w:val="18"/>
        </w:rPr>
        <w:t xml:space="preserve"> T0437.</w:t>
      </w:r>
    </w:p>
  </w:footnote>
  <w:footnote w:id="646">
    <w:p w14:paraId="3174F560" w14:textId="4FD5933A" w:rsidR="004E119B" w:rsidRPr="00633737" w:rsidRDefault="004E119B" w:rsidP="003D75DA">
      <w:pPr>
        <w:pStyle w:val="FootnoteText"/>
        <w:tabs>
          <w:tab w:val="right" w:pos="0"/>
        </w:tabs>
        <w:ind w:left="1138" w:right="1138" w:hanging="228"/>
        <w:jc w:val="left"/>
        <w:rPr>
          <w:szCs w:val="18"/>
        </w:rPr>
      </w:pPr>
      <w:r w:rsidRPr="004637BD">
        <w:rPr>
          <w:rStyle w:val="FootnoteReference"/>
          <w:szCs w:val="18"/>
        </w:rPr>
        <w:footnoteRef/>
      </w:r>
      <w:r w:rsidRPr="00633737">
        <w:rPr>
          <w:szCs w:val="18"/>
        </w:rPr>
        <w:t xml:space="preserve"> T0437, </w:t>
      </w:r>
      <w:r>
        <w:rPr>
          <w:szCs w:val="18"/>
        </w:rPr>
        <w:t>T0206</w:t>
      </w:r>
      <w:r w:rsidRPr="00633737">
        <w:rPr>
          <w:szCs w:val="18"/>
        </w:rPr>
        <w:t xml:space="preserve">, </w:t>
      </w:r>
      <w:r>
        <w:rPr>
          <w:szCs w:val="18"/>
        </w:rPr>
        <w:t>T0278</w:t>
      </w:r>
      <w:r w:rsidRPr="00633737">
        <w:rPr>
          <w:szCs w:val="18"/>
        </w:rPr>
        <w:t xml:space="preserve">, </w:t>
      </w:r>
      <w:r>
        <w:rPr>
          <w:szCs w:val="18"/>
        </w:rPr>
        <w:t>T0034</w:t>
      </w:r>
      <w:r w:rsidRPr="00633737">
        <w:rPr>
          <w:szCs w:val="18"/>
        </w:rPr>
        <w:t>.</w:t>
      </w:r>
    </w:p>
  </w:footnote>
  <w:footnote w:id="647">
    <w:p w14:paraId="6EF62BCE" w14:textId="56F05E9C" w:rsidR="004E119B" w:rsidRPr="00633737" w:rsidRDefault="004E119B" w:rsidP="003D75DA">
      <w:pPr>
        <w:pStyle w:val="FootnoteText"/>
        <w:ind w:left="1138" w:right="1138" w:hanging="228"/>
        <w:jc w:val="left"/>
        <w:rPr>
          <w:szCs w:val="18"/>
        </w:rPr>
      </w:pPr>
      <w:r w:rsidRPr="004637BD">
        <w:rPr>
          <w:rStyle w:val="FootnoteReference"/>
          <w:szCs w:val="18"/>
        </w:rPr>
        <w:footnoteRef/>
      </w:r>
      <w:r w:rsidRPr="00633737">
        <w:rPr>
          <w:szCs w:val="18"/>
        </w:rPr>
        <w:t xml:space="preserve"> </w:t>
      </w:r>
      <w:r>
        <w:rPr>
          <w:szCs w:val="18"/>
        </w:rPr>
        <w:t>T0278</w:t>
      </w:r>
      <w:r w:rsidRPr="00633737">
        <w:rPr>
          <w:szCs w:val="18"/>
        </w:rPr>
        <w:t xml:space="preserve">, </w:t>
      </w:r>
      <w:r>
        <w:rPr>
          <w:szCs w:val="18"/>
        </w:rPr>
        <w:t>T0034</w:t>
      </w:r>
      <w:r w:rsidRPr="00633737">
        <w:rPr>
          <w:szCs w:val="18"/>
        </w:rPr>
        <w:t xml:space="preserve">, </w:t>
      </w:r>
      <w:r>
        <w:rPr>
          <w:szCs w:val="18"/>
        </w:rPr>
        <w:t>T0416</w:t>
      </w:r>
      <w:r w:rsidRPr="00633737">
        <w:rPr>
          <w:szCs w:val="18"/>
        </w:rPr>
        <w:t>, T0375.</w:t>
      </w:r>
    </w:p>
  </w:footnote>
  <w:footnote w:id="648">
    <w:p w14:paraId="74FB660F" w14:textId="5F23E5E6" w:rsidR="004E119B" w:rsidRPr="00633737" w:rsidRDefault="004E119B" w:rsidP="003D75DA">
      <w:pPr>
        <w:pStyle w:val="FootnoteText"/>
        <w:tabs>
          <w:tab w:val="right" w:pos="709"/>
        </w:tabs>
        <w:ind w:left="1138" w:right="1138" w:hanging="228"/>
        <w:jc w:val="left"/>
        <w:rPr>
          <w:szCs w:val="18"/>
        </w:rPr>
      </w:pPr>
      <w:r w:rsidRPr="004637BD">
        <w:rPr>
          <w:rStyle w:val="FootnoteReference"/>
          <w:szCs w:val="18"/>
        </w:rPr>
        <w:footnoteRef/>
      </w:r>
      <w:r w:rsidRPr="00633737">
        <w:rPr>
          <w:szCs w:val="18"/>
        </w:rPr>
        <w:t xml:space="preserve"> T0375.</w:t>
      </w:r>
    </w:p>
  </w:footnote>
  <w:footnote w:id="649">
    <w:p w14:paraId="6B8740C3" w14:textId="57B11B90" w:rsidR="004E119B" w:rsidRPr="001A302E" w:rsidRDefault="004E119B" w:rsidP="003D75DA">
      <w:pPr>
        <w:pStyle w:val="FootnoteText"/>
        <w:ind w:left="1138" w:right="1138" w:hanging="228"/>
        <w:jc w:val="left"/>
        <w:rPr>
          <w:szCs w:val="18"/>
        </w:rPr>
      </w:pPr>
      <w:r w:rsidRPr="004637BD">
        <w:rPr>
          <w:rStyle w:val="FootnoteReference"/>
          <w:szCs w:val="18"/>
        </w:rPr>
        <w:footnoteRef/>
      </w:r>
      <w:r w:rsidRPr="001A302E">
        <w:rPr>
          <w:szCs w:val="18"/>
        </w:rPr>
        <w:t xml:space="preserve"> T0437.</w:t>
      </w:r>
    </w:p>
  </w:footnote>
  <w:footnote w:id="650">
    <w:p w14:paraId="3ECC67A9" w14:textId="30C14645" w:rsidR="004E119B" w:rsidRPr="001A302E" w:rsidRDefault="004E119B" w:rsidP="003D75DA">
      <w:pPr>
        <w:pStyle w:val="FootnoteText"/>
        <w:ind w:left="1138" w:right="1138" w:hanging="228"/>
        <w:jc w:val="left"/>
        <w:rPr>
          <w:szCs w:val="18"/>
        </w:rPr>
      </w:pPr>
      <w:r w:rsidRPr="004637BD">
        <w:rPr>
          <w:rStyle w:val="FootnoteReference"/>
          <w:szCs w:val="18"/>
        </w:rPr>
        <w:footnoteRef/>
      </w:r>
      <w:r w:rsidRPr="001A302E">
        <w:rPr>
          <w:szCs w:val="18"/>
        </w:rPr>
        <w:t xml:space="preserve"> T0206, T0208.</w:t>
      </w:r>
    </w:p>
  </w:footnote>
  <w:footnote w:id="651">
    <w:p w14:paraId="42B18ABF" w14:textId="1574E41B" w:rsidR="004E119B" w:rsidRPr="001A302E" w:rsidRDefault="004E119B" w:rsidP="003D75DA">
      <w:pPr>
        <w:pStyle w:val="FootnoteText"/>
        <w:ind w:left="1138" w:right="1138" w:hanging="228"/>
        <w:jc w:val="left"/>
        <w:rPr>
          <w:szCs w:val="18"/>
        </w:rPr>
      </w:pPr>
      <w:r w:rsidRPr="002D31A9">
        <w:rPr>
          <w:rStyle w:val="FootnoteReference"/>
          <w:szCs w:val="18"/>
        </w:rPr>
        <w:footnoteRef/>
      </w:r>
      <w:r w:rsidRPr="001A302E">
        <w:rPr>
          <w:szCs w:val="18"/>
        </w:rPr>
        <w:t xml:space="preserve"> T0206, T0208.</w:t>
      </w:r>
    </w:p>
  </w:footnote>
  <w:footnote w:id="652">
    <w:p w14:paraId="30249EC0" w14:textId="51318A3D" w:rsidR="004E119B" w:rsidRPr="00840539" w:rsidRDefault="004E119B" w:rsidP="003D75DA">
      <w:pPr>
        <w:pStyle w:val="FootnoteText"/>
        <w:ind w:left="1152" w:right="1138" w:hanging="245"/>
        <w:jc w:val="left"/>
        <w:rPr>
          <w:szCs w:val="18"/>
          <w:highlight w:val="yellow"/>
        </w:rPr>
      </w:pPr>
      <w:r w:rsidRPr="002D31A9">
        <w:rPr>
          <w:rStyle w:val="FootnoteReference"/>
          <w:szCs w:val="18"/>
        </w:rPr>
        <w:footnoteRef/>
      </w:r>
      <w:r w:rsidRPr="002D31A9">
        <w:rPr>
          <w:szCs w:val="18"/>
        </w:rPr>
        <w:t xml:space="preserve"> </w:t>
      </w:r>
      <w:r>
        <w:rPr>
          <w:szCs w:val="18"/>
        </w:rPr>
        <w:t>T0429</w:t>
      </w:r>
      <w:r w:rsidRPr="00840539">
        <w:rPr>
          <w:szCs w:val="18"/>
        </w:rPr>
        <w:t xml:space="preserve">. </w:t>
      </w:r>
    </w:p>
  </w:footnote>
  <w:footnote w:id="653">
    <w:p w14:paraId="07EAEBAB" w14:textId="07A99D4A" w:rsidR="004E119B" w:rsidRPr="006E341A" w:rsidRDefault="004E119B" w:rsidP="003D75DA">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T0375</w:t>
      </w:r>
      <w:r w:rsidRPr="00840539">
        <w:rPr>
          <w:szCs w:val="18"/>
        </w:rPr>
        <w:t xml:space="preserve">, </w:t>
      </w:r>
      <w:r>
        <w:rPr>
          <w:szCs w:val="18"/>
        </w:rPr>
        <w:t>T0001</w:t>
      </w:r>
      <w:r w:rsidRPr="006E341A">
        <w:rPr>
          <w:szCs w:val="18"/>
        </w:rPr>
        <w:t xml:space="preserve">, </w:t>
      </w:r>
      <w:r>
        <w:rPr>
          <w:szCs w:val="18"/>
        </w:rPr>
        <w:t>T0416</w:t>
      </w:r>
      <w:r w:rsidRPr="006E341A">
        <w:rPr>
          <w:szCs w:val="18"/>
        </w:rPr>
        <w:t xml:space="preserve">. Voir aussi </w:t>
      </w:r>
      <w:r w:rsidRPr="002D31A9">
        <w:rPr>
          <w:szCs w:val="18"/>
        </w:rPr>
        <w:t>FIDH, Rapport d’enquête, Massacres au Kasaï : des crimes contre l’humanité au service d’un chaos organisé République démocratique du Congo, décembre 2017</w:t>
      </w:r>
      <w:r w:rsidRPr="006E341A">
        <w:rPr>
          <w:szCs w:val="18"/>
        </w:rPr>
        <w:t>.</w:t>
      </w:r>
    </w:p>
  </w:footnote>
  <w:footnote w:id="654">
    <w:p w14:paraId="5A5FB046" w14:textId="2C3AF05D" w:rsidR="004E119B" w:rsidRPr="00840539" w:rsidRDefault="004E119B" w:rsidP="003D75DA">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T0206</w:t>
      </w:r>
      <w:r w:rsidRPr="00840539">
        <w:rPr>
          <w:szCs w:val="18"/>
        </w:rPr>
        <w:t xml:space="preserve">, </w:t>
      </w:r>
      <w:r>
        <w:rPr>
          <w:szCs w:val="18"/>
        </w:rPr>
        <w:t>T0429</w:t>
      </w:r>
      <w:r w:rsidRPr="00840539">
        <w:rPr>
          <w:szCs w:val="18"/>
        </w:rPr>
        <w:t>.</w:t>
      </w:r>
    </w:p>
  </w:footnote>
  <w:footnote w:id="655">
    <w:p w14:paraId="23FA4D44" w14:textId="3674F71D" w:rsidR="004E119B" w:rsidRPr="00840539" w:rsidRDefault="004E119B" w:rsidP="003D75DA">
      <w:pPr>
        <w:pStyle w:val="FootnoteText"/>
        <w:ind w:left="1138" w:right="1138" w:hanging="228"/>
        <w:jc w:val="left"/>
        <w:rPr>
          <w:szCs w:val="18"/>
        </w:rPr>
      </w:pPr>
      <w:r w:rsidRPr="002D31A9">
        <w:rPr>
          <w:rStyle w:val="FootnoteReference"/>
          <w:szCs w:val="18"/>
        </w:rPr>
        <w:footnoteRef/>
      </w:r>
      <w:r w:rsidRPr="002D31A9">
        <w:rPr>
          <w:szCs w:val="18"/>
        </w:rPr>
        <w:t xml:space="preserve"> Par exemple,</w:t>
      </w:r>
      <w:r w:rsidRPr="00840539">
        <w:rPr>
          <w:szCs w:val="18"/>
        </w:rPr>
        <w:t xml:space="preserve"> </w:t>
      </w:r>
      <w:r>
        <w:rPr>
          <w:szCs w:val="18"/>
        </w:rPr>
        <w:t>T0206</w:t>
      </w:r>
      <w:r w:rsidRPr="00840539">
        <w:rPr>
          <w:szCs w:val="18"/>
        </w:rPr>
        <w:t xml:space="preserve">, </w:t>
      </w:r>
      <w:r>
        <w:rPr>
          <w:szCs w:val="18"/>
        </w:rPr>
        <w:t>T0278</w:t>
      </w:r>
      <w:r w:rsidRPr="00840539">
        <w:rPr>
          <w:szCs w:val="18"/>
        </w:rPr>
        <w:t>.</w:t>
      </w:r>
    </w:p>
  </w:footnote>
  <w:footnote w:id="656">
    <w:p w14:paraId="5472E964" w14:textId="7CDA0CC7" w:rsidR="004E119B" w:rsidRPr="008946FE" w:rsidRDefault="004E119B" w:rsidP="003D75DA">
      <w:pPr>
        <w:spacing w:line="220" w:lineRule="exact"/>
        <w:ind w:left="1138" w:right="1138" w:hanging="228"/>
        <w:rPr>
          <w:szCs w:val="18"/>
          <w:lang w:val="en-US"/>
        </w:rPr>
      </w:pPr>
      <w:r w:rsidRPr="002D31A9">
        <w:rPr>
          <w:rStyle w:val="FootnoteReference"/>
          <w:szCs w:val="18"/>
        </w:rPr>
        <w:footnoteRef/>
      </w:r>
      <w:r w:rsidRPr="002D31A9">
        <w:rPr>
          <w:szCs w:val="18"/>
        </w:rPr>
        <w:t xml:space="preserve"> </w:t>
      </w:r>
      <w:r w:rsidRPr="002D31A9">
        <w:rPr>
          <w:sz w:val="18"/>
          <w:szCs w:val="18"/>
        </w:rPr>
        <w:t xml:space="preserve">FIDH, Rapport d’enquête, Massacres au Kasaï : des crimes contre l’humanité au service d’un chaos organisé République démocratique du Congo, décembre </w:t>
      </w:r>
      <w:r w:rsidRPr="00FE5E8D">
        <w:rPr>
          <w:sz w:val="18"/>
          <w:szCs w:val="18"/>
        </w:rPr>
        <w:t>2017</w:t>
      </w:r>
      <w:r w:rsidRPr="00FE5E8D">
        <w:rPr>
          <w:szCs w:val="18"/>
        </w:rPr>
        <w:t xml:space="preserve">. Voir aussi </w:t>
      </w:r>
      <w:r w:rsidRPr="00FE5E8D">
        <w:rPr>
          <w:sz w:val="18"/>
          <w:szCs w:val="18"/>
        </w:rPr>
        <w:t>BCNUDH</w:t>
      </w:r>
      <w:r w:rsidRPr="002D31A9">
        <w:rPr>
          <w:sz w:val="18"/>
          <w:szCs w:val="18"/>
        </w:rPr>
        <w:t xml:space="preserve"> de la MONUSCO, Rapport de mission d’enquête spéciale du 25 août au 1</w:t>
      </w:r>
      <w:r w:rsidRPr="00871A84">
        <w:rPr>
          <w:sz w:val="18"/>
          <w:szCs w:val="18"/>
          <w:vertAlign w:val="superscript"/>
        </w:rPr>
        <w:t>er</w:t>
      </w:r>
      <w:r w:rsidRPr="002D31A9">
        <w:rPr>
          <w:sz w:val="18"/>
          <w:szCs w:val="18"/>
        </w:rPr>
        <w:t xml:space="preserve"> septembre 2017, Violations graves des droits de l’homme perpétrées par les membres du groupe d’autodéfense Bana Mura, les militaires des FARDC et les miliciens de Kamuina Nsapu dans le territoire de Kamonia, province du Kasaï, en avril 2017, octobre </w:t>
      </w:r>
      <w:r w:rsidRPr="00324BFE">
        <w:rPr>
          <w:sz w:val="18"/>
          <w:szCs w:val="18"/>
        </w:rPr>
        <w:t>2017</w:t>
      </w:r>
      <w:r w:rsidRPr="00FE5E8D">
        <w:rPr>
          <w:szCs w:val="18"/>
        </w:rPr>
        <w:t xml:space="preserve">, para. </w:t>
      </w:r>
      <w:r w:rsidRPr="008946FE">
        <w:rPr>
          <w:szCs w:val="18"/>
          <w:lang w:val="en-US"/>
        </w:rPr>
        <w:t xml:space="preserve">29. Voir aussi </w:t>
      </w:r>
      <w:r w:rsidRPr="008946FE">
        <w:rPr>
          <w:sz w:val="18"/>
          <w:szCs w:val="18"/>
          <w:lang w:val="en-US"/>
        </w:rPr>
        <w:t>IRRI, Conflit et déplacement au Kasaï, Janvier 2018.</w:t>
      </w:r>
    </w:p>
  </w:footnote>
  <w:footnote w:id="657">
    <w:p w14:paraId="57708A4D" w14:textId="542922E1" w:rsidR="004E119B" w:rsidRPr="008946FE" w:rsidRDefault="004E119B" w:rsidP="003D75DA">
      <w:pPr>
        <w:pStyle w:val="FootnoteText"/>
        <w:ind w:left="1138" w:right="1138" w:hanging="228"/>
        <w:jc w:val="left"/>
        <w:rPr>
          <w:szCs w:val="18"/>
        </w:rPr>
      </w:pPr>
      <w:r w:rsidRPr="002D31A9">
        <w:rPr>
          <w:rStyle w:val="FootnoteReference"/>
          <w:szCs w:val="18"/>
        </w:rPr>
        <w:footnoteRef/>
      </w:r>
      <w:r w:rsidRPr="00FE5E8D">
        <w:rPr>
          <w:szCs w:val="18"/>
          <w:lang w:val="en-US"/>
        </w:rPr>
        <w:t xml:space="preserve"> </w:t>
      </w:r>
      <w:r w:rsidRPr="004637BD">
        <w:rPr>
          <w:szCs w:val="18"/>
          <w:lang w:val="en-US"/>
        </w:rPr>
        <w:t xml:space="preserve">HCDH, </w:t>
      </w:r>
      <w:r w:rsidRPr="00197843">
        <w:rPr>
          <w:szCs w:val="18"/>
          <w:lang w:val="en-US"/>
        </w:rPr>
        <w:t>Report of a Mission of the United Nations High Commissioner for Human Rights – accounts of Congolese fleeing the crisis in the Kasai region, in the Democratic Republic of the Congo</w:t>
      </w:r>
      <w:r w:rsidRPr="0094347A">
        <w:rPr>
          <w:szCs w:val="18"/>
          <w:lang w:val="en-US"/>
        </w:rPr>
        <w:t xml:space="preserve">, août 2017, para 49, </w:t>
      </w:r>
      <w:r w:rsidRPr="00FE5E8D">
        <w:rPr>
          <w:szCs w:val="18"/>
          <w:lang w:val="en-US"/>
        </w:rPr>
        <w:t xml:space="preserve">para. </w:t>
      </w:r>
      <w:r w:rsidRPr="008946FE">
        <w:rPr>
          <w:szCs w:val="18"/>
        </w:rPr>
        <w:t>37.</w:t>
      </w:r>
    </w:p>
  </w:footnote>
  <w:footnote w:id="658">
    <w:p w14:paraId="1376982C" w14:textId="5A12F65B" w:rsidR="004E119B" w:rsidRPr="00B50F59" w:rsidRDefault="004E119B" w:rsidP="003D75DA">
      <w:pPr>
        <w:pStyle w:val="FootnoteText"/>
        <w:ind w:left="1138" w:right="1138" w:hanging="228"/>
        <w:jc w:val="left"/>
        <w:rPr>
          <w:szCs w:val="18"/>
        </w:rPr>
      </w:pPr>
      <w:r w:rsidRPr="002D31A9">
        <w:rPr>
          <w:rStyle w:val="FootnoteReference"/>
          <w:szCs w:val="18"/>
        </w:rPr>
        <w:footnoteRef/>
      </w:r>
      <w:r w:rsidRPr="002D31A9">
        <w:rPr>
          <w:szCs w:val="18"/>
        </w:rPr>
        <w:t xml:space="preserve"> FIDH, Rapport d’enquête, Massacres au Kasaï : des crimes contre l’humanité au service d’un chaos organisé République démocratique du Congo, décembre 2017.</w:t>
      </w:r>
      <w:r w:rsidRPr="00840539">
        <w:rPr>
          <w:szCs w:val="18"/>
        </w:rPr>
        <w:t xml:space="preserve"> </w:t>
      </w:r>
      <w:r w:rsidRPr="00B50F59">
        <w:rPr>
          <w:szCs w:val="18"/>
        </w:rPr>
        <w:t>Voir aussi T0375.</w:t>
      </w:r>
    </w:p>
  </w:footnote>
  <w:footnote w:id="659">
    <w:p w14:paraId="47B88E8D" w14:textId="6EC6CCA6" w:rsidR="004E119B" w:rsidRPr="00B50F59" w:rsidRDefault="004E119B" w:rsidP="003D75DA">
      <w:pPr>
        <w:pStyle w:val="FootnoteText"/>
        <w:ind w:left="1138" w:right="1138" w:hanging="228"/>
        <w:jc w:val="left"/>
        <w:rPr>
          <w:szCs w:val="18"/>
        </w:rPr>
      </w:pPr>
      <w:r w:rsidRPr="002D31A9">
        <w:rPr>
          <w:rStyle w:val="FootnoteReference"/>
          <w:szCs w:val="18"/>
        </w:rPr>
        <w:footnoteRef/>
      </w:r>
      <w:r w:rsidRPr="00B50F59">
        <w:rPr>
          <w:szCs w:val="18"/>
        </w:rPr>
        <w:t xml:space="preserve"> FIDH, Rapport d’enquête, Massacres au Kasaï : des crimes contre l’humanité au service d’un chaos organisé République démocratique du Congo, décembre 2017; HCDH</w:t>
      </w:r>
      <w:r w:rsidRPr="00197843">
        <w:rPr>
          <w:szCs w:val="18"/>
        </w:rPr>
        <w:t>, Report of a Mission of the United Nations High Commissioner for Human Rights – accounts of Congolese fleeing the crisis in the Kasai region, in the Democratic Republic of the Congo</w:t>
      </w:r>
      <w:r w:rsidRPr="00B50F59">
        <w:rPr>
          <w:szCs w:val="18"/>
        </w:rPr>
        <w:t>, août 2017, para 49.</w:t>
      </w:r>
    </w:p>
  </w:footnote>
  <w:footnote w:id="660">
    <w:p w14:paraId="0E418467" w14:textId="5BA5F730" w:rsidR="004E119B" w:rsidRPr="00FE5E8D" w:rsidRDefault="004E119B" w:rsidP="003D75DA">
      <w:pPr>
        <w:pStyle w:val="FootnoteText"/>
        <w:ind w:left="1138" w:right="1138" w:hanging="228"/>
        <w:jc w:val="left"/>
        <w:rPr>
          <w:szCs w:val="18"/>
        </w:rPr>
      </w:pPr>
      <w:r w:rsidRPr="002D31A9">
        <w:rPr>
          <w:rStyle w:val="FootnoteReference"/>
          <w:szCs w:val="18"/>
        </w:rPr>
        <w:footnoteRef/>
      </w:r>
      <w:r w:rsidRPr="00FE5E8D">
        <w:rPr>
          <w:szCs w:val="18"/>
        </w:rPr>
        <w:t xml:space="preserve"> </w:t>
      </w:r>
      <w:r w:rsidRPr="002D31A9">
        <w:rPr>
          <w:szCs w:val="18"/>
        </w:rPr>
        <w:t>FIDH, Rapport d’enquête, Massacres au Kasaï : des crimes contre l’humanité au service d’un chaos organisé République démocratique du Congo, décembre 2017</w:t>
      </w:r>
      <w:r w:rsidRPr="00FE5E8D">
        <w:rPr>
          <w:szCs w:val="18"/>
        </w:rPr>
        <w:t>.</w:t>
      </w:r>
    </w:p>
  </w:footnote>
  <w:footnote w:id="661">
    <w:p w14:paraId="02811A58" w14:textId="10C7DBB8" w:rsidR="004E119B" w:rsidRPr="00633737" w:rsidRDefault="004E119B" w:rsidP="003D75DA">
      <w:pPr>
        <w:pStyle w:val="FootnoteText"/>
        <w:ind w:left="1138" w:right="1138" w:hanging="228"/>
        <w:jc w:val="left"/>
        <w:rPr>
          <w:szCs w:val="18"/>
        </w:rPr>
      </w:pPr>
      <w:r w:rsidRPr="002D31A9">
        <w:rPr>
          <w:rStyle w:val="FootnoteReference"/>
          <w:szCs w:val="18"/>
        </w:rPr>
        <w:footnoteRef/>
      </w:r>
      <w:r w:rsidRPr="00633737">
        <w:rPr>
          <w:szCs w:val="18"/>
        </w:rPr>
        <w:t xml:space="preserve"> T0333, T0050.</w:t>
      </w:r>
    </w:p>
  </w:footnote>
  <w:footnote w:id="662">
    <w:p w14:paraId="2DDC5AEA" w14:textId="14A3DAD7" w:rsidR="004E119B" w:rsidRPr="00633737" w:rsidRDefault="004E119B" w:rsidP="00297DF8">
      <w:pPr>
        <w:pStyle w:val="FootnoteText"/>
        <w:ind w:left="1152" w:right="1138" w:hanging="245"/>
        <w:jc w:val="left"/>
        <w:rPr>
          <w:szCs w:val="18"/>
        </w:rPr>
      </w:pPr>
      <w:r w:rsidRPr="002D31A9">
        <w:rPr>
          <w:rStyle w:val="FootnoteReference"/>
          <w:szCs w:val="18"/>
        </w:rPr>
        <w:footnoteRef/>
      </w:r>
      <w:r w:rsidRPr="00633737">
        <w:rPr>
          <w:szCs w:val="18"/>
        </w:rPr>
        <w:t xml:space="preserve"> T0405, </w:t>
      </w:r>
      <w:r>
        <w:rPr>
          <w:szCs w:val="18"/>
        </w:rPr>
        <w:t>T0050</w:t>
      </w:r>
      <w:r w:rsidRPr="00633737">
        <w:rPr>
          <w:szCs w:val="18"/>
        </w:rPr>
        <w:t xml:space="preserve">. </w:t>
      </w:r>
    </w:p>
  </w:footnote>
  <w:footnote w:id="663">
    <w:p w14:paraId="79989EA5" w14:textId="08F6F76D" w:rsidR="004E119B" w:rsidRPr="00633737" w:rsidRDefault="004E119B" w:rsidP="00297DF8">
      <w:pPr>
        <w:pStyle w:val="FootnoteText"/>
        <w:ind w:left="1138" w:right="1138" w:hanging="228"/>
        <w:jc w:val="left"/>
        <w:rPr>
          <w:szCs w:val="18"/>
        </w:rPr>
      </w:pPr>
      <w:r w:rsidRPr="002D31A9">
        <w:rPr>
          <w:rStyle w:val="FootnoteReference"/>
          <w:szCs w:val="18"/>
        </w:rPr>
        <w:footnoteRef/>
      </w:r>
      <w:r w:rsidRPr="00633737">
        <w:rPr>
          <w:szCs w:val="18"/>
        </w:rPr>
        <w:t xml:space="preserve"> </w:t>
      </w:r>
      <w:r>
        <w:rPr>
          <w:szCs w:val="18"/>
        </w:rPr>
        <w:t>T0198</w:t>
      </w:r>
      <w:r w:rsidRPr="00633737">
        <w:rPr>
          <w:szCs w:val="18"/>
        </w:rPr>
        <w:t xml:space="preserve">, T0405, </w:t>
      </w:r>
      <w:r>
        <w:rPr>
          <w:szCs w:val="18"/>
        </w:rPr>
        <w:t>T0333</w:t>
      </w:r>
      <w:r w:rsidRPr="00633737">
        <w:rPr>
          <w:szCs w:val="18"/>
        </w:rPr>
        <w:t xml:space="preserve">, </w:t>
      </w:r>
      <w:r>
        <w:rPr>
          <w:szCs w:val="18"/>
        </w:rPr>
        <w:t>T0329</w:t>
      </w:r>
      <w:r w:rsidRPr="00633737">
        <w:rPr>
          <w:szCs w:val="18"/>
        </w:rPr>
        <w:t>.</w:t>
      </w:r>
    </w:p>
  </w:footnote>
  <w:footnote w:id="664">
    <w:p w14:paraId="6F0B1667" w14:textId="0908C216" w:rsidR="004E119B" w:rsidRPr="00840539" w:rsidRDefault="004E119B" w:rsidP="00297DF8">
      <w:pPr>
        <w:pStyle w:val="FootnoteText"/>
        <w:ind w:left="1138" w:right="1138" w:hanging="228"/>
        <w:jc w:val="left"/>
        <w:rPr>
          <w:szCs w:val="18"/>
        </w:rPr>
      </w:pPr>
      <w:r w:rsidRPr="002D31A9">
        <w:rPr>
          <w:rStyle w:val="FootnoteReference"/>
          <w:szCs w:val="18"/>
        </w:rPr>
        <w:footnoteRef/>
      </w:r>
      <w:r w:rsidRPr="002D31A9">
        <w:rPr>
          <w:szCs w:val="18"/>
        </w:rPr>
        <w:t xml:space="preserve"> BCNUDH de la MONUSCO, Rapport de mission d’enquête spéciale du 25 août au 1er septembre 2017, Violations graves des droits de l’homme perpétrées par les membres du groupe d’autodéfense Bana Mura, les militaires des FARDC et les miliciens de Kamuina Nsapu dans le territoire de Kamonia, province du Kasaï, en avril 2017, octobre 2017</w:t>
      </w:r>
      <w:r w:rsidRPr="00840539">
        <w:rPr>
          <w:szCs w:val="18"/>
        </w:rPr>
        <w:t xml:space="preserve">. </w:t>
      </w:r>
    </w:p>
  </w:footnote>
  <w:footnote w:id="665">
    <w:p w14:paraId="17674E01" w14:textId="32945A06" w:rsidR="004E119B" w:rsidRPr="00633737" w:rsidRDefault="004E119B" w:rsidP="00297DF8">
      <w:pPr>
        <w:pStyle w:val="FootnoteText"/>
        <w:tabs>
          <w:tab w:val="right" w:pos="0"/>
        </w:tabs>
        <w:ind w:left="1138" w:right="1138" w:hanging="228"/>
        <w:jc w:val="left"/>
        <w:rPr>
          <w:szCs w:val="18"/>
        </w:rPr>
      </w:pPr>
      <w:r w:rsidRPr="002D31A9">
        <w:rPr>
          <w:rStyle w:val="FootnoteReference"/>
          <w:szCs w:val="18"/>
        </w:rPr>
        <w:footnoteRef/>
      </w:r>
      <w:r w:rsidRPr="00633737">
        <w:rPr>
          <w:szCs w:val="18"/>
        </w:rPr>
        <w:t xml:space="preserve"> </w:t>
      </w:r>
      <w:r>
        <w:rPr>
          <w:szCs w:val="18"/>
        </w:rPr>
        <w:t>T0198</w:t>
      </w:r>
      <w:r w:rsidRPr="00633737">
        <w:rPr>
          <w:szCs w:val="18"/>
        </w:rPr>
        <w:t xml:space="preserve">, T0405. </w:t>
      </w:r>
    </w:p>
  </w:footnote>
  <w:footnote w:id="666">
    <w:p w14:paraId="71283515" w14:textId="6A0FABC3" w:rsidR="004E119B" w:rsidRPr="00633737" w:rsidRDefault="004E119B" w:rsidP="00297DF8">
      <w:pPr>
        <w:pStyle w:val="FootnoteText"/>
        <w:ind w:left="1138" w:right="1138" w:hanging="228"/>
        <w:jc w:val="left"/>
        <w:rPr>
          <w:szCs w:val="18"/>
        </w:rPr>
      </w:pPr>
      <w:r w:rsidRPr="002D31A9">
        <w:rPr>
          <w:rStyle w:val="FootnoteReference"/>
          <w:szCs w:val="18"/>
        </w:rPr>
        <w:footnoteRef/>
      </w:r>
      <w:r w:rsidRPr="00633737">
        <w:rPr>
          <w:szCs w:val="18"/>
        </w:rPr>
        <w:t xml:space="preserve"> T0333, </w:t>
      </w:r>
      <w:r>
        <w:rPr>
          <w:szCs w:val="18"/>
        </w:rPr>
        <w:t>T0329</w:t>
      </w:r>
      <w:r w:rsidRPr="00633737">
        <w:rPr>
          <w:szCs w:val="18"/>
        </w:rPr>
        <w:t>.</w:t>
      </w:r>
    </w:p>
  </w:footnote>
  <w:footnote w:id="667">
    <w:p w14:paraId="2E8953BA" w14:textId="558F1430" w:rsidR="004E119B" w:rsidRPr="00633737" w:rsidRDefault="004E119B" w:rsidP="00297DF8">
      <w:pPr>
        <w:pStyle w:val="FootnoteText"/>
        <w:ind w:left="1138" w:right="1138" w:hanging="228"/>
        <w:jc w:val="left"/>
        <w:rPr>
          <w:szCs w:val="18"/>
        </w:rPr>
      </w:pPr>
      <w:r w:rsidRPr="002D31A9">
        <w:rPr>
          <w:rStyle w:val="FootnoteReference"/>
          <w:szCs w:val="18"/>
        </w:rPr>
        <w:footnoteRef/>
      </w:r>
      <w:r w:rsidRPr="00633737">
        <w:rPr>
          <w:szCs w:val="18"/>
        </w:rPr>
        <w:t xml:space="preserve"> T0437.</w:t>
      </w:r>
    </w:p>
  </w:footnote>
  <w:footnote w:id="668">
    <w:p w14:paraId="655DCC07" w14:textId="7844EAEB" w:rsidR="004E119B" w:rsidRPr="00633737" w:rsidRDefault="004E119B" w:rsidP="00297DF8">
      <w:pPr>
        <w:pStyle w:val="FootnoteText"/>
        <w:ind w:left="1138" w:right="1138" w:hanging="228"/>
        <w:jc w:val="left"/>
        <w:rPr>
          <w:szCs w:val="18"/>
        </w:rPr>
      </w:pPr>
      <w:r w:rsidRPr="002D31A9">
        <w:rPr>
          <w:rStyle w:val="FootnoteReference"/>
          <w:szCs w:val="18"/>
        </w:rPr>
        <w:footnoteRef/>
      </w:r>
      <w:r w:rsidRPr="00633737">
        <w:rPr>
          <w:szCs w:val="18"/>
        </w:rPr>
        <w:t xml:space="preserve"> T0050.</w:t>
      </w:r>
    </w:p>
  </w:footnote>
  <w:footnote w:id="669">
    <w:p w14:paraId="5A6910FE" w14:textId="2A16F34A" w:rsidR="004E119B" w:rsidRPr="00633737" w:rsidRDefault="004E119B" w:rsidP="00297DF8">
      <w:pPr>
        <w:pStyle w:val="FootnoteText"/>
        <w:ind w:left="1138" w:right="1138" w:hanging="228"/>
        <w:jc w:val="left"/>
        <w:rPr>
          <w:szCs w:val="18"/>
        </w:rPr>
      </w:pPr>
      <w:r w:rsidRPr="002D31A9">
        <w:rPr>
          <w:szCs w:val="18"/>
          <w:vertAlign w:val="superscript"/>
        </w:rPr>
        <w:footnoteRef/>
      </w:r>
      <w:r w:rsidRPr="00633737">
        <w:rPr>
          <w:szCs w:val="18"/>
          <w:vertAlign w:val="superscript"/>
        </w:rPr>
        <w:t xml:space="preserve"> </w:t>
      </w:r>
      <w:r>
        <w:rPr>
          <w:szCs w:val="18"/>
        </w:rPr>
        <w:t>T0329</w:t>
      </w:r>
      <w:r w:rsidRPr="00633737">
        <w:rPr>
          <w:szCs w:val="18"/>
        </w:rPr>
        <w:t>, T0333.</w:t>
      </w:r>
    </w:p>
  </w:footnote>
  <w:footnote w:id="670">
    <w:p w14:paraId="0BBDC20F" w14:textId="4AE685E1" w:rsidR="004E119B" w:rsidRPr="00633737" w:rsidRDefault="004E119B" w:rsidP="00297DF8">
      <w:pPr>
        <w:pStyle w:val="FootnoteText"/>
        <w:ind w:left="1138" w:right="1138" w:hanging="228"/>
        <w:jc w:val="left"/>
        <w:rPr>
          <w:szCs w:val="18"/>
        </w:rPr>
      </w:pPr>
      <w:r w:rsidRPr="002D31A9">
        <w:rPr>
          <w:rStyle w:val="FootnoteReference"/>
          <w:szCs w:val="18"/>
        </w:rPr>
        <w:footnoteRef/>
      </w:r>
      <w:r w:rsidRPr="00633737">
        <w:rPr>
          <w:szCs w:val="18"/>
        </w:rPr>
        <w:t xml:space="preserve"> T0333, </w:t>
      </w:r>
      <w:r>
        <w:rPr>
          <w:szCs w:val="18"/>
        </w:rPr>
        <w:t>T0329</w:t>
      </w:r>
      <w:r w:rsidRPr="00633737">
        <w:rPr>
          <w:szCs w:val="18"/>
        </w:rPr>
        <w:t>.</w:t>
      </w:r>
    </w:p>
  </w:footnote>
  <w:footnote w:id="671">
    <w:p w14:paraId="09CA6E81" w14:textId="3150ECB2" w:rsidR="004E119B" w:rsidRPr="006E341A" w:rsidRDefault="004E119B" w:rsidP="00297DF8">
      <w:pPr>
        <w:pStyle w:val="FootnoteText"/>
        <w:ind w:left="1138" w:right="1138" w:hanging="228"/>
        <w:jc w:val="left"/>
        <w:rPr>
          <w:szCs w:val="18"/>
        </w:rPr>
      </w:pPr>
      <w:r w:rsidRPr="002D31A9">
        <w:rPr>
          <w:rStyle w:val="FootnoteReference"/>
          <w:szCs w:val="18"/>
        </w:rPr>
        <w:footnoteRef/>
      </w:r>
      <w:r w:rsidRPr="002D31A9">
        <w:rPr>
          <w:szCs w:val="18"/>
        </w:rPr>
        <w:t xml:space="preserve"> </w:t>
      </w:r>
      <w:r>
        <w:rPr>
          <w:szCs w:val="18"/>
        </w:rPr>
        <w:t>T0382</w:t>
      </w:r>
      <w:r w:rsidRPr="00840539">
        <w:rPr>
          <w:szCs w:val="18"/>
        </w:rPr>
        <w:t xml:space="preserve">, </w:t>
      </w:r>
      <w:r>
        <w:rPr>
          <w:szCs w:val="18"/>
        </w:rPr>
        <w:t>T0441</w:t>
      </w:r>
      <w:r w:rsidRPr="00840539">
        <w:rPr>
          <w:szCs w:val="18"/>
        </w:rPr>
        <w:t xml:space="preserve">, </w:t>
      </w:r>
      <w:r>
        <w:rPr>
          <w:szCs w:val="18"/>
        </w:rPr>
        <w:t>T0401</w:t>
      </w:r>
      <w:r w:rsidRPr="00324BFE">
        <w:rPr>
          <w:szCs w:val="18"/>
        </w:rPr>
        <w:t xml:space="preserve">. </w:t>
      </w:r>
      <w:r w:rsidRPr="00FE5E8D">
        <w:rPr>
          <w:szCs w:val="18"/>
        </w:rPr>
        <w:t xml:space="preserve">Voir aussi </w:t>
      </w:r>
      <w:r w:rsidRPr="00324BFE">
        <w:rPr>
          <w:szCs w:val="18"/>
        </w:rPr>
        <w:t>BCNUDH</w:t>
      </w:r>
      <w:r w:rsidRPr="002D31A9">
        <w:rPr>
          <w:szCs w:val="18"/>
        </w:rPr>
        <w:t xml:space="preserve"> de la MONUSCO, Rapport de mission d’enquête spéciale du 25 août au 1er septembre 2017, Violations graves des droits de l’homme perpétrées par les membres du groupe d’autodéfense Bana Mura, les militaires des FARDC et les miliciens de Kamuina Nsapu dans le territoire de Kamonia, province du Kasaï, en avril 2017, octobre 2017</w:t>
      </w:r>
      <w:r w:rsidRPr="006E341A">
        <w:rPr>
          <w:szCs w:val="18"/>
        </w:rPr>
        <w:t xml:space="preserve">. </w:t>
      </w:r>
    </w:p>
  </w:footnote>
  <w:footnote w:id="672">
    <w:p w14:paraId="35FDEF0E" w14:textId="4E819761" w:rsidR="004E119B" w:rsidRPr="00840539" w:rsidRDefault="004E119B" w:rsidP="00297DF8">
      <w:pPr>
        <w:pStyle w:val="FootnoteText"/>
        <w:ind w:left="1152" w:right="1138" w:hanging="245"/>
        <w:jc w:val="left"/>
        <w:rPr>
          <w:szCs w:val="18"/>
        </w:rPr>
      </w:pPr>
      <w:r w:rsidRPr="002D31A9">
        <w:rPr>
          <w:rStyle w:val="FootnoteReference"/>
          <w:szCs w:val="18"/>
        </w:rPr>
        <w:footnoteRef/>
      </w:r>
      <w:r w:rsidRPr="002D31A9">
        <w:rPr>
          <w:szCs w:val="18"/>
        </w:rPr>
        <w:t xml:space="preserve"> </w:t>
      </w:r>
      <w:r>
        <w:rPr>
          <w:szCs w:val="18"/>
        </w:rPr>
        <w:t>T0401</w:t>
      </w:r>
      <w:r w:rsidRPr="002D31A9">
        <w:rPr>
          <w:szCs w:val="18"/>
        </w:rPr>
        <w:t>.</w:t>
      </w:r>
    </w:p>
  </w:footnote>
  <w:footnote w:id="673">
    <w:p w14:paraId="69C8BBA8" w14:textId="30B271AF" w:rsidR="004E119B" w:rsidRPr="00840539" w:rsidRDefault="004E119B" w:rsidP="00297DF8">
      <w:pPr>
        <w:spacing w:line="220" w:lineRule="exact"/>
        <w:ind w:left="1138" w:right="1138" w:hanging="228"/>
        <w:rPr>
          <w:sz w:val="18"/>
          <w:szCs w:val="18"/>
        </w:rPr>
      </w:pPr>
      <w:r w:rsidRPr="002D31A9">
        <w:rPr>
          <w:rStyle w:val="FootnoteReference"/>
          <w:szCs w:val="18"/>
        </w:rPr>
        <w:footnoteRef/>
      </w:r>
      <w:r w:rsidRPr="002D31A9">
        <w:rPr>
          <w:sz w:val="18"/>
          <w:szCs w:val="18"/>
        </w:rPr>
        <w:t xml:space="preserve"> </w:t>
      </w:r>
      <w:r>
        <w:rPr>
          <w:sz w:val="18"/>
          <w:szCs w:val="18"/>
        </w:rPr>
        <w:t>T0202</w:t>
      </w:r>
      <w:r w:rsidRPr="002D31A9">
        <w:rPr>
          <w:sz w:val="18"/>
          <w:szCs w:val="18"/>
        </w:rPr>
        <w:t>.</w:t>
      </w:r>
    </w:p>
  </w:footnote>
  <w:footnote w:id="674">
    <w:p w14:paraId="54D4187C" w14:textId="37381A66" w:rsidR="004E119B" w:rsidRPr="006E341A" w:rsidRDefault="004E119B" w:rsidP="00297DF8">
      <w:pPr>
        <w:pStyle w:val="FootnoteText"/>
        <w:ind w:left="1138" w:right="1138" w:hanging="228"/>
        <w:jc w:val="left"/>
        <w:rPr>
          <w:szCs w:val="18"/>
        </w:rPr>
      </w:pPr>
      <w:r w:rsidRPr="002D31A9">
        <w:rPr>
          <w:rStyle w:val="FootnoteReference"/>
          <w:szCs w:val="18"/>
        </w:rPr>
        <w:footnoteRef/>
      </w:r>
      <w:r w:rsidRPr="002D31A9">
        <w:rPr>
          <w:szCs w:val="18"/>
        </w:rPr>
        <w:t xml:space="preserve"> BCNUDH de la MONUSCO, Rapport de mission d’enquête spéciale du 25 août au 1er septembre 2017, Violations graves des droits de l’homme perpétrées par les membres du groupe d’autodéfense Bana Mura, les </w:t>
      </w:r>
      <w:r w:rsidRPr="004637BD">
        <w:rPr>
          <w:szCs w:val="18"/>
        </w:rPr>
        <w:t>militaires des FARDC et les miliciens de Kamuina Nsapu dans le territoire de Kamonia, province du Kasaï, en avril 2017, octobre 2017, paras 34-36</w:t>
      </w:r>
      <w:r w:rsidRPr="00FE5E8D">
        <w:rPr>
          <w:szCs w:val="18"/>
        </w:rPr>
        <w:t>.</w:t>
      </w:r>
    </w:p>
  </w:footnote>
  <w:footnote w:id="675">
    <w:p w14:paraId="67BC41EF" w14:textId="498CC2C9" w:rsidR="004E119B" w:rsidRPr="00B50F59" w:rsidRDefault="004E119B" w:rsidP="00297DF8">
      <w:pPr>
        <w:pStyle w:val="FootnoteText"/>
        <w:ind w:left="1138" w:right="1138" w:hanging="228"/>
        <w:jc w:val="left"/>
        <w:rPr>
          <w:szCs w:val="18"/>
        </w:rPr>
      </w:pPr>
      <w:r w:rsidRPr="002D31A9">
        <w:rPr>
          <w:rStyle w:val="FootnoteReference"/>
          <w:szCs w:val="18"/>
        </w:rPr>
        <w:footnoteRef/>
      </w:r>
      <w:r w:rsidRPr="00B50F59">
        <w:rPr>
          <w:szCs w:val="18"/>
        </w:rPr>
        <w:t xml:space="preserve"> T0218.</w:t>
      </w:r>
    </w:p>
  </w:footnote>
  <w:footnote w:id="676">
    <w:p w14:paraId="3C3A5573" w14:textId="6398464E" w:rsidR="004E119B" w:rsidRPr="00B50F59" w:rsidRDefault="004E119B" w:rsidP="00297DF8">
      <w:pPr>
        <w:pStyle w:val="FootnoteText"/>
        <w:ind w:left="1138" w:right="1138" w:hanging="228"/>
        <w:jc w:val="left"/>
        <w:rPr>
          <w:szCs w:val="18"/>
        </w:rPr>
      </w:pPr>
      <w:r w:rsidRPr="002D31A9">
        <w:rPr>
          <w:rStyle w:val="FootnoteReference"/>
          <w:szCs w:val="18"/>
        </w:rPr>
        <w:footnoteRef/>
      </w:r>
      <w:r w:rsidRPr="00B50F59">
        <w:rPr>
          <w:szCs w:val="18"/>
        </w:rPr>
        <w:t xml:space="preserve"> T0206.</w:t>
      </w:r>
    </w:p>
  </w:footnote>
  <w:footnote w:id="677">
    <w:p w14:paraId="24ECFEA3" w14:textId="2597B124" w:rsidR="004E119B" w:rsidRPr="00B50F59" w:rsidRDefault="004E119B" w:rsidP="00297DF8">
      <w:pPr>
        <w:pStyle w:val="FootnoteText"/>
        <w:ind w:left="1138" w:right="1138" w:hanging="228"/>
        <w:jc w:val="left"/>
        <w:rPr>
          <w:szCs w:val="18"/>
        </w:rPr>
      </w:pPr>
      <w:r w:rsidRPr="002D31A9">
        <w:rPr>
          <w:rStyle w:val="FootnoteReference"/>
          <w:szCs w:val="18"/>
        </w:rPr>
        <w:footnoteRef/>
      </w:r>
      <w:r w:rsidRPr="00B50F59">
        <w:rPr>
          <w:szCs w:val="18"/>
        </w:rPr>
        <w:t xml:space="preserve"> T0375.</w:t>
      </w:r>
    </w:p>
  </w:footnote>
  <w:footnote w:id="678">
    <w:p w14:paraId="32F16F3C" w14:textId="7F2A11EC" w:rsidR="004E119B" w:rsidRPr="00B50F59" w:rsidRDefault="004E119B" w:rsidP="00297DF8">
      <w:pPr>
        <w:pStyle w:val="FootnoteText"/>
        <w:ind w:left="1138" w:right="1138" w:hanging="228"/>
        <w:jc w:val="left"/>
        <w:rPr>
          <w:szCs w:val="18"/>
        </w:rPr>
      </w:pPr>
      <w:r w:rsidRPr="002D31A9">
        <w:rPr>
          <w:rStyle w:val="FootnoteReference"/>
          <w:szCs w:val="18"/>
        </w:rPr>
        <w:footnoteRef/>
      </w:r>
      <w:r w:rsidRPr="00B50F59">
        <w:rPr>
          <w:szCs w:val="18"/>
        </w:rPr>
        <w:t xml:space="preserve"> T0271.</w:t>
      </w:r>
    </w:p>
  </w:footnote>
  <w:footnote w:id="679">
    <w:p w14:paraId="7345173A" w14:textId="07559DAC" w:rsidR="004E119B" w:rsidRPr="006E341A" w:rsidRDefault="004E119B" w:rsidP="00297DF8">
      <w:pPr>
        <w:pStyle w:val="FootnoteText"/>
        <w:ind w:left="1138" w:right="1138" w:hanging="228"/>
        <w:jc w:val="left"/>
        <w:rPr>
          <w:szCs w:val="18"/>
        </w:rPr>
      </w:pPr>
      <w:r w:rsidRPr="002D31A9">
        <w:rPr>
          <w:rStyle w:val="FootnoteReference"/>
          <w:szCs w:val="18"/>
        </w:rPr>
        <w:footnoteRef/>
      </w:r>
      <w:r w:rsidRPr="00B50F59">
        <w:rPr>
          <w:szCs w:val="18"/>
        </w:rPr>
        <w:t xml:space="preserve"> T0388, T0050. </w:t>
      </w:r>
      <w:r w:rsidRPr="00FE5E8D">
        <w:rPr>
          <w:szCs w:val="18"/>
        </w:rPr>
        <w:t xml:space="preserve">Voir aussi </w:t>
      </w:r>
      <w:r w:rsidRPr="00324BFE">
        <w:rPr>
          <w:szCs w:val="18"/>
        </w:rPr>
        <w:t>BCNUDH</w:t>
      </w:r>
      <w:r w:rsidRPr="002D31A9">
        <w:rPr>
          <w:szCs w:val="18"/>
        </w:rPr>
        <w:t xml:space="preserve"> de la MONUSCO, Rapport de mission d’enquête spéciale du 25 août au 1er septembre 2017, Violations graves des droits de l’homme perpétrées par les membres du groupe d’autodéfense Bana Mura, les militaires des FARDC et les miliciens de Kamuina Nsapu dans le territoire de Kamonia, province du Kasaï, en avril 2017, octobre 2017</w:t>
      </w:r>
      <w:r w:rsidRPr="006E341A">
        <w:rPr>
          <w:szCs w:val="18"/>
        </w:rPr>
        <w:t>.</w:t>
      </w:r>
    </w:p>
  </w:footnote>
  <w:footnote w:id="680">
    <w:p w14:paraId="3C990262" w14:textId="3369C33A" w:rsidR="004E119B" w:rsidRPr="00EC7100" w:rsidRDefault="004E119B" w:rsidP="00297DF8">
      <w:pPr>
        <w:pStyle w:val="FootnoteText"/>
        <w:ind w:left="1138" w:right="1138" w:hanging="228"/>
        <w:jc w:val="left"/>
        <w:rPr>
          <w:szCs w:val="18"/>
        </w:rPr>
      </w:pPr>
      <w:r w:rsidRPr="002D31A9">
        <w:rPr>
          <w:rStyle w:val="FootnoteReference"/>
          <w:szCs w:val="18"/>
        </w:rPr>
        <w:footnoteRef/>
      </w:r>
      <w:r w:rsidRPr="00EC7100">
        <w:rPr>
          <w:szCs w:val="18"/>
        </w:rPr>
        <w:t xml:space="preserve"> T0034.</w:t>
      </w:r>
    </w:p>
  </w:footnote>
  <w:footnote w:id="681">
    <w:p w14:paraId="54FD3C3F" w14:textId="55B33BB6" w:rsidR="004E119B" w:rsidRPr="00EC7100" w:rsidRDefault="004E119B" w:rsidP="00297DF8">
      <w:pPr>
        <w:pStyle w:val="FootnoteText"/>
        <w:ind w:left="1138" w:right="1138" w:hanging="228"/>
        <w:jc w:val="left"/>
        <w:rPr>
          <w:szCs w:val="18"/>
        </w:rPr>
      </w:pPr>
      <w:r w:rsidRPr="002D31A9">
        <w:rPr>
          <w:rStyle w:val="FootnoteReference"/>
          <w:szCs w:val="18"/>
        </w:rPr>
        <w:footnoteRef/>
      </w:r>
      <w:r w:rsidRPr="00EC7100">
        <w:rPr>
          <w:szCs w:val="18"/>
        </w:rPr>
        <w:t xml:space="preserve"> T0278. </w:t>
      </w:r>
    </w:p>
  </w:footnote>
  <w:footnote w:id="682">
    <w:p w14:paraId="11FD2424" w14:textId="12974F4E" w:rsidR="004E119B" w:rsidRPr="00EC7100" w:rsidRDefault="004E119B" w:rsidP="00297DF8">
      <w:pPr>
        <w:pStyle w:val="FootnoteText"/>
        <w:ind w:left="1152" w:right="1138" w:hanging="245"/>
        <w:jc w:val="left"/>
        <w:rPr>
          <w:szCs w:val="18"/>
          <w:highlight w:val="yellow"/>
        </w:rPr>
      </w:pPr>
      <w:r w:rsidRPr="002D31A9">
        <w:rPr>
          <w:rStyle w:val="FootnoteReference"/>
          <w:szCs w:val="18"/>
        </w:rPr>
        <w:footnoteRef/>
      </w:r>
      <w:r w:rsidRPr="00EC7100">
        <w:rPr>
          <w:szCs w:val="18"/>
        </w:rPr>
        <w:t xml:space="preserve"> T0278, T0034, T0416. </w:t>
      </w:r>
    </w:p>
  </w:footnote>
  <w:footnote w:id="683">
    <w:p w14:paraId="37603818" w14:textId="050A446E" w:rsidR="004E119B" w:rsidRPr="00EC7100" w:rsidRDefault="004E119B" w:rsidP="00297DF8">
      <w:pPr>
        <w:pStyle w:val="FootnoteText"/>
        <w:ind w:left="1152" w:right="1138" w:hanging="245"/>
        <w:jc w:val="left"/>
        <w:rPr>
          <w:szCs w:val="18"/>
        </w:rPr>
      </w:pPr>
      <w:r w:rsidRPr="002D31A9">
        <w:rPr>
          <w:rStyle w:val="FootnoteReference"/>
          <w:szCs w:val="18"/>
        </w:rPr>
        <w:footnoteRef/>
      </w:r>
      <w:r w:rsidRPr="00EC7100">
        <w:rPr>
          <w:szCs w:val="18"/>
        </w:rPr>
        <w:t xml:space="preserve"> T0276.</w:t>
      </w:r>
    </w:p>
  </w:footnote>
  <w:footnote w:id="684">
    <w:p w14:paraId="0154C159" w14:textId="0147F067" w:rsidR="004E119B" w:rsidRPr="00EC7100" w:rsidRDefault="004E119B" w:rsidP="00297DF8">
      <w:pPr>
        <w:pStyle w:val="FootnoteText"/>
        <w:ind w:left="1138" w:right="1138" w:hanging="214"/>
        <w:jc w:val="left"/>
        <w:rPr>
          <w:szCs w:val="18"/>
        </w:rPr>
      </w:pPr>
      <w:r w:rsidRPr="002D31A9">
        <w:rPr>
          <w:rStyle w:val="FootnoteReference"/>
          <w:szCs w:val="18"/>
        </w:rPr>
        <w:footnoteRef/>
      </w:r>
      <w:r w:rsidRPr="00EC7100">
        <w:rPr>
          <w:szCs w:val="18"/>
        </w:rPr>
        <w:t xml:space="preserve"> T0401.</w:t>
      </w:r>
    </w:p>
  </w:footnote>
  <w:footnote w:id="685">
    <w:p w14:paraId="2B8A1188" w14:textId="4FE7E0AD" w:rsidR="004E119B" w:rsidRPr="00EC7100" w:rsidRDefault="004E119B" w:rsidP="00297DF8">
      <w:pPr>
        <w:pStyle w:val="FootnoteText"/>
        <w:ind w:left="1138" w:right="1138" w:hanging="214"/>
        <w:jc w:val="left"/>
        <w:rPr>
          <w:szCs w:val="18"/>
        </w:rPr>
      </w:pPr>
      <w:r w:rsidRPr="002D31A9">
        <w:rPr>
          <w:rStyle w:val="FootnoteReference"/>
          <w:szCs w:val="18"/>
        </w:rPr>
        <w:footnoteRef/>
      </w:r>
      <w:r w:rsidRPr="00EC7100">
        <w:rPr>
          <w:szCs w:val="18"/>
        </w:rPr>
        <w:t xml:space="preserve"> </w:t>
      </w:r>
      <w:r>
        <w:rPr>
          <w:szCs w:val="18"/>
        </w:rPr>
        <w:t>T0333</w:t>
      </w:r>
      <w:r w:rsidRPr="00EC7100">
        <w:rPr>
          <w:szCs w:val="18"/>
        </w:rPr>
        <w:t xml:space="preserve">, </w:t>
      </w:r>
      <w:r>
        <w:rPr>
          <w:szCs w:val="18"/>
        </w:rPr>
        <w:t>T0329</w:t>
      </w:r>
      <w:r w:rsidRPr="00EC7100">
        <w:rPr>
          <w:szCs w:val="18"/>
        </w:rPr>
        <w:t>, T0003.</w:t>
      </w:r>
    </w:p>
  </w:footnote>
  <w:footnote w:id="686">
    <w:p w14:paraId="6ACF4999" w14:textId="73F3083E" w:rsidR="004E119B" w:rsidRPr="00B50F59" w:rsidRDefault="004E119B" w:rsidP="00297DF8">
      <w:pPr>
        <w:pStyle w:val="FootnoteText"/>
        <w:ind w:left="1138" w:right="1138" w:hanging="214"/>
        <w:jc w:val="left"/>
        <w:rPr>
          <w:szCs w:val="18"/>
        </w:rPr>
      </w:pPr>
      <w:r w:rsidRPr="002D31A9">
        <w:rPr>
          <w:rStyle w:val="FootnoteReference"/>
          <w:szCs w:val="18"/>
        </w:rPr>
        <w:footnoteRef/>
      </w:r>
      <w:r w:rsidRPr="00B50F59">
        <w:rPr>
          <w:szCs w:val="18"/>
        </w:rPr>
        <w:t xml:space="preserve"> T0026.</w:t>
      </w:r>
    </w:p>
  </w:footnote>
  <w:footnote w:id="687">
    <w:p w14:paraId="2D476AF5" w14:textId="3F168BA8" w:rsidR="004E119B" w:rsidRPr="00B50F59" w:rsidRDefault="004E119B" w:rsidP="00297DF8">
      <w:pPr>
        <w:pStyle w:val="FootnoteText"/>
        <w:ind w:left="1138" w:right="1138" w:hanging="214"/>
        <w:jc w:val="left"/>
        <w:rPr>
          <w:szCs w:val="18"/>
        </w:rPr>
      </w:pPr>
      <w:r w:rsidRPr="002D31A9">
        <w:rPr>
          <w:rStyle w:val="FootnoteReference"/>
          <w:szCs w:val="18"/>
        </w:rPr>
        <w:footnoteRef/>
      </w:r>
      <w:r w:rsidRPr="00B50F59">
        <w:rPr>
          <w:szCs w:val="18"/>
        </w:rPr>
        <w:t xml:space="preserve"> T0271.</w:t>
      </w:r>
    </w:p>
  </w:footnote>
  <w:footnote w:id="688">
    <w:p w14:paraId="27DEF852" w14:textId="76CF3FC1" w:rsidR="004E119B" w:rsidRPr="002D31A9" w:rsidRDefault="004E119B" w:rsidP="00297DF8">
      <w:pPr>
        <w:pStyle w:val="FootnoteText"/>
        <w:ind w:left="1138" w:right="1138" w:hanging="214"/>
        <w:jc w:val="left"/>
        <w:rPr>
          <w:szCs w:val="18"/>
        </w:rPr>
      </w:pPr>
      <w:r w:rsidRPr="002D31A9">
        <w:rPr>
          <w:rStyle w:val="FootnoteReference"/>
          <w:szCs w:val="18"/>
        </w:rPr>
        <w:footnoteRef/>
      </w:r>
      <w:r w:rsidRPr="002D31A9">
        <w:rPr>
          <w:szCs w:val="18"/>
        </w:rPr>
        <w:t xml:space="preserve"> </w:t>
      </w:r>
      <w:r>
        <w:rPr>
          <w:szCs w:val="18"/>
        </w:rPr>
        <w:t>T0382</w:t>
      </w:r>
      <w:r w:rsidRPr="002D31A9">
        <w:rPr>
          <w:szCs w:val="18"/>
        </w:rPr>
        <w:t>.</w:t>
      </w:r>
    </w:p>
  </w:footnote>
  <w:footnote w:id="689">
    <w:p w14:paraId="2FE927EC" w14:textId="1E9C2C02" w:rsidR="004E119B" w:rsidRPr="002D31A9" w:rsidRDefault="004E119B" w:rsidP="00297DF8">
      <w:pPr>
        <w:pStyle w:val="ListParagraph"/>
        <w:spacing w:line="220" w:lineRule="exact"/>
        <w:ind w:left="1138" w:right="1138" w:hanging="214"/>
        <w:rPr>
          <w:color w:val="676767"/>
          <w:sz w:val="18"/>
          <w:szCs w:val="18"/>
          <w:highlight w:val="yellow"/>
          <w:lang w:eastAsia="fr-FR"/>
        </w:rPr>
      </w:pPr>
      <w:r w:rsidRPr="002D31A9">
        <w:rPr>
          <w:rStyle w:val="FootnoteReference"/>
          <w:szCs w:val="18"/>
        </w:rPr>
        <w:footnoteRef/>
      </w:r>
      <w:r w:rsidRPr="002D31A9">
        <w:rPr>
          <w:sz w:val="18"/>
          <w:szCs w:val="18"/>
        </w:rPr>
        <w:t xml:space="preserve"> </w:t>
      </w:r>
      <w:r>
        <w:rPr>
          <w:sz w:val="18"/>
          <w:szCs w:val="18"/>
        </w:rPr>
        <w:t>T0437</w:t>
      </w:r>
      <w:r w:rsidRPr="002D31A9">
        <w:rPr>
          <w:sz w:val="18"/>
          <w:szCs w:val="18"/>
        </w:rPr>
        <w:t xml:space="preserve">, </w:t>
      </w:r>
      <w:r>
        <w:rPr>
          <w:sz w:val="18"/>
          <w:szCs w:val="18"/>
        </w:rPr>
        <w:t>T0278</w:t>
      </w:r>
      <w:r w:rsidRPr="002D31A9">
        <w:rPr>
          <w:sz w:val="18"/>
          <w:szCs w:val="18"/>
        </w:rPr>
        <w:t xml:space="preserve">, </w:t>
      </w:r>
      <w:r>
        <w:rPr>
          <w:sz w:val="18"/>
          <w:szCs w:val="18"/>
        </w:rPr>
        <w:t>T0416</w:t>
      </w:r>
      <w:r w:rsidRPr="002D31A9">
        <w:rPr>
          <w:sz w:val="18"/>
          <w:szCs w:val="18"/>
        </w:rPr>
        <w:t xml:space="preserve">, </w:t>
      </w:r>
      <w:r>
        <w:rPr>
          <w:sz w:val="18"/>
          <w:szCs w:val="18"/>
        </w:rPr>
        <w:t>T0198</w:t>
      </w:r>
      <w:r w:rsidRPr="00840539">
        <w:rPr>
          <w:sz w:val="18"/>
          <w:szCs w:val="18"/>
        </w:rPr>
        <w:t xml:space="preserve">, </w:t>
      </w:r>
      <w:r>
        <w:rPr>
          <w:sz w:val="18"/>
          <w:szCs w:val="18"/>
        </w:rPr>
        <w:t>T0375</w:t>
      </w:r>
      <w:r w:rsidRPr="00840539">
        <w:rPr>
          <w:sz w:val="18"/>
          <w:szCs w:val="18"/>
        </w:rPr>
        <w:t xml:space="preserve">, </w:t>
      </w:r>
      <w:r>
        <w:rPr>
          <w:sz w:val="18"/>
          <w:szCs w:val="18"/>
        </w:rPr>
        <w:t>T0040.</w:t>
      </w:r>
      <w:r w:rsidRPr="00840539">
        <w:rPr>
          <w:sz w:val="18"/>
          <w:szCs w:val="18"/>
        </w:rPr>
        <w:t xml:space="preserve"> Voir </w:t>
      </w:r>
      <w:r w:rsidRPr="004637BD">
        <w:rPr>
          <w:sz w:val="18"/>
          <w:szCs w:val="18"/>
        </w:rPr>
        <w:t xml:space="preserve">aussi </w:t>
      </w:r>
      <w:r w:rsidRPr="00FE5E8D">
        <w:rPr>
          <w:sz w:val="18"/>
          <w:szCs w:val="18"/>
        </w:rPr>
        <w:t>document interne MONUSCO.</w:t>
      </w:r>
    </w:p>
  </w:footnote>
  <w:footnote w:id="690">
    <w:p w14:paraId="1EAD632D" w14:textId="7B808039" w:rsidR="004E119B" w:rsidRPr="00B50F59" w:rsidRDefault="004E119B" w:rsidP="00297DF8">
      <w:pPr>
        <w:pStyle w:val="FootnoteText"/>
        <w:ind w:left="1138" w:right="1138" w:hanging="214"/>
        <w:jc w:val="left"/>
        <w:rPr>
          <w:szCs w:val="18"/>
        </w:rPr>
      </w:pPr>
      <w:r w:rsidRPr="002D31A9">
        <w:rPr>
          <w:rStyle w:val="FootnoteReference"/>
          <w:szCs w:val="18"/>
        </w:rPr>
        <w:footnoteRef/>
      </w:r>
      <w:r w:rsidRPr="00B50F59">
        <w:rPr>
          <w:szCs w:val="18"/>
        </w:rPr>
        <w:t xml:space="preserve"> T0382. </w:t>
      </w:r>
    </w:p>
  </w:footnote>
  <w:footnote w:id="691">
    <w:p w14:paraId="7CC27209" w14:textId="0E8D06D0" w:rsidR="004E119B" w:rsidRPr="00B50F59" w:rsidRDefault="004E119B" w:rsidP="00297DF8">
      <w:pPr>
        <w:pStyle w:val="FootnoteText"/>
        <w:ind w:left="1138" w:right="1138" w:hanging="214"/>
        <w:jc w:val="left"/>
        <w:rPr>
          <w:szCs w:val="18"/>
        </w:rPr>
      </w:pPr>
      <w:r w:rsidRPr="002D31A9">
        <w:rPr>
          <w:rStyle w:val="FootnoteReference"/>
          <w:szCs w:val="18"/>
        </w:rPr>
        <w:footnoteRef/>
      </w:r>
      <w:r w:rsidRPr="00B50F59">
        <w:rPr>
          <w:szCs w:val="18"/>
        </w:rPr>
        <w:t xml:space="preserve"> T0437.</w:t>
      </w:r>
    </w:p>
  </w:footnote>
  <w:footnote w:id="692">
    <w:p w14:paraId="4A9DC86B" w14:textId="4EF5F322" w:rsidR="004E119B" w:rsidRPr="00B50F59" w:rsidRDefault="004E119B" w:rsidP="00F105AD">
      <w:pPr>
        <w:pStyle w:val="FootnoteText"/>
        <w:ind w:left="1152" w:right="1138" w:hanging="245"/>
        <w:jc w:val="left"/>
        <w:rPr>
          <w:szCs w:val="18"/>
        </w:rPr>
      </w:pPr>
      <w:r w:rsidRPr="002D31A9">
        <w:rPr>
          <w:rStyle w:val="FootnoteReference"/>
          <w:szCs w:val="18"/>
        </w:rPr>
        <w:footnoteRef/>
      </w:r>
      <w:r w:rsidRPr="00B50F59">
        <w:rPr>
          <w:szCs w:val="18"/>
        </w:rPr>
        <w:t xml:space="preserve"> T0278.</w:t>
      </w:r>
    </w:p>
  </w:footnote>
  <w:footnote w:id="693">
    <w:p w14:paraId="221E822C" w14:textId="7C32D105" w:rsidR="004E119B" w:rsidRPr="00633737" w:rsidRDefault="004E119B" w:rsidP="00F105AD">
      <w:pPr>
        <w:pStyle w:val="FootnoteText"/>
        <w:ind w:left="1151" w:right="1140" w:hanging="244"/>
        <w:jc w:val="left"/>
        <w:rPr>
          <w:szCs w:val="18"/>
        </w:rPr>
      </w:pPr>
      <w:r w:rsidRPr="002D31A9">
        <w:rPr>
          <w:rStyle w:val="FootnoteReference"/>
          <w:szCs w:val="18"/>
        </w:rPr>
        <w:footnoteRef/>
      </w:r>
      <w:r w:rsidRPr="00633737">
        <w:rPr>
          <w:szCs w:val="18"/>
        </w:rPr>
        <w:t xml:space="preserve"> T0437, </w:t>
      </w:r>
      <w:r>
        <w:rPr>
          <w:szCs w:val="18"/>
        </w:rPr>
        <w:t>T0278</w:t>
      </w:r>
      <w:r w:rsidRPr="00633737">
        <w:rPr>
          <w:szCs w:val="18"/>
        </w:rPr>
        <w:t>.</w:t>
      </w:r>
    </w:p>
  </w:footnote>
  <w:footnote w:id="694">
    <w:p w14:paraId="07748889" w14:textId="7E69E85E" w:rsidR="004E119B" w:rsidRPr="00633737" w:rsidRDefault="004E119B" w:rsidP="00F105AD">
      <w:pPr>
        <w:pStyle w:val="FootnoteText"/>
        <w:ind w:left="1152" w:right="1138" w:hanging="245"/>
        <w:jc w:val="left"/>
        <w:rPr>
          <w:szCs w:val="18"/>
        </w:rPr>
      </w:pPr>
      <w:r w:rsidRPr="002D31A9">
        <w:rPr>
          <w:rStyle w:val="FootnoteReference"/>
          <w:szCs w:val="18"/>
        </w:rPr>
        <w:footnoteRef/>
      </w:r>
      <w:r w:rsidRPr="00633737">
        <w:rPr>
          <w:szCs w:val="18"/>
        </w:rPr>
        <w:t xml:space="preserve"> T0437. </w:t>
      </w:r>
    </w:p>
  </w:footnote>
  <w:footnote w:id="695">
    <w:p w14:paraId="1CA6AC3D" w14:textId="7BC0B45B" w:rsidR="004E119B" w:rsidRPr="00633737" w:rsidRDefault="004E119B" w:rsidP="00F105AD">
      <w:pPr>
        <w:pStyle w:val="FootnoteText"/>
        <w:ind w:left="1152" w:right="1138" w:hanging="245"/>
        <w:jc w:val="left"/>
        <w:rPr>
          <w:szCs w:val="18"/>
        </w:rPr>
      </w:pPr>
      <w:r w:rsidRPr="002D31A9">
        <w:rPr>
          <w:rStyle w:val="FootnoteReference"/>
          <w:szCs w:val="18"/>
        </w:rPr>
        <w:footnoteRef/>
      </w:r>
      <w:r w:rsidRPr="00633737">
        <w:rPr>
          <w:szCs w:val="18"/>
        </w:rPr>
        <w:t xml:space="preserve"> </w:t>
      </w:r>
      <w:r>
        <w:rPr>
          <w:szCs w:val="18"/>
        </w:rPr>
        <w:t>T0382</w:t>
      </w:r>
      <w:r w:rsidRPr="00633737">
        <w:rPr>
          <w:szCs w:val="18"/>
        </w:rPr>
        <w:t xml:space="preserve">, T0437, </w:t>
      </w:r>
      <w:r>
        <w:rPr>
          <w:szCs w:val="18"/>
        </w:rPr>
        <w:t>T0278</w:t>
      </w:r>
      <w:r w:rsidRPr="00633737">
        <w:rPr>
          <w:szCs w:val="18"/>
        </w:rPr>
        <w:t xml:space="preserve">, </w:t>
      </w:r>
      <w:r>
        <w:rPr>
          <w:szCs w:val="18"/>
        </w:rPr>
        <w:t>T0416</w:t>
      </w:r>
      <w:r w:rsidRPr="00633737">
        <w:rPr>
          <w:szCs w:val="18"/>
        </w:rPr>
        <w:t>.</w:t>
      </w:r>
    </w:p>
  </w:footnote>
  <w:footnote w:id="696">
    <w:p w14:paraId="412A6A0A" w14:textId="36B99670" w:rsidR="004E119B" w:rsidRPr="00633737" w:rsidRDefault="004E119B" w:rsidP="00F105AD">
      <w:pPr>
        <w:pStyle w:val="FootnoteText"/>
        <w:ind w:left="1152" w:right="1138" w:hanging="245"/>
        <w:jc w:val="left"/>
        <w:rPr>
          <w:szCs w:val="18"/>
        </w:rPr>
      </w:pPr>
      <w:r w:rsidRPr="002D31A9">
        <w:rPr>
          <w:rStyle w:val="FootnoteReference"/>
          <w:szCs w:val="18"/>
        </w:rPr>
        <w:footnoteRef/>
      </w:r>
      <w:r w:rsidRPr="00633737">
        <w:rPr>
          <w:szCs w:val="18"/>
        </w:rPr>
        <w:t xml:space="preserve"> T0437.</w:t>
      </w:r>
    </w:p>
  </w:footnote>
  <w:footnote w:id="697">
    <w:p w14:paraId="1332DF39" w14:textId="4B697B87" w:rsidR="004E119B" w:rsidRPr="00633737" w:rsidRDefault="004E119B" w:rsidP="00F105AD">
      <w:pPr>
        <w:pStyle w:val="FootnoteText"/>
        <w:ind w:left="1152" w:right="1138" w:hanging="245"/>
        <w:jc w:val="left"/>
        <w:rPr>
          <w:szCs w:val="18"/>
        </w:rPr>
      </w:pPr>
      <w:r w:rsidRPr="002D31A9">
        <w:rPr>
          <w:rStyle w:val="FootnoteReference"/>
          <w:szCs w:val="18"/>
        </w:rPr>
        <w:footnoteRef/>
      </w:r>
      <w:r w:rsidRPr="00633737">
        <w:rPr>
          <w:szCs w:val="18"/>
        </w:rPr>
        <w:t xml:space="preserve"> T0278.</w:t>
      </w:r>
    </w:p>
  </w:footnote>
  <w:footnote w:id="698">
    <w:p w14:paraId="21AA3C2A" w14:textId="0AE01CF0" w:rsidR="004E119B" w:rsidRPr="00633737" w:rsidRDefault="004E119B" w:rsidP="00F105AD">
      <w:pPr>
        <w:pStyle w:val="FootnoteText"/>
        <w:ind w:left="1152" w:right="1138" w:hanging="245"/>
        <w:jc w:val="left"/>
        <w:rPr>
          <w:szCs w:val="18"/>
          <w:highlight w:val="yellow"/>
        </w:rPr>
      </w:pPr>
      <w:r w:rsidRPr="002D31A9">
        <w:rPr>
          <w:rStyle w:val="FootnoteReference"/>
          <w:szCs w:val="18"/>
        </w:rPr>
        <w:footnoteRef/>
      </w:r>
      <w:r w:rsidRPr="00633737">
        <w:rPr>
          <w:szCs w:val="18"/>
        </w:rPr>
        <w:t xml:space="preserve"> T0416. </w:t>
      </w:r>
    </w:p>
  </w:footnote>
  <w:footnote w:id="699">
    <w:p w14:paraId="1AD2E26A" w14:textId="218699EA" w:rsidR="004E119B" w:rsidRPr="00633737" w:rsidRDefault="004E119B" w:rsidP="00F105AD">
      <w:pPr>
        <w:pStyle w:val="FootnoteText"/>
        <w:ind w:left="1152" w:right="1138" w:hanging="245"/>
        <w:jc w:val="left"/>
        <w:rPr>
          <w:szCs w:val="18"/>
        </w:rPr>
      </w:pPr>
      <w:r w:rsidRPr="002D31A9">
        <w:rPr>
          <w:rStyle w:val="FootnoteReference"/>
          <w:szCs w:val="18"/>
        </w:rPr>
        <w:footnoteRef/>
      </w:r>
      <w:r w:rsidRPr="00633737">
        <w:rPr>
          <w:szCs w:val="18"/>
        </w:rPr>
        <w:t xml:space="preserve"> T0437, T0278, </w:t>
      </w:r>
      <w:r>
        <w:rPr>
          <w:szCs w:val="18"/>
        </w:rPr>
        <w:t>T0416</w:t>
      </w:r>
      <w:r w:rsidRPr="00633737">
        <w:rPr>
          <w:szCs w:val="18"/>
        </w:rPr>
        <w:t xml:space="preserve">, </w:t>
      </w:r>
      <w:r>
        <w:rPr>
          <w:szCs w:val="18"/>
        </w:rPr>
        <w:t>T0382</w:t>
      </w:r>
      <w:r w:rsidRPr="00633737">
        <w:rPr>
          <w:szCs w:val="18"/>
        </w:rPr>
        <w:t>.</w:t>
      </w:r>
    </w:p>
  </w:footnote>
  <w:footnote w:id="700">
    <w:p w14:paraId="2744B71B" w14:textId="708A1E49" w:rsidR="004E119B" w:rsidRPr="00633737" w:rsidRDefault="004E119B" w:rsidP="00F105AD">
      <w:pPr>
        <w:pStyle w:val="FootnoteText"/>
        <w:ind w:left="1152" w:right="1138" w:hanging="245"/>
        <w:jc w:val="left"/>
        <w:rPr>
          <w:szCs w:val="18"/>
        </w:rPr>
      </w:pPr>
      <w:r w:rsidRPr="002D31A9">
        <w:rPr>
          <w:rStyle w:val="FootnoteReference"/>
          <w:szCs w:val="18"/>
        </w:rPr>
        <w:footnoteRef/>
      </w:r>
      <w:r w:rsidRPr="00633737">
        <w:rPr>
          <w:szCs w:val="18"/>
        </w:rPr>
        <w:t xml:space="preserve"> </w:t>
      </w:r>
      <w:r>
        <w:rPr>
          <w:szCs w:val="18"/>
        </w:rPr>
        <w:t>T0382</w:t>
      </w:r>
      <w:r w:rsidRPr="00633737">
        <w:rPr>
          <w:szCs w:val="18"/>
        </w:rPr>
        <w:t xml:space="preserve">, T0278. </w:t>
      </w:r>
    </w:p>
  </w:footnote>
  <w:footnote w:id="701">
    <w:p w14:paraId="12313BF0" w14:textId="6A17DC21" w:rsidR="004E119B" w:rsidRPr="00633737" w:rsidRDefault="004E119B" w:rsidP="00F105AD">
      <w:pPr>
        <w:pStyle w:val="FootnoteText"/>
        <w:ind w:left="1152" w:right="1138" w:hanging="245"/>
        <w:jc w:val="left"/>
        <w:rPr>
          <w:szCs w:val="18"/>
        </w:rPr>
      </w:pPr>
      <w:r w:rsidRPr="002D31A9">
        <w:rPr>
          <w:rStyle w:val="FootnoteReference"/>
          <w:szCs w:val="18"/>
        </w:rPr>
        <w:footnoteRef/>
      </w:r>
      <w:r w:rsidRPr="00633737">
        <w:rPr>
          <w:szCs w:val="18"/>
        </w:rPr>
        <w:t xml:space="preserve"> T0278.</w:t>
      </w:r>
    </w:p>
  </w:footnote>
  <w:footnote w:id="702">
    <w:p w14:paraId="05D5115A" w14:textId="36DBAB56" w:rsidR="004E119B" w:rsidRPr="00633737" w:rsidRDefault="004E119B" w:rsidP="00F105AD">
      <w:pPr>
        <w:pStyle w:val="FootnoteText"/>
        <w:ind w:left="1152" w:right="1138" w:hanging="245"/>
        <w:jc w:val="left"/>
        <w:rPr>
          <w:szCs w:val="18"/>
        </w:rPr>
      </w:pPr>
      <w:r w:rsidRPr="002D31A9">
        <w:rPr>
          <w:rStyle w:val="FootnoteReference"/>
          <w:szCs w:val="18"/>
        </w:rPr>
        <w:footnoteRef/>
      </w:r>
      <w:r w:rsidRPr="00633737">
        <w:rPr>
          <w:szCs w:val="18"/>
        </w:rPr>
        <w:t xml:space="preserve"> T0382, T0416.</w:t>
      </w:r>
    </w:p>
  </w:footnote>
  <w:footnote w:id="703">
    <w:p w14:paraId="5A074EC9" w14:textId="4B29139F" w:rsidR="004E119B" w:rsidRPr="002D31A9" w:rsidRDefault="004E119B" w:rsidP="00F105AD">
      <w:pPr>
        <w:pStyle w:val="FootnoteText"/>
        <w:ind w:left="1152" w:right="1138" w:hanging="245"/>
        <w:jc w:val="left"/>
        <w:rPr>
          <w:szCs w:val="18"/>
        </w:rPr>
      </w:pPr>
      <w:r w:rsidRPr="002D31A9">
        <w:rPr>
          <w:rStyle w:val="FootnoteReference"/>
          <w:szCs w:val="18"/>
        </w:rPr>
        <w:footnoteRef/>
      </w:r>
      <w:r w:rsidRPr="002D31A9">
        <w:rPr>
          <w:szCs w:val="18"/>
        </w:rPr>
        <w:t xml:space="preserve"> </w:t>
      </w:r>
      <w:r>
        <w:rPr>
          <w:szCs w:val="18"/>
        </w:rPr>
        <w:t>T0432</w:t>
      </w:r>
      <w:r w:rsidRPr="002D31A9">
        <w:rPr>
          <w:szCs w:val="18"/>
        </w:rPr>
        <w:t>.</w:t>
      </w:r>
    </w:p>
  </w:footnote>
  <w:footnote w:id="704">
    <w:p w14:paraId="65664B7C" w14:textId="07E211CE" w:rsidR="004E119B" w:rsidRPr="002D31A9" w:rsidRDefault="004E119B" w:rsidP="00F105AD">
      <w:pPr>
        <w:pStyle w:val="FootnoteText"/>
        <w:ind w:left="1152" w:right="1138" w:hanging="245"/>
        <w:jc w:val="left"/>
        <w:rPr>
          <w:szCs w:val="18"/>
        </w:rPr>
      </w:pPr>
      <w:r w:rsidRPr="002D31A9">
        <w:rPr>
          <w:rStyle w:val="FootnoteReference"/>
          <w:szCs w:val="18"/>
        </w:rPr>
        <w:footnoteRef/>
      </w:r>
      <w:r w:rsidRPr="002D31A9">
        <w:rPr>
          <w:szCs w:val="18"/>
        </w:rPr>
        <w:t xml:space="preserve"> </w:t>
      </w:r>
      <w:r>
        <w:rPr>
          <w:szCs w:val="18"/>
        </w:rPr>
        <w:t>T0040</w:t>
      </w:r>
      <w:r w:rsidRPr="002D31A9">
        <w:rPr>
          <w:szCs w:val="18"/>
        </w:rPr>
        <w:t>.</w:t>
      </w:r>
    </w:p>
  </w:footnote>
  <w:footnote w:id="705">
    <w:p w14:paraId="206AC56A" w14:textId="3EF886EC" w:rsidR="004E119B" w:rsidRPr="00840539" w:rsidRDefault="004E119B" w:rsidP="00F105AD">
      <w:pPr>
        <w:pStyle w:val="FootnoteText"/>
        <w:ind w:left="1152" w:right="1138" w:hanging="245"/>
        <w:jc w:val="left"/>
        <w:rPr>
          <w:szCs w:val="18"/>
        </w:rPr>
      </w:pPr>
      <w:r w:rsidRPr="002D31A9">
        <w:rPr>
          <w:rStyle w:val="FootnoteReference"/>
          <w:szCs w:val="18"/>
        </w:rPr>
        <w:footnoteRef/>
      </w:r>
      <w:r w:rsidRPr="002D31A9">
        <w:rPr>
          <w:szCs w:val="18"/>
        </w:rPr>
        <w:t xml:space="preserve"> </w:t>
      </w:r>
      <w:r>
        <w:rPr>
          <w:szCs w:val="18"/>
        </w:rPr>
        <w:t>D</w:t>
      </w:r>
      <w:r w:rsidRPr="00835F93">
        <w:rPr>
          <w:szCs w:val="18"/>
        </w:rPr>
        <w:t>ocument interne MONUSCO</w:t>
      </w:r>
      <w:r w:rsidRPr="00840539">
        <w:rPr>
          <w:szCs w:val="18"/>
        </w:rPr>
        <w:t>.</w:t>
      </w:r>
    </w:p>
  </w:footnote>
  <w:footnote w:id="706">
    <w:p w14:paraId="3B244687" w14:textId="289B940C" w:rsidR="004E119B" w:rsidRPr="00840539" w:rsidRDefault="004E119B" w:rsidP="00F105AD">
      <w:pPr>
        <w:pStyle w:val="FootnoteText"/>
        <w:ind w:left="1152" w:right="1138" w:hanging="245"/>
        <w:jc w:val="left"/>
        <w:rPr>
          <w:szCs w:val="18"/>
          <w:highlight w:val="yellow"/>
        </w:rPr>
      </w:pPr>
      <w:r w:rsidRPr="002D31A9">
        <w:rPr>
          <w:rStyle w:val="FootnoteReference"/>
          <w:szCs w:val="18"/>
        </w:rPr>
        <w:footnoteRef/>
      </w:r>
      <w:r w:rsidRPr="002D31A9">
        <w:rPr>
          <w:szCs w:val="18"/>
        </w:rPr>
        <w:t xml:space="preserve"> </w:t>
      </w:r>
      <w:r>
        <w:rPr>
          <w:szCs w:val="18"/>
        </w:rPr>
        <w:t>T0416</w:t>
      </w:r>
      <w:r w:rsidRPr="002D31A9">
        <w:rPr>
          <w:szCs w:val="18"/>
        </w:rPr>
        <w:t xml:space="preserve">. Voir aussi </w:t>
      </w:r>
      <w:r w:rsidRPr="00835F93">
        <w:rPr>
          <w:szCs w:val="18"/>
        </w:rPr>
        <w:t>document interne MONUSCO</w:t>
      </w:r>
      <w:r w:rsidRPr="00840539">
        <w:rPr>
          <w:szCs w:val="18"/>
        </w:rPr>
        <w:t xml:space="preserve">. </w:t>
      </w:r>
    </w:p>
  </w:footnote>
  <w:footnote w:id="707">
    <w:p w14:paraId="79B28CC5" w14:textId="078D04D9" w:rsidR="004E119B" w:rsidRPr="00840539" w:rsidRDefault="004E119B" w:rsidP="00F105AD">
      <w:pPr>
        <w:pStyle w:val="FootnoteText"/>
        <w:ind w:left="1152" w:right="1138" w:hanging="245"/>
        <w:jc w:val="left"/>
        <w:rPr>
          <w:szCs w:val="18"/>
        </w:rPr>
      </w:pPr>
      <w:r w:rsidRPr="002D31A9">
        <w:rPr>
          <w:rStyle w:val="FootnoteReference"/>
          <w:szCs w:val="18"/>
        </w:rPr>
        <w:footnoteRef/>
      </w:r>
      <w:r w:rsidRPr="002D31A9">
        <w:rPr>
          <w:szCs w:val="18"/>
        </w:rPr>
        <w:t xml:space="preserve"> </w:t>
      </w:r>
      <w:r>
        <w:rPr>
          <w:szCs w:val="18"/>
        </w:rPr>
        <w:t>D</w:t>
      </w:r>
      <w:r w:rsidRPr="00835F93">
        <w:rPr>
          <w:szCs w:val="18"/>
        </w:rPr>
        <w:t>ocument interne MONUSCO</w:t>
      </w:r>
      <w:r w:rsidRPr="00840539">
        <w:rPr>
          <w:szCs w:val="18"/>
        </w:rPr>
        <w:t>.</w:t>
      </w:r>
    </w:p>
  </w:footnote>
  <w:footnote w:id="708">
    <w:p w14:paraId="7DBBB257" w14:textId="31DFD54B" w:rsidR="004E119B" w:rsidRPr="00197843" w:rsidRDefault="004E119B" w:rsidP="00F105AD">
      <w:pPr>
        <w:pStyle w:val="FootnoteText"/>
        <w:ind w:left="1152" w:right="1138" w:hanging="245"/>
        <w:jc w:val="left"/>
        <w:rPr>
          <w:szCs w:val="18"/>
        </w:rPr>
      </w:pPr>
      <w:r w:rsidRPr="002D31A9">
        <w:rPr>
          <w:rStyle w:val="FootnoteReference"/>
          <w:szCs w:val="18"/>
        </w:rPr>
        <w:footnoteRef/>
      </w:r>
      <w:r w:rsidRPr="00197843">
        <w:rPr>
          <w:szCs w:val="18"/>
        </w:rPr>
        <w:t xml:space="preserve"> Actualite.cd, «</w:t>
      </w:r>
      <w:r>
        <w:rPr>
          <w:szCs w:val="18"/>
        </w:rPr>
        <w:t xml:space="preserve"> </w:t>
      </w:r>
      <w:r w:rsidRPr="00197843">
        <w:rPr>
          <w:szCs w:val="18"/>
        </w:rPr>
        <w:t>RDC – Kasaï : Au moins 68 enfants sont encore retenus en otage</w:t>
      </w:r>
      <w:r>
        <w:rPr>
          <w:szCs w:val="18"/>
        </w:rPr>
        <w:t> »</w:t>
      </w:r>
      <w:r w:rsidRPr="00197843">
        <w:rPr>
          <w:szCs w:val="18"/>
        </w:rPr>
        <w:t xml:space="preserve">, </w:t>
      </w:r>
      <w:hyperlink r:id="rId6" w:history="1">
        <w:r w:rsidRPr="00197843">
          <w:rPr>
            <w:rStyle w:val="Hyperlink"/>
            <w:szCs w:val="18"/>
          </w:rPr>
          <w:t>https://actualite.cd/2018/06/06/rdc-kasai-au-moins-68-enfants-sont-encore-retenus-en-otage/</w:t>
        </w:r>
      </w:hyperlink>
      <w:r w:rsidRPr="00197843">
        <w:rPr>
          <w:rStyle w:val="Hyperlink"/>
          <w:szCs w:val="18"/>
        </w:rPr>
        <w:t>.</w:t>
      </w:r>
      <w:r w:rsidRPr="00197843">
        <w:rPr>
          <w:szCs w:val="18"/>
        </w:rPr>
        <w:t xml:space="preserve"> </w:t>
      </w:r>
    </w:p>
  </w:footnote>
  <w:footnote w:id="709">
    <w:p w14:paraId="1A8AC40A" w14:textId="5F160700" w:rsidR="004E119B" w:rsidRPr="006E341A" w:rsidRDefault="004E119B" w:rsidP="00F105AD">
      <w:pPr>
        <w:pStyle w:val="FootnoteText"/>
        <w:ind w:left="1152" w:right="1138" w:hanging="245"/>
        <w:jc w:val="left"/>
        <w:rPr>
          <w:szCs w:val="18"/>
        </w:rPr>
      </w:pPr>
      <w:r w:rsidRPr="002D31A9">
        <w:rPr>
          <w:rStyle w:val="FootnoteReference"/>
          <w:szCs w:val="18"/>
        </w:rPr>
        <w:footnoteRef/>
      </w:r>
      <w:r w:rsidRPr="002D31A9">
        <w:rPr>
          <w:szCs w:val="18"/>
        </w:rPr>
        <w:t xml:space="preserve"> Pour d</w:t>
      </w:r>
      <w:r w:rsidRPr="00840539">
        <w:rPr>
          <w:szCs w:val="18"/>
        </w:rPr>
        <w:t>es villages qui ne sont pas résumés dans la présentation des faits mais pour lesquels l’EEI a collecté des éléments de preuve d’exactions commises par la milice Kamuina</w:t>
      </w:r>
      <w:r w:rsidRPr="006E341A">
        <w:rPr>
          <w:szCs w:val="18"/>
        </w:rPr>
        <w:t xml:space="preserve"> Nsapu, voir </w:t>
      </w:r>
      <w:r>
        <w:rPr>
          <w:szCs w:val="18"/>
        </w:rPr>
        <w:t>T0254</w:t>
      </w:r>
      <w:r w:rsidRPr="006E341A">
        <w:rPr>
          <w:szCs w:val="18"/>
        </w:rPr>
        <w:t xml:space="preserve">, </w:t>
      </w:r>
      <w:r>
        <w:rPr>
          <w:szCs w:val="18"/>
        </w:rPr>
        <w:t>T0011</w:t>
      </w:r>
      <w:r w:rsidRPr="006E341A">
        <w:rPr>
          <w:szCs w:val="18"/>
        </w:rPr>
        <w:t xml:space="preserve"> (village de Lukombo)</w:t>
      </w:r>
      <w:r>
        <w:rPr>
          <w:szCs w:val="18"/>
        </w:rPr>
        <w:t>,</w:t>
      </w:r>
      <w:r w:rsidRPr="006E341A">
        <w:rPr>
          <w:szCs w:val="18"/>
        </w:rPr>
        <w:t xml:space="preserve"> </w:t>
      </w:r>
      <w:r>
        <w:rPr>
          <w:szCs w:val="18"/>
        </w:rPr>
        <w:t>T0011</w:t>
      </w:r>
      <w:r w:rsidRPr="006E341A">
        <w:rPr>
          <w:szCs w:val="18"/>
        </w:rPr>
        <w:t xml:space="preserve"> (village de Kapota)</w:t>
      </w:r>
      <w:r>
        <w:rPr>
          <w:szCs w:val="18"/>
        </w:rPr>
        <w:t>,</w:t>
      </w:r>
      <w:r w:rsidRPr="006E341A">
        <w:rPr>
          <w:szCs w:val="18"/>
        </w:rPr>
        <w:t xml:space="preserve"> </w:t>
      </w:r>
      <w:r>
        <w:rPr>
          <w:szCs w:val="18"/>
        </w:rPr>
        <w:t>T0450</w:t>
      </w:r>
      <w:r w:rsidRPr="006E341A">
        <w:rPr>
          <w:szCs w:val="18"/>
        </w:rPr>
        <w:t xml:space="preserve"> (village de Samba)</w:t>
      </w:r>
      <w:r>
        <w:rPr>
          <w:szCs w:val="18"/>
        </w:rPr>
        <w:t>,</w:t>
      </w:r>
      <w:r w:rsidRPr="006E341A">
        <w:rPr>
          <w:szCs w:val="18"/>
        </w:rPr>
        <w:t xml:space="preserve"> </w:t>
      </w:r>
      <w:r>
        <w:rPr>
          <w:szCs w:val="18"/>
        </w:rPr>
        <w:t>T0207</w:t>
      </w:r>
      <w:r w:rsidRPr="006E341A">
        <w:rPr>
          <w:szCs w:val="18"/>
        </w:rPr>
        <w:t xml:space="preserve"> (village de Mayimbi).</w:t>
      </w:r>
    </w:p>
  </w:footnote>
  <w:footnote w:id="710">
    <w:p w14:paraId="588F7485" w14:textId="4A7B8B50" w:rsidR="004E119B" w:rsidRPr="00840539" w:rsidRDefault="004E119B" w:rsidP="00F105AD">
      <w:pPr>
        <w:pStyle w:val="FootnoteText"/>
        <w:ind w:left="1152" w:right="1138" w:hanging="245"/>
        <w:jc w:val="left"/>
        <w:rPr>
          <w:szCs w:val="18"/>
        </w:rPr>
      </w:pPr>
      <w:r w:rsidRPr="002D31A9">
        <w:rPr>
          <w:rStyle w:val="FootnoteReference"/>
          <w:szCs w:val="18"/>
        </w:rPr>
        <w:footnoteRef/>
      </w:r>
      <w:r w:rsidRPr="002D31A9">
        <w:rPr>
          <w:szCs w:val="18"/>
        </w:rPr>
        <w:t xml:space="preserve"> Pour d</w:t>
      </w:r>
      <w:r w:rsidRPr="00840539">
        <w:rPr>
          <w:szCs w:val="18"/>
        </w:rPr>
        <w:t xml:space="preserve">es villages qui ne sont pas résumés dans la présentation des faits mais pour lesquels l’EEI a collecté des éléments de preuve d’exactions commises par les milices Bana Mura, voir : </w:t>
      </w:r>
      <w:r>
        <w:rPr>
          <w:szCs w:val="18"/>
        </w:rPr>
        <w:t>T0059</w:t>
      </w:r>
      <w:r w:rsidRPr="00840539">
        <w:rPr>
          <w:szCs w:val="18"/>
        </w:rPr>
        <w:t xml:space="preserve"> (village de Kabola)</w:t>
      </w:r>
      <w:r>
        <w:rPr>
          <w:szCs w:val="18"/>
        </w:rPr>
        <w:t>,</w:t>
      </w:r>
      <w:r w:rsidRPr="00840539">
        <w:rPr>
          <w:szCs w:val="18"/>
        </w:rPr>
        <w:t xml:space="preserve"> </w:t>
      </w:r>
      <w:r>
        <w:rPr>
          <w:szCs w:val="18"/>
        </w:rPr>
        <w:t>T0258</w:t>
      </w:r>
      <w:r w:rsidRPr="00840539">
        <w:rPr>
          <w:szCs w:val="18"/>
        </w:rPr>
        <w:t xml:space="preserve"> (village de Katshimbu)</w:t>
      </w:r>
      <w:r>
        <w:rPr>
          <w:szCs w:val="18"/>
        </w:rPr>
        <w:t>,</w:t>
      </w:r>
      <w:r w:rsidRPr="00840539">
        <w:rPr>
          <w:szCs w:val="18"/>
        </w:rPr>
        <w:t xml:space="preserve"> </w:t>
      </w:r>
      <w:r>
        <w:rPr>
          <w:szCs w:val="18"/>
        </w:rPr>
        <w:t>T0160</w:t>
      </w:r>
      <w:r w:rsidRPr="00840539">
        <w:rPr>
          <w:szCs w:val="18"/>
        </w:rPr>
        <w:t xml:space="preserve"> (village Mayimbi).  </w:t>
      </w:r>
    </w:p>
  </w:footnote>
  <w:footnote w:id="711">
    <w:p w14:paraId="1275F7B3" w14:textId="091F6A84" w:rsidR="004E119B" w:rsidRPr="00B50F59" w:rsidRDefault="004E119B" w:rsidP="00F105AD">
      <w:pPr>
        <w:pStyle w:val="FootnoteText"/>
        <w:ind w:left="1152" w:right="1138" w:hanging="245"/>
        <w:jc w:val="left"/>
        <w:rPr>
          <w:szCs w:val="18"/>
        </w:rPr>
      </w:pPr>
      <w:r w:rsidRPr="002D31A9">
        <w:rPr>
          <w:rStyle w:val="FootnoteReference"/>
          <w:szCs w:val="18"/>
        </w:rPr>
        <w:footnoteRef/>
      </w:r>
      <w:r w:rsidRPr="00B50F59">
        <w:rPr>
          <w:szCs w:val="18"/>
        </w:rPr>
        <w:t xml:space="preserve"> T0028, T0216.</w:t>
      </w:r>
    </w:p>
  </w:footnote>
  <w:footnote w:id="712">
    <w:p w14:paraId="52AC3849" w14:textId="38BF2625" w:rsidR="004E119B" w:rsidRPr="00B50F59" w:rsidRDefault="004E119B" w:rsidP="00F105AD">
      <w:pPr>
        <w:pStyle w:val="FootnoteText"/>
        <w:ind w:left="1152" w:right="1138" w:hanging="245"/>
        <w:jc w:val="left"/>
        <w:rPr>
          <w:szCs w:val="18"/>
        </w:rPr>
      </w:pPr>
      <w:r w:rsidRPr="002D31A9">
        <w:rPr>
          <w:rStyle w:val="FootnoteReference"/>
          <w:szCs w:val="18"/>
        </w:rPr>
        <w:footnoteRef/>
      </w:r>
      <w:r w:rsidRPr="00B50F59">
        <w:rPr>
          <w:szCs w:val="18"/>
        </w:rPr>
        <w:t xml:space="preserve"> T0028.</w:t>
      </w:r>
    </w:p>
  </w:footnote>
  <w:footnote w:id="713">
    <w:p w14:paraId="33F83371" w14:textId="35E6CD81" w:rsidR="004E119B" w:rsidRPr="00B50F59" w:rsidRDefault="004E119B" w:rsidP="00F105AD">
      <w:pPr>
        <w:pStyle w:val="FootnoteText"/>
        <w:ind w:left="1152" w:right="1138" w:hanging="245"/>
        <w:jc w:val="left"/>
        <w:rPr>
          <w:szCs w:val="18"/>
        </w:rPr>
      </w:pPr>
      <w:r w:rsidRPr="002D31A9">
        <w:rPr>
          <w:rStyle w:val="FootnoteReference"/>
          <w:szCs w:val="18"/>
        </w:rPr>
        <w:footnoteRef/>
      </w:r>
      <w:r w:rsidRPr="00B50F59">
        <w:rPr>
          <w:szCs w:val="18"/>
        </w:rPr>
        <w:t xml:space="preserve"> T0339.</w:t>
      </w:r>
    </w:p>
  </w:footnote>
  <w:footnote w:id="714">
    <w:p w14:paraId="53DA579B" w14:textId="4D2274A4" w:rsidR="004E119B" w:rsidRPr="000F5C18" w:rsidRDefault="004E119B" w:rsidP="00F105AD">
      <w:pPr>
        <w:pStyle w:val="FootnoteText"/>
        <w:ind w:left="1152" w:right="1138" w:hanging="245"/>
        <w:jc w:val="left"/>
        <w:rPr>
          <w:szCs w:val="18"/>
        </w:rPr>
      </w:pPr>
      <w:r w:rsidRPr="002D31A9">
        <w:rPr>
          <w:rStyle w:val="FootnoteReference"/>
          <w:szCs w:val="18"/>
        </w:rPr>
        <w:footnoteRef/>
      </w:r>
      <w:r w:rsidRPr="000F5C18">
        <w:rPr>
          <w:szCs w:val="18"/>
        </w:rPr>
        <w:t xml:space="preserve"> T0066.</w:t>
      </w:r>
    </w:p>
  </w:footnote>
  <w:footnote w:id="715">
    <w:p w14:paraId="7A5FC22D" w14:textId="5A9BFBF0" w:rsidR="004E119B" w:rsidRPr="000F5C18" w:rsidRDefault="004E119B" w:rsidP="00F105AD">
      <w:pPr>
        <w:pStyle w:val="FootnoteText"/>
        <w:ind w:left="1152" w:right="1138" w:hanging="245"/>
        <w:jc w:val="left"/>
        <w:rPr>
          <w:szCs w:val="18"/>
        </w:rPr>
      </w:pPr>
      <w:r w:rsidRPr="002D31A9">
        <w:rPr>
          <w:rStyle w:val="FootnoteReference"/>
          <w:szCs w:val="18"/>
        </w:rPr>
        <w:footnoteRef/>
      </w:r>
      <w:r w:rsidRPr="000F5C18">
        <w:rPr>
          <w:szCs w:val="18"/>
        </w:rPr>
        <w:t xml:space="preserve"> </w:t>
      </w:r>
      <w:r>
        <w:rPr>
          <w:szCs w:val="18"/>
        </w:rPr>
        <w:t>T0363</w:t>
      </w:r>
      <w:r w:rsidRPr="000F5C18">
        <w:rPr>
          <w:szCs w:val="18"/>
        </w:rPr>
        <w:t xml:space="preserve">, </w:t>
      </w:r>
      <w:r>
        <w:rPr>
          <w:szCs w:val="18"/>
        </w:rPr>
        <w:t>T0117</w:t>
      </w:r>
      <w:r w:rsidRPr="000F5C18">
        <w:rPr>
          <w:szCs w:val="18"/>
        </w:rPr>
        <w:t xml:space="preserve">, </w:t>
      </w:r>
      <w:r>
        <w:rPr>
          <w:szCs w:val="18"/>
        </w:rPr>
        <w:t>T0010</w:t>
      </w:r>
      <w:r w:rsidRPr="000F5C18">
        <w:rPr>
          <w:szCs w:val="18"/>
        </w:rPr>
        <w:t xml:space="preserve">, </w:t>
      </w:r>
      <w:r>
        <w:rPr>
          <w:szCs w:val="18"/>
        </w:rPr>
        <w:t>T0132</w:t>
      </w:r>
      <w:r w:rsidRPr="000F5C18">
        <w:rPr>
          <w:szCs w:val="18"/>
        </w:rPr>
        <w:t xml:space="preserve">, </w:t>
      </w:r>
      <w:r>
        <w:rPr>
          <w:szCs w:val="18"/>
        </w:rPr>
        <w:t>T0033</w:t>
      </w:r>
      <w:r w:rsidRPr="000F5C18">
        <w:rPr>
          <w:szCs w:val="18"/>
        </w:rPr>
        <w:t xml:space="preserve">, T0309, </w:t>
      </w:r>
      <w:r>
        <w:rPr>
          <w:szCs w:val="18"/>
        </w:rPr>
        <w:t>T0257</w:t>
      </w:r>
      <w:r w:rsidRPr="000F5C18">
        <w:rPr>
          <w:szCs w:val="18"/>
        </w:rPr>
        <w:t xml:space="preserve">, </w:t>
      </w:r>
      <w:r>
        <w:rPr>
          <w:szCs w:val="18"/>
        </w:rPr>
        <w:t>T0239</w:t>
      </w:r>
      <w:r w:rsidRPr="000F5C18">
        <w:rPr>
          <w:szCs w:val="18"/>
        </w:rPr>
        <w:t>, T0027.</w:t>
      </w:r>
    </w:p>
  </w:footnote>
  <w:footnote w:id="716">
    <w:p w14:paraId="46A935A1" w14:textId="34915164" w:rsidR="004E119B" w:rsidRPr="00633737" w:rsidRDefault="004E119B" w:rsidP="00F105AD">
      <w:pPr>
        <w:pStyle w:val="FootnoteText"/>
        <w:ind w:left="1152" w:right="1138" w:hanging="245"/>
        <w:jc w:val="left"/>
        <w:rPr>
          <w:szCs w:val="18"/>
        </w:rPr>
      </w:pPr>
      <w:r w:rsidRPr="002D31A9">
        <w:rPr>
          <w:rStyle w:val="FootnoteReference"/>
          <w:szCs w:val="18"/>
        </w:rPr>
        <w:footnoteRef/>
      </w:r>
      <w:r w:rsidRPr="00633737">
        <w:rPr>
          <w:szCs w:val="18"/>
        </w:rPr>
        <w:t xml:space="preserve"> T0317.</w:t>
      </w:r>
    </w:p>
  </w:footnote>
  <w:footnote w:id="717">
    <w:p w14:paraId="647B2FF0" w14:textId="1141982C" w:rsidR="004E119B" w:rsidRPr="00633737" w:rsidRDefault="004E119B" w:rsidP="00F105AD">
      <w:pPr>
        <w:pStyle w:val="FootnoteText"/>
        <w:ind w:left="1152" w:right="1138" w:hanging="245"/>
        <w:jc w:val="left"/>
        <w:rPr>
          <w:szCs w:val="18"/>
        </w:rPr>
      </w:pPr>
      <w:r w:rsidRPr="002D31A9">
        <w:rPr>
          <w:rStyle w:val="FootnoteReference"/>
          <w:szCs w:val="18"/>
        </w:rPr>
        <w:footnoteRef/>
      </w:r>
      <w:r w:rsidRPr="00633737">
        <w:rPr>
          <w:szCs w:val="18"/>
        </w:rPr>
        <w:t xml:space="preserve"> T0317.</w:t>
      </w:r>
    </w:p>
  </w:footnote>
  <w:footnote w:id="718">
    <w:p w14:paraId="64EAEAD8" w14:textId="454B05A6" w:rsidR="004E119B" w:rsidRPr="00633737" w:rsidRDefault="004E119B" w:rsidP="00F105AD">
      <w:pPr>
        <w:pStyle w:val="FootnoteText"/>
        <w:ind w:left="1152" w:right="1138" w:hanging="245"/>
        <w:jc w:val="left"/>
        <w:rPr>
          <w:szCs w:val="18"/>
        </w:rPr>
      </w:pPr>
      <w:r w:rsidRPr="002D31A9">
        <w:rPr>
          <w:rStyle w:val="FootnoteReference"/>
          <w:szCs w:val="18"/>
        </w:rPr>
        <w:footnoteRef/>
      </w:r>
      <w:r w:rsidRPr="00633737">
        <w:rPr>
          <w:szCs w:val="18"/>
        </w:rPr>
        <w:t xml:space="preserve"> T0212, T0013.</w:t>
      </w:r>
    </w:p>
  </w:footnote>
  <w:footnote w:id="719">
    <w:p w14:paraId="23404673" w14:textId="68A59D31" w:rsidR="004E119B" w:rsidRPr="00633737" w:rsidRDefault="004E119B" w:rsidP="00F105AD">
      <w:pPr>
        <w:pStyle w:val="FootnoteText"/>
        <w:ind w:left="1152" w:right="1138" w:hanging="245"/>
        <w:jc w:val="left"/>
        <w:rPr>
          <w:szCs w:val="18"/>
        </w:rPr>
      </w:pPr>
      <w:r w:rsidRPr="002D31A9">
        <w:rPr>
          <w:rStyle w:val="FootnoteReference"/>
          <w:szCs w:val="18"/>
        </w:rPr>
        <w:footnoteRef/>
      </w:r>
      <w:r w:rsidRPr="00633737">
        <w:rPr>
          <w:szCs w:val="18"/>
        </w:rPr>
        <w:t xml:space="preserve"> T0117, T0243.</w:t>
      </w:r>
    </w:p>
  </w:footnote>
  <w:footnote w:id="720">
    <w:p w14:paraId="73DB656B" w14:textId="76554A96" w:rsidR="004E119B" w:rsidRPr="00633737" w:rsidRDefault="004E119B" w:rsidP="00F105AD">
      <w:pPr>
        <w:pStyle w:val="FootnoteText"/>
        <w:ind w:left="1152" w:right="1138" w:hanging="245"/>
        <w:jc w:val="left"/>
        <w:rPr>
          <w:szCs w:val="18"/>
        </w:rPr>
      </w:pPr>
      <w:r w:rsidRPr="002D31A9">
        <w:rPr>
          <w:rStyle w:val="FootnoteReference"/>
          <w:szCs w:val="18"/>
        </w:rPr>
        <w:footnoteRef/>
      </w:r>
      <w:r w:rsidRPr="00633737">
        <w:rPr>
          <w:szCs w:val="18"/>
        </w:rPr>
        <w:t xml:space="preserve"> T0010, </w:t>
      </w:r>
      <w:r>
        <w:rPr>
          <w:szCs w:val="18"/>
        </w:rPr>
        <w:t>T0099</w:t>
      </w:r>
      <w:r w:rsidRPr="00633737">
        <w:rPr>
          <w:szCs w:val="18"/>
        </w:rPr>
        <w:t>.</w:t>
      </w:r>
    </w:p>
  </w:footnote>
  <w:footnote w:id="721">
    <w:p w14:paraId="42CEAA30" w14:textId="4F810446" w:rsidR="004E119B" w:rsidRPr="00B50F59" w:rsidRDefault="004E119B" w:rsidP="00F105AD">
      <w:pPr>
        <w:pStyle w:val="FootnoteText"/>
        <w:ind w:left="1152" w:right="1138" w:hanging="245"/>
        <w:jc w:val="left"/>
        <w:rPr>
          <w:szCs w:val="18"/>
        </w:rPr>
      </w:pPr>
      <w:r w:rsidRPr="002D31A9">
        <w:rPr>
          <w:rStyle w:val="FootnoteReference"/>
          <w:szCs w:val="18"/>
        </w:rPr>
        <w:footnoteRef/>
      </w:r>
      <w:r w:rsidRPr="00B50F59">
        <w:rPr>
          <w:szCs w:val="18"/>
        </w:rPr>
        <w:t xml:space="preserve"> T0099.</w:t>
      </w:r>
    </w:p>
  </w:footnote>
  <w:footnote w:id="722">
    <w:p w14:paraId="0D63D812" w14:textId="609EBEE0" w:rsidR="004E119B" w:rsidRPr="00633737" w:rsidRDefault="004E119B" w:rsidP="00F105AD">
      <w:pPr>
        <w:pStyle w:val="FootnoteText"/>
        <w:ind w:left="1152" w:right="1138" w:hanging="245"/>
        <w:jc w:val="left"/>
        <w:rPr>
          <w:szCs w:val="18"/>
        </w:rPr>
      </w:pPr>
      <w:r w:rsidRPr="002D31A9">
        <w:rPr>
          <w:rStyle w:val="FootnoteReference"/>
          <w:szCs w:val="18"/>
        </w:rPr>
        <w:footnoteRef/>
      </w:r>
      <w:r w:rsidRPr="00633737">
        <w:rPr>
          <w:szCs w:val="18"/>
        </w:rPr>
        <w:t xml:space="preserve"> </w:t>
      </w:r>
      <w:r>
        <w:rPr>
          <w:szCs w:val="18"/>
        </w:rPr>
        <w:t>T0447</w:t>
      </w:r>
      <w:r w:rsidRPr="00633737">
        <w:rPr>
          <w:szCs w:val="18"/>
        </w:rPr>
        <w:t xml:space="preserve">, T0371, </w:t>
      </w:r>
      <w:r>
        <w:rPr>
          <w:szCs w:val="18"/>
        </w:rPr>
        <w:t>T0415</w:t>
      </w:r>
      <w:r w:rsidRPr="00633737">
        <w:rPr>
          <w:szCs w:val="18"/>
        </w:rPr>
        <w:t>, T0022.</w:t>
      </w:r>
    </w:p>
  </w:footnote>
  <w:footnote w:id="723">
    <w:p w14:paraId="4A64DBD7" w14:textId="383A438D" w:rsidR="004E119B" w:rsidRPr="00840539" w:rsidRDefault="004E119B" w:rsidP="00BC3F51">
      <w:pPr>
        <w:pStyle w:val="FootnoteText"/>
        <w:ind w:left="1152" w:right="1138" w:hanging="245"/>
        <w:jc w:val="left"/>
        <w:rPr>
          <w:szCs w:val="18"/>
        </w:rPr>
      </w:pPr>
      <w:r w:rsidRPr="002D31A9">
        <w:rPr>
          <w:rStyle w:val="FootnoteReference"/>
          <w:szCs w:val="18"/>
        </w:rPr>
        <w:footnoteRef/>
      </w:r>
      <w:r w:rsidRPr="002D31A9">
        <w:rPr>
          <w:szCs w:val="18"/>
        </w:rPr>
        <w:t xml:space="preserve"> </w:t>
      </w:r>
      <w:r>
        <w:rPr>
          <w:szCs w:val="18"/>
        </w:rPr>
        <w:t>T0447</w:t>
      </w:r>
      <w:r w:rsidRPr="00840539">
        <w:rPr>
          <w:szCs w:val="18"/>
        </w:rPr>
        <w:t xml:space="preserve">, </w:t>
      </w:r>
      <w:r>
        <w:rPr>
          <w:szCs w:val="18"/>
        </w:rPr>
        <w:t>T0371</w:t>
      </w:r>
      <w:r w:rsidRPr="00840539">
        <w:rPr>
          <w:szCs w:val="18"/>
        </w:rPr>
        <w:t>.</w:t>
      </w:r>
    </w:p>
  </w:footnote>
  <w:footnote w:id="724">
    <w:p w14:paraId="1A52B4E1" w14:textId="2F895EFB" w:rsidR="004E119B" w:rsidRPr="00840539" w:rsidRDefault="004E119B" w:rsidP="00BC3F51">
      <w:pPr>
        <w:pStyle w:val="FootnoteText"/>
        <w:ind w:left="1152" w:right="1138" w:hanging="245"/>
        <w:jc w:val="left"/>
        <w:rPr>
          <w:szCs w:val="18"/>
        </w:rPr>
      </w:pPr>
      <w:r w:rsidRPr="002D31A9">
        <w:rPr>
          <w:rStyle w:val="FootnoteReference"/>
          <w:szCs w:val="18"/>
        </w:rPr>
        <w:footnoteRef/>
      </w:r>
      <w:r w:rsidRPr="002D31A9">
        <w:rPr>
          <w:szCs w:val="18"/>
        </w:rPr>
        <w:t xml:space="preserve"> </w:t>
      </w:r>
      <w:r>
        <w:rPr>
          <w:szCs w:val="18"/>
        </w:rPr>
        <w:t>T0447</w:t>
      </w:r>
      <w:r w:rsidRPr="00840539">
        <w:rPr>
          <w:szCs w:val="18"/>
        </w:rPr>
        <w:t xml:space="preserve">, </w:t>
      </w:r>
      <w:r>
        <w:rPr>
          <w:szCs w:val="18"/>
        </w:rPr>
        <w:t>T0415</w:t>
      </w:r>
      <w:r w:rsidRPr="00840539">
        <w:rPr>
          <w:szCs w:val="18"/>
        </w:rPr>
        <w:t xml:space="preserve">. </w:t>
      </w:r>
    </w:p>
  </w:footnote>
  <w:footnote w:id="725">
    <w:p w14:paraId="71F1D32F" w14:textId="21194A99" w:rsidR="004E119B" w:rsidRPr="002D31A9" w:rsidRDefault="004E119B" w:rsidP="00BC3F51">
      <w:pPr>
        <w:pStyle w:val="FootnoteText"/>
        <w:ind w:left="1152" w:right="1138" w:hanging="245"/>
        <w:jc w:val="left"/>
        <w:rPr>
          <w:szCs w:val="18"/>
        </w:rPr>
      </w:pPr>
      <w:r w:rsidRPr="002D31A9">
        <w:rPr>
          <w:rStyle w:val="FootnoteReference"/>
          <w:szCs w:val="18"/>
        </w:rPr>
        <w:footnoteRef/>
      </w:r>
      <w:r w:rsidRPr="002D31A9">
        <w:rPr>
          <w:szCs w:val="18"/>
        </w:rPr>
        <w:t xml:space="preserve"> </w:t>
      </w:r>
      <w:r>
        <w:rPr>
          <w:szCs w:val="18"/>
        </w:rPr>
        <w:t>T0447</w:t>
      </w:r>
      <w:r w:rsidRPr="002D31A9">
        <w:rPr>
          <w:szCs w:val="18"/>
        </w:rPr>
        <w:t xml:space="preserve">. </w:t>
      </w:r>
    </w:p>
  </w:footnote>
  <w:footnote w:id="726">
    <w:p w14:paraId="653F9BCC" w14:textId="58DAC606" w:rsidR="004E119B" w:rsidRPr="009F1B3A" w:rsidRDefault="004E119B" w:rsidP="00BC3F51">
      <w:pPr>
        <w:pStyle w:val="FootnoteText"/>
        <w:ind w:left="1152" w:right="1138" w:hanging="245"/>
        <w:jc w:val="left"/>
        <w:rPr>
          <w:szCs w:val="18"/>
        </w:rPr>
      </w:pPr>
      <w:r w:rsidRPr="002D31A9">
        <w:rPr>
          <w:rStyle w:val="FootnoteReference"/>
          <w:szCs w:val="18"/>
        </w:rPr>
        <w:footnoteRef/>
      </w:r>
      <w:r w:rsidRPr="002D31A9">
        <w:rPr>
          <w:szCs w:val="18"/>
        </w:rPr>
        <w:t xml:space="preserve"> </w:t>
      </w:r>
      <w:r>
        <w:rPr>
          <w:szCs w:val="18"/>
        </w:rPr>
        <w:t>T0447</w:t>
      </w:r>
      <w:r w:rsidRPr="00840539">
        <w:rPr>
          <w:szCs w:val="18"/>
        </w:rPr>
        <w:t>,</w:t>
      </w:r>
      <w:r w:rsidRPr="006E341A">
        <w:rPr>
          <w:szCs w:val="18"/>
        </w:rPr>
        <w:t xml:space="preserve"> </w:t>
      </w:r>
      <w:r>
        <w:rPr>
          <w:szCs w:val="18"/>
        </w:rPr>
        <w:t>T0415</w:t>
      </w:r>
      <w:r w:rsidRPr="0060278B">
        <w:rPr>
          <w:szCs w:val="18"/>
        </w:rPr>
        <w:t xml:space="preserve">, </w:t>
      </w:r>
      <w:r>
        <w:rPr>
          <w:szCs w:val="18"/>
        </w:rPr>
        <w:t>T0371</w:t>
      </w:r>
      <w:r w:rsidRPr="009F1B3A">
        <w:rPr>
          <w:szCs w:val="18"/>
        </w:rPr>
        <w:t>.</w:t>
      </w:r>
    </w:p>
  </w:footnote>
  <w:footnote w:id="727">
    <w:p w14:paraId="5448C656" w14:textId="73A28D41" w:rsidR="004E119B" w:rsidRPr="00840539" w:rsidRDefault="004E119B" w:rsidP="00BC3F51">
      <w:pPr>
        <w:pStyle w:val="FootnoteText"/>
        <w:ind w:left="1152" w:right="1138" w:hanging="245"/>
        <w:jc w:val="left"/>
        <w:rPr>
          <w:szCs w:val="18"/>
        </w:rPr>
      </w:pPr>
      <w:r w:rsidRPr="002D31A9">
        <w:rPr>
          <w:rStyle w:val="FootnoteReference"/>
          <w:szCs w:val="18"/>
        </w:rPr>
        <w:footnoteRef/>
      </w:r>
      <w:r w:rsidRPr="002D31A9">
        <w:rPr>
          <w:szCs w:val="18"/>
        </w:rPr>
        <w:t xml:space="preserve"> </w:t>
      </w:r>
      <w:r>
        <w:rPr>
          <w:szCs w:val="18"/>
        </w:rPr>
        <w:t>T0022</w:t>
      </w:r>
      <w:r w:rsidRPr="002D31A9">
        <w:rPr>
          <w:szCs w:val="18"/>
        </w:rPr>
        <w:t>.</w:t>
      </w:r>
    </w:p>
  </w:footnote>
  <w:footnote w:id="728">
    <w:p w14:paraId="06EDBA4C" w14:textId="2D05BD34" w:rsidR="004E119B" w:rsidRPr="00840539" w:rsidRDefault="004E119B" w:rsidP="00BC3F51">
      <w:pPr>
        <w:pStyle w:val="FootnoteText"/>
        <w:ind w:left="1152" w:right="1138" w:hanging="245"/>
        <w:jc w:val="left"/>
        <w:rPr>
          <w:szCs w:val="18"/>
        </w:rPr>
      </w:pPr>
      <w:r w:rsidRPr="002D31A9">
        <w:rPr>
          <w:rStyle w:val="FootnoteReference"/>
          <w:szCs w:val="18"/>
        </w:rPr>
        <w:footnoteRef/>
      </w:r>
      <w:r w:rsidRPr="002D31A9">
        <w:rPr>
          <w:szCs w:val="18"/>
        </w:rPr>
        <w:t xml:space="preserve"> </w:t>
      </w:r>
      <w:r>
        <w:rPr>
          <w:szCs w:val="18"/>
        </w:rPr>
        <w:t>T0246</w:t>
      </w:r>
      <w:r w:rsidRPr="00840539">
        <w:rPr>
          <w:szCs w:val="18"/>
        </w:rPr>
        <w:t>.</w:t>
      </w:r>
    </w:p>
  </w:footnote>
  <w:footnote w:id="729">
    <w:p w14:paraId="59BD9143" w14:textId="77777777" w:rsidR="004E119B" w:rsidRPr="006E341A" w:rsidRDefault="004E119B" w:rsidP="00BC3F51">
      <w:pPr>
        <w:pStyle w:val="FootnoteText"/>
        <w:ind w:left="1152" w:right="1138" w:hanging="245"/>
        <w:jc w:val="left"/>
        <w:rPr>
          <w:szCs w:val="18"/>
        </w:rPr>
      </w:pPr>
      <w:r w:rsidRPr="002D31A9">
        <w:rPr>
          <w:rStyle w:val="FootnoteReference"/>
          <w:szCs w:val="18"/>
        </w:rPr>
        <w:footnoteRef/>
      </w:r>
      <w:r w:rsidRPr="002D31A9">
        <w:rPr>
          <w:szCs w:val="18"/>
        </w:rPr>
        <w:t xml:space="preserve"> A ce jour, la RDC n’a pas pris de mesures dérogeant aux obligations internationales prévues dans les instruments internationaux des droits de l’homme auxquels elle est partie. Dès lors, </w:t>
      </w:r>
      <w:r w:rsidRPr="00840539">
        <w:rPr>
          <w:szCs w:val="18"/>
        </w:rPr>
        <w:t>ces instruments internationaux s’appliquent dans leur globalité sans dérogations aux obligat</w:t>
      </w:r>
      <w:r w:rsidRPr="006E341A">
        <w:rPr>
          <w:szCs w:val="18"/>
        </w:rPr>
        <w:t>ions auxquelles la RDC a volontairement souscrites.</w:t>
      </w:r>
    </w:p>
  </w:footnote>
  <w:footnote w:id="730">
    <w:p w14:paraId="587AAE2D" w14:textId="77777777" w:rsidR="004E119B" w:rsidRPr="008264D5" w:rsidRDefault="004E119B" w:rsidP="00BC3F51">
      <w:pPr>
        <w:pStyle w:val="FootnoteText"/>
        <w:ind w:left="1152" w:right="1138" w:hanging="245"/>
        <w:jc w:val="left"/>
        <w:rPr>
          <w:szCs w:val="18"/>
        </w:rPr>
      </w:pPr>
      <w:r w:rsidRPr="002D31A9">
        <w:rPr>
          <w:rStyle w:val="FootnoteReference"/>
          <w:szCs w:val="18"/>
        </w:rPr>
        <w:footnoteRef/>
      </w:r>
      <w:r w:rsidRPr="002D31A9">
        <w:rPr>
          <w:szCs w:val="18"/>
        </w:rPr>
        <w:t xml:space="preserve"> </w:t>
      </w:r>
      <w:r w:rsidRPr="00840539">
        <w:rPr>
          <w:szCs w:val="18"/>
        </w:rPr>
        <w:t>La Loi n° 15/022 modifiant et complétant le Décret du 30 janvier 1940 portant Code pénal, la Loi n° 15/023 modifiant la loi n° 024-2002 du 18 novembre 2002 portant Code pénal militaire et la Loi n° 15/0</w:t>
      </w:r>
      <w:r w:rsidRPr="006E341A">
        <w:rPr>
          <w:szCs w:val="18"/>
        </w:rPr>
        <w:t>24 modifiant et complétant le Décret du 06 août 1959 portant Code de procédure pénale ont été promulguées le 31 décembre 2015 par le Président de la RDC et publiées dans le Journal officiel le 29 février 2016. Voir Journal officiel de la République démoc</w:t>
      </w:r>
      <w:r w:rsidRPr="0060278B">
        <w:rPr>
          <w:szCs w:val="18"/>
        </w:rPr>
        <w:t>ratique du Congo, 29 février 2016, pp. 2-31. En vertu des dispositions pertinentes de ces lois, ces dernières sont entrées en vigueur le 30 mars 2016. Voir aussi la Loi organique n° 17/003 du 10 mars 2017 modifiant et complétant la loi n° 023-2002 du 18 no</w:t>
      </w:r>
      <w:r w:rsidRPr="009F1B3A">
        <w:rPr>
          <w:szCs w:val="18"/>
        </w:rPr>
        <w:t>vembre 2002 portant Code judiciaire militaire, promulguée par le Président de la RDC le 10 mars 2017 et publiée dans le Journal officiel le 1</w:t>
      </w:r>
      <w:r w:rsidRPr="009F1B3A">
        <w:rPr>
          <w:szCs w:val="18"/>
          <w:vertAlign w:val="superscript"/>
        </w:rPr>
        <w:t>er</w:t>
      </w:r>
      <w:r w:rsidRPr="009F1B3A">
        <w:rPr>
          <w:szCs w:val="18"/>
        </w:rPr>
        <w:t> avril 2017. Journal officiel de la République démocratique du Congo, 1 avril 2017, pp. 7-8. En vertu de l’articl</w:t>
      </w:r>
      <w:r w:rsidRPr="008264D5">
        <w:rPr>
          <w:szCs w:val="18"/>
        </w:rPr>
        <w:t>e 2 de cette loi, celle-ci est entrée en vigueur le 1</w:t>
      </w:r>
      <w:r w:rsidRPr="008264D5">
        <w:rPr>
          <w:szCs w:val="18"/>
          <w:vertAlign w:val="superscript"/>
        </w:rPr>
        <w:t>er</w:t>
      </w:r>
      <w:r w:rsidRPr="008264D5">
        <w:rPr>
          <w:szCs w:val="18"/>
        </w:rPr>
        <w:t xml:space="preserve"> mai 2017.</w:t>
      </w:r>
    </w:p>
  </w:footnote>
  <w:footnote w:id="731">
    <w:p w14:paraId="7578D155" w14:textId="77777777" w:rsidR="004E119B" w:rsidRPr="006E341A" w:rsidRDefault="004E119B" w:rsidP="00BC3F51">
      <w:pPr>
        <w:pStyle w:val="FootnoteText"/>
        <w:ind w:left="1152" w:right="1138" w:hanging="245"/>
        <w:jc w:val="left"/>
        <w:rPr>
          <w:szCs w:val="18"/>
          <w:lang w:val="en-GB"/>
        </w:rPr>
      </w:pPr>
      <w:r w:rsidRPr="002D31A9">
        <w:rPr>
          <w:rStyle w:val="FootnoteReference"/>
          <w:szCs w:val="18"/>
        </w:rPr>
        <w:footnoteRef/>
      </w:r>
      <w:r w:rsidRPr="002D31A9">
        <w:rPr>
          <w:szCs w:val="18"/>
          <w:lang w:val="en-GB"/>
        </w:rPr>
        <w:t xml:space="preserve"> Voir aussi Rodney Dixon &amp; Christopher K. Hall, “Article 7: B. Analysis and interpretation of elements”, in Otto </w:t>
      </w:r>
      <w:r w:rsidRPr="00CB6F4D">
        <w:rPr>
          <w:szCs w:val="18"/>
          <w:lang w:val="en-US"/>
        </w:rPr>
        <w:t>Triffterer</w:t>
      </w:r>
      <w:r w:rsidRPr="002D31A9">
        <w:rPr>
          <w:szCs w:val="18"/>
          <w:lang w:val="en-GB"/>
        </w:rPr>
        <w:t xml:space="preserve"> (ed.), </w:t>
      </w:r>
      <w:r w:rsidRPr="00840539">
        <w:rPr>
          <w:i/>
          <w:szCs w:val="18"/>
          <w:lang w:val="en-GB"/>
        </w:rPr>
        <w:t>Commentary on the Rome Statute of the International Criminal Court – Observers’ Notes, Article by Article</w:t>
      </w:r>
      <w:r w:rsidRPr="00840539">
        <w:rPr>
          <w:szCs w:val="18"/>
          <w:lang w:val="en-GB"/>
        </w:rPr>
        <w:t>, C.H. Beck/Hart/Nomos, 2008 (2</w:t>
      </w:r>
      <w:r w:rsidRPr="006E341A">
        <w:rPr>
          <w:szCs w:val="18"/>
          <w:vertAlign w:val="superscript"/>
          <w:lang w:val="en-GB"/>
        </w:rPr>
        <w:t>nd</w:t>
      </w:r>
      <w:r w:rsidRPr="006E341A">
        <w:rPr>
          <w:szCs w:val="18"/>
          <w:lang w:val="en-GB"/>
        </w:rPr>
        <w:t xml:space="preserve"> ed.), p. 176.</w:t>
      </w:r>
    </w:p>
  </w:footnote>
  <w:footnote w:id="732">
    <w:p w14:paraId="370393AE" w14:textId="77777777" w:rsidR="004E119B" w:rsidRPr="006E341A" w:rsidRDefault="004E119B" w:rsidP="00E93251">
      <w:pPr>
        <w:pStyle w:val="FootnoteText"/>
        <w:ind w:left="1152" w:right="1138" w:hanging="245"/>
        <w:jc w:val="left"/>
        <w:rPr>
          <w:szCs w:val="18"/>
        </w:rPr>
      </w:pPr>
      <w:r w:rsidRPr="002D31A9">
        <w:rPr>
          <w:rStyle w:val="FootnoteReference"/>
          <w:szCs w:val="18"/>
        </w:rPr>
        <w:footnoteRef/>
      </w:r>
      <w:r w:rsidRPr="002D31A9">
        <w:rPr>
          <w:szCs w:val="18"/>
        </w:rPr>
        <w:t xml:space="preserve"> Voir</w:t>
      </w:r>
      <w:r w:rsidRPr="00840539">
        <w:rPr>
          <w:szCs w:val="18"/>
        </w:rPr>
        <w:t xml:space="preserve"> notamment CPI, </w:t>
      </w:r>
      <w:r w:rsidRPr="00840539">
        <w:rPr>
          <w:i/>
          <w:szCs w:val="18"/>
        </w:rPr>
        <w:t>Le Procureur c. Jean-Pierre Bemba Gombo</w:t>
      </w:r>
      <w:r w:rsidRPr="00840539">
        <w:rPr>
          <w:szCs w:val="18"/>
        </w:rPr>
        <w:t>, Affaire n° ICC-01/05-01/08, Décision rendue en application des alinéas a) et b) de l’article 61-7 du</w:t>
      </w:r>
      <w:r w:rsidRPr="006E341A">
        <w:rPr>
          <w:szCs w:val="18"/>
        </w:rPr>
        <w:t xml:space="preserve"> Statut de Rome, relativement aux charges portées par le Procureur à l’encontre de Jean-Pierre Bemba Gombo, 15 juin 2009, para. 82.</w:t>
      </w:r>
    </w:p>
  </w:footnote>
  <w:footnote w:id="733">
    <w:p w14:paraId="1F453FF9" w14:textId="4F5DA703" w:rsidR="004E119B" w:rsidRPr="009F1B3A" w:rsidRDefault="004E119B" w:rsidP="00E93251">
      <w:pPr>
        <w:pStyle w:val="FootnoteText"/>
        <w:ind w:left="1152" w:right="1138" w:hanging="245"/>
        <w:jc w:val="left"/>
        <w:rPr>
          <w:szCs w:val="18"/>
        </w:rPr>
      </w:pPr>
      <w:r w:rsidRPr="002D31A9">
        <w:rPr>
          <w:rStyle w:val="FootnoteReference"/>
          <w:szCs w:val="18"/>
        </w:rPr>
        <w:footnoteRef/>
      </w:r>
      <w:r w:rsidRPr="002D31A9">
        <w:rPr>
          <w:szCs w:val="18"/>
        </w:rPr>
        <w:t xml:space="preserve"> </w:t>
      </w:r>
      <w:r w:rsidRPr="00840539">
        <w:rPr>
          <w:szCs w:val="18"/>
          <w:lang w:val="fr-CH"/>
        </w:rPr>
        <w:t xml:space="preserve">En </w:t>
      </w:r>
      <w:r w:rsidRPr="00662B68">
        <w:rPr>
          <w:szCs w:val="18"/>
        </w:rPr>
        <w:t>effet</w:t>
      </w:r>
      <w:r w:rsidRPr="00840539">
        <w:rPr>
          <w:szCs w:val="18"/>
          <w:lang w:val="fr-CH"/>
        </w:rPr>
        <w:t>, « [c]’est au scénario des crimes – c’est-à-dire à la répétition délibérée et régulière de comportements criminels similaires – que l’on reconnaît leur caractère systématique ». Voir T</w:t>
      </w:r>
      <w:r>
        <w:rPr>
          <w:szCs w:val="18"/>
          <w:lang w:val="fr-CH"/>
        </w:rPr>
        <w:t>ribunal pénal international pour l’e</w:t>
      </w:r>
      <w:r w:rsidRPr="00BC3F51">
        <w:rPr>
          <w:szCs w:val="18"/>
          <w:lang w:val="fr-CH"/>
        </w:rPr>
        <w:t xml:space="preserve">x-Yougoslavie (TPIY), </w:t>
      </w:r>
      <w:r w:rsidRPr="00BC3F51">
        <w:rPr>
          <w:i/>
          <w:szCs w:val="18"/>
          <w:lang w:val="fr-CH"/>
        </w:rPr>
        <w:t>Le Procureur c. Dragoljub Kunarac et consorts</w:t>
      </w:r>
      <w:r w:rsidRPr="00BC3F51">
        <w:rPr>
          <w:szCs w:val="18"/>
          <w:lang w:val="fr-CH"/>
        </w:rPr>
        <w:t xml:space="preserve">, Affaire n° IT-96-23 &amp; IT-96-23/1-A, Arrêt, 12 juin 2002 (TPIY, Arrêt </w:t>
      </w:r>
      <w:r w:rsidRPr="00BC3F51">
        <w:rPr>
          <w:i/>
          <w:szCs w:val="18"/>
          <w:lang w:val="fr-CH"/>
        </w:rPr>
        <w:t>Kunarac et consorts</w:t>
      </w:r>
      <w:r w:rsidRPr="00BC3F51">
        <w:rPr>
          <w:szCs w:val="18"/>
          <w:lang w:val="fr-CH"/>
        </w:rPr>
        <w:t>), para. 94 ;</w:t>
      </w:r>
      <w:r w:rsidRPr="00BC3F51">
        <w:rPr>
          <w:i/>
          <w:szCs w:val="18"/>
          <w:lang w:val="fr-CH"/>
        </w:rPr>
        <w:t xml:space="preserve"> </w:t>
      </w:r>
      <w:r w:rsidRPr="00BC3F51">
        <w:rPr>
          <w:szCs w:val="18"/>
          <w:lang w:val="fr-CH"/>
        </w:rPr>
        <w:t xml:space="preserve">TPIY, </w:t>
      </w:r>
      <w:r w:rsidRPr="00BC3F51">
        <w:rPr>
          <w:i/>
          <w:szCs w:val="18"/>
          <w:lang w:val="fr-CH"/>
        </w:rPr>
        <w:t>Le Procureur c. Tihomir Blaškić</w:t>
      </w:r>
      <w:r w:rsidRPr="00BC3F51">
        <w:rPr>
          <w:szCs w:val="18"/>
          <w:lang w:val="fr-CH"/>
        </w:rPr>
        <w:t xml:space="preserve">, Affaire n° IT-95-14-A, Arrêt, 29 juillet 2004 (TPIY, Arrêt </w:t>
      </w:r>
      <w:r w:rsidRPr="00BC3F51">
        <w:rPr>
          <w:i/>
          <w:szCs w:val="18"/>
          <w:lang w:val="fr-CH"/>
        </w:rPr>
        <w:t>Blaškić</w:t>
      </w:r>
      <w:r w:rsidRPr="00BC3F51">
        <w:rPr>
          <w:szCs w:val="18"/>
          <w:lang w:val="fr-CH"/>
        </w:rPr>
        <w:t>), para. 10</w:t>
      </w:r>
      <w:r w:rsidRPr="009F1B3A">
        <w:rPr>
          <w:szCs w:val="18"/>
          <w:lang w:val="fr-CH"/>
        </w:rPr>
        <w:t>1.</w:t>
      </w:r>
    </w:p>
  </w:footnote>
  <w:footnote w:id="734">
    <w:p w14:paraId="3EB3EB0E" w14:textId="77777777" w:rsidR="004E119B" w:rsidRPr="00F105AD" w:rsidRDefault="004E119B" w:rsidP="00BC3F51">
      <w:pPr>
        <w:pStyle w:val="FootnoteText"/>
        <w:ind w:left="1152" w:right="1138" w:hanging="245"/>
        <w:jc w:val="left"/>
        <w:rPr>
          <w:szCs w:val="18"/>
        </w:rPr>
      </w:pPr>
      <w:r w:rsidRPr="002D31A9">
        <w:rPr>
          <w:rStyle w:val="FootnoteReference"/>
          <w:szCs w:val="18"/>
        </w:rPr>
        <w:footnoteRef/>
      </w:r>
      <w:r w:rsidRPr="002D31A9">
        <w:rPr>
          <w:szCs w:val="18"/>
        </w:rPr>
        <w:t xml:space="preserve"> CPI, </w:t>
      </w:r>
      <w:r w:rsidRPr="00840539">
        <w:rPr>
          <w:i/>
          <w:szCs w:val="18"/>
        </w:rPr>
        <w:t xml:space="preserve">Le </w:t>
      </w:r>
      <w:r w:rsidRPr="00CB6F4D">
        <w:rPr>
          <w:szCs w:val="18"/>
          <w:lang w:val="fr-CH"/>
        </w:rPr>
        <w:t>Procureur</w:t>
      </w:r>
      <w:r w:rsidRPr="00840539">
        <w:rPr>
          <w:i/>
          <w:szCs w:val="18"/>
        </w:rPr>
        <w:t xml:space="preserve"> c. Jean-Pierre Bemba Gombo</w:t>
      </w:r>
      <w:r w:rsidRPr="00840539">
        <w:rPr>
          <w:szCs w:val="18"/>
        </w:rPr>
        <w:t>, Affaire n° ICC-01/05-01/08, Jugement rendu en application de l’art</w:t>
      </w:r>
      <w:r w:rsidRPr="00F105AD">
        <w:rPr>
          <w:szCs w:val="18"/>
        </w:rPr>
        <w:t xml:space="preserve">icle 74 du Statut, 21 mars 2016 (CPI, Jugement </w:t>
      </w:r>
      <w:r w:rsidRPr="00F105AD">
        <w:rPr>
          <w:i/>
          <w:szCs w:val="18"/>
        </w:rPr>
        <w:t>Bemba</w:t>
      </w:r>
      <w:r w:rsidRPr="00F105AD">
        <w:rPr>
          <w:szCs w:val="18"/>
        </w:rPr>
        <w:t>), para. 153.</w:t>
      </w:r>
    </w:p>
  </w:footnote>
  <w:footnote w:id="735">
    <w:p w14:paraId="174D4963" w14:textId="1A11864C" w:rsidR="004E119B" w:rsidRPr="00297DF8" w:rsidRDefault="004E119B" w:rsidP="00BC3F51">
      <w:pPr>
        <w:pStyle w:val="FootnoteText"/>
        <w:ind w:left="1152" w:right="1138" w:hanging="245"/>
        <w:jc w:val="left"/>
        <w:rPr>
          <w:szCs w:val="18"/>
        </w:rPr>
      </w:pPr>
      <w:r w:rsidRPr="00F105AD">
        <w:rPr>
          <w:rStyle w:val="FootnoteReference"/>
          <w:szCs w:val="18"/>
        </w:rPr>
        <w:footnoteRef/>
      </w:r>
      <w:r w:rsidRPr="00F105AD">
        <w:rPr>
          <w:szCs w:val="18"/>
          <w:lang w:val="fr-CH"/>
        </w:rPr>
        <w:t xml:space="preserve"> TPIY, </w:t>
      </w:r>
      <w:r w:rsidRPr="00F105AD">
        <w:rPr>
          <w:i/>
          <w:szCs w:val="18"/>
          <w:lang w:val="fr-CH"/>
        </w:rPr>
        <w:t>Le Procureur c. Mile Mrkšić et Veselin Šljivančanin</w:t>
      </w:r>
      <w:r w:rsidRPr="00F105AD">
        <w:rPr>
          <w:szCs w:val="18"/>
          <w:lang w:val="fr-CH"/>
        </w:rPr>
        <w:t xml:space="preserve">, Affaire n° IT-95-13/1-A, Arrêt, 5 mai 2009 (TPIY, Arrêt </w:t>
      </w:r>
      <w:r w:rsidRPr="00F105AD">
        <w:rPr>
          <w:i/>
          <w:szCs w:val="18"/>
          <w:lang w:val="fr-CH"/>
        </w:rPr>
        <w:t>Mrkšić et Šljivančanin</w:t>
      </w:r>
      <w:r w:rsidRPr="00F105AD">
        <w:rPr>
          <w:szCs w:val="18"/>
          <w:lang w:val="fr-CH"/>
        </w:rPr>
        <w:t xml:space="preserve">), para. 32 ; </w:t>
      </w:r>
      <w:r w:rsidRPr="00F105AD">
        <w:rPr>
          <w:szCs w:val="18"/>
        </w:rPr>
        <w:t xml:space="preserve">CPI, Jugement </w:t>
      </w:r>
      <w:r w:rsidRPr="00F105AD">
        <w:rPr>
          <w:i/>
          <w:szCs w:val="18"/>
        </w:rPr>
        <w:t>Bemba</w:t>
      </w:r>
      <w:r w:rsidRPr="00F105AD">
        <w:rPr>
          <w:szCs w:val="18"/>
        </w:rPr>
        <w:t xml:space="preserve">, </w:t>
      </w:r>
      <w:r w:rsidRPr="00F105AD">
        <w:rPr>
          <w:i/>
          <w:szCs w:val="18"/>
        </w:rPr>
        <w:t>op. c</w:t>
      </w:r>
      <w:r w:rsidRPr="00297DF8">
        <w:rPr>
          <w:i/>
          <w:szCs w:val="18"/>
        </w:rPr>
        <w:t xml:space="preserve">it. </w:t>
      </w:r>
      <w:r w:rsidRPr="00297DF8">
        <w:rPr>
          <w:szCs w:val="18"/>
        </w:rPr>
        <w:t xml:space="preserve">fn. </w:t>
      </w:r>
      <w:r w:rsidRPr="00297DF8">
        <w:rPr>
          <w:szCs w:val="18"/>
        </w:rPr>
        <w:fldChar w:fldCharType="begin"/>
      </w:r>
      <w:r w:rsidRPr="00297DF8">
        <w:rPr>
          <w:szCs w:val="18"/>
        </w:rPr>
        <w:instrText xml:space="preserve"> NOTEREF _Ref516325643 \h  \* MERGEFORMAT </w:instrText>
      </w:r>
      <w:r w:rsidRPr="00297DF8">
        <w:rPr>
          <w:szCs w:val="18"/>
        </w:rPr>
      </w:r>
      <w:r w:rsidRPr="00297DF8">
        <w:rPr>
          <w:szCs w:val="18"/>
        </w:rPr>
        <w:fldChar w:fldCharType="separate"/>
      </w:r>
      <w:r w:rsidR="00AE33CF">
        <w:rPr>
          <w:szCs w:val="18"/>
        </w:rPr>
        <w:t>732</w:t>
      </w:r>
      <w:r w:rsidRPr="00297DF8">
        <w:rPr>
          <w:szCs w:val="18"/>
        </w:rPr>
        <w:fldChar w:fldCharType="end"/>
      </w:r>
      <w:r w:rsidRPr="00297DF8">
        <w:rPr>
          <w:szCs w:val="18"/>
        </w:rPr>
        <w:t>, para. 156.</w:t>
      </w:r>
    </w:p>
  </w:footnote>
  <w:footnote w:id="736">
    <w:p w14:paraId="0B051184" w14:textId="77777777" w:rsidR="004E119B" w:rsidRPr="00297DF8" w:rsidRDefault="004E119B" w:rsidP="00F105AD">
      <w:pPr>
        <w:pStyle w:val="FootnoteText"/>
        <w:ind w:left="1152" w:right="1138" w:hanging="245"/>
        <w:jc w:val="left"/>
        <w:rPr>
          <w:szCs w:val="18"/>
        </w:rPr>
      </w:pPr>
      <w:r w:rsidRPr="00297DF8">
        <w:rPr>
          <w:rStyle w:val="FootnoteReference"/>
          <w:szCs w:val="18"/>
        </w:rPr>
        <w:footnoteRef/>
      </w:r>
      <w:r w:rsidRPr="00297DF8">
        <w:rPr>
          <w:szCs w:val="18"/>
        </w:rPr>
        <w:t xml:space="preserve"> CPI, </w:t>
      </w:r>
      <w:r w:rsidRPr="00297DF8">
        <w:rPr>
          <w:i/>
          <w:szCs w:val="18"/>
        </w:rPr>
        <w:t xml:space="preserve">Eléments </w:t>
      </w:r>
      <w:r w:rsidRPr="00297DF8">
        <w:rPr>
          <w:szCs w:val="18"/>
          <w:lang w:val="fr-CH"/>
        </w:rPr>
        <w:t>des</w:t>
      </w:r>
      <w:r w:rsidRPr="00297DF8">
        <w:rPr>
          <w:i/>
          <w:szCs w:val="18"/>
        </w:rPr>
        <w:t xml:space="preserve"> crimes</w:t>
      </w:r>
      <w:r w:rsidRPr="00297DF8">
        <w:rPr>
          <w:szCs w:val="18"/>
        </w:rPr>
        <w:t xml:space="preserve">, Article 7 Crimes contre l’humanité : Introduction, para. 2. Le texte des </w:t>
      </w:r>
      <w:r w:rsidRPr="00297DF8">
        <w:rPr>
          <w:i/>
          <w:szCs w:val="18"/>
        </w:rPr>
        <w:t>Éléments des crimes</w:t>
      </w:r>
      <w:r w:rsidRPr="00297DF8">
        <w:rPr>
          <w:szCs w:val="18"/>
        </w:rPr>
        <w:t xml:space="preserve"> est tiré des Documents officiels de l’Assemblée des États Parties au Statut de Rome de la Cour pénale internationale, première session, New York, 3-10 septembre 2002</w:t>
      </w:r>
    </w:p>
  </w:footnote>
  <w:footnote w:id="737">
    <w:p w14:paraId="5C7DB16B" w14:textId="11BC8FBA" w:rsidR="004E119B" w:rsidRPr="00297DF8" w:rsidRDefault="004E119B" w:rsidP="00F105AD">
      <w:pPr>
        <w:pStyle w:val="FootnoteText"/>
        <w:ind w:left="1152" w:right="1138" w:hanging="245"/>
        <w:jc w:val="left"/>
        <w:rPr>
          <w:szCs w:val="18"/>
        </w:rPr>
      </w:pPr>
      <w:r w:rsidRPr="00297DF8">
        <w:rPr>
          <w:rStyle w:val="FootnoteReference"/>
          <w:szCs w:val="18"/>
        </w:rPr>
        <w:footnoteRef/>
      </w:r>
      <w:r w:rsidRPr="00297DF8">
        <w:rPr>
          <w:szCs w:val="18"/>
        </w:rPr>
        <w:t xml:space="preserve"> TPIY, </w:t>
      </w:r>
      <w:r w:rsidRPr="00297DF8">
        <w:rPr>
          <w:i/>
          <w:szCs w:val="18"/>
        </w:rPr>
        <w:t xml:space="preserve">Le </w:t>
      </w:r>
      <w:r w:rsidRPr="00297DF8">
        <w:rPr>
          <w:szCs w:val="18"/>
          <w:lang w:val="fr-CH"/>
        </w:rPr>
        <w:t>Procureur</w:t>
      </w:r>
      <w:r w:rsidRPr="00297DF8">
        <w:rPr>
          <w:i/>
          <w:szCs w:val="18"/>
        </w:rPr>
        <w:t xml:space="preserve"> c. Duško Tadić</w:t>
      </w:r>
      <w:r w:rsidRPr="00297DF8">
        <w:rPr>
          <w:szCs w:val="18"/>
        </w:rPr>
        <w:t xml:space="preserve">, Affaire n° IT-94-1-A, Arrêt, 15 juillet 1999, para. 248 ; </w:t>
      </w:r>
      <w:r w:rsidRPr="00297DF8">
        <w:rPr>
          <w:szCs w:val="18"/>
          <w:lang w:val="fr-CH"/>
        </w:rPr>
        <w:t xml:space="preserve">TPIY, Arrêt </w:t>
      </w:r>
      <w:r w:rsidRPr="00297DF8">
        <w:rPr>
          <w:i/>
          <w:szCs w:val="18"/>
          <w:lang w:val="fr-CH"/>
        </w:rPr>
        <w:t>Kunarac et consorts</w:t>
      </w:r>
      <w:r w:rsidRPr="00297DF8">
        <w:rPr>
          <w:szCs w:val="18"/>
          <w:lang w:val="fr-CH"/>
        </w:rPr>
        <w:t xml:space="preserve">, </w:t>
      </w:r>
      <w:r w:rsidRPr="00297DF8">
        <w:rPr>
          <w:i/>
          <w:szCs w:val="18"/>
        </w:rPr>
        <w:t xml:space="preserve">op. cit. </w:t>
      </w:r>
      <w:r w:rsidRPr="00297DF8">
        <w:rPr>
          <w:szCs w:val="18"/>
        </w:rPr>
        <w:t xml:space="preserve">fn. </w:t>
      </w:r>
      <w:r w:rsidRPr="00297DF8">
        <w:rPr>
          <w:szCs w:val="18"/>
        </w:rPr>
        <w:fldChar w:fldCharType="begin"/>
      </w:r>
      <w:r w:rsidRPr="00297DF8">
        <w:rPr>
          <w:szCs w:val="18"/>
        </w:rPr>
        <w:instrText xml:space="preserve"> NOTEREF _Ref516325956 \h  \* MERGEFORMAT </w:instrText>
      </w:r>
      <w:r w:rsidRPr="00297DF8">
        <w:rPr>
          <w:szCs w:val="18"/>
        </w:rPr>
      </w:r>
      <w:r w:rsidRPr="00297DF8">
        <w:rPr>
          <w:szCs w:val="18"/>
        </w:rPr>
        <w:fldChar w:fldCharType="separate"/>
      </w:r>
      <w:r w:rsidR="00AE33CF">
        <w:rPr>
          <w:szCs w:val="18"/>
        </w:rPr>
        <w:t>731</w:t>
      </w:r>
      <w:r w:rsidRPr="00297DF8">
        <w:rPr>
          <w:szCs w:val="18"/>
        </w:rPr>
        <w:fldChar w:fldCharType="end"/>
      </w:r>
      <w:r w:rsidRPr="00297DF8">
        <w:rPr>
          <w:szCs w:val="18"/>
          <w:lang w:val="fr-CH"/>
        </w:rPr>
        <w:t xml:space="preserve">, paras. 99, 103 ; TPIY, Arrêt </w:t>
      </w:r>
      <w:r w:rsidRPr="00297DF8">
        <w:rPr>
          <w:i/>
          <w:szCs w:val="18"/>
          <w:lang w:val="fr-CH"/>
        </w:rPr>
        <w:t>Blaškić</w:t>
      </w:r>
      <w:r w:rsidRPr="00297DF8">
        <w:rPr>
          <w:szCs w:val="18"/>
          <w:lang w:val="fr-CH"/>
        </w:rPr>
        <w:t xml:space="preserve">, </w:t>
      </w:r>
      <w:r w:rsidRPr="00297DF8">
        <w:rPr>
          <w:i/>
          <w:szCs w:val="18"/>
        </w:rPr>
        <w:t xml:space="preserve">op. cit. </w:t>
      </w:r>
      <w:r w:rsidRPr="00297DF8">
        <w:rPr>
          <w:szCs w:val="18"/>
        </w:rPr>
        <w:t xml:space="preserve">fn. </w:t>
      </w:r>
      <w:r w:rsidRPr="00297DF8">
        <w:rPr>
          <w:szCs w:val="18"/>
        </w:rPr>
        <w:fldChar w:fldCharType="begin"/>
      </w:r>
      <w:r w:rsidRPr="00297DF8">
        <w:rPr>
          <w:szCs w:val="18"/>
        </w:rPr>
        <w:instrText xml:space="preserve"> NOTEREF _Ref516325956 \h  \* MERGEFORMAT </w:instrText>
      </w:r>
      <w:r w:rsidRPr="00297DF8">
        <w:rPr>
          <w:szCs w:val="18"/>
        </w:rPr>
      </w:r>
      <w:r w:rsidRPr="00297DF8">
        <w:rPr>
          <w:szCs w:val="18"/>
        </w:rPr>
        <w:fldChar w:fldCharType="separate"/>
      </w:r>
      <w:r w:rsidR="00AE33CF">
        <w:rPr>
          <w:szCs w:val="18"/>
        </w:rPr>
        <w:t>731</w:t>
      </w:r>
      <w:r w:rsidRPr="00297DF8">
        <w:rPr>
          <w:szCs w:val="18"/>
        </w:rPr>
        <w:fldChar w:fldCharType="end"/>
      </w:r>
      <w:r w:rsidRPr="00297DF8">
        <w:rPr>
          <w:szCs w:val="18"/>
          <w:lang w:val="fr-CH"/>
        </w:rPr>
        <w:t>, para. 126.</w:t>
      </w:r>
    </w:p>
  </w:footnote>
  <w:footnote w:id="738">
    <w:p w14:paraId="5D0C461D" w14:textId="77777777" w:rsidR="004E119B" w:rsidRPr="00297DF8" w:rsidRDefault="004E119B" w:rsidP="00F105AD">
      <w:pPr>
        <w:pStyle w:val="FootnoteText"/>
        <w:ind w:left="1152" w:right="1138" w:hanging="245"/>
        <w:jc w:val="left"/>
        <w:rPr>
          <w:szCs w:val="18"/>
          <w:lang w:val="fr-CH"/>
        </w:rPr>
      </w:pPr>
      <w:r w:rsidRPr="00297DF8">
        <w:rPr>
          <w:rStyle w:val="FootnoteReference"/>
          <w:szCs w:val="18"/>
        </w:rPr>
        <w:footnoteRef/>
      </w:r>
      <w:r w:rsidRPr="00297DF8">
        <w:rPr>
          <w:szCs w:val="18"/>
          <w:lang w:val="fr-CH"/>
        </w:rPr>
        <w:t xml:space="preserve"> </w:t>
      </w:r>
      <w:r w:rsidRPr="00297DF8">
        <w:rPr>
          <w:szCs w:val="18"/>
        </w:rPr>
        <w:t xml:space="preserve">CPI, </w:t>
      </w:r>
      <w:r w:rsidRPr="00297DF8">
        <w:rPr>
          <w:szCs w:val="18"/>
          <w:lang w:val="fr-CH"/>
        </w:rPr>
        <w:t>Eléments</w:t>
      </w:r>
      <w:r w:rsidRPr="00297DF8">
        <w:rPr>
          <w:i/>
          <w:szCs w:val="18"/>
        </w:rPr>
        <w:t xml:space="preserve"> des crimes</w:t>
      </w:r>
      <w:r w:rsidRPr="00297DF8">
        <w:rPr>
          <w:szCs w:val="18"/>
        </w:rPr>
        <w:t>, Article 7 Crimes contre l’humanité : Introduction, para. 2.</w:t>
      </w:r>
    </w:p>
  </w:footnote>
  <w:footnote w:id="739">
    <w:p w14:paraId="3AEAA41F" w14:textId="77777777" w:rsidR="004E119B" w:rsidRPr="00297DF8" w:rsidRDefault="004E119B" w:rsidP="00F105AD">
      <w:pPr>
        <w:pStyle w:val="FootnoteText"/>
        <w:ind w:left="1152" w:right="1138" w:hanging="245"/>
        <w:jc w:val="left"/>
        <w:rPr>
          <w:szCs w:val="18"/>
        </w:rPr>
      </w:pPr>
      <w:r w:rsidRPr="00297DF8">
        <w:rPr>
          <w:rStyle w:val="FootnoteReference"/>
          <w:szCs w:val="18"/>
        </w:rPr>
        <w:footnoteRef/>
      </w:r>
      <w:r w:rsidRPr="00297DF8">
        <w:rPr>
          <w:szCs w:val="18"/>
        </w:rPr>
        <w:t xml:space="preserve"> CPI, </w:t>
      </w:r>
      <w:r w:rsidRPr="00297DF8">
        <w:rPr>
          <w:i/>
          <w:szCs w:val="18"/>
        </w:rPr>
        <w:t>Le Procureur c. Germain Katanga</w:t>
      </w:r>
      <w:r w:rsidRPr="00297DF8">
        <w:rPr>
          <w:szCs w:val="18"/>
        </w:rPr>
        <w:t xml:space="preserve">, Affaire n° ICC-01/04-01/07, Jugement rendu en application de l’article 74 du Statut, 7 mars 2014 (CPI, Jugement </w:t>
      </w:r>
      <w:r w:rsidRPr="00297DF8">
        <w:rPr>
          <w:i/>
          <w:szCs w:val="18"/>
        </w:rPr>
        <w:t>Katanga</w:t>
      </w:r>
      <w:r w:rsidRPr="00297DF8">
        <w:rPr>
          <w:szCs w:val="18"/>
        </w:rPr>
        <w:t>), para. 1119.</w:t>
      </w:r>
    </w:p>
  </w:footnote>
  <w:footnote w:id="740">
    <w:p w14:paraId="56A70E14" w14:textId="526E29D5" w:rsidR="004E119B" w:rsidRPr="00297DF8" w:rsidRDefault="004E119B" w:rsidP="00F105AD">
      <w:pPr>
        <w:pStyle w:val="FootnoteText"/>
        <w:ind w:left="1152" w:right="1138" w:hanging="245"/>
        <w:jc w:val="left"/>
        <w:rPr>
          <w:szCs w:val="18"/>
        </w:rPr>
      </w:pPr>
      <w:r w:rsidRPr="00297DF8">
        <w:rPr>
          <w:rStyle w:val="FootnoteReference"/>
          <w:szCs w:val="18"/>
        </w:rPr>
        <w:footnoteRef/>
      </w:r>
      <w:r w:rsidRPr="00297DF8">
        <w:rPr>
          <w:szCs w:val="18"/>
        </w:rPr>
        <w:t xml:space="preserve"> CPI, </w:t>
      </w:r>
      <w:r w:rsidRPr="00297DF8">
        <w:rPr>
          <w:i/>
          <w:szCs w:val="18"/>
        </w:rPr>
        <w:t>Jugement</w:t>
      </w:r>
      <w:r w:rsidRPr="00297DF8">
        <w:rPr>
          <w:szCs w:val="18"/>
        </w:rPr>
        <w:t xml:space="preserve"> </w:t>
      </w:r>
      <w:r w:rsidRPr="00297DF8">
        <w:rPr>
          <w:i/>
          <w:szCs w:val="18"/>
        </w:rPr>
        <w:t>Katanga</w:t>
      </w:r>
      <w:r w:rsidRPr="00297DF8">
        <w:rPr>
          <w:szCs w:val="18"/>
        </w:rPr>
        <w:t xml:space="preserve">, </w:t>
      </w:r>
      <w:r w:rsidRPr="00297DF8">
        <w:rPr>
          <w:i/>
          <w:szCs w:val="18"/>
        </w:rPr>
        <w:t xml:space="preserve">op. cit. </w:t>
      </w:r>
      <w:r w:rsidRPr="00297DF8">
        <w:rPr>
          <w:szCs w:val="18"/>
        </w:rPr>
        <w:t xml:space="preserve">fn. </w:t>
      </w:r>
      <w:r w:rsidRPr="00297DF8">
        <w:rPr>
          <w:szCs w:val="18"/>
        </w:rPr>
        <w:fldChar w:fldCharType="begin"/>
      </w:r>
      <w:r w:rsidRPr="00297DF8">
        <w:rPr>
          <w:szCs w:val="18"/>
        </w:rPr>
        <w:instrText xml:space="preserve"> NOTEREF _Ref516326527 \h  \* MERGEFORMAT </w:instrText>
      </w:r>
      <w:r w:rsidRPr="00297DF8">
        <w:rPr>
          <w:szCs w:val="18"/>
        </w:rPr>
      </w:r>
      <w:r w:rsidRPr="00297DF8">
        <w:rPr>
          <w:szCs w:val="18"/>
        </w:rPr>
        <w:fldChar w:fldCharType="separate"/>
      </w:r>
      <w:r w:rsidR="00AE33CF">
        <w:rPr>
          <w:szCs w:val="18"/>
        </w:rPr>
        <w:t>737</w:t>
      </w:r>
      <w:r w:rsidRPr="00297DF8">
        <w:rPr>
          <w:szCs w:val="18"/>
        </w:rPr>
        <w:fldChar w:fldCharType="end"/>
      </w:r>
      <w:r w:rsidRPr="00297DF8">
        <w:rPr>
          <w:szCs w:val="18"/>
        </w:rPr>
        <w:t>, para. 1119.</w:t>
      </w:r>
    </w:p>
  </w:footnote>
  <w:footnote w:id="741">
    <w:p w14:paraId="61D406C8" w14:textId="44488D48" w:rsidR="004E119B" w:rsidRPr="00CB6F4D" w:rsidRDefault="004E119B" w:rsidP="00F105AD">
      <w:pPr>
        <w:pStyle w:val="FootnoteText"/>
        <w:ind w:left="1152" w:right="1138" w:hanging="245"/>
        <w:jc w:val="left"/>
        <w:rPr>
          <w:szCs w:val="18"/>
          <w:lang w:val="es-ES"/>
        </w:rPr>
      </w:pPr>
      <w:r w:rsidRPr="00297DF8">
        <w:rPr>
          <w:rStyle w:val="FootnoteReference"/>
          <w:szCs w:val="18"/>
        </w:rPr>
        <w:footnoteRef/>
      </w:r>
      <w:r w:rsidRPr="00297DF8">
        <w:rPr>
          <w:szCs w:val="18"/>
        </w:rPr>
        <w:t xml:space="preserve"> CPI, </w:t>
      </w:r>
      <w:r w:rsidRPr="00297DF8">
        <w:rPr>
          <w:i/>
          <w:szCs w:val="18"/>
        </w:rPr>
        <w:t>Jugement</w:t>
      </w:r>
      <w:r w:rsidRPr="00297DF8">
        <w:rPr>
          <w:szCs w:val="18"/>
        </w:rPr>
        <w:t xml:space="preserve"> </w:t>
      </w:r>
      <w:r w:rsidRPr="00297DF8">
        <w:rPr>
          <w:i/>
          <w:szCs w:val="18"/>
        </w:rPr>
        <w:t>Katanga</w:t>
      </w:r>
      <w:r w:rsidRPr="00297DF8">
        <w:rPr>
          <w:szCs w:val="18"/>
        </w:rPr>
        <w:t xml:space="preserve">, </w:t>
      </w:r>
      <w:r w:rsidRPr="00297DF8">
        <w:rPr>
          <w:i/>
          <w:szCs w:val="18"/>
        </w:rPr>
        <w:t xml:space="preserve">op. cit. </w:t>
      </w:r>
      <w:r w:rsidRPr="00297DF8">
        <w:rPr>
          <w:szCs w:val="18"/>
        </w:rPr>
        <w:t xml:space="preserve">fn. </w:t>
      </w:r>
      <w:r w:rsidRPr="00297DF8">
        <w:rPr>
          <w:szCs w:val="18"/>
        </w:rPr>
        <w:fldChar w:fldCharType="begin"/>
      </w:r>
      <w:r w:rsidRPr="00297DF8">
        <w:rPr>
          <w:szCs w:val="18"/>
        </w:rPr>
        <w:instrText xml:space="preserve"> NOTEREF _Ref516326527 \h  \* MERGEFORMAT </w:instrText>
      </w:r>
      <w:r w:rsidRPr="00297DF8">
        <w:rPr>
          <w:szCs w:val="18"/>
        </w:rPr>
      </w:r>
      <w:r w:rsidRPr="00297DF8">
        <w:rPr>
          <w:szCs w:val="18"/>
        </w:rPr>
        <w:fldChar w:fldCharType="separate"/>
      </w:r>
      <w:r w:rsidR="00AE33CF" w:rsidRPr="00AE33CF">
        <w:rPr>
          <w:szCs w:val="18"/>
          <w:lang w:val="es-ES"/>
        </w:rPr>
        <w:t>737</w:t>
      </w:r>
      <w:r w:rsidRPr="00297DF8">
        <w:rPr>
          <w:szCs w:val="18"/>
        </w:rPr>
        <w:fldChar w:fldCharType="end"/>
      </w:r>
      <w:r w:rsidRPr="00CB6F4D">
        <w:rPr>
          <w:szCs w:val="18"/>
          <w:lang w:val="es-ES"/>
        </w:rPr>
        <w:t>, para. 1120.</w:t>
      </w:r>
    </w:p>
  </w:footnote>
  <w:footnote w:id="742">
    <w:p w14:paraId="1E15079E" w14:textId="55754F86" w:rsidR="004E119B" w:rsidRPr="00CB6F4D" w:rsidRDefault="004E119B" w:rsidP="00F105AD">
      <w:pPr>
        <w:pStyle w:val="FootnoteText"/>
        <w:ind w:left="1152" w:right="1138" w:hanging="245"/>
        <w:jc w:val="left"/>
        <w:rPr>
          <w:szCs w:val="18"/>
          <w:lang w:val="es-ES"/>
        </w:rPr>
      </w:pPr>
      <w:r w:rsidRPr="00297DF8">
        <w:rPr>
          <w:rStyle w:val="FootnoteReference"/>
          <w:szCs w:val="18"/>
        </w:rPr>
        <w:footnoteRef/>
      </w:r>
      <w:r w:rsidRPr="00CB6F4D">
        <w:rPr>
          <w:szCs w:val="18"/>
          <w:lang w:val="es-ES"/>
        </w:rPr>
        <w:t xml:space="preserve"> CPI, </w:t>
      </w:r>
      <w:r w:rsidRPr="00CB6F4D">
        <w:rPr>
          <w:i/>
          <w:szCs w:val="18"/>
          <w:lang w:val="es-ES"/>
        </w:rPr>
        <w:t>Jugement</w:t>
      </w:r>
      <w:r w:rsidRPr="00CB6F4D">
        <w:rPr>
          <w:szCs w:val="18"/>
          <w:lang w:val="es-ES"/>
        </w:rPr>
        <w:t xml:space="preserve"> </w:t>
      </w:r>
      <w:r w:rsidRPr="00CB6F4D">
        <w:rPr>
          <w:i/>
          <w:szCs w:val="18"/>
          <w:lang w:val="es-ES"/>
        </w:rPr>
        <w:t>Bemba</w:t>
      </w:r>
      <w:r w:rsidRPr="00CB6F4D">
        <w:rPr>
          <w:szCs w:val="18"/>
          <w:lang w:val="es-ES"/>
        </w:rPr>
        <w:t xml:space="preserve">, </w:t>
      </w:r>
      <w:r w:rsidRPr="00CB6F4D">
        <w:rPr>
          <w:i/>
          <w:szCs w:val="18"/>
          <w:lang w:val="es-ES"/>
        </w:rPr>
        <w:t xml:space="preserve">op. cit. </w:t>
      </w:r>
      <w:r w:rsidRPr="00CB6F4D">
        <w:rPr>
          <w:szCs w:val="18"/>
          <w:lang w:val="es-ES"/>
        </w:rPr>
        <w:t xml:space="preserve">fn. </w:t>
      </w:r>
      <w:r w:rsidRPr="00297DF8">
        <w:rPr>
          <w:szCs w:val="18"/>
        </w:rPr>
        <w:fldChar w:fldCharType="begin"/>
      </w:r>
      <w:r w:rsidRPr="00CB6F4D">
        <w:rPr>
          <w:szCs w:val="18"/>
          <w:lang w:val="es-ES"/>
        </w:rPr>
        <w:instrText xml:space="preserve"> NOTEREF _Ref516325643 \h  \* MERGEFORMAT </w:instrText>
      </w:r>
      <w:r w:rsidRPr="00297DF8">
        <w:rPr>
          <w:szCs w:val="18"/>
        </w:rPr>
      </w:r>
      <w:r w:rsidRPr="00297DF8">
        <w:rPr>
          <w:szCs w:val="18"/>
        </w:rPr>
        <w:fldChar w:fldCharType="separate"/>
      </w:r>
      <w:r w:rsidR="00AE33CF">
        <w:rPr>
          <w:szCs w:val="18"/>
          <w:lang w:val="es-ES"/>
        </w:rPr>
        <w:t>732</w:t>
      </w:r>
      <w:r w:rsidRPr="00297DF8">
        <w:rPr>
          <w:szCs w:val="18"/>
        </w:rPr>
        <w:fldChar w:fldCharType="end"/>
      </w:r>
      <w:r w:rsidRPr="00CB6F4D">
        <w:rPr>
          <w:szCs w:val="18"/>
          <w:lang w:val="es-ES"/>
        </w:rPr>
        <w:t>, para. 160.</w:t>
      </w:r>
    </w:p>
  </w:footnote>
  <w:footnote w:id="743">
    <w:p w14:paraId="27D1ED86" w14:textId="7EED5C14" w:rsidR="004E119B" w:rsidRPr="00CB6F4D" w:rsidRDefault="004E119B" w:rsidP="00F105AD">
      <w:pPr>
        <w:pStyle w:val="FootnoteText"/>
        <w:ind w:left="1152" w:right="1138" w:hanging="245"/>
        <w:jc w:val="left"/>
        <w:rPr>
          <w:szCs w:val="18"/>
          <w:lang w:val="es-ES"/>
        </w:rPr>
      </w:pPr>
      <w:r w:rsidRPr="00297DF8">
        <w:rPr>
          <w:rStyle w:val="FootnoteReference"/>
          <w:szCs w:val="18"/>
        </w:rPr>
        <w:footnoteRef/>
      </w:r>
      <w:r w:rsidRPr="00CB6F4D">
        <w:rPr>
          <w:szCs w:val="18"/>
          <w:lang w:val="es-ES"/>
        </w:rPr>
        <w:t xml:space="preserve"> CPI, </w:t>
      </w:r>
      <w:r w:rsidRPr="00CB6F4D">
        <w:rPr>
          <w:i/>
          <w:szCs w:val="18"/>
          <w:lang w:val="es-ES"/>
        </w:rPr>
        <w:t>Jugement</w:t>
      </w:r>
      <w:r w:rsidRPr="00CB6F4D">
        <w:rPr>
          <w:szCs w:val="18"/>
          <w:lang w:val="es-ES"/>
        </w:rPr>
        <w:t xml:space="preserve"> </w:t>
      </w:r>
      <w:r w:rsidRPr="00CB6F4D">
        <w:rPr>
          <w:i/>
          <w:szCs w:val="18"/>
          <w:lang w:val="es-ES"/>
        </w:rPr>
        <w:t>Bemba</w:t>
      </w:r>
      <w:r w:rsidRPr="00CB6F4D">
        <w:rPr>
          <w:szCs w:val="18"/>
          <w:lang w:val="es-ES"/>
        </w:rPr>
        <w:t xml:space="preserve">, </w:t>
      </w:r>
      <w:r w:rsidRPr="00CB6F4D">
        <w:rPr>
          <w:i/>
          <w:szCs w:val="18"/>
          <w:lang w:val="es-ES"/>
        </w:rPr>
        <w:t xml:space="preserve">op. cit. </w:t>
      </w:r>
      <w:r w:rsidRPr="00CB6F4D">
        <w:rPr>
          <w:szCs w:val="18"/>
          <w:lang w:val="es-ES"/>
        </w:rPr>
        <w:t xml:space="preserve">fn. </w:t>
      </w:r>
      <w:r w:rsidRPr="00297DF8">
        <w:rPr>
          <w:szCs w:val="18"/>
        </w:rPr>
        <w:fldChar w:fldCharType="begin"/>
      </w:r>
      <w:r w:rsidRPr="00CB6F4D">
        <w:rPr>
          <w:szCs w:val="18"/>
          <w:lang w:val="es-ES"/>
        </w:rPr>
        <w:instrText xml:space="preserve"> NOTEREF _Ref516325643 \h  \* MERGEFORMAT </w:instrText>
      </w:r>
      <w:r w:rsidRPr="00297DF8">
        <w:rPr>
          <w:szCs w:val="18"/>
        </w:rPr>
      </w:r>
      <w:r w:rsidRPr="00297DF8">
        <w:rPr>
          <w:szCs w:val="18"/>
        </w:rPr>
        <w:fldChar w:fldCharType="separate"/>
      </w:r>
      <w:r w:rsidR="00AE33CF">
        <w:rPr>
          <w:szCs w:val="18"/>
          <w:lang w:val="es-ES"/>
        </w:rPr>
        <w:t>732</w:t>
      </w:r>
      <w:r w:rsidRPr="00297DF8">
        <w:rPr>
          <w:szCs w:val="18"/>
        </w:rPr>
        <w:fldChar w:fldCharType="end"/>
      </w:r>
      <w:r w:rsidRPr="00CB6F4D">
        <w:rPr>
          <w:szCs w:val="18"/>
          <w:lang w:val="es-ES"/>
        </w:rPr>
        <w:t>, para. 158.</w:t>
      </w:r>
    </w:p>
  </w:footnote>
  <w:footnote w:id="744">
    <w:p w14:paraId="3B91FF34" w14:textId="3BDBDD5A" w:rsidR="004E119B" w:rsidRPr="00840539" w:rsidRDefault="004E119B" w:rsidP="00297DF8">
      <w:pPr>
        <w:pStyle w:val="FootnoteText"/>
        <w:ind w:left="1152" w:right="1138" w:hanging="245"/>
        <w:jc w:val="left"/>
        <w:rPr>
          <w:szCs w:val="18"/>
        </w:rPr>
      </w:pPr>
      <w:r w:rsidRPr="002D31A9">
        <w:rPr>
          <w:rStyle w:val="FootnoteReference"/>
          <w:szCs w:val="18"/>
        </w:rPr>
        <w:footnoteRef/>
      </w:r>
      <w:r w:rsidRPr="00CB6F4D">
        <w:rPr>
          <w:szCs w:val="18"/>
          <w:lang w:val="es-ES"/>
        </w:rPr>
        <w:t xml:space="preserve"> CPI, </w:t>
      </w:r>
      <w:r w:rsidRPr="00CB6F4D">
        <w:rPr>
          <w:i/>
          <w:szCs w:val="18"/>
          <w:lang w:val="es-ES"/>
        </w:rPr>
        <w:t>Jugement</w:t>
      </w:r>
      <w:r w:rsidRPr="00CB6F4D">
        <w:rPr>
          <w:szCs w:val="18"/>
          <w:lang w:val="es-ES"/>
        </w:rPr>
        <w:t xml:space="preserve"> </w:t>
      </w:r>
      <w:r w:rsidRPr="00CB6F4D">
        <w:rPr>
          <w:i/>
          <w:szCs w:val="18"/>
          <w:lang w:val="es-ES"/>
        </w:rPr>
        <w:t>Bemba</w:t>
      </w:r>
      <w:r w:rsidRPr="00CB6F4D">
        <w:rPr>
          <w:szCs w:val="18"/>
          <w:lang w:val="es-ES"/>
        </w:rPr>
        <w:t xml:space="preserve">, </w:t>
      </w:r>
      <w:r w:rsidRPr="00CB6F4D">
        <w:rPr>
          <w:i/>
          <w:szCs w:val="18"/>
          <w:lang w:val="es-ES"/>
        </w:rPr>
        <w:t xml:space="preserve">op. cit. </w:t>
      </w:r>
      <w:r w:rsidRPr="00CB6F4D">
        <w:rPr>
          <w:szCs w:val="18"/>
          <w:lang w:val="es-ES"/>
        </w:rPr>
        <w:t xml:space="preserve">fn. </w:t>
      </w:r>
      <w:r w:rsidRPr="00297DF8">
        <w:rPr>
          <w:szCs w:val="18"/>
        </w:rPr>
        <w:fldChar w:fldCharType="begin"/>
      </w:r>
      <w:r w:rsidRPr="00CB6F4D">
        <w:rPr>
          <w:szCs w:val="18"/>
          <w:lang w:val="es-ES"/>
        </w:rPr>
        <w:instrText xml:space="preserve"> NOTEREF _Ref516325643 \h  \* MERGEFORMAT </w:instrText>
      </w:r>
      <w:r w:rsidRPr="00297DF8">
        <w:rPr>
          <w:szCs w:val="18"/>
        </w:rPr>
      </w:r>
      <w:r w:rsidRPr="00297DF8">
        <w:rPr>
          <w:szCs w:val="18"/>
        </w:rPr>
        <w:fldChar w:fldCharType="separate"/>
      </w:r>
      <w:r w:rsidR="00AE33CF">
        <w:rPr>
          <w:szCs w:val="18"/>
          <w:lang w:val="es-ES"/>
        </w:rPr>
        <w:t>732</w:t>
      </w:r>
      <w:r w:rsidRPr="00297DF8">
        <w:rPr>
          <w:szCs w:val="18"/>
        </w:rPr>
        <w:fldChar w:fldCharType="end"/>
      </w:r>
      <w:r w:rsidRPr="00CB6F4D">
        <w:rPr>
          <w:szCs w:val="18"/>
          <w:lang w:val="es-ES"/>
        </w:rPr>
        <w:t xml:space="preserve">, paras. 153, 156 ; TPIY, Arrêt </w:t>
      </w:r>
      <w:r w:rsidRPr="00CB6F4D">
        <w:rPr>
          <w:i/>
          <w:szCs w:val="18"/>
          <w:lang w:val="es-ES"/>
        </w:rPr>
        <w:t>Mrkšić et Šljivančanin</w:t>
      </w:r>
      <w:r w:rsidRPr="00CB6F4D">
        <w:rPr>
          <w:szCs w:val="18"/>
          <w:lang w:val="es-ES"/>
        </w:rPr>
        <w:t xml:space="preserve">, </w:t>
      </w:r>
      <w:r w:rsidRPr="00CB6F4D">
        <w:rPr>
          <w:i/>
          <w:szCs w:val="18"/>
          <w:lang w:val="es-ES"/>
        </w:rPr>
        <w:t xml:space="preserve">op. cit. </w:t>
      </w:r>
      <w:r w:rsidRPr="00CB6F4D">
        <w:rPr>
          <w:szCs w:val="18"/>
          <w:lang w:val="es-ES"/>
        </w:rPr>
        <w:t xml:space="preserve">fn. </w:t>
      </w:r>
      <w:r w:rsidRPr="00297DF8">
        <w:rPr>
          <w:szCs w:val="18"/>
        </w:rPr>
        <w:fldChar w:fldCharType="begin"/>
      </w:r>
      <w:r w:rsidRPr="00CB6F4D">
        <w:rPr>
          <w:szCs w:val="18"/>
          <w:lang w:val="es-ES"/>
        </w:rPr>
        <w:instrText xml:space="preserve"> NOTEREF _Ref516326389 \h  \* MERGEFORMAT </w:instrText>
      </w:r>
      <w:r w:rsidRPr="00297DF8">
        <w:rPr>
          <w:szCs w:val="18"/>
        </w:rPr>
      </w:r>
      <w:r w:rsidRPr="00297DF8">
        <w:rPr>
          <w:szCs w:val="18"/>
        </w:rPr>
        <w:fldChar w:fldCharType="separate"/>
      </w:r>
      <w:r w:rsidR="00AE33CF" w:rsidRPr="00AE33CF">
        <w:rPr>
          <w:szCs w:val="18"/>
        </w:rPr>
        <w:t>733</w:t>
      </w:r>
      <w:r w:rsidRPr="00297DF8">
        <w:rPr>
          <w:szCs w:val="18"/>
        </w:rPr>
        <w:fldChar w:fldCharType="end"/>
      </w:r>
      <w:r w:rsidRPr="002D31A9">
        <w:rPr>
          <w:szCs w:val="18"/>
          <w:lang w:val="fr-CH"/>
        </w:rPr>
        <w:t>, para. 32</w:t>
      </w:r>
      <w:r w:rsidRPr="00840539">
        <w:rPr>
          <w:szCs w:val="18"/>
        </w:rPr>
        <w:t>.</w:t>
      </w:r>
    </w:p>
  </w:footnote>
  <w:footnote w:id="745">
    <w:p w14:paraId="6AF83957" w14:textId="77777777" w:rsidR="004E119B" w:rsidRPr="00840539" w:rsidRDefault="004E119B" w:rsidP="00297DF8">
      <w:pPr>
        <w:pStyle w:val="FootnoteText"/>
        <w:ind w:left="1152" w:right="1138" w:hanging="245"/>
        <w:jc w:val="left"/>
        <w:rPr>
          <w:szCs w:val="18"/>
        </w:rPr>
      </w:pPr>
      <w:r w:rsidRPr="002D31A9">
        <w:rPr>
          <w:rStyle w:val="FootnoteReference"/>
          <w:szCs w:val="18"/>
        </w:rPr>
        <w:footnoteRef/>
      </w:r>
      <w:r w:rsidRPr="002D31A9">
        <w:rPr>
          <w:szCs w:val="18"/>
        </w:rPr>
        <w:t xml:space="preserve"> L</w:t>
      </w:r>
      <w:r w:rsidRPr="00840539">
        <w:rPr>
          <w:szCs w:val="18"/>
        </w:rPr>
        <w:t>’élément de ce crime est que l’auteur a tué une ou plusieurs personnes. Le terme « tué » est interchangeable avec l’expression « causé la mort de ».</w:t>
      </w:r>
    </w:p>
  </w:footnote>
  <w:footnote w:id="746">
    <w:p w14:paraId="4FBCBB6F" w14:textId="77777777" w:rsidR="004E119B" w:rsidRPr="00840539" w:rsidRDefault="004E119B" w:rsidP="00297DF8">
      <w:pPr>
        <w:pStyle w:val="FootnoteText"/>
        <w:ind w:left="1152" w:right="1138" w:hanging="245"/>
        <w:jc w:val="left"/>
        <w:rPr>
          <w:szCs w:val="18"/>
        </w:rPr>
      </w:pPr>
      <w:r w:rsidRPr="002D31A9">
        <w:rPr>
          <w:rStyle w:val="FootnoteReference"/>
          <w:szCs w:val="18"/>
        </w:rPr>
        <w:footnoteRef/>
      </w:r>
      <w:r w:rsidRPr="002D31A9">
        <w:rPr>
          <w:szCs w:val="18"/>
        </w:rPr>
        <w:t xml:space="preserve"> T0089.</w:t>
      </w:r>
    </w:p>
  </w:footnote>
  <w:footnote w:id="747">
    <w:p w14:paraId="166F82D8" w14:textId="77777777" w:rsidR="004E119B" w:rsidRPr="006E341A" w:rsidRDefault="004E119B" w:rsidP="00297DF8">
      <w:pPr>
        <w:pStyle w:val="FootnoteText"/>
        <w:ind w:left="1152" w:right="1138" w:hanging="245"/>
        <w:jc w:val="left"/>
        <w:rPr>
          <w:szCs w:val="18"/>
        </w:rPr>
      </w:pPr>
      <w:r w:rsidRPr="002D31A9">
        <w:rPr>
          <w:rStyle w:val="FootnoteReference"/>
          <w:szCs w:val="18"/>
        </w:rPr>
        <w:footnoteRef/>
      </w:r>
      <w:r w:rsidRPr="002D31A9">
        <w:rPr>
          <w:szCs w:val="18"/>
        </w:rPr>
        <w:t xml:space="preserve"> Les éléments de ce crime sont</w:t>
      </w:r>
      <w:r w:rsidRPr="00840539">
        <w:rPr>
          <w:szCs w:val="18"/>
        </w:rPr>
        <w:t> : (i) L’auteur a emprisonné une ou plusieurs personnes ou autrement soumis ladite ou lesdites personnes à une privation grave de leur liberté physique ; (ii) La gravité du comportement était telle qu’il constituait une viol</w:t>
      </w:r>
      <w:r w:rsidRPr="006E341A">
        <w:rPr>
          <w:szCs w:val="18"/>
        </w:rPr>
        <w:t>ation de règles fondamentales du droit international ; et (iii) L’auteur avait connaissance des circonstances de fait établissant la gravité de son comportement.</w:t>
      </w:r>
    </w:p>
  </w:footnote>
  <w:footnote w:id="748">
    <w:p w14:paraId="4EFB5310" w14:textId="77777777" w:rsidR="004E119B" w:rsidRPr="009F1B3A" w:rsidRDefault="004E119B" w:rsidP="00297DF8">
      <w:pPr>
        <w:pStyle w:val="FootnoteText"/>
        <w:ind w:left="1152" w:right="1138" w:hanging="245"/>
        <w:jc w:val="left"/>
        <w:rPr>
          <w:szCs w:val="18"/>
        </w:rPr>
      </w:pPr>
      <w:r w:rsidRPr="002D31A9">
        <w:rPr>
          <w:rStyle w:val="FootnoteReference"/>
          <w:szCs w:val="18"/>
        </w:rPr>
        <w:footnoteRef/>
      </w:r>
      <w:r w:rsidRPr="002D31A9">
        <w:rPr>
          <w:szCs w:val="18"/>
        </w:rPr>
        <w:t xml:space="preserve"> </w:t>
      </w:r>
      <w:r w:rsidRPr="00840539">
        <w:rPr>
          <w:szCs w:val="18"/>
        </w:rPr>
        <w:t>Les éléments de ce crime sont : (i) L’auteur a pris possession du corps d’une personne de telle manière qu’il y a eu pénétration, même superficielle, d’une partie du corps de la victime ou de l’auteur par un organe sexuel, ou de l’anus ou du vagin de la victime par un objet ou toute partie du corps ; et (ii) L’acte a été commis par la force ou en</w:t>
      </w:r>
      <w:r w:rsidRPr="006E341A">
        <w:rPr>
          <w:szCs w:val="18"/>
        </w:rPr>
        <w:t xml:space="preserve"> usant à l’encontre de ladite ou desdites ou de tierces personnes de la menace de la force ou de la coercition, telle que celle causée par la menace de violences, contrainte, détention, pressions psychologiques, abus de pouvoir, ou bien à la faveur d’un en</w:t>
      </w:r>
      <w:r w:rsidRPr="0060278B">
        <w:rPr>
          <w:szCs w:val="18"/>
        </w:rPr>
        <w:t>vironnement coercitif, ou encore en profitant de l’incapacité de ladite personne de donner son libre consentement. L’expression « possession » se veut suffisamment large pour être dénuée de connotation sexospécifique. Par ailleurs, il est entendu qu’une pe</w:t>
      </w:r>
      <w:r w:rsidRPr="009F1B3A">
        <w:rPr>
          <w:szCs w:val="18"/>
        </w:rPr>
        <w:t>rsonne peut être incapable de donner un libre consentement si elle souffre d’une incapacité innée, acquise ou liée à l’âge.</w:t>
      </w:r>
    </w:p>
  </w:footnote>
  <w:footnote w:id="749">
    <w:p w14:paraId="1AAE684D" w14:textId="77777777" w:rsidR="004E119B" w:rsidRPr="0060278B" w:rsidRDefault="004E119B" w:rsidP="00297DF8">
      <w:pPr>
        <w:pStyle w:val="FootnoteText"/>
        <w:ind w:left="1152" w:right="1138" w:hanging="245"/>
        <w:jc w:val="left"/>
        <w:rPr>
          <w:szCs w:val="18"/>
        </w:rPr>
      </w:pPr>
      <w:r w:rsidRPr="002D31A9">
        <w:rPr>
          <w:rStyle w:val="FootnoteReference"/>
          <w:szCs w:val="18"/>
        </w:rPr>
        <w:footnoteRef/>
      </w:r>
      <w:r w:rsidRPr="002D31A9">
        <w:rPr>
          <w:szCs w:val="18"/>
        </w:rPr>
        <w:t xml:space="preserve"> </w:t>
      </w:r>
      <w:r w:rsidRPr="00840539">
        <w:rPr>
          <w:szCs w:val="18"/>
        </w:rPr>
        <w:t>Les éléments de ce crime sont : (i) L’auteur a commis un acte de nature sexuelle sur une ou plusieurs personnes ou a contraint ladite ou lesdites personnes à accomplir un tel acte par la force ou en usant à l’encontre de ladite ou desdites ou de tierces personnes de la menace de la force ou de la coercition, telle que celle causée par la menace de violences, contrainte, détention, pr</w:t>
      </w:r>
      <w:r w:rsidRPr="006E341A">
        <w:rPr>
          <w:szCs w:val="18"/>
        </w:rPr>
        <w:t>essions psychologiques, abus de pouvoir, ou bien à la faveur d’un environnement coercitif, ou encore en profitant de l’incapacité desdites personnes de donner leur libre consentement ; (ii) Les actes étaient d’une gravité comparable à celle des autres infr</w:t>
      </w:r>
      <w:r w:rsidRPr="0060278B">
        <w:rPr>
          <w:szCs w:val="18"/>
        </w:rPr>
        <w:t>actions visées à l’article 7(1)(g) du Statut de Rome ; et (iii) L’auteur avait connaissance des circonstances de fait établissant la gravité de son comportement.</w:t>
      </w:r>
    </w:p>
  </w:footnote>
  <w:footnote w:id="750">
    <w:p w14:paraId="2FE4237F" w14:textId="77777777" w:rsidR="004E119B" w:rsidRPr="006E341A" w:rsidRDefault="004E119B" w:rsidP="00297DF8">
      <w:pPr>
        <w:pStyle w:val="FootnoteText"/>
        <w:ind w:left="1152" w:right="1138" w:hanging="245"/>
        <w:jc w:val="left"/>
        <w:rPr>
          <w:szCs w:val="18"/>
        </w:rPr>
      </w:pPr>
      <w:r w:rsidRPr="002D31A9">
        <w:rPr>
          <w:rStyle w:val="FootnoteReference"/>
          <w:szCs w:val="18"/>
        </w:rPr>
        <w:footnoteRef/>
      </w:r>
      <w:r w:rsidRPr="002D31A9">
        <w:rPr>
          <w:szCs w:val="18"/>
        </w:rPr>
        <w:t xml:space="preserve"> </w:t>
      </w:r>
      <w:r w:rsidRPr="00840539">
        <w:rPr>
          <w:szCs w:val="18"/>
        </w:rPr>
        <w:t>Les éléments de ce crime sont : (i) L’auteur a infligé à une ou plusieurs personnes une douleur ou des souffrances aiguës, physiques ou mentales ; (ii) Ladite ou lesdites personnes étaient sous la garde ou sous le contrôle de l’auteur ; et (iii) Les douleurs ou souffrances ne résultaient pas uniquement de sanctions légales et n’étaient pas inhére</w:t>
      </w:r>
      <w:r w:rsidRPr="006E341A">
        <w:rPr>
          <w:szCs w:val="18"/>
        </w:rPr>
        <w:t>ntes à de telles sanctions ni occasionnées par elles.</w:t>
      </w:r>
    </w:p>
  </w:footnote>
  <w:footnote w:id="751">
    <w:p w14:paraId="5E328A97" w14:textId="77777777" w:rsidR="004E119B" w:rsidRPr="00192143" w:rsidRDefault="004E119B" w:rsidP="00297DF8">
      <w:pPr>
        <w:pStyle w:val="FootnoteText"/>
        <w:ind w:left="1152" w:right="1138" w:hanging="245"/>
        <w:jc w:val="left"/>
        <w:rPr>
          <w:szCs w:val="18"/>
          <w:lang w:val="fr-CH"/>
        </w:rPr>
      </w:pPr>
      <w:r w:rsidRPr="002D31A9">
        <w:rPr>
          <w:rStyle w:val="FootnoteReference"/>
          <w:szCs w:val="18"/>
        </w:rPr>
        <w:footnoteRef/>
      </w:r>
      <w:r w:rsidRPr="002D31A9">
        <w:rPr>
          <w:szCs w:val="18"/>
        </w:rPr>
        <w:t xml:space="preserve"> </w:t>
      </w:r>
      <w:r w:rsidRPr="00840539">
        <w:rPr>
          <w:szCs w:val="18"/>
        </w:rPr>
        <w:t>Les éléments de ce crime sont : (i) L’auteur a, par un acte inhumain, infligé de grandes souffrances ou porté gravement atteinte à l’intégrité corporelle ou à la santé physique ou mentale de ses victi</w:t>
      </w:r>
      <w:r w:rsidRPr="006E341A">
        <w:rPr>
          <w:szCs w:val="18"/>
        </w:rPr>
        <w:t xml:space="preserve">mes ; (ii) Cet acte avait un caractère similaire à l’un quelconque des actes visés à l’article 7(1) du Statut de Rome ; et (iii) L’auteur avait connaissance des circonstances de fait établissant les caractéristiques de l’acte. </w:t>
      </w:r>
      <w:r w:rsidRPr="0060278B">
        <w:rPr>
          <w:szCs w:val="18"/>
          <w:lang w:val="fr-CH"/>
        </w:rPr>
        <w:t>Il est entendu que « caractèr</w:t>
      </w:r>
      <w:r w:rsidRPr="00192143">
        <w:rPr>
          <w:szCs w:val="18"/>
          <w:lang w:val="fr-CH"/>
        </w:rPr>
        <w:t>e » ou caractéristique se réfère à la nature et la gravité de l’acte.</w:t>
      </w:r>
    </w:p>
  </w:footnote>
  <w:footnote w:id="752">
    <w:p w14:paraId="53FB9952" w14:textId="77777777" w:rsidR="004E119B" w:rsidRPr="002D31A9" w:rsidRDefault="004E119B" w:rsidP="00297DF8">
      <w:pPr>
        <w:pStyle w:val="FootnoteText"/>
        <w:ind w:left="1152" w:right="1138" w:hanging="245"/>
        <w:jc w:val="left"/>
        <w:rPr>
          <w:szCs w:val="18"/>
        </w:rPr>
      </w:pPr>
      <w:r w:rsidRPr="002D31A9">
        <w:rPr>
          <w:rStyle w:val="FootnoteReference"/>
          <w:szCs w:val="18"/>
        </w:rPr>
        <w:footnoteRef/>
      </w:r>
      <w:r w:rsidRPr="002D31A9">
        <w:rPr>
          <w:szCs w:val="18"/>
        </w:rPr>
        <w:t xml:space="preserve"> T0106.</w:t>
      </w:r>
    </w:p>
  </w:footnote>
  <w:footnote w:id="753">
    <w:p w14:paraId="7635D027" w14:textId="77777777" w:rsidR="004E119B" w:rsidRPr="00840539" w:rsidRDefault="004E119B" w:rsidP="00297DF8">
      <w:pPr>
        <w:pStyle w:val="FootnoteText"/>
        <w:ind w:left="1152" w:right="1138" w:hanging="245"/>
        <w:jc w:val="left"/>
        <w:rPr>
          <w:szCs w:val="18"/>
        </w:rPr>
      </w:pPr>
      <w:r w:rsidRPr="002D31A9">
        <w:rPr>
          <w:rStyle w:val="FootnoteReference"/>
          <w:szCs w:val="18"/>
        </w:rPr>
        <w:footnoteRef/>
      </w:r>
      <w:r w:rsidRPr="002D31A9">
        <w:rPr>
          <w:szCs w:val="18"/>
        </w:rPr>
        <w:t xml:space="preserve"> </w:t>
      </w:r>
      <w:r w:rsidRPr="00840539">
        <w:rPr>
          <w:szCs w:val="18"/>
        </w:rPr>
        <w:t>Voir notamment T0098, T0428.</w:t>
      </w:r>
    </w:p>
  </w:footnote>
  <w:footnote w:id="754">
    <w:p w14:paraId="097F618E" w14:textId="0DE782FC" w:rsidR="004E119B" w:rsidRPr="00297DF8" w:rsidRDefault="004E119B" w:rsidP="00297DF8">
      <w:pPr>
        <w:pStyle w:val="FootnoteText"/>
        <w:ind w:left="1152" w:right="1138" w:hanging="245"/>
        <w:jc w:val="left"/>
        <w:rPr>
          <w:szCs w:val="18"/>
        </w:rPr>
      </w:pPr>
      <w:r w:rsidRPr="002D31A9">
        <w:rPr>
          <w:rStyle w:val="FootnoteReference"/>
          <w:szCs w:val="18"/>
        </w:rPr>
        <w:footnoteRef/>
      </w:r>
      <w:r w:rsidRPr="002D31A9">
        <w:rPr>
          <w:szCs w:val="18"/>
        </w:rPr>
        <w:t xml:space="preserve"> Voir </w:t>
      </w:r>
      <w:r w:rsidRPr="00840539">
        <w:rPr>
          <w:i/>
          <w:szCs w:val="18"/>
        </w:rPr>
        <w:t>supra</w:t>
      </w:r>
      <w:r w:rsidRPr="00840539">
        <w:rPr>
          <w:szCs w:val="18"/>
        </w:rPr>
        <w:t xml:space="preserve">, fn. </w:t>
      </w:r>
      <w:r w:rsidRPr="00297DF8">
        <w:rPr>
          <w:szCs w:val="18"/>
        </w:rPr>
        <w:fldChar w:fldCharType="begin"/>
      </w:r>
      <w:r w:rsidRPr="00297DF8">
        <w:rPr>
          <w:szCs w:val="18"/>
        </w:rPr>
        <w:instrText xml:space="preserve"> NOTEREF _Ref513972537 \h  \* MERGEFORMAT </w:instrText>
      </w:r>
      <w:r w:rsidRPr="00297DF8">
        <w:rPr>
          <w:szCs w:val="18"/>
        </w:rPr>
      </w:r>
      <w:r w:rsidRPr="00297DF8">
        <w:rPr>
          <w:szCs w:val="18"/>
        </w:rPr>
        <w:fldChar w:fldCharType="separate"/>
      </w:r>
      <w:r w:rsidR="00AE33CF">
        <w:rPr>
          <w:szCs w:val="18"/>
        </w:rPr>
        <w:t>742</w:t>
      </w:r>
      <w:r w:rsidRPr="00297DF8">
        <w:rPr>
          <w:szCs w:val="18"/>
        </w:rPr>
        <w:fldChar w:fldCharType="end"/>
      </w:r>
      <w:r w:rsidRPr="00297DF8">
        <w:rPr>
          <w:szCs w:val="18"/>
        </w:rPr>
        <w:t>.</w:t>
      </w:r>
    </w:p>
  </w:footnote>
  <w:footnote w:id="755">
    <w:p w14:paraId="76CE41F3" w14:textId="4DCC04DA" w:rsidR="004E119B" w:rsidRPr="002D31A9" w:rsidRDefault="004E119B" w:rsidP="00297DF8">
      <w:pPr>
        <w:pStyle w:val="FootnoteText"/>
        <w:ind w:left="1152" w:right="1138" w:hanging="245"/>
        <w:jc w:val="left"/>
        <w:rPr>
          <w:szCs w:val="18"/>
        </w:rPr>
      </w:pPr>
      <w:r w:rsidRPr="00297DF8">
        <w:rPr>
          <w:rStyle w:val="FootnoteReference"/>
          <w:szCs w:val="18"/>
        </w:rPr>
        <w:footnoteRef/>
      </w:r>
      <w:r w:rsidRPr="00297DF8">
        <w:rPr>
          <w:szCs w:val="18"/>
        </w:rPr>
        <w:t xml:space="preserve"> Pour les éléments du crime, voir </w:t>
      </w:r>
      <w:r w:rsidRPr="00297DF8">
        <w:rPr>
          <w:i/>
          <w:szCs w:val="18"/>
        </w:rPr>
        <w:t>supra</w:t>
      </w:r>
      <w:r w:rsidRPr="00297DF8">
        <w:rPr>
          <w:szCs w:val="18"/>
        </w:rPr>
        <w:t xml:space="preserve">, fn. </w:t>
      </w:r>
      <w:r w:rsidRPr="00297DF8">
        <w:rPr>
          <w:szCs w:val="18"/>
        </w:rPr>
        <w:fldChar w:fldCharType="begin"/>
      </w:r>
      <w:r w:rsidRPr="00297DF8">
        <w:rPr>
          <w:szCs w:val="18"/>
        </w:rPr>
        <w:instrText xml:space="preserve"> NOTEREF _Ref515461340 \h  \* MERGEFORMAT </w:instrText>
      </w:r>
      <w:r w:rsidRPr="00297DF8">
        <w:rPr>
          <w:szCs w:val="18"/>
        </w:rPr>
      </w:r>
      <w:r w:rsidRPr="00297DF8">
        <w:rPr>
          <w:szCs w:val="18"/>
        </w:rPr>
        <w:fldChar w:fldCharType="separate"/>
      </w:r>
      <w:r w:rsidR="00AE33CF">
        <w:rPr>
          <w:szCs w:val="18"/>
        </w:rPr>
        <w:t>743</w:t>
      </w:r>
      <w:r w:rsidRPr="00297DF8">
        <w:rPr>
          <w:szCs w:val="18"/>
        </w:rPr>
        <w:fldChar w:fldCharType="end"/>
      </w:r>
      <w:r w:rsidRPr="002D31A9">
        <w:rPr>
          <w:szCs w:val="18"/>
        </w:rPr>
        <w:t>.</w:t>
      </w:r>
    </w:p>
  </w:footnote>
  <w:footnote w:id="756">
    <w:p w14:paraId="61C4FE69" w14:textId="77777777" w:rsidR="004E119B" w:rsidRPr="00840539" w:rsidRDefault="004E119B" w:rsidP="00297DF8">
      <w:pPr>
        <w:pStyle w:val="FootnoteText"/>
        <w:ind w:left="1152" w:right="1138" w:hanging="245"/>
        <w:jc w:val="left"/>
        <w:rPr>
          <w:szCs w:val="18"/>
        </w:rPr>
      </w:pPr>
      <w:r w:rsidRPr="002D31A9">
        <w:rPr>
          <w:rStyle w:val="FootnoteReference"/>
          <w:szCs w:val="18"/>
        </w:rPr>
        <w:footnoteRef/>
      </w:r>
      <w:r w:rsidRPr="002D31A9">
        <w:rPr>
          <w:szCs w:val="18"/>
        </w:rPr>
        <w:t xml:space="preserve"> </w:t>
      </w:r>
      <w:r w:rsidRPr="00840539">
        <w:rPr>
          <w:szCs w:val="18"/>
        </w:rPr>
        <w:t>Voir notamment T0084.</w:t>
      </w:r>
    </w:p>
  </w:footnote>
  <w:footnote w:id="757">
    <w:p w14:paraId="5D60FB27" w14:textId="77777777" w:rsidR="004E119B" w:rsidRPr="00840539" w:rsidRDefault="004E119B" w:rsidP="00297DF8">
      <w:pPr>
        <w:pStyle w:val="FootnoteText"/>
        <w:ind w:left="1152" w:right="1138" w:hanging="245"/>
        <w:jc w:val="left"/>
        <w:rPr>
          <w:szCs w:val="18"/>
        </w:rPr>
      </w:pPr>
      <w:r w:rsidRPr="002D31A9">
        <w:rPr>
          <w:rStyle w:val="FootnoteReference"/>
          <w:szCs w:val="18"/>
        </w:rPr>
        <w:footnoteRef/>
      </w:r>
      <w:r w:rsidRPr="002D31A9">
        <w:rPr>
          <w:szCs w:val="18"/>
        </w:rPr>
        <w:t xml:space="preserve"> </w:t>
      </w:r>
      <w:r w:rsidRPr="00840539">
        <w:rPr>
          <w:szCs w:val="18"/>
        </w:rPr>
        <w:t>Voir notamment</w:t>
      </w:r>
      <w:r w:rsidRPr="00840539">
        <w:rPr>
          <w:i/>
          <w:szCs w:val="18"/>
        </w:rPr>
        <w:t xml:space="preserve"> </w:t>
      </w:r>
      <w:r w:rsidRPr="00840539">
        <w:rPr>
          <w:szCs w:val="18"/>
        </w:rPr>
        <w:t>T0166.</w:t>
      </w:r>
    </w:p>
  </w:footnote>
  <w:footnote w:id="758">
    <w:p w14:paraId="6C8FEE6B" w14:textId="77777777" w:rsidR="004E119B" w:rsidRPr="00840539" w:rsidRDefault="004E119B" w:rsidP="00297DF8">
      <w:pPr>
        <w:pStyle w:val="FootnoteText"/>
        <w:ind w:left="1152" w:right="1138" w:hanging="245"/>
        <w:jc w:val="left"/>
        <w:rPr>
          <w:szCs w:val="18"/>
        </w:rPr>
      </w:pPr>
      <w:r w:rsidRPr="002D31A9">
        <w:rPr>
          <w:rStyle w:val="FootnoteReference"/>
          <w:szCs w:val="18"/>
        </w:rPr>
        <w:footnoteRef/>
      </w:r>
      <w:r w:rsidRPr="002D31A9">
        <w:rPr>
          <w:szCs w:val="18"/>
        </w:rPr>
        <w:t xml:space="preserve"> </w:t>
      </w:r>
      <w:r w:rsidRPr="00840539">
        <w:rPr>
          <w:szCs w:val="18"/>
        </w:rPr>
        <w:t>Voir notamment T0031, T0215, T0274.</w:t>
      </w:r>
    </w:p>
  </w:footnote>
  <w:footnote w:id="759">
    <w:p w14:paraId="68BA643F" w14:textId="77777777" w:rsidR="004E119B" w:rsidRPr="009F1B3A" w:rsidRDefault="004E119B" w:rsidP="00297DF8">
      <w:pPr>
        <w:pStyle w:val="FootnoteText"/>
        <w:ind w:left="1152" w:right="1138" w:hanging="245"/>
        <w:jc w:val="left"/>
        <w:rPr>
          <w:szCs w:val="18"/>
          <w:lang w:val="fr-CH"/>
        </w:rPr>
      </w:pPr>
      <w:r w:rsidRPr="002D31A9">
        <w:rPr>
          <w:rStyle w:val="FootnoteReference"/>
          <w:szCs w:val="18"/>
        </w:rPr>
        <w:footnoteRef/>
      </w:r>
      <w:r w:rsidRPr="002D31A9">
        <w:rPr>
          <w:szCs w:val="18"/>
        </w:rPr>
        <w:t xml:space="preserve"> </w:t>
      </w:r>
      <w:r w:rsidRPr="00840539">
        <w:rPr>
          <w:szCs w:val="18"/>
        </w:rPr>
        <w:t xml:space="preserve">L’élément de ce crime est que l’auteur a exercé l’un quelconque ou l’ensemble des pouvoirs liés au droit de propriété sur une ou plusieurs personnes, </w:t>
      </w:r>
      <w:r w:rsidRPr="006E341A">
        <w:rPr>
          <w:szCs w:val="18"/>
        </w:rPr>
        <w:t>par exemple en achetant, vendant, prêtant ou troquant ladite ou lesdites personnes, ou en leur imposant une privation de liberté similaire. Il est entendu qu’une telle privation de liberté peut, dans certaines circonstances, inclure des travaux forcés ou d</w:t>
      </w:r>
      <w:r w:rsidRPr="0060278B">
        <w:rPr>
          <w:szCs w:val="18"/>
        </w:rPr>
        <w:t>’autres moyens de réduire une personne à l’état de servitude, tel qu’il est défini dans la Convention supplémentaire de 1956 relative à l’abolition de l’esclavage, de la traite des esclaves et des institutions et pratiques analogues à l’esclavage. Il est a</w:t>
      </w:r>
      <w:r w:rsidRPr="009F1B3A">
        <w:rPr>
          <w:szCs w:val="18"/>
        </w:rPr>
        <w:t>ussi entendu que le comportement décrit dans cet élément inclut la traite d’êtres humains, en particulier de femmes et d’enfants.</w:t>
      </w:r>
    </w:p>
  </w:footnote>
  <w:footnote w:id="760">
    <w:p w14:paraId="51A4BBF2" w14:textId="77777777" w:rsidR="004E119B" w:rsidRPr="00192143" w:rsidRDefault="004E119B" w:rsidP="00297DF8">
      <w:pPr>
        <w:pStyle w:val="FootnoteText"/>
        <w:ind w:left="1152" w:right="1138" w:hanging="245"/>
        <w:jc w:val="left"/>
        <w:rPr>
          <w:szCs w:val="18"/>
        </w:rPr>
      </w:pPr>
      <w:r w:rsidRPr="002D31A9">
        <w:rPr>
          <w:rStyle w:val="FootnoteReference"/>
          <w:szCs w:val="18"/>
        </w:rPr>
        <w:footnoteRef/>
      </w:r>
      <w:r w:rsidRPr="002D31A9">
        <w:rPr>
          <w:szCs w:val="18"/>
        </w:rPr>
        <w:t xml:space="preserve"> TPIY, </w:t>
      </w:r>
      <w:r w:rsidRPr="00840539">
        <w:rPr>
          <w:i/>
          <w:szCs w:val="18"/>
          <w:lang w:val="fr-CH"/>
        </w:rPr>
        <w:t xml:space="preserve">Le </w:t>
      </w:r>
      <w:r w:rsidRPr="00297DF8">
        <w:rPr>
          <w:szCs w:val="18"/>
        </w:rPr>
        <w:t>Procureur</w:t>
      </w:r>
      <w:r w:rsidRPr="00840539">
        <w:rPr>
          <w:i/>
          <w:szCs w:val="18"/>
          <w:lang w:val="fr-CH"/>
        </w:rPr>
        <w:t xml:space="preserve"> c. Dragoljub Kunarac et consorts</w:t>
      </w:r>
      <w:r w:rsidRPr="00840539">
        <w:rPr>
          <w:szCs w:val="18"/>
          <w:lang w:val="fr-CH"/>
        </w:rPr>
        <w:t>, Affaire n° IT-96-23 &amp; IT-96-23/1-T, Jugement, 22 février 2001 (</w:t>
      </w:r>
      <w:r w:rsidRPr="00297DF8">
        <w:rPr>
          <w:szCs w:val="18"/>
          <w:lang w:val="fr-CH"/>
        </w:rPr>
        <w:t xml:space="preserve">TPIY, Jugement </w:t>
      </w:r>
      <w:r w:rsidRPr="00297DF8">
        <w:rPr>
          <w:i/>
          <w:szCs w:val="18"/>
          <w:lang w:val="fr-CH"/>
        </w:rPr>
        <w:t>Kunarac et consorts</w:t>
      </w:r>
      <w:r w:rsidRPr="0060278B">
        <w:rPr>
          <w:szCs w:val="18"/>
          <w:lang w:val="fr-CH"/>
        </w:rPr>
        <w:t>), para. 542.</w:t>
      </w:r>
    </w:p>
  </w:footnote>
  <w:footnote w:id="761">
    <w:p w14:paraId="37CB24CE" w14:textId="05CC3FA3" w:rsidR="004E119B" w:rsidRPr="003104AA" w:rsidRDefault="004E119B" w:rsidP="003104AA">
      <w:pPr>
        <w:pStyle w:val="FootnoteText"/>
        <w:ind w:left="1152" w:right="1138" w:hanging="245"/>
        <w:jc w:val="left"/>
        <w:rPr>
          <w:szCs w:val="18"/>
        </w:rPr>
      </w:pPr>
      <w:r w:rsidRPr="002D31A9">
        <w:rPr>
          <w:rStyle w:val="FootnoteReference"/>
          <w:szCs w:val="18"/>
        </w:rPr>
        <w:footnoteRef/>
      </w:r>
      <w:r w:rsidRPr="002D31A9">
        <w:rPr>
          <w:szCs w:val="18"/>
        </w:rPr>
        <w:t xml:space="preserve"> TPIY, </w:t>
      </w:r>
      <w:r w:rsidRPr="003104AA">
        <w:rPr>
          <w:szCs w:val="18"/>
        </w:rPr>
        <w:t>Jugement</w:t>
      </w:r>
      <w:r w:rsidRPr="003104AA">
        <w:rPr>
          <w:szCs w:val="18"/>
          <w:lang w:val="fr-CH"/>
        </w:rPr>
        <w:t xml:space="preserve"> </w:t>
      </w:r>
      <w:r w:rsidRPr="003104AA">
        <w:rPr>
          <w:i/>
          <w:szCs w:val="18"/>
          <w:lang w:val="fr-CH"/>
        </w:rPr>
        <w:t>Kunarac et consorts</w:t>
      </w:r>
      <w:r w:rsidRPr="003104AA">
        <w:rPr>
          <w:szCs w:val="18"/>
          <w:lang w:val="fr-CH"/>
        </w:rPr>
        <w:t xml:space="preserve">, </w:t>
      </w:r>
      <w:r w:rsidRPr="003104AA">
        <w:rPr>
          <w:i/>
          <w:szCs w:val="18"/>
        </w:rPr>
        <w:t xml:space="preserve">op. cit. </w:t>
      </w:r>
      <w:r w:rsidRPr="003104AA">
        <w:rPr>
          <w:szCs w:val="18"/>
        </w:rPr>
        <w:t xml:space="preserve">fn. </w:t>
      </w:r>
      <w:r w:rsidRPr="003104AA">
        <w:rPr>
          <w:szCs w:val="18"/>
        </w:rPr>
        <w:fldChar w:fldCharType="begin"/>
      </w:r>
      <w:r w:rsidRPr="003104AA">
        <w:rPr>
          <w:szCs w:val="18"/>
        </w:rPr>
        <w:instrText xml:space="preserve"> NOTEREF _Ref516326228 \h  \* MERGEFORMAT </w:instrText>
      </w:r>
      <w:r w:rsidRPr="003104AA">
        <w:rPr>
          <w:szCs w:val="18"/>
        </w:rPr>
      </w:r>
      <w:r w:rsidRPr="003104AA">
        <w:rPr>
          <w:szCs w:val="18"/>
        </w:rPr>
        <w:fldChar w:fldCharType="separate"/>
      </w:r>
      <w:r w:rsidR="00AE33CF">
        <w:rPr>
          <w:szCs w:val="18"/>
        </w:rPr>
        <w:t>758</w:t>
      </w:r>
      <w:r w:rsidRPr="003104AA">
        <w:rPr>
          <w:szCs w:val="18"/>
        </w:rPr>
        <w:fldChar w:fldCharType="end"/>
      </w:r>
      <w:r w:rsidRPr="003104AA">
        <w:rPr>
          <w:szCs w:val="18"/>
          <w:lang w:val="fr-CH"/>
        </w:rPr>
        <w:t xml:space="preserve">, para. 543 ; TPIY, Arrêt </w:t>
      </w:r>
      <w:r w:rsidRPr="003104AA">
        <w:rPr>
          <w:i/>
          <w:szCs w:val="18"/>
          <w:lang w:val="fr-CH"/>
        </w:rPr>
        <w:t>Kunarac et consorts</w:t>
      </w:r>
      <w:r w:rsidRPr="003104AA">
        <w:rPr>
          <w:szCs w:val="18"/>
          <w:lang w:val="fr-CH"/>
        </w:rPr>
        <w:t xml:space="preserve">, </w:t>
      </w:r>
      <w:r w:rsidRPr="003104AA">
        <w:rPr>
          <w:i/>
          <w:szCs w:val="18"/>
        </w:rPr>
        <w:t xml:space="preserve">op. cit. </w:t>
      </w:r>
      <w:r w:rsidRPr="003104AA">
        <w:rPr>
          <w:szCs w:val="18"/>
        </w:rPr>
        <w:t xml:space="preserve">fn. </w:t>
      </w:r>
      <w:r w:rsidRPr="003104AA">
        <w:rPr>
          <w:szCs w:val="18"/>
        </w:rPr>
        <w:fldChar w:fldCharType="begin"/>
      </w:r>
      <w:r w:rsidRPr="003104AA">
        <w:rPr>
          <w:szCs w:val="18"/>
        </w:rPr>
        <w:instrText xml:space="preserve"> NOTEREF _Ref516325956 \h  \* MERGEFORMAT </w:instrText>
      </w:r>
      <w:r w:rsidRPr="003104AA">
        <w:rPr>
          <w:szCs w:val="18"/>
        </w:rPr>
      </w:r>
      <w:r w:rsidRPr="003104AA">
        <w:rPr>
          <w:szCs w:val="18"/>
        </w:rPr>
        <w:fldChar w:fldCharType="separate"/>
      </w:r>
      <w:r w:rsidR="00AE33CF">
        <w:rPr>
          <w:szCs w:val="18"/>
        </w:rPr>
        <w:t>731</w:t>
      </w:r>
      <w:r w:rsidRPr="003104AA">
        <w:rPr>
          <w:szCs w:val="18"/>
        </w:rPr>
        <w:fldChar w:fldCharType="end"/>
      </w:r>
      <w:r w:rsidRPr="003104AA">
        <w:rPr>
          <w:szCs w:val="18"/>
          <w:lang w:val="fr-CH"/>
        </w:rPr>
        <w:t>, para. 119.</w:t>
      </w:r>
    </w:p>
  </w:footnote>
  <w:footnote w:id="762">
    <w:p w14:paraId="074FD046" w14:textId="77777777" w:rsidR="004E119B" w:rsidRPr="003104AA" w:rsidRDefault="004E119B" w:rsidP="003104AA">
      <w:pPr>
        <w:pStyle w:val="FootnoteText"/>
        <w:ind w:left="1138" w:right="1138" w:hanging="228"/>
        <w:jc w:val="left"/>
        <w:rPr>
          <w:szCs w:val="18"/>
        </w:rPr>
      </w:pPr>
      <w:r w:rsidRPr="003104AA">
        <w:rPr>
          <w:rStyle w:val="FootnoteReference"/>
          <w:szCs w:val="18"/>
        </w:rPr>
        <w:footnoteRef/>
      </w:r>
      <w:r w:rsidRPr="003104AA">
        <w:rPr>
          <w:szCs w:val="18"/>
        </w:rPr>
        <w:t xml:space="preserve"> L’article 3(a) de la Convention de l’Organisation internationale du travail no. 182 concernant l’interdiction des pires formes de travail des enfants et l’action immédiate en vue de leur élimination de 1999, que la RDC a ratifiée le 20 juin 2001, interdit « le recrutement forcé ou obligatoire des enfants en vue de leur utilisation dans des conflits armés » qu’elle assimile à l’une des pires formes de travail des enfants et à une forme d’esclavage.</w:t>
      </w:r>
    </w:p>
  </w:footnote>
  <w:footnote w:id="763">
    <w:p w14:paraId="1BF5D450" w14:textId="77777777" w:rsidR="004E119B" w:rsidRPr="003104AA" w:rsidRDefault="004E119B" w:rsidP="003104AA">
      <w:pPr>
        <w:pStyle w:val="FootnoteText"/>
        <w:ind w:left="1138" w:right="1138" w:hanging="228"/>
        <w:jc w:val="left"/>
        <w:rPr>
          <w:szCs w:val="18"/>
        </w:rPr>
      </w:pPr>
      <w:r w:rsidRPr="003104AA">
        <w:rPr>
          <w:rStyle w:val="FootnoteReference"/>
          <w:szCs w:val="18"/>
        </w:rPr>
        <w:footnoteRef/>
      </w:r>
      <w:r w:rsidRPr="003104AA">
        <w:rPr>
          <w:szCs w:val="18"/>
        </w:rPr>
        <w:t xml:space="preserve"> T0056.</w:t>
      </w:r>
    </w:p>
  </w:footnote>
  <w:footnote w:id="764">
    <w:p w14:paraId="40DED475" w14:textId="77777777" w:rsidR="004E119B" w:rsidRPr="003104AA" w:rsidRDefault="004E119B" w:rsidP="003104AA">
      <w:pPr>
        <w:pStyle w:val="FootnoteText"/>
        <w:ind w:left="1138" w:right="1138" w:hanging="228"/>
        <w:jc w:val="left"/>
        <w:rPr>
          <w:szCs w:val="18"/>
        </w:rPr>
      </w:pPr>
      <w:r w:rsidRPr="003104AA">
        <w:rPr>
          <w:rStyle w:val="FootnoteReference"/>
          <w:szCs w:val="18"/>
        </w:rPr>
        <w:footnoteRef/>
      </w:r>
      <w:r w:rsidRPr="003104AA">
        <w:rPr>
          <w:szCs w:val="18"/>
        </w:rPr>
        <w:t xml:space="preserve"> T0066.</w:t>
      </w:r>
    </w:p>
  </w:footnote>
  <w:footnote w:id="765">
    <w:p w14:paraId="3F896CB6" w14:textId="4F2B2BF9" w:rsidR="004E119B" w:rsidRPr="002D31A9" w:rsidRDefault="004E119B" w:rsidP="003104AA">
      <w:pPr>
        <w:pStyle w:val="FootnoteText"/>
        <w:ind w:left="1138" w:right="1138" w:hanging="228"/>
        <w:jc w:val="left"/>
        <w:rPr>
          <w:szCs w:val="18"/>
        </w:rPr>
      </w:pPr>
      <w:r w:rsidRPr="003104AA">
        <w:rPr>
          <w:rStyle w:val="FootnoteReference"/>
          <w:szCs w:val="18"/>
        </w:rPr>
        <w:footnoteRef/>
      </w:r>
      <w:r w:rsidRPr="003104AA">
        <w:rPr>
          <w:szCs w:val="18"/>
        </w:rPr>
        <w:t xml:space="preserve"> Pour les éléments de ces crimes, voir </w:t>
      </w:r>
      <w:r w:rsidRPr="003104AA">
        <w:rPr>
          <w:i/>
          <w:szCs w:val="18"/>
        </w:rPr>
        <w:t>supra</w:t>
      </w:r>
      <w:r w:rsidRPr="003104AA">
        <w:rPr>
          <w:szCs w:val="18"/>
        </w:rPr>
        <w:t xml:space="preserve">, fns. </w:t>
      </w:r>
      <w:r w:rsidRPr="003104AA">
        <w:rPr>
          <w:szCs w:val="18"/>
        </w:rPr>
        <w:fldChar w:fldCharType="begin"/>
      </w:r>
      <w:r w:rsidRPr="003104AA">
        <w:rPr>
          <w:szCs w:val="18"/>
        </w:rPr>
        <w:instrText xml:space="preserve"> NOTEREF _Ref515462917 \h  \* MERGEFORMAT </w:instrText>
      </w:r>
      <w:r w:rsidRPr="003104AA">
        <w:rPr>
          <w:szCs w:val="18"/>
        </w:rPr>
      </w:r>
      <w:r w:rsidRPr="003104AA">
        <w:rPr>
          <w:szCs w:val="18"/>
        </w:rPr>
        <w:fldChar w:fldCharType="separate"/>
      </w:r>
      <w:r w:rsidR="00AE33CF">
        <w:rPr>
          <w:szCs w:val="18"/>
        </w:rPr>
        <w:t>746</w:t>
      </w:r>
      <w:r w:rsidRPr="003104AA">
        <w:rPr>
          <w:szCs w:val="18"/>
        </w:rPr>
        <w:fldChar w:fldCharType="end"/>
      </w:r>
      <w:r w:rsidRPr="003104AA">
        <w:rPr>
          <w:szCs w:val="18"/>
        </w:rPr>
        <w:t>-</w:t>
      </w:r>
      <w:r w:rsidRPr="003104AA">
        <w:rPr>
          <w:szCs w:val="18"/>
        </w:rPr>
        <w:fldChar w:fldCharType="begin"/>
      </w:r>
      <w:r w:rsidRPr="003104AA">
        <w:rPr>
          <w:szCs w:val="18"/>
        </w:rPr>
        <w:instrText xml:space="preserve"> NOTEREF _Ref516484729 \h  \* MERGEFORMAT </w:instrText>
      </w:r>
      <w:r w:rsidRPr="003104AA">
        <w:rPr>
          <w:szCs w:val="18"/>
        </w:rPr>
      </w:r>
      <w:r w:rsidRPr="003104AA">
        <w:rPr>
          <w:szCs w:val="18"/>
        </w:rPr>
        <w:fldChar w:fldCharType="separate"/>
      </w:r>
      <w:r w:rsidR="00AE33CF">
        <w:rPr>
          <w:szCs w:val="18"/>
        </w:rPr>
        <w:t>747</w:t>
      </w:r>
      <w:r w:rsidRPr="003104AA">
        <w:rPr>
          <w:szCs w:val="18"/>
        </w:rPr>
        <w:fldChar w:fldCharType="end"/>
      </w:r>
      <w:r w:rsidRPr="002D31A9">
        <w:rPr>
          <w:szCs w:val="18"/>
        </w:rPr>
        <w:t>.</w:t>
      </w:r>
    </w:p>
  </w:footnote>
  <w:footnote w:id="766">
    <w:p w14:paraId="161C64A7" w14:textId="77777777" w:rsidR="004E119B" w:rsidRPr="002D31A9" w:rsidRDefault="004E119B" w:rsidP="003104AA">
      <w:pPr>
        <w:pStyle w:val="FootnoteText"/>
        <w:ind w:left="1152" w:right="1138" w:hanging="245"/>
        <w:jc w:val="left"/>
        <w:rPr>
          <w:szCs w:val="18"/>
        </w:rPr>
      </w:pPr>
      <w:r w:rsidRPr="002D31A9">
        <w:rPr>
          <w:rStyle w:val="FootnoteReference"/>
          <w:szCs w:val="18"/>
        </w:rPr>
        <w:footnoteRef/>
      </w:r>
      <w:r w:rsidRPr="002D31A9">
        <w:rPr>
          <w:szCs w:val="18"/>
        </w:rPr>
        <w:t xml:space="preserve"> T0339.</w:t>
      </w:r>
    </w:p>
  </w:footnote>
  <w:footnote w:id="767">
    <w:p w14:paraId="5A4E08AC" w14:textId="77777777" w:rsidR="004E119B" w:rsidRPr="0084053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T0167. Voir aussi T0173, une femme enceinte de neuf mois a été violée vaginalement par un milicien Kamuina Nsapu avant que deux aut</w:t>
      </w:r>
      <w:r w:rsidRPr="00840539">
        <w:rPr>
          <w:szCs w:val="18"/>
        </w:rPr>
        <w:t>res pénètrent son vagin avec leurs doigts et essaient de tirer quelque chose à l’intérieur.</w:t>
      </w:r>
    </w:p>
  </w:footnote>
  <w:footnote w:id="768">
    <w:p w14:paraId="7EAF9C8D" w14:textId="77777777" w:rsidR="004E119B" w:rsidRPr="002D31A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T0288.</w:t>
      </w:r>
    </w:p>
  </w:footnote>
  <w:footnote w:id="769">
    <w:p w14:paraId="3215C6E8" w14:textId="77777777" w:rsidR="004E119B" w:rsidRPr="002D31A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T0320.</w:t>
      </w:r>
    </w:p>
  </w:footnote>
  <w:footnote w:id="770">
    <w:p w14:paraId="087C8B86" w14:textId="0DE03B60" w:rsidR="004E119B" w:rsidRPr="003104AA"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Le premier élément du crime de viol constitutif de crime contre l’humanité inclut l’hypothèse où l’auteur ne se livre </w:t>
      </w:r>
      <w:r w:rsidRPr="003104AA">
        <w:rPr>
          <w:szCs w:val="18"/>
        </w:rPr>
        <w:t xml:space="preserve">pas lui-même à l’acte de pénétration, mais qu’il cause ou provoque une pénétration. Dès lors, aussi bien la propriétaire de restaurant que son beau-fils sont victimes de viol dans ce cas d’espèce. Voir CPI, Jugement </w:t>
      </w:r>
      <w:r w:rsidRPr="003104AA">
        <w:rPr>
          <w:i/>
          <w:szCs w:val="18"/>
        </w:rPr>
        <w:t>Katanga</w:t>
      </w:r>
      <w:r w:rsidRPr="003104AA">
        <w:rPr>
          <w:szCs w:val="18"/>
        </w:rPr>
        <w:t xml:space="preserve">, </w:t>
      </w:r>
      <w:r w:rsidRPr="003104AA">
        <w:rPr>
          <w:i/>
          <w:szCs w:val="18"/>
        </w:rPr>
        <w:t xml:space="preserve">op. cit. </w:t>
      </w:r>
      <w:r w:rsidRPr="003104AA">
        <w:rPr>
          <w:szCs w:val="18"/>
        </w:rPr>
        <w:t xml:space="preserve">fn. </w:t>
      </w:r>
      <w:r w:rsidRPr="003104AA">
        <w:rPr>
          <w:szCs w:val="18"/>
        </w:rPr>
        <w:fldChar w:fldCharType="begin"/>
      </w:r>
      <w:r w:rsidRPr="003104AA">
        <w:rPr>
          <w:szCs w:val="18"/>
        </w:rPr>
        <w:instrText xml:space="preserve"> NOTEREF _Ref516326527 \h  \* MERGEFORMAT </w:instrText>
      </w:r>
      <w:r w:rsidRPr="003104AA">
        <w:rPr>
          <w:szCs w:val="18"/>
        </w:rPr>
      </w:r>
      <w:r w:rsidRPr="003104AA">
        <w:rPr>
          <w:szCs w:val="18"/>
        </w:rPr>
        <w:fldChar w:fldCharType="separate"/>
      </w:r>
      <w:r w:rsidR="00AE33CF">
        <w:rPr>
          <w:szCs w:val="18"/>
        </w:rPr>
        <w:t>737</w:t>
      </w:r>
      <w:r w:rsidRPr="003104AA">
        <w:rPr>
          <w:szCs w:val="18"/>
        </w:rPr>
        <w:fldChar w:fldCharType="end"/>
      </w:r>
      <w:r w:rsidRPr="003104AA">
        <w:rPr>
          <w:szCs w:val="18"/>
        </w:rPr>
        <w:t>, para. 963.</w:t>
      </w:r>
    </w:p>
  </w:footnote>
  <w:footnote w:id="771">
    <w:p w14:paraId="2D0153F8" w14:textId="70A16A8B" w:rsidR="004E119B" w:rsidRPr="002D31A9" w:rsidRDefault="004E119B" w:rsidP="003104AA">
      <w:pPr>
        <w:pStyle w:val="FootnoteText"/>
        <w:ind w:left="1138" w:right="1138" w:hanging="228"/>
        <w:jc w:val="left"/>
        <w:rPr>
          <w:szCs w:val="18"/>
        </w:rPr>
      </w:pPr>
      <w:r w:rsidRPr="003104AA">
        <w:rPr>
          <w:rStyle w:val="FootnoteReference"/>
          <w:szCs w:val="18"/>
        </w:rPr>
        <w:footnoteRef/>
      </w:r>
      <w:r w:rsidRPr="003104AA">
        <w:rPr>
          <w:szCs w:val="18"/>
        </w:rPr>
        <w:t xml:space="preserve"> Pour les éléments du crime, voir </w:t>
      </w:r>
      <w:r w:rsidRPr="003104AA">
        <w:rPr>
          <w:i/>
          <w:szCs w:val="18"/>
        </w:rPr>
        <w:t>supra</w:t>
      </w:r>
      <w:r w:rsidRPr="003104AA">
        <w:rPr>
          <w:szCs w:val="18"/>
        </w:rPr>
        <w:t xml:space="preserve">, fn. </w:t>
      </w:r>
      <w:r w:rsidRPr="003104AA">
        <w:rPr>
          <w:szCs w:val="18"/>
        </w:rPr>
        <w:fldChar w:fldCharType="begin"/>
      </w:r>
      <w:r w:rsidRPr="003104AA">
        <w:rPr>
          <w:szCs w:val="18"/>
        </w:rPr>
        <w:instrText xml:space="preserve"> NOTEREF _Ref515462842 \h  \* MERGEFORMAT </w:instrText>
      </w:r>
      <w:r w:rsidRPr="003104AA">
        <w:rPr>
          <w:szCs w:val="18"/>
        </w:rPr>
      </w:r>
      <w:r w:rsidRPr="003104AA">
        <w:rPr>
          <w:szCs w:val="18"/>
        </w:rPr>
        <w:fldChar w:fldCharType="separate"/>
      </w:r>
      <w:r w:rsidR="00AE33CF">
        <w:rPr>
          <w:szCs w:val="18"/>
        </w:rPr>
        <w:t>748</w:t>
      </w:r>
      <w:r w:rsidRPr="003104AA">
        <w:rPr>
          <w:szCs w:val="18"/>
        </w:rPr>
        <w:fldChar w:fldCharType="end"/>
      </w:r>
      <w:r w:rsidRPr="003104AA">
        <w:rPr>
          <w:szCs w:val="18"/>
        </w:rPr>
        <w:t>.</w:t>
      </w:r>
    </w:p>
  </w:footnote>
  <w:footnote w:id="772">
    <w:p w14:paraId="26FF2517" w14:textId="77777777" w:rsidR="004E119B" w:rsidRPr="002D31A9" w:rsidRDefault="004E119B" w:rsidP="003104AA">
      <w:pPr>
        <w:pStyle w:val="FootnoteText"/>
        <w:ind w:left="1152" w:right="1138" w:hanging="245"/>
        <w:jc w:val="left"/>
        <w:rPr>
          <w:szCs w:val="18"/>
        </w:rPr>
      </w:pPr>
      <w:r w:rsidRPr="002D31A9">
        <w:rPr>
          <w:rStyle w:val="FootnoteReference"/>
          <w:szCs w:val="18"/>
        </w:rPr>
        <w:footnoteRef/>
      </w:r>
      <w:r w:rsidRPr="002D31A9">
        <w:rPr>
          <w:szCs w:val="18"/>
        </w:rPr>
        <w:t xml:space="preserve"> T0182. Ils ont également coupé les deux bras du frère du témoin avant de le tuer et de le décapiter.</w:t>
      </w:r>
    </w:p>
  </w:footnote>
  <w:footnote w:id="773">
    <w:p w14:paraId="253EAE96" w14:textId="77777777" w:rsidR="004E119B" w:rsidRPr="002D31A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T0155.</w:t>
      </w:r>
    </w:p>
  </w:footnote>
  <w:footnote w:id="774">
    <w:p w14:paraId="70BC720D" w14:textId="77777777" w:rsidR="004E119B" w:rsidRPr="002D31A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T0452.</w:t>
      </w:r>
    </w:p>
  </w:footnote>
  <w:footnote w:id="775">
    <w:p w14:paraId="08705A75" w14:textId="77777777" w:rsidR="004E119B" w:rsidRPr="002D31A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T0238.</w:t>
      </w:r>
    </w:p>
  </w:footnote>
  <w:footnote w:id="776">
    <w:p w14:paraId="594AE630" w14:textId="77777777" w:rsidR="004E119B" w:rsidRPr="002D31A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T0268.</w:t>
      </w:r>
    </w:p>
  </w:footnote>
  <w:footnote w:id="777">
    <w:p w14:paraId="296D954F" w14:textId="77777777" w:rsidR="004E119B" w:rsidRPr="0084053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T0</w:t>
      </w:r>
      <w:r w:rsidRPr="00840539">
        <w:rPr>
          <w:szCs w:val="18"/>
        </w:rPr>
        <w:t>167.</w:t>
      </w:r>
    </w:p>
  </w:footnote>
  <w:footnote w:id="778">
    <w:p w14:paraId="6C05B151" w14:textId="77777777" w:rsidR="004E119B" w:rsidRPr="002D31A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T0066.</w:t>
      </w:r>
    </w:p>
  </w:footnote>
  <w:footnote w:id="779">
    <w:p w14:paraId="3170646A" w14:textId="77777777" w:rsidR="004E119B" w:rsidRPr="0084053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w:t>
      </w:r>
      <w:r w:rsidRPr="00840539">
        <w:rPr>
          <w:szCs w:val="18"/>
        </w:rPr>
        <w:t>Voir T0166.</w:t>
      </w:r>
    </w:p>
  </w:footnote>
  <w:footnote w:id="780">
    <w:p w14:paraId="3FC9173E" w14:textId="77777777" w:rsidR="004E119B" w:rsidRPr="002D31A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T0179.</w:t>
      </w:r>
    </w:p>
  </w:footnote>
  <w:footnote w:id="781">
    <w:p w14:paraId="208D6C1C" w14:textId="2A2776F3" w:rsidR="004E119B" w:rsidRPr="002D31A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Pour les </w:t>
      </w:r>
      <w:r w:rsidRPr="003104AA">
        <w:rPr>
          <w:szCs w:val="18"/>
        </w:rPr>
        <w:t xml:space="preserve">éléments du crime, voir </w:t>
      </w:r>
      <w:r w:rsidRPr="003104AA">
        <w:rPr>
          <w:i/>
          <w:szCs w:val="18"/>
        </w:rPr>
        <w:t>supra</w:t>
      </w:r>
      <w:r w:rsidRPr="003104AA">
        <w:rPr>
          <w:szCs w:val="18"/>
        </w:rPr>
        <w:t xml:space="preserve">, fn. </w:t>
      </w:r>
      <w:r w:rsidRPr="003104AA">
        <w:rPr>
          <w:szCs w:val="18"/>
        </w:rPr>
        <w:fldChar w:fldCharType="begin"/>
      </w:r>
      <w:r w:rsidRPr="003104AA">
        <w:rPr>
          <w:szCs w:val="18"/>
        </w:rPr>
        <w:instrText xml:space="preserve"> NOTEREF _Ref515462984 \h  \* MERGEFORMAT </w:instrText>
      </w:r>
      <w:r w:rsidRPr="003104AA">
        <w:rPr>
          <w:szCs w:val="18"/>
        </w:rPr>
      </w:r>
      <w:r w:rsidRPr="003104AA">
        <w:rPr>
          <w:szCs w:val="18"/>
        </w:rPr>
        <w:fldChar w:fldCharType="separate"/>
      </w:r>
      <w:r w:rsidR="00AE33CF">
        <w:rPr>
          <w:szCs w:val="18"/>
        </w:rPr>
        <w:t>749</w:t>
      </w:r>
      <w:r w:rsidRPr="003104AA">
        <w:rPr>
          <w:szCs w:val="18"/>
        </w:rPr>
        <w:fldChar w:fldCharType="end"/>
      </w:r>
      <w:r w:rsidRPr="002D31A9">
        <w:rPr>
          <w:szCs w:val="18"/>
        </w:rPr>
        <w:t>.</w:t>
      </w:r>
    </w:p>
  </w:footnote>
  <w:footnote w:id="782">
    <w:p w14:paraId="6C7925B1" w14:textId="77777777" w:rsidR="004E119B" w:rsidRPr="002D31A9" w:rsidRDefault="004E119B" w:rsidP="003104AA">
      <w:pPr>
        <w:pStyle w:val="FootnoteText"/>
        <w:ind w:left="1152" w:right="1138" w:hanging="245"/>
        <w:jc w:val="left"/>
        <w:rPr>
          <w:szCs w:val="18"/>
        </w:rPr>
      </w:pPr>
      <w:r w:rsidRPr="002D31A9">
        <w:rPr>
          <w:rStyle w:val="FootnoteReference"/>
          <w:szCs w:val="18"/>
        </w:rPr>
        <w:footnoteRef/>
      </w:r>
      <w:r w:rsidRPr="002D31A9">
        <w:rPr>
          <w:szCs w:val="18"/>
        </w:rPr>
        <w:t xml:space="preserve"> T0056.</w:t>
      </w:r>
    </w:p>
  </w:footnote>
  <w:footnote w:id="783">
    <w:p w14:paraId="7EA7E7FD" w14:textId="77777777" w:rsidR="004E119B" w:rsidRPr="002D31A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T0335.</w:t>
      </w:r>
    </w:p>
  </w:footnote>
  <w:footnote w:id="784">
    <w:p w14:paraId="0A7BDC4F" w14:textId="77777777" w:rsidR="004E119B" w:rsidRPr="002D31A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T0259.</w:t>
      </w:r>
    </w:p>
  </w:footnote>
  <w:footnote w:id="785">
    <w:p w14:paraId="4CBF7EDE" w14:textId="10C12F3B" w:rsidR="004E119B" w:rsidRPr="002D31A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Voir </w:t>
      </w:r>
      <w:r w:rsidRPr="00840539">
        <w:rPr>
          <w:i/>
          <w:szCs w:val="18"/>
        </w:rPr>
        <w:t>supra</w:t>
      </w:r>
      <w:r w:rsidRPr="00840539">
        <w:rPr>
          <w:szCs w:val="18"/>
        </w:rPr>
        <w:t xml:space="preserve">, </w:t>
      </w:r>
      <w:r w:rsidRPr="003104AA">
        <w:rPr>
          <w:szCs w:val="18"/>
        </w:rPr>
        <w:t xml:space="preserve">fn. </w:t>
      </w:r>
      <w:r w:rsidRPr="003104AA">
        <w:rPr>
          <w:szCs w:val="18"/>
        </w:rPr>
        <w:fldChar w:fldCharType="begin"/>
      </w:r>
      <w:r w:rsidRPr="003104AA">
        <w:rPr>
          <w:szCs w:val="18"/>
        </w:rPr>
        <w:instrText xml:space="preserve"> NOTEREF _Ref513972537 \h  \* MERGEFORMAT </w:instrText>
      </w:r>
      <w:r w:rsidRPr="003104AA">
        <w:rPr>
          <w:szCs w:val="18"/>
        </w:rPr>
      </w:r>
      <w:r w:rsidRPr="003104AA">
        <w:rPr>
          <w:szCs w:val="18"/>
        </w:rPr>
        <w:fldChar w:fldCharType="separate"/>
      </w:r>
      <w:r w:rsidR="00AE33CF">
        <w:rPr>
          <w:szCs w:val="18"/>
        </w:rPr>
        <w:t>742</w:t>
      </w:r>
      <w:r w:rsidRPr="003104AA">
        <w:rPr>
          <w:szCs w:val="18"/>
        </w:rPr>
        <w:fldChar w:fldCharType="end"/>
      </w:r>
      <w:r w:rsidRPr="002D31A9">
        <w:rPr>
          <w:szCs w:val="18"/>
        </w:rPr>
        <w:t>.</w:t>
      </w:r>
    </w:p>
  </w:footnote>
  <w:footnote w:id="786">
    <w:p w14:paraId="6972DF04" w14:textId="7C0B0EE2" w:rsidR="004E119B" w:rsidRPr="003104AA" w:rsidRDefault="004E119B" w:rsidP="003104AA">
      <w:pPr>
        <w:pStyle w:val="FootnoteText"/>
        <w:ind w:left="1152" w:right="1138" w:hanging="245"/>
        <w:jc w:val="left"/>
        <w:rPr>
          <w:szCs w:val="18"/>
        </w:rPr>
      </w:pPr>
      <w:r w:rsidRPr="002D31A9">
        <w:rPr>
          <w:rStyle w:val="FootnoteReference"/>
          <w:szCs w:val="18"/>
        </w:rPr>
        <w:footnoteRef/>
      </w:r>
      <w:r w:rsidRPr="002D31A9">
        <w:rPr>
          <w:szCs w:val="18"/>
        </w:rPr>
        <w:t xml:space="preserve"> CPI, Jugement </w:t>
      </w:r>
      <w:r w:rsidRPr="00840539">
        <w:rPr>
          <w:i/>
          <w:szCs w:val="18"/>
        </w:rPr>
        <w:t>Bemba</w:t>
      </w:r>
      <w:r w:rsidRPr="00840539">
        <w:rPr>
          <w:szCs w:val="18"/>
        </w:rPr>
        <w:t xml:space="preserve">, </w:t>
      </w:r>
      <w:r w:rsidRPr="00840539">
        <w:rPr>
          <w:i/>
          <w:szCs w:val="18"/>
        </w:rPr>
        <w:t xml:space="preserve">op. cit. </w:t>
      </w:r>
      <w:r w:rsidRPr="006E341A">
        <w:rPr>
          <w:szCs w:val="18"/>
        </w:rPr>
        <w:t xml:space="preserve">fn. </w:t>
      </w:r>
      <w:r w:rsidRPr="003104AA">
        <w:rPr>
          <w:szCs w:val="18"/>
        </w:rPr>
        <w:fldChar w:fldCharType="begin"/>
      </w:r>
      <w:r w:rsidRPr="003104AA">
        <w:rPr>
          <w:szCs w:val="18"/>
        </w:rPr>
        <w:instrText xml:space="preserve"> NOTEREF _Ref516325643 \h  \* MERGEFORMAT </w:instrText>
      </w:r>
      <w:r w:rsidRPr="003104AA">
        <w:rPr>
          <w:szCs w:val="18"/>
        </w:rPr>
      </w:r>
      <w:r w:rsidRPr="003104AA">
        <w:rPr>
          <w:szCs w:val="18"/>
        </w:rPr>
        <w:fldChar w:fldCharType="separate"/>
      </w:r>
      <w:r w:rsidR="00AE33CF">
        <w:rPr>
          <w:szCs w:val="18"/>
        </w:rPr>
        <w:t>732</w:t>
      </w:r>
      <w:r w:rsidRPr="003104AA">
        <w:rPr>
          <w:szCs w:val="18"/>
        </w:rPr>
        <w:fldChar w:fldCharType="end"/>
      </w:r>
      <w:r w:rsidRPr="003104AA">
        <w:rPr>
          <w:szCs w:val="18"/>
        </w:rPr>
        <w:t>, para. 158.</w:t>
      </w:r>
    </w:p>
  </w:footnote>
  <w:footnote w:id="787">
    <w:p w14:paraId="76E28A85" w14:textId="6FBB2A38" w:rsidR="004E119B" w:rsidRPr="002D31A9" w:rsidRDefault="004E119B" w:rsidP="003104AA">
      <w:pPr>
        <w:pStyle w:val="FootnoteText"/>
        <w:ind w:left="1152" w:right="1138" w:hanging="245"/>
        <w:jc w:val="left"/>
        <w:rPr>
          <w:szCs w:val="18"/>
        </w:rPr>
      </w:pPr>
      <w:r w:rsidRPr="003104AA">
        <w:rPr>
          <w:rStyle w:val="FootnoteReference"/>
          <w:szCs w:val="18"/>
        </w:rPr>
        <w:footnoteRef/>
      </w:r>
      <w:r w:rsidRPr="003104AA">
        <w:rPr>
          <w:szCs w:val="18"/>
        </w:rPr>
        <w:t xml:space="preserve"> Pour les éléments du crime, voir </w:t>
      </w:r>
      <w:r w:rsidRPr="003104AA">
        <w:rPr>
          <w:i/>
          <w:szCs w:val="18"/>
        </w:rPr>
        <w:t>supra</w:t>
      </w:r>
      <w:r w:rsidRPr="003104AA">
        <w:rPr>
          <w:szCs w:val="18"/>
        </w:rPr>
        <w:t xml:space="preserve">, fn. </w:t>
      </w:r>
      <w:r w:rsidRPr="003104AA">
        <w:rPr>
          <w:szCs w:val="18"/>
        </w:rPr>
        <w:fldChar w:fldCharType="begin"/>
      </w:r>
      <w:r w:rsidRPr="003104AA">
        <w:rPr>
          <w:szCs w:val="18"/>
        </w:rPr>
        <w:instrText xml:space="preserve"> NOTEREF _Ref515461340 \h  \* MERGEFORMAT </w:instrText>
      </w:r>
      <w:r w:rsidRPr="003104AA">
        <w:rPr>
          <w:szCs w:val="18"/>
        </w:rPr>
      </w:r>
      <w:r w:rsidRPr="003104AA">
        <w:rPr>
          <w:szCs w:val="18"/>
        </w:rPr>
        <w:fldChar w:fldCharType="separate"/>
      </w:r>
      <w:r w:rsidR="00AE33CF">
        <w:rPr>
          <w:szCs w:val="18"/>
        </w:rPr>
        <w:t>743</w:t>
      </w:r>
      <w:r w:rsidRPr="003104AA">
        <w:rPr>
          <w:szCs w:val="18"/>
        </w:rPr>
        <w:fldChar w:fldCharType="end"/>
      </w:r>
      <w:r w:rsidRPr="002D31A9">
        <w:rPr>
          <w:szCs w:val="18"/>
        </w:rPr>
        <w:t>.</w:t>
      </w:r>
    </w:p>
  </w:footnote>
  <w:footnote w:id="788">
    <w:p w14:paraId="6BE909FF" w14:textId="77777777" w:rsidR="004E119B" w:rsidRPr="002D31A9" w:rsidRDefault="004E119B" w:rsidP="003104AA">
      <w:pPr>
        <w:pStyle w:val="FootnoteText"/>
        <w:ind w:left="1152" w:right="1138" w:hanging="245"/>
        <w:jc w:val="left"/>
        <w:rPr>
          <w:szCs w:val="18"/>
        </w:rPr>
      </w:pPr>
      <w:r w:rsidRPr="002D31A9">
        <w:rPr>
          <w:rStyle w:val="FootnoteReference"/>
          <w:szCs w:val="18"/>
        </w:rPr>
        <w:footnoteRef/>
      </w:r>
      <w:r w:rsidRPr="002D31A9">
        <w:rPr>
          <w:szCs w:val="18"/>
        </w:rPr>
        <w:t xml:space="preserve"> T0083.</w:t>
      </w:r>
    </w:p>
  </w:footnote>
  <w:footnote w:id="789">
    <w:p w14:paraId="66317B3D" w14:textId="77777777" w:rsidR="004E119B" w:rsidRPr="0060278B" w:rsidRDefault="004E119B" w:rsidP="003104AA">
      <w:pPr>
        <w:pStyle w:val="FootnoteText"/>
        <w:ind w:left="1138" w:right="1138" w:hanging="228"/>
        <w:jc w:val="left"/>
        <w:rPr>
          <w:szCs w:val="18"/>
          <w:lang w:val="fr-CH"/>
        </w:rPr>
      </w:pPr>
      <w:r w:rsidRPr="002D31A9">
        <w:rPr>
          <w:rStyle w:val="FootnoteReference"/>
          <w:szCs w:val="18"/>
        </w:rPr>
        <w:footnoteRef/>
      </w:r>
      <w:r w:rsidRPr="002D31A9">
        <w:rPr>
          <w:szCs w:val="18"/>
        </w:rPr>
        <w:t xml:space="preserve"> Les éléments de ce crime sont : (i) L’auteur a tué une ou plusieurs personnes, no</w:t>
      </w:r>
      <w:r w:rsidRPr="00840539">
        <w:rPr>
          <w:szCs w:val="18"/>
        </w:rPr>
        <w:t xml:space="preserve">tamment en les soumettant à des conditions d’existence propres à entraîner la destruction d’une partie d’une population ; et (ii) Les actes constituaient un massacre de membres d’une population civile ou en faisaient partie. Ces actes pourraient impliquer </w:t>
      </w:r>
      <w:r w:rsidRPr="006E341A">
        <w:rPr>
          <w:szCs w:val="18"/>
        </w:rPr>
        <w:t>différentes méthodes de meurtre, directes ou indirectes. Ces conditions pourraient être infligées par la privation d’accès à la nourriture ou aux médicaments.</w:t>
      </w:r>
    </w:p>
  </w:footnote>
  <w:footnote w:id="790">
    <w:p w14:paraId="1351B9E4" w14:textId="5A7354AD" w:rsidR="004E119B" w:rsidRPr="002D31A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Pour les éléments du crime, voir </w:t>
      </w:r>
      <w:r w:rsidRPr="003104AA">
        <w:rPr>
          <w:i/>
          <w:szCs w:val="18"/>
        </w:rPr>
        <w:t>supra</w:t>
      </w:r>
      <w:r w:rsidRPr="003104AA">
        <w:rPr>
          <w:szCs w:val="18"/>
        </w:rPr>
        <w:t xml:space="preserve">, fn. </w:t>
      </w:r>
      <w:r w:rsidRPr="003104AA">
        <w:rPr>
          <w:szCs w:val="18"/>
        </w:rPr>
        <w:fldChar w:fldCharType="begin"/>
      </w:r>
      <w:r w:rsidRPr="003104AA">
        <w:rPr>
          <w:szCs w:val="18"/>
        </w:rPr>
        <w:instrText xml:space="preserve"> NOTEREF _Ref515462917 \h  \* MERGEFORMAT </w:instrText>
      </w:r>
      <w:r w:rsidRPr="003104AA">
        <w:rPr>
          <w:szCs w:val="18"/>
        </w:rPr>
      </w:r>
      <w:r w:rsidRPr="003104AA">
        <w:rPr>
          <w:szCs w:val="18"/>
        </w:rPr>
        <w:fldChar w:fldCharType="separate"/>
      </w:r>
      <w:r w:rsidR="00AE33CF">
        <w:rPr>
          <w:szCs w:val="18"/>
        </w:rPr>
        <w:t>746</w:t>
      </w:r>
      <w:r w:rsidRPr="003104AA">
        <w:rPr>
          <w:szCs w:val="18"/>
        </w:rPr>
        <w:fldChar w:fldCharType="end"/>
      </w:r>
      <w:r w:rsidRPr="002D31A9">
        <w:rPr>
          <w:szCs w:val="18"/>
        </w:rPr>
        <w:t>.</w:t>
      </w:r>
    </w:p>
  </w:footnote>
  <w:footnote w:id="791">
    <w:p w14:paraId="4155146E" w14:textId="77777777" w:rsidR="004E119B" w:rsidRPr="002D31A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T0339.</w:t>
      </w:r>
    </w:p>
  </w:footnote>
  <w:footnote w:id="792">
    <w:p w14:paraId="77FD8711" w14:textId="77777777" w:rsidR="004E119B" w:rsidRPr="002D31A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T0276.</w:t>
      </w:r>
    </w:p>
  </w:footnote>
  <w:footnote w:id="793">
    <w:p w14:paraId="54337F7A" w14:textId="77777777" w:rsidR="004E119B" w:rsidRPr="002D31A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T0264.</w:t>
      </w:r>
    </w:p>
  </w:footnote>
  <w:footnote w:id="794">
    <w:p w14:paraId="56AE3F2A" w14:textId="77777777" w:rsidR="004E119B" w:rsidRPr="002D31A9" w:rsidRDefault="004E119B" w:rsidP="003104AA">
      <w:pPr>
        <w:pStyle w:val="FootnoteText"/>
        <w:ind w:left="1152" w:right="1138" w:hanging="245"/>
        <w:jc w:val="left"/>
        <w:rPr>
          <w:szCs w:val="18"/>
        </w:rPr>
      </w:pPr>
      <w:r w:rsidRPr="002D31A9">
        <w:rPr>
          <w:rStyle w:val="FootnoteReference"/>
          <w:szCs w:val="18"/>
        </w:rPr>
        <w:footnoteRef/>
      </w:r>
      <w:r w:rsidRPr="002D31A9">
        <w:rPr>
          <w:szCs w:val="18"/>
        </w:rPr>
        <w:t xml:space="preserve"> T0238.</w:t>
      </w:r>
    </w:p>
  </w:footnote>
  <w:footnote w:id="795">
    <w:p w14:paraId="75BA11E9" w14:textId="0EE1973C" w:rsidR="004E119B" w:rsidRPr="002D31A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Pour les éléments du crime, voir </w:t>
      </w:r>
      <w:r w:rsidRPr="00840539">
        <w:rPr>
          <w:i/>
          <w:szCs w:val="18"/>
        </w:rPr>
        <w:t>supra</w:t>
      </w:r>
      <w:r w:rsidRPr="00840539">
        <w:rPr>
          <w:szCs w:val="18"/>
        </w:rPr>
        <w:t xml:space="preserve">, </w:t>
      </w:r>
      <w:r w:rsidRPr="003104AA">
        <w:rPr>
          <w:szCs w:val="18"/>
        </w:rPr>
        <w:t xml:space="preserve">fn. </w:t>
      </w:r>
      <w:r w:rsidRPr="003104AA">
        <w:rPr>
          <w:szCs w:val="18"/>
        </w:rPr>
        <w:fldChar w:fldCharType="begin"/>
      </w:r>
      <w:r w:rsidRPr="003104AA">
        <w:rPr>
          <w:szCs w:val="18"/>
        </w:rPr>
        <w:instrText xml:space="preserve"> NOTEREF _Ref516565845 \h  \* MERGEFORMAT </w:instrText>
      </w:r>
      <w:r w:rsidRPr="003104AA">
        <w:rPr>
          <w:szCs w:val="18"/>
        </w:rPr>
      </w:r>
      <w:r w:rsidRPr="003104AA">
        <w:rPr>
          <w:szCs w:val="18"/>
        </w:rPr>
        <w:fldChar w:fldCharType="separate"/>
      </w:r>
      <w:r w:rsidR="00AE33CF">
        <w:rPr>
          <w:szCs w:val="18"/>
        </w:rPr>
        <w:t>757</w:t>
      </w:r>
      <w:r w:rsidRPr="003104AA">
        <w:rPr>
          <w:szCs w:val="18"/>
        </w:rPr>
        <w:fldChar w:fldCharType="end"/>
      </w:r>
      <w:r w:rsidRPr="002D31A9">
        <w:rPr>
          <w:szCs w:val="18"/>
        </w:rPr>
        <w:t>.</w:t>
      </w:r>
    </w:p>
  </w:footnote>
  <w:footnote w:id="796">
    <w:p w14:paraId="7E4E07CF" w14:textId="0ED36B5D" w:rsidR="004E119B" w:rsidRPr="002D31A9" w:rsidRDefault="004E119B" w:rsidP="003104AA">
      <w:pPr>
        <w:pStyle w:val="FootnoteText"/>
        <w:ind w:left="1138" w:right="1138" w:hanging="228"/>
        <w:jc w:val="left"/>
        <w:rPr>
          <w:b/>
          <w:szCs w:val="18"/>
        </w:rPr>
      </w:pPr>
      <w:r w:rsidRPr="002D31A9">
        <w:rPr>
          <w:rStyle w:val="FootnoteReference"/>
          <w:szCs w:val="18"/>
        </w:rPr>
        <w:footnoteRef/>
      </w:r>
      <w:r w:rsidRPr="002D31A9">
        <w:rPr>
          <w:szCs w:val="18"/>
        </w:rPr>
        <w:t xml:space="preserve"> En ce qui concerne les éléments qui permettent une telle détermination, voir </w:t>
      </w:r>
      <w:r w:rsidRPr="002D31A9">
        <w:rPr>
          <w:i/>
          <w:szCs w:val="18"/>
        </w:rPr>
        <w:t>supra</w:t>
      </w:r>
      <w:r>
        <w:rPr>
          <w:szCs w:val="18"/>
        </w:rPr>
        <w:t>, para.</w:t>
      </w:r>
      <w:r>
        <w:rPr>
          <w:szCs w:val="18"/>
          <w:highlight w:val="yellow"/>
        </w:rPr>
        <w:fldChar w:fldCharType="begin"/>
      </w:r>
      <w:r>
        <w:rPr>
          <w:szCs w:val="18"/>
        </w:rPr>
        <w:instrText xml:space="preserve"> REF _Ref517874750 \r \h </w:instrText>
      </w:r>
      <w:r>
        <w:rPr>
          <w:szCs w:val="18"/>
          <w:highlight w:val="yellow"/>
        </w:rPr>
      </w:r>
      <w:r>
        <w:rPr>
          <w:szCs w:val="18"/>
          <w:highlight w:val="yellow"/>
        </w:rPr>
        <w:fldChar w:fldCharType="separate"/>
      </w:r>
      <w:r w:rsidR="00AE33CF">
        <w:rPr>
          <w:szCs w:val="18"/>
        </w:rPr>
        <w:t>291</w:t>
      </w:r>
      <w:r>
        <w:rPr>
          <w:szCs w:val="18"/>
          <w:highlight w:val="yellow"/>
        </w:rPr>
        <w:fldChar w:fldCharType="end"/>
      </w:r>
      <w:r w:rsidRPr="002D31A9">
        <w:rPr>
          <w:szCs w:val="18"/>
        </w:rPr>
        <w:t>.</w:t>
      </w:r>
    </w:p>
  </w:footnote>
  <w:footnote w:id="797">
    <w:p w14:paraId="128E8D42" w14:textId="77777777" w:rsidR="004E119B" w:rsidRPr="002D31A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T0278</w:t>
      </w:r>
    </w:p>
  </w:footnote>
  <w:footnote w:id="798">
    <w:p w14:paraId="01CDD69A" w14:textId="77777777" w:rsidR="004E119B" w:rsidRPr="002D31A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T0416.</w:t>
      </w:r>
    </w:p>
  </w:footnote>
  <w:footnote w:id="799">
    <w:p w14:paraId="50AE7935" w14:textId="77777777" w:rsidR="004E119B" w:rsidRPr="002D31A9" w:rsidRDefault="004E119B" w:rsidP="003104AA">
      <w:pPr>
        <w:pStyle w:val="FootnoteText"/>
        <w:ind w:left="1138" w:right="1138" w:hanging="228"/>
        <w:jc w:val="left"/>
        <w:rPr>
          <w:szCs w:val="18"/>
        </w:rPr>
      </w:pPr>
      <w:r w:rsidRPr="002D31A9">
        <w:rPr>
          <w:rStyle w:val="FootnoteReference"/>
          <w:szCs w:val="18"/>
        </w:rPr>
        <w:footnoteRef/>
      </w:r>
      <w:r w:rsidRPr="002D31A9">
        <w:rPr>
          <w:szCs w:val="18"/>
        </w:rPr>
        <w:t xml:space="preserve"> T0437.</w:t>
      </w:r>
    </w:p>
  </w:footnote>
  <w:footnote w:id="800">
    <w:p w14:paraId="506CC6FD" w14:textId="77777777"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T0437.</w:t>
      </w:r>
    </w:p>
  </w:footnote>
  <w:footnote w:id="801">
    <w:p w14:paraId="781AB57E" w14:textId="781F088F"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Pour les éléments du crime</w:t>
      </w:r>
      <w:r w:rsidRPr="00E4658C">
        <w:rPr>
          <w:szCs w:val="18"/>
        </w:rPr>
        <w:t xml:space="preserve">, voir </w:t>
      </w:r>
      <w:r w:rsidRPr="00E4658C">
        <w:rPr>
          <w:i/>
          <w:szCs w:val="18"/>
        </w:rPr>
        <w:t>supra</w:t>
      </w:r>
      <w:r w:rsidRPr="00E4658C">
        <w:rPr>
          <w:szCs w:val="18"/>
        </w:rPr>
        <w:t xml:space="preserve">, fn. </w:t>
      </w:r>
      <w:r w:rsidRPr="00E4658C">
        <w:rPr>
          <w:szCs w:val="18"/>
        </w:rPr>
        <w:fldChar w:fldCharType="begin"/>
      </w:r>
      <w:r w:rsidRPr="00E4658C">
        <w:rPr>
          <w:szCs w:val="18"/>
        </w:rPr>
        <w:instrText xml:space="preserve"> NOTEREF _Ref515462842 \h  \* MERGEFORMAT </w:instrText>
      </w:r>
      <w:r w:rsidRPr="00E4658C">
        <w:rPr>
          <w:szCs w:val="18"/>
        </w:rPr>
      </w:r>
      <w:r w:rsidRPr="00E4658C">
        <w:rPr>
          <w:szCs w:val="18"/>
        </w:rPr>
        <w:fldChar w:fldCharType="separate"/>
      </w:r>
      <w:r w:rsidR="00AE33CF">
        <w:rPr>
          <w:szCs w:val="18"/>
        </w:rPr>
        <w:t>748</w:t>
      </w:r>
      <w:r w:rsidRPr="00E4658C">
        <w:rPr>
          <w:szCs w:val="18"/>
        </w:rPr>
        <w:fldChar w:fldCharType="end"/>
      </w:r>
      <w:r w:rsidRPr="002D31A9">
        <w:rPr>
          <w:szCs w:val="18"/>
        </w:rPr>
        <w:t>.</w:t>
      </w:r>
    </w:p>
  </w:footnote>
  <w:footnote w:id="802">
    <w:p w14:paraId="33B19DF5" w14:textId="77777777"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T0429.</w:t>
      </w:r>
    </w:p>
  </w:footnote>
  <w:footnote w:id="803">
    <w:p w14:paraId="40058B28" w14:textId="77777777" w:rsidR="004E119B" w:rsidRPr="002D31A9" w:rsidRDefault="004E119B" w:rsidP="00317173">
      <w:pPr>
        <w:pStyle w:val="FootnoteText"/>
        <w:ind w:left="1152" w:right="1138" w:hanging="245"/>
        <w:jc w:val="left"/>
        <w:rPr>
          <w:szCs w:val="18"/>
        </w:rPr>
      </w:pPr>
      <w:r w:rsidRPr="002D31A9">
        <w:rPr>
          <w:rStyle w:val="FootnoteReference"/>
          <w:szCs w:val="18"/>
        </w:rPr>
        <w:footnoteRef/>
      </w:r>
      <w:r w:rsidRPr="002D31A9">
        <w:rPr>
          <w:szCs w:val="18"/>
        </w:rPr>
        <w:t xml:space="preserve"> T0238.</w:t>
      </w:r>
    </w:p>
  </w:footnote>
  <w:footnote w:id="804">
    <w:p w14:paraId="2FB85E7D" w14:textId="431FB412" w:rsidR="004E119B" w:rsidRPr="002D31A9" w:rsidRDefault="004E119B" w:rsidP="00317173">
      <w:pPr>
        <w:pStyle w:val="FootnoteText"/>
        <w:ind w:left="1138" w:right="1138" w:hanging="228"/>
        <w:jc w:val="left"/>
        <w:rPr>
          <w:szCs w:val="18"/>
        </w:rPr>
      </w:pPr>
      <w:r w:rsidRPr="002D31A9">
        <w:rPr>
          <w:rStyle w:val="FootnoteReference"/>
          <w:szCs w:val="18"/>
        </w:rPr>
        <w:footnoteRef/>
      </w:r>
      <w:r w:rsidRPr="002D31A9">
        <w:rPr>
          <w:szCs w:val="18"/>
        </w:rPr>
        <w:t xml:space="preserve"> Pour les éléments du crime, voir </w:t>
      </w:r>
      <w:r w:rsidRPr="002D31A9">
        <w:rPr>
          <w:i/>
          <w:szCs w:val="18"/>
        </w:rPr>
        <w:t>supra</w:t>
      </w:r>
      <w:r w:rsidRPr="002D31A9">
        <w:rPr>
          <w:szCs w:val="18"/>
        </w:rPr>
        <w:t>, fn</w:t>
      </w:r>
      <w:r w:rsidRPr="00317173">
        <w:rPr>
          <w:szCs w:val="18"/>
        </w:rPr>
        <w:t xml:space="preserve">. </w:t>
      </w:r>
      <w:r w:rsidRPr="00317173">
        <w:rPr>
          <w:szCs w:val="18"/>
        </w:rPr>
        <w:fldChar w:fldCharType="begin"/>
      </w:r>
      <w:r w:rsidRPr="00317173">
        <w:rPr>
          <w:szCs w:val="18"/>
        </w:rPr>
        <w:instrText xml:space="preserve"> NOTEREF _Ref515462984 \h  \* MERGEFORMAT </w:instrText>
      </w:r>
      <w:r w:rsidRPr="00317173">
        <w:rPr>
          <w:szCs w:val="18"/>
        </w:rPr>
      </w:r>
      <w:r w:rsidRPr="00317173">
        <w:rPr>
          <w:szCs w:val="18"/>
        </w:rPr>
        <w:fldChar w:fldCharType="separate"/>
      </w:r>
      <w:r w:rsidR="00AE33CF">
        <w:rPr>
          <w:szCs w:val="18"/>
        </w:rPr>
        <w:t>749</w:t>
      </w:r>
      <w:r w:rsidRPr="00317173">
        <w:rPr>
          <w:szCs w:val="18"/>
        </w:rPr>
        <w:fldChar w:fldCharType="end"/>
      </w:r>
      <w:r w:rsidRPr="002D31A9">
        <w:rPr>
          <w:szCs w:val="18"/>
        </w:rPr>
        <w:t>.</w:t>
      </w:r>
    </w:p>
  </w:footnote>
  <w:footnote w:id="805">
    <w:p w14:paraId="4F0DBCE6" w14:textId="77777777" w:rsidR="004E119B" w:rsidRPr="002D31A9" w:rsidRDefault="004E119B" w:rsidP="00317173">
      <w:pPr>
        <w:pStyle w:val="FootnoteText"/>
        <w:ind w:left="1138" w:right="1138" w:hanging="228"/>
        <w:jc w:val="left"/>
        <w:rPr>
          <w:szCs w:val="18"/>
        </w:rPr>
      </w:pPr>
      <w:r w:rsidRPr="002D31A9">
        <w:rPr>
          <w:rStyle w:val="FootnoteReference"/>
          <w:szCs w:val="18"/>
        </w:rPr>
        <w:footnoteRef/>
      </w:r>
      <w:r w:rsidRPr="002D31A9">
        <w:rPr>
          <w:szCs w:val="18"/>
        </w:rPr>
        <w:t xml:space="preserve"> T0416.</w:t>
      </w:r>
    </w:p>
  </w:footnote>
  <w:footnote w:id="806">
    <w:p w14:paraId="5D149513" w14:textId="77777777" w:rsidR="004E119B" w:rsidRPr="00840539" w:rsidRDefault="004E119B" w:rsidP="00317173">
      <w:pPr>
        <w:pStyle w:val="FootnoteText"/>
        <w:ind w:left="1138" w:right="1138" w:hanging="228"/>
        <w:jc w:val="left"/>
        <w:rPr>
          <w:szCs w:val="18"/>
        </w:rPr>
      </w:pPr>
      <w:r w:rsidRPr="002D31A9">
        <w:rPr>
          <w:rStyle w:val="FootnoteReference"/>
          <w:szCs w:val="18"/>
        </w:rPr>
        <w:footnoteRef/>
      </w:r>
      <w:r w:rsidRPr="002D31A9">
        <w:rPr>
          <w:szCs w:val="18"/>
        </w:rPr>
        <w:t xml:space="preserve"> Voir notamment</w:t>
      </w:r>
      <w:r w:rsidRPr="002D31A9">
        <w:rPr>
          <w:i/>
          <w:szCs w:val="18"/>
        </w:rPr>
        <w:t xml:space="preserve"> </w:t>
      </w:r>
      <w:r w:rsidRPr="00840539">
        <w:rPr>
          <w:szCs w:val="18"/>
        </w:rPr>
        <w:t>T0401.</w:t>
      </w:r>
    </w:p>
  </w:footnote>
  <w:footnote w:id="807">
    <w:p w14:paraId="79A7EBB7" w14:textId="77777777" w:rsidR="004E119B" w:rsidRPr="009F1B3A" w:rsidRDefault="004E119B" w:rsidP="00317173">
      <w:pPr>
        <w:pStyle w:val="FootnoteText"/>
        <w:ind w:left="1138" w:right="1138" w:hanging="228"/>
        <w:jc w:val="left"/>
        <w:rPr>
          <w:szCs w:val="18"/>
          <w:lang w:val="fr-CH"/>
        </w:rPr>
      </w:pPr>
      <w:r w:rsidRPr="002D31A9">
        <w:rPr>
          <w:rStyle w:val="FootnoteReference"/>
          <w:szCs w:val="18"/>
        </w:rPr>
        <w:footnoteRef/>
      </w:r>
      <w:r w:rsidRPr="002D31A9">
        <w:rPr>
          <w:szCs w:val="18"/>
        </w:rPr>
        <w:t xml:space="preserve"> Les éléments de ce crime son</w:t>
      </w:r>
      <w:r w:rsidRPr="00840539">
        <w:rPr>
          <w:szCs w:val="18"/>
        </w:rPr>
        <w:t>t : (i) L’auteur a transféré de force, sans motif admis en droit international, une ou plusieurs personnes dans un autre lieu, en les expulsant ou par d’autres moyens coercitifs ; (ii) Les personnes c</w:t>
      </w:r>
      <w:r w:rsidRPr="006E341A">
        <w:rPr>
          <w:szCs w:val="18"/>
        </w:rPr>
        <w:t xml:space="preserve">oncernées étaient légalement présentes dans la région d’où elles ont été ainsi déplacées ; et (iii) L’auteur avait connaissance des circonstances de fait établissant la légalité de cette présence. Le terme « de force » ne se limite pas à la force physique </w:t>
      </w:r>
      <w:r w:rsidRPr="0060278B">
        <w:rPr>
          <w:szCs w:val="18"/>
        </w:rPr>
        <w:t xml:space="preserve">et peut comprendre un acte commis en usant à l’encontre de ladite ou desdites ou de tierces personnes de la menace de la force ou de la coercition, telle que celle causée par la menace de violences, contrainte, détention, pressions psychologiques, abus de </w:t>
      </w:r>
      <w:r w:rsidRPr="009F1B3A">
        <w:rPr>
          <w:szCs w:val="18"/>
        </w:rPr>
        <w:t>pouvoir, ou bien à la faveur d’un climat coercitif.</w:t>
      </w:r>
    </w:p>
  </w:footnote>
  <w:footnote w:id="808">
    <w:p w14:paraId="3A0AC850" w14:textId="77777777" w:rsidR="004E119B" w:rsidRPr="0060278B" w:rsidRDefault="004E119B" w:rsidP="00317173">
      <w:pPr>
        <w:pStyle w:val="FootnoteText"/>
        <w:ind w:left="1152" w:right="1138" w:hanging="245"/>
        <w:jc w:val="left"/>
        <w:rPr>
          <w:szCs w:val="18"/>
        </w:rPr>
      </w:pPr>
      <w:r w:rsidRPr="002D31A9">
        <w:rPr>
          <w:rStyle w:val="FootnoteReference"/>
          <w:szCs w:val="18"/>
        </w:rPr>
        <w:footnoteRef/>
      </w:r>
      <w:r w:rsidRPr="002D31A9">
        <w:rPr>
          <w:szCs w:val="18"/>
        </w:rPr>
        <w:t xml:space="preserve"> Les éléments de ce crime sont : (i) L’auteur a gravement porté atteinte, en violation du droit international, aux droits fondamentaux d’une ou plusieurs personnes ; (ii) L’auteur a pris pour cible la ou</w:t>
      </w:r>
      <w:r w:rsidRPr="00840539">
        <w:rPr>
          <w:szCs w:val="18"/>
        </w:rPr>
        <w:t xml:space="preserve"> les personnes en raison de leur appartenance à un groupe ou à une collectivité identifiable ou a ciblé le groupe ou la collectivité en tant que tel ; (iii) Un tel ciblage était fondé sur des motifs d’ordre politique, racial, national, ethnique, culturel, </w:t>
      </w:r>
      <w:r w:rsidRPr="006E341A">
        <w:rPr>
          <w:szCs w:val="18"/>
        </w:rPr>
        <w:t>religieux ou sexiste au sens de l’article 7(3) du Statut de Rome, ou à d’autres critères universellement reconnus comme inadmissibles en droit international ; et (iv) Le comportement était commis en corrélation avec tout acte visé à l’article 7(1) du Statu</w:t>
      </w:r>
      <w:r w:rsidRPr="0060278B">
        <w:rPr>
          <w:szCs w:val="18"/>
        </w:rPr>
        <w:t>t de Rome ou avec tout crime relevant de la compétence de la CPI.</w:t>
      </w:r>
    </w:p>
  </w:footnote>
  <w:footnote w:id="809">
    <w:p w14:paraId="4AB37037" w14:textId="77777777" w:rsidR="004E119B" w:rsidRPr="00840539" w:rsidRDefault="004E119B" w:rsidP="00317173">
      <w:pPr>
        <w:pStyle w:val="FootnoteText"/>
        <w:ind w:left="1152" w:right="1138" w:hanging="245"/>
        <w:jc w:val="left"/>
        <w:rPr>
          <w:szCs w:val="18"/>
        </w:rPr>
      </w:pPr>
      <w:r w:rsidRPr="002D31A9">
        <w:rPr>
          <w:rStyle w:val="FootnoteReference"/>
          <w:szCs w:val="18"/>
        </w:rPr>
        <w:footnoteRef/>
      </w:r>
      <w:r w:rsidRPr="002D31A9">
        <w:rPr>
          <w:szCs w:val="18"/>
        </w:rPr>
        <w:t xml:space="preserve"> Article 7(2)(g) d</w:t>
      </w:r>
      <w:r w:rsidRPr="00840539">
        <w:rPr>
          <w:szCs w:val="18"/>
        </w:rPr>
        <w:t>u Statut de Rome ; Article 222(9) du Code pénal de la RDC.</w:t>
      </w:r>
    </w:p>
  </w:footnote>
  <w:footnote w:id="810">
    <w:p w14:paraId="60E4CEF0" w14:textId="77777777" w:rsidR="004E119B" w:rsidRPr="006E341A" w:rsidRDefault="004E119B" w:rsidP="00317173">
      <w:pPr>
        <w:pStyle w:val="FootnoteText"/>
        <w:ind w:left="1152" w:right="1138" w:hanging="245"/>
        <w:jc w:val="left"/>
        <w:rPr>
          <w:szCs w:val="18"/>
        </w:rPr>
      </w:pPr>
      <w:r w:rsidRPr="002D31A9">
        <w:rPr>
          <w:rStyle w:val="FootnoteReference"/>
          <w:szCs w:val="18"/>
        </w:rPr>
        <w:footnoteRef/>
      </w:r>
      <w:r w:rsidRPr="002D31A9">
        <w:rPr>
          <w:szCs w:val="18"/>
        </w:rPr>
        <w:t xml:space="preserve"> </w:t>
      </w:r>
      <w:r w:rsidRPr="002D31A9">
        <w:rPr>
          <w:i/>
          <w:szCs w:val="18"/>
        </w:rPr>
        <w:t xml:space="preserve">Cf. </w:t>
      </w:r>
      <w:r w:rsidRPr="002D31A9">
        <w:rPr>
          <w:szCs w:val="18"/>
          <w:lang w:val="fr-CH"/>
        </w:rPr>
        <w:t xml:space="preserve">TPIY, </w:t>
      </w:r>
      <w:r w:rsidRPr="00840539">
        <w:rPr>
          <w:i/>
          <w:szCs w:val="18"/>
          <w:lang w:val="fr-CH"/>
        </w:rPr>
        <w:t>Le Procureur c. Duško Tadić</w:t>
      </w:r>
      <w:r w:rsidRPr="00840539">
        <w:rPr>
          <w:szCs w:val="18"/>
          <w:lang w:val="fr-CH"/>
        </w:rPr>
        <w:t>, Affaire n° IT-94-1-AR72, Arrêt relatif à l’appel de la Défense concernant l’exception préjudicielle d’incompétence, 2 octobre 1995, paras. 71-137.</w:t>
      </w:r>
    </w:p>
  </w:footnote>
  <w:footnote w:id="811">
    <w:p w14:paraId="44E3A8AD" w14:textId="27DB5932" w:rsidR="004E119B" w:rsidRPr="00317173" w:rsidRDefault="004E119B" w:rsidP="00317173">
      <w:pPr>
        <w:pStyle w:val="FootnoteText"/>
        <w:ind w:left="1152" w:right="1138" w:hanging="245"/>
        <w:jc w:val="left"/>
        <w:rPr>
          <w:szCs w:val="18"/>
        </w:rPr>
      </w:pPr>
      <w:r w:rsidRPr="002D31A9">
        <w:rPr>
          <w:rStyle w:val="FootnoteReference"/>
          <w:szCs w:val="18"/>
        </w:rPr>
        <w:footnoteRef/>
      </w:r>
      <w:r w:rsidRPr="002D31A9">
        <w:rPr>
          <w:szCs w:val="18"/>
        </w:rPr>
        <w:t xml:space="preserve"> CPI, </w:t>
      </w:r>
      <w:r w:rsidRPr="002D31A9">
        <w:rPr>
          <w:i/>
          <w:szCs w:val="18"/>
        </w:rPr>
        <w:t xml:space="preserve">Le </w:t>
      </w:r>
      <w:r w:rsidRPr="00317173">
        <w:rPr>
          <w:szCs w:val="18"/>
        </w:rPr>
        <w:t>Procureur</w:t>
      </w:r>
      <w:r w:rsidRPr="00317173">
        <w:rPr>
          <w:i/>
          <w:szCs w:val="18"/>
        </w:rPr>
        <w:t xml:space="preserve"> c. Thomas Lubanga Dyilo</w:t>
      </w:r>
      <w:r w:rsidRPr="00317173">
        <w:rPr>
          <w:szCs w:val="18"/>
        </w:rPr>
        <w:t xml:space="preserve">, Affaire n° ICC-01/04-01/06, Jugement rendu en application de l’article 74 du Statut, 14 mars 2012 (CPI, Jugement </w:t>
      </w:r>
      <w:r w:rsidRPr="00317173">
        <w:rPr>
          <w:i/>
          <w:szCs w:val="18"/>
        </w:rPr>
        <w:t>Lubanga</w:t>
      </w:r>
      <w:r w:rsidRPr="00317173">
        <w:rPr>
          <w:szCs w:val="18"/>
        </w:rPr>
        <w:t xml:space="preserve">), para. 536 ; CPI, Jugement </w:t>
      </w:r>
      <w:r w:rsidRPr="00317173">
        <w:rPr>
          <w:i/>
          <w:szCs w:val="18"/>
        </w:rPr>
        <w:t>Katanga</w:t>
      </w:r>
      <w:r w:rsidRPr="00317173">
        <w:rPr>
          <w:szCs w:val="18"/>
        </w:rPr>
        <w:t xml:space="preserve">, </w:t>
      </w:r>
      <w:r w:rsidRPr="00317173">
        <w:rPr>
          <w:i/>
          <w:szCs w:val="18"/>
        </w:rPr>
        <w:t xml:space="preserve">op. cit. </w:t>
      </w:r>
      <w:r w:rsidRPr="00317173">
        <w:rPr>
          <w:szCs w:val="18"/>
        </w:rPr>
        <w:t xml:space="preserve">fn. </w:t>
      </w:r>
      <w:r w:rsidRPr="00317173">
        <w:rPr>
          <w:szCs w:val="18"/>
        </w:rPr>
        <w:fldChar w:fldCharType="begin"/>
      </w:r>
      <w:r w:rsidRPr="00317173">
        <w:rPr>
          <w:szCs w:val="18"/>
        </w:rPr>
        <w:instrText xml:space="preserve"> NOTEREF _Ref516326527 \h  \* MERGEFORMAT </w:instrText>
      </w:r>
      <w:r w:rsidRPr="00317173">
        <w:rPr>
          <w:szCs w:val="18"/>
        </w:rPr>
      </w:r>
      <w:r w:rsidRPr="00317173">
        <w:rPr>
          <w:szCs w:val="18"/>
        </w:rPr>
        <w:fldChar w:fldCharType="separate"/>
      </w:r>
      <w:r w:rsidR="00AE33CF">
        <w:rPr>
          <w:szCs w:val="18"/>
        </w:rPr>
        <w:t>737</w:t>
      </w:r>
      <w:r w:rsidRPr="00317173">
        <w:rPr>
          <w:szCs w:val="18"/>
        </w:rPr>
        <w:fldChar w:fldCharType="end"/>
      </w:r>
      <w:r w:rsidRPr="00317173">
        <w:rPr>
          <w:szCs w:val="18"/>
        </w:rPr>
        <w:t>, para. 1186.</w:t>
      </w:r>
    </w:p>
  </w:footnote>
  <w:footnote w:id="812">
    <w:p w14:paraId="6CCAC65E" w14:textId="73D888FC" w:rsidR="004E119B" w:rsidRPr="00317173" w:rsidRDefault="004E119B" w:rsidP="00317173">
      <w:pPr>
        <w:pStyle w:val="FootnoteText"/>
        <w:ind w:left="1138" w:right="1138" w:hanging="228"/>
        <w:jc w:val="left"/>
        <w:rPr>
          <w:szCs w:val="18"/>
        </w:rPr>
      </w:pPr>
      <w:r w:rsidRPr="00317173">
        <w:rPr>
          <w:rStyle w:val="FootnoteReference"/>
          <w:szCs w:val="18"/>
        </w:rPr>
        <w:footnoteRef/>
      </w:r>
      <w:r w:rsidRPr="00317173">
        <w:rPr>
          <w:szCs w:val="18"/>
        </w:rPr>
        <w:t xml:space="preserve"> CPI, Jugement </w:t>
      </w:r>
      <w:r w:rsidRPr="00317173">
        <w:rPr>
          <w:i/>
          <w:szCs w:val="18"/>
        </w:rPr>
        <w:t>Lubanga</w:t>
      </w:r>
      <w:r w:rsidRPr="00317173">
        <w:rPr>
          <w:szCs w:val="18"/>
        </w:rPr>
        <w:t xml:space="preserve">, </w:t>
      </w:r>
      <w:r w:rsidRPr="00317173">
        <w:rPr>
          <w:i/>
          <w:szCs w:val="18"/>
        </w:rPr>
        <w:t xml:space="preserve">op. cit. </w:t>
      </w:r>
      <w:r w:rsidRPr="00317173">
        <w:rPr>
          <w:szCs w:val="18"/>
        </w:rPr>
        <w:t xml:space="preserve">fn. </w:t>
      </w:r>
      <w:r w:rsidRPr="00317173">
        <w:rPr>
          <w:szCs w:val="18"/>
        </w:rPr>
        <w:fldChar w:fldCharType="begin"/>
      </w:r>
      <w:r w:rsidRPr="00317173">
        <w:rPr>
          <w:szCs w:val="18"/>
        </w:rPr>
        <w:instrText xml:space="preserve"> NOTEREF _Ref516326824 \h  \* MERGEFORMAT </w:instrText>
      </w:r>
      <w:r w:rsidRPr="00317173">
        <w:rPr>
          <w:szCs w:val="18"/>
        </w:rPr>
      </w:r>
      <w:r w:rsidRPr="00317173">
        <w:rPr>
          <w:szCs w:val="18"/>
        </w:rPr>
        <w:fldChar w:fldCharType="separate"/>
      </w:r>
      <w:r w:rsidR="00AE33CF">
        <w:rPr>
          <w:szCs w:val="18"/>
        </w:rPr>
        <w:t>809</w:t>
      </w:r>
      <w:r w:rsidRPr="00317173">
        <w:rPr>
          <w:szCs w:val="18"/>
        </w:rPr>
        <w:fldChar w:fldCharType="end"/>
      </w:r>
      <w:r w:rsidRPr="00317173">
        <w:rPr>
          <w:szCs w:val="18"/>
        </w:rPr>
        <w:t xml:space="preserve">, para. 536 ; CPI, Jugement </w:t>
      </w:r>
      <w:r w:rsidRPr="00317173">
        <w:rPr>
          <w:i/>
          <w:szCs w:val="18"/>
        </w:rPr>
        <w:t>Katanga</w:t>
      </w:r>
      <w:r w:rsidRPr="00317173">
        <w:rPr>
          <w:szCs w:val="18"/>
        </w:rPr>
        <w:t xml:space="preserve">, </w:t>
      </w:r>
      <w:r w:rsidRPr="00317173">
        <w:rPr>
          <w:i/>
          <w:szCs w:val="18"/>
        </w:rPr>
        <w:t xml:space="preserve">op. cit. </w:t>
      </w:r>
      <w:r w:rsidRPr="00317173">
        <w:rPr>
          <w:szCs w:val="18"/>
        </w:rPr>
        <w:t xml:space="preserve">fn. </w:t>
      </w:r>
      <w:r w:rsidRPr="00317173">
        <w:rPr>
          <w:szCs w:val="18"/>
        </w:rPr>
        <w:fldChar w:fldCharType="begin"/>
      </w:r>
      <w:r w:rsidRPr="00317173">
        <w:rPr>
          <w:szCs w:val="18"/>
        </w:rPr>
        <w:instrText xml:space="preserve"> NOTEREF _Ref516326527 \h  \* MERGEFORMAT </w:instrText>
      </w:r>
      <w:r w:rsidRPr="00317173">
        <w:rPr>
          <w:szCs w:val="18"/>
        </w:rPr>
      </w:r>
      <w:r w:rsidRPr="00317173">
        <w:rPr>
          <w:szCs w:val="18"/>
        </w:rPr>
        <w:fldChar w:fldCharType="separate"/>
      </w:r>
      <w:r w:rsidR="00AE33CF">
        <w:rPr>
          <w:szCs w:val="18"/>
        </w:rPr>
        <w:t>737</w:t>
      </w:r>
      <w:r w:rsidRPr="00317173">
        <w:rPr>
          <w:szCs w:val="18"/>
        </w:rPr>
        <w:fldChar w:fldCharType="end"/>
      </w:r>
      <w:r w:rsidRPr="00317173">
        <w:rPr>
          <w:szCs w:val="18"/>
        </w:rPr>
        <w:t>, para. 1186.</w:t>
      </w:r>
    </w:p>
  </w:footnote>
  <w:footnote w:id="813">
    <w:p w14:paraId="3A28F5F7" w14:textId="4E3C5EFA" w:rsidR="004E119B" w:rsidRPr="00317173" w:rsidRDefault="004E119B" w:rsidP="00317173">
      <w:pPr>
        <w:pStyle w:val="FootnoteText"/>
        <w:ind w:left="1138" w:right="1138" w:hanging="228"/>
        <w:jc w:val="left"/>
        <w:rPr>
          <w:szCs w:val="18"/>
        </w:rPr>
      </w:pPr>
      <w:r w:rsidRPr="00317173">
        <w:rPr>
          <w:rStyle w:val="FootnoteReference"/>
          <w:szCs w:val="18"/>
        </w:rPr>
        <w:footnoteRef/>
      </w:r>
      <w:r w:rsidRPr="00317173">
        <w:rPr>
          <w:szCs w:val="18"/>
        </w:rPr>
        <w:t xml:space="preserve"> CPI, Jugement </w:t>
      </w:r>
      <w:r w:rsidRPr="00317173">
        <w:rPr>
          <w:i/>
          <w:szCs w:val="18"/>
        </w:rPr>
        <w:t>Lubanga</w:t>
      </w:r>
      <w:r w:rsidRPr="00317173">
        <w:rPr>
          <w:szCs w:val="18"/>
        </w:rPr>
        <w:t xml:space="preserve">, </w:t>
      </w:r>
      <w:r w:rsidRPr="00317173">
        <w:rPr>
          <w:i/>
          <w:szCs w:val="18"/>
        </w:rPr>
        <w:t xml:space="preserve">op. cit. </w:t>
      </w:r>
      <w:r w:rsidRPr="00317173">
        <w:rPr>
          <w:szCs w:val="18"/>
        </w:rPr>
        <w:t xml:space="preserve">fn. </w:t>
      </w:r>
      <w:r w:rsidRPr="00317173">
        <w:rPr>
          <w:szCs w:val="18"/>
        </w:rPr>
        <w:fldChar w:fldCharType="begin"/>
      </w:r>
      <w:r w:rsidRPr="00317173">
        <w:rPr>
          <w:szCs w:val="18"/>
        </w:rPr>
        <w:instrText xml:space="preserve"> NOTEREF _Ref516326824 \h  \* MERGEFORMAT </w:instrText>
      </w:r>
      <w:r w:rsidRPr="00317173">
        <w:rPr>
          <w:szCs w:val="18"/>
        </w:rPr>
      </w:r>
      <w:r w:rsidRPr="00317173">
        <w:rPr>
          <w:szCs w:val="18"/>
        </w:rPr>
        <w:fldChar w:fldCharType="separate"/>
      </w:r>
      <w:r w:rsidR="00AE33CF">
        <w:rPr>
          <w:szCs w:val="18"/>
        </w:rPr>
        <w:t>809</w:t>
      </w:r>
      <w:r w:rsidRPr="00317173">
        <w:rPr>
          <w:szCs w:val="18"/>
        </w:rPr>
        <w:fldChar w:fldCharType="end"/>
      </w:r>
      <w:r w:rsidRPr="00317173">
        <w:rPr>
          <w:szCs w:val="18"/>
        </w:rPr>
        <w:t xml:space="preserve">, para. 536. </w:t>
      </w:r>
    </w:p>
  </w:footnote>
  <w:footnote w:id="814">
    <w:p w14:paraId="5070DB46" w14:textId="17048CF4" w:rsidR="004E119B" w:rsidRPr="00317173" w:rsidRDefault="004E119B" w:rsidP="00317173">
      <w:pPr>
        <w:pStyle w:val="FootnoteText"/>
        <w:ind w:left="1138" w:right="1138" w:hanging="228"/>
        <w:jc w:val="left"/>
        <w:rPr>
          <w:szCs w:val="18"/>
        </w:rPr>
      </w:pPr>
      <w:r w:rsidRPr="00317173">
        <w:rPr>
          <w:rStyle w:val="FootnoteReference"/>
          <w:szCs w:val="18"/>
        </w:rPr>
        <w:footnoteRef/>
      </w:r>
      <w:r w:rsidRPr="00317173">
        <w:rPr>
          <w:szCs w:val="18"/>
        </w:rPr>
        <w:t xml:space="preserve"> TPIY, </w:t>
      </w:r>
      <w:r w:rsidRPr="00317173">
        <w:rPr>
          <w:szCs w:val="18"/>
          <w:lang w:val="fr-CH"/>
        </w:rPr>
        <w:t xml:space="preserve">Arrêt </w:t>
      </w:r>
      <w:r w:rsidRPr="00317173">
        <w:rPr>
          <w:i/>
          <w:szCs w:val="18"/>
          <w:lang w:val="fr-CH"/>
        </w:rPr>
        <w:t>Kunarac et consorts</w:t>
      </w:r>
      <w:r w:rsidRPr="00317173">
        <w:rPr>
          <w:szCs w:val="18"/>
          <w:lang w:val="fr-CH"/>
        </w:rPr>
        <w:t xml:space="preserve">, </w:t>
      </w:r>
      <w:r w:rsidRPr="00317173">
        <w:rPr>
          <w:i/>
          <w:szCs w:val="18"/>
        </w:rPr>
        <w:t xml:space="preserve">op. cit. </w:t>
      </w:r>
      <w:r w:rsidRPr="00317173">
        <w:rPr>
          <w:szCs w:val="18"/>
        </w:rPr>
        <w:t xml:space="preserve">fn. </w:t>
      </w:r>
      <w:r w:rsidRPr="00317173">
        <w:rPr>
          <w:szCs w:val="18"/>
        </w:rPr>
        <w:fldChar w:fldCharType="begin"/>
      </w:r>
      <w:r w:rsidRPr="00317173">
        <w:rPr>
          <w:szCs w:val="18"/>
        </w:rPr>
        <w:instrText xml:space="preserve"> NOTEREF _Ref516325956 \h  \* MERGEFORMAT </w:instrText>
      </w:r>
      <w:r w:rsidRPr="00317173">
        <w:rPr>
          <w:szCs w:val="18"/>
        </w:rPr>
      </w:r>
      <w:r w:rsidRPr="00317173">
        <w:rPr>
          <w:szCs w:val="18"/>
        </w:rPr>
        <w:fldChar w:fldCharType="separate"/>
      </w:r>
      <w:r w:rsidR="00AE33CF">
        <w:rPr>
          <w:szCs w:val="18"/>
        </w:rPr>
        <w:t>731</w:t>
      </w:r>
      <w:r w:rsidRPr="00317173">
        <w:rPr>
          <w:szCs w:val="18"/>
        </w:rPr>
        <w:fldChar w:fldCharType="end"/>
      </w:r>
      <w:r w:rsidRPr="00317173">
        <w:rPr>
          <w:szCs w:val="18"/>
          <w:lang w:val="fr-CH"/>
        </w:rPr>
        <w:t>, para. 58.</w:t>
      </w:r>
    </w:p>
  </w:footnote>
  <w:footnote w:id="815">
    <w:p w14:paraId="1498DE67" w14:textId="318F0772" w:rsidR="004E119B" w:rsidRPr="002D31A9" w:rsidRDefault="004E119B" w:rsidP="00317173">
      <w:pPr>
        <w:pStyle w:val="FootnoteText"/>
        <w:ind w:left="1138" w:right="1138" w:hanging="228"/>
        <w:jc w:val="left"/>
        <w:rPr>
          <w:szCs w:val="18"/>
        </w:rPr>
      </w:pPr>
      <w:r w:rsidRPr="00317173">
        <w:rPr>
          <w:rStyle w:val="FootnoteReference"/>
          <w:szCs w:val="18"/>
        </w:rPr>
        <w:footnoteRef/>
      </w:r>
      <w:r w:rsidRPr="00317173">
        <w:rPr>
          <w:szCs w:val="18"/>
        </w:rPr>
        <w:t xml:space="preserve"> TPIY, </w:t>
      </w:r>
      <w:r w:rsidRPr="00317173">
        <w:rPr>
          <w:szCs w:val="18"/>
          <w:lang w:val="fr-CH"/>
        </w:rPr>
        <w:t xml:space="preserve">Arrêt </w:t>
      </w:r>
      <w:r w:rsidRPr="00317173">
        <w:rPr>
          <w:i/>
          <w:szCs w:val="18"/>
          <w:lang w:val="fr-CH"/>
        </w:rPr>
        <w:t>Kunarac et consorts</w:t>
      </w:r>
      <w:r w:rsidRPr="00317173">
        <w:rPr>
          <w:szCs w:val="18"/>
          <w:lang w:val="fr-CH"/>
        </w:rPr>
        <w:t xml:space="preserve">, </w:t>
      </w:r>
      <w:r w:rsidRPr="00317173">
        <w:rPr>
          <w:i/>
          <w:szCs w:val="18"/>
        </w:rPr>
        <w:t xml:space="preserve">op. cit. </w:t>
      </w:r>
      <w:r w:rsidRPr="00317173">
        <w:rPr>
          <w:szCs w:val="18"/>
        </w:rPr>
        <w:t xml:space="preserve">fn. </w:t>
      </w:r>
      <w:r w:rsidRPr="00317173">
        <w:rPr>
          <w:szCs w:val="18"/>
        </w:rPr>
        <w:fldChar w:fldCharType="begin"/>
      </w:r>
      <w:r w:rsidRPr="00317173">
        <w:rPr>
          <w:szCs w:val="18"/>
        </w:rPr>
        <w:instrText xml:space="preserve"> NOTEREF _Ref516325956 \h  \* MERGEFORMAT </w:instrText>
      </w:r>
      <w:r w:rsidRPr="00317173">
        <w:rPr>
          <w:szCs w:val="18"/>
        </w:rPr>
      </w:r>
      <w:r w:rsidRPr="00317173">
        <w:rPr>
          <w:szCs w:val="18"/>
        </w:rPr>
        <w:fldChar w:fldCharType="separate"/>
      </w:r>
      <w:r w:rsidR="00AE33CF">
        <w:rPr>
          <w:szCs w:val="18"/>
        </w:rPr>
        <w:t>731</w:t>
      </w:r>
      <w:r w:rsidRPr="00317173">
        <w:rPr>
          <w:szCs w:val="18"/>
        </w:rPr>
        <w:fldChar w:fldCharType="end"/>
      </w:r>
      <w:r w:rsidRPr="00317173">
        <w:rPr>
          <w:szCs w:val="18"/>
          <w:lang w:val="fr-CH"/>
        </w:rPr>
        <w:t>,</w:t>
      </w:r>
      <w:r w:rsidRPr="002D31A9">
        <w:rPr>
          <w:szCs w:val="18"/>
          <w:lang w:val="fr-CH"/>
        </w:rPr>
        <w:t xml:space="preserve"> para. 58.</w:t>
      </w:r>
    </w:p>
  </w:footnote>
  <w:footnote w:id="816">
    <w:p w14:paraId="4798E451" w14:textId="4F165494" w:rsidR="004E119B" w:rsidRPr="002D31A9" w:rsidRDefault="004E119B" w:rsidP="00317173">
      <w:pPr>
        <w:pStyle w:val="FootnoteText"/>
        <w:ind w:left="1152" w:right="1138" w:hanging="245"/>
        <w:jc w:val="left"/>
        <w:rPr>
          <w:szCs w:val="18"/>
        </w:rPr>
      </w:pPr>
      <w:r w:rsidRPr="002D31A9">
        <w:rPr>
          <w:rStyle w:val="FootnoteReference"/>
          <w:szCs w:val="18"/>
        </w:rPr>
        <w:footnoteRef/>
      </w:r>
      <w:r w:rsidRPr="002D31A9">
        <w:rPr>
          <w:szCs w:val="18"/>
        </w:rPr>
        <w:t xml:space="preserve"> </w:t>
      </w:r>
      <w:r w:rsidRPr="002D31A9">
        <w:rPr>
          <w:szCs w:val="18"/>
          <w:lang w:val="fr-CH"/>
        </w:rPr>
        <w:t xml:space="preserve">TPIY, </w:t>
      </w:r>
      <w:r w:rsidRPr="002D31A9">
        <w:rPr>
          <w:i/>
          <w:szCs w:val="18"/>
          <w:lang w:val="fr-CH"/>
        </w:rPr>
        <w:t>Le</w:t>
      </w:r>
      <w:r w:rsidRPr="00840539">
        <w:rPr>
          <w:i/>
          <w:szCs w:val="18"/>
          <w:lang w:val="fr-CH"/>
        </w:rPr>
        <w:t xml:space="preserve"> Procureur c. Duško Tadić</w:t>
      </w:r>
      <w:r w:rsidRPr="00840539">
        <w:rPr>
          <w:szCs w:val="18"/>
          <w:lang w:val="fr-CH"/>
        </w:rPr>
        <w:t>, Affaire n° IT-94-1-T, Jugement, 7 mai 1997, para. 562. Les deux composantes de la notion de conflit armé non-international ne peuvent pas être décrites abstraitement mais doivent être évaluées au cas par cas sur la base d’une mu</w:t>
      </w:r>
      <w:r w:rsidRPr="006E341A">
        <w:rPr>
          <w:szCs w:val="18"/>
          <w:lang w:val="fr-CH"/>
        </w:rPr>
        <w:t xml:space="preserve">ltitude d’indicateurs. Les indicateurs permettant d’établir le degré d’organisation du groupe armé comprennent notamment : (i) l’existence </w:t>
      </w:r>
      <w:r w:rsidRPr="00317173">
        <w:rPr>
          <w:szCs w:val="18"/>
        </w:rPr>
        <w:t>d’une</w:t>
      </w:r>
      <w:r w:rsidRPr="006E341A">
        <w:rPr>
          <w:szCs w:val="18"/>
          <w:lang w:val="fr-CH"/>
        </w:rPr>
        <w:t xml:space="preserve"> chaîne/structure de commandement ; (ii) la capacité de recruter, former et équiper de nouveaux combattants ains</w:t>
      </w:r>
      <w:r w:rsidRPr="0060278B">
        <w:rPr>
          <w:szCs w:val="18"/>
          <w:lang w:val="fr-CH"/>
        </w:rPr>
        <w:t>i que de se procurer des armes et autres équipements militaires ; (iii) le port de signes distinctifs ; (iv) l’existence d’un matériel de communication permettant de relier les postes de commandement aux unités ou les unités entre elles ; (v) l’existence d</w:t>
      </w:r>
      <w:r w:rsidRPr="009F1B3A">
        <w:rPr>
          <w:szCs w:val="18"/>
          <w:lang w:val="fr-CH"/>
        </w:rPr>
        <w:t xml:space="preserve">e règles de discipline et mécanismes disciplinaires au sein du groupe ainsi que celle de donner et aire exécuter des ordres ; (vi) la publication de communiqués sur les actions et opérations militaires entreprises par le groupe armé ; (vii) la capacité à définir une stratégie militaire cohérente, à contrôler une partie du territoire, ainsi qu’à de planifier et lancer des opérations militaires coordonnées ; et (viii) la capacité de mener des opérations militaires à grande échelle. Les indicateurs permettant </w:t>
      </w:r>
      <w:r w:rsidRPr="008264D5">
        <w:rPr>
          <w:szCs w:val="18"/>
          <w:lang w:val="fr-CH"/>
        </w:rPr>
        <w:t>d’appréhender le niveau d’intensité de la violence requis comprennent notamment : (i) le nombre, la durée, la fréquence et la gravité des affrontements armés ; (ii) le type de forces gouvernementales intervenant ; (iii) le nombre de combattants et de troup</w:t>
      </w:r>
      <w:r w:rsidRPr="004800F3">
        <w:rPr>
          <w:szCs w:val="18"/>
          <w:lang w:val="fr-CH"/>
        </w:rPr>
        <w:t xml:space="preserve">es déployés ; (iv) le type et la nature des armes utilisées ; (v) le nombre de victimes et l’ampleur des destructions ; (vi) l’étendue des dommages causés par les combats ; (vii) la propagation des affrontements sur un territoire et une période donnés ; (viii) </w:t>
      </w:r>
      <w:r w:rsidRPr="00317173">
        <w:rPr>
          <w:szCs w:val="18"/>
          <w:lang w:val="fr-CH"/>
        </w:rPr>
        <w:t xml:space="preserve">l’intensification de l’armement des deux parties au conflit ; (ix) l’existence de lignes de front entre les parties et le déplacement de ces lignes de front ; et (x) le nombre de personnes déplacées ayant fui la zone des combats. Voir TPIY, </w:t>
      </w:r>
      <w:r w:rsidRPr="00317173">
        <w:rPr>
          <w:i/>
          <w:szCs w:val="18"/>
          <w:lang w:val="fr-CH"/>
        </w:rPr>
        <w:t>Le Procureur c. Ljube Boškoski et Johan Tarčulovski</w:t>
      </w:r>
      <w:r w:rsidRPr="00317173">
        <w:rPr>
          <w:szCs w:val="18"/>
          <w:lang w:val="fr-CH"/>
        </w:rPr>
        <w:t xml:space="preserve">, Affaire n° IT-04-82-T, Jugement, 10 juillet 2008 (TPIY, Jugement </w:t>
      </w:r>
      <w:r w:rsidRPr="00317173">
        <w:rPr>
          <w:i/>
          <w:szCs w:val="18"/>
          <w:lang w:val="fr-CH"/>
        </w:rPr>
        <w:t>Boškoski et Tarčulovski</w:t>
      </w:r>
      <w:r w:rsidRPr="00317173">
        <w:rPr>
          <w:szCs w:val="18"/>
          <w:lang w:val="fr-CH"/>
        </w:rPr>
        <w:t xml:space="preserve">), paras. 177, 199-203 ; TPIY, </w:t>
      </w:r>
      <w:r w:rsidRPr="00317173">
        <w:rPr>
          <w:i/>
          <w:szCs w:val="18"/>
          <w:lang w:val="fr-CH"/>
        </w:rPr>
        <w:t>Le Procureur c. Ramush Haradinaj et consorts</w:t>
      </w:r>
      <w:r w:rsidRPr="00317173">
        <w:rPr>
          <w:szCs w:val="18"/>
          <w:lang w:val="fr-CH"/>
        </w:rPr>
        <w:t xml:space="preserve">, Affaire n° IT-04-84-T, Jugement, 3 avril 2008 (TPIY, Jugement </w:t>
      </w:r>
      <w:r w:rsidRPr="00317173">
        <w:rPr>
          <w:i/>
          <w:szCs w:val="18"/>
          <w:lang w:val="fr-CH"/>
        </w:rPr>
        <w:t>Haradinaj et consorts</w:t>
      </w:r>
      <w:r w:rsidRPr="00317173">
        <w:rPr>
          <w:szCs w:val="18"/>
          <w:lang w:val="fr-CH"/>
        </w:rPr>
        <w:t xml:space="preserve">), paras. 49, 60. Voir aussi </w:t>
      </w:r>
      <w:r w:rsidRPr="00317173">
        <w:rPr>
          <w:szCs w:val="18"/>
        </w:rPr>
        <w:t xml:space="preserve">CPI, Jugement </w:t>
      </w:r>
      <w:r w:rsidRPr="00317173">
        <w:rPr>
          <w:i/>
          <w:szCs w:val="18"/>
        </w:rPr>
        <w:t>Lubanga</w:t>
      </w:r>
      <w:r w:rsidRPr="00317173">
        <w:rPr>
          <w:szCs w:val="18"/>
        </w:rPr>
        <w:t xml:space="preserve">, </w:t>
      </w:r>
      <w:r w:rsidRPr="00317173">
        <w:rPr>
          <w:i/>
          <w:szCs w:val="18"/>
        </w:rPr>
        <w:t xml:space="preserve">op. cit. </w:t>
      </w:r>
      <w:r w:rsidRPr="00317173">
        <w:rPr>
          <w:szCs w:val="18"/>
        </w:rPr>
        <w:t xml:space="preserve">fn. </w:t>
      </w:r>
      <w:r w:rsidRPr="00317173">
        <w:rPr>
          <w:szCs w:val="18"/>
        </w:rPr>
        <w:fldChar w:fldCharType="begin"/>
      </w:r>
      <w:r w:rsidRPr="00317173">
        <w:rPr>
          <w:szCs w:val="18"/>
        </w:rPr>
        <w:instrText xml:space="preserve"> NOTEREF _Ref516326824 \h  \* MERGEFORMAT </w:instrText>
      </w:r>
      <w:r w:rsidRPr="00317173">
        <w:rPr>
          <w:szCs w:val="18"/>
        </w:rPr>
      </w:r>
      <w:r w:rsidRPr="00317173">
        <w:rPr>
          <w:szCs w:val="18"/>
        </w:rPr>
        <w:fldChar w:fldCharType="separate"/>
      </w:r>
      <w:r w:rsidR="00AE33CF">
        <w:rPr>
          <w:szCs w:val="18"/>
        </w:rPr>
        <w:t>809</w:t>
      </w:r>
      <w:r w:rsidRPr="00317173">
        <w:rPr>
          <w:szCs w:val="18"/>
        </w:rPr>
        <w:fldChar w:fldCharType="end"/>
      </w:r>
      <w:r w:rsidRPr="00317173">
        <w:rPr>
          <w:szCs w:val="18"/>
        </w:rPr>
        <w:t xml:space="preserve">, para. 537 ; CPI, Jugement </w:t>
      </w:r>
      <w:r w:rsidRPr="00317173">
        <w:rPr>
          <w:i/>
          <w:szCs w:val="18"/>
        </w:rPr>
        <w:t>Katanga</w:t>
      </w:r>
      <w:r w:rsidRPr="00317173">
        <w:rPr>
          <w:szCs w:val="18"/>
        </w:rPr>
        <w:t xml:space="preserve">, </w:t>
      </w:r>
      <w:r w:rsidRPr="00317173">
        <w:rPr>
          <w:i/>
          <w:szCs w:val="18"/>
        </w:rPr>
        <w:t xml:space="preserve">op. cit. </w:t>
      </w:r>
      <w:r w:rsidRPr="00317173">
        <w:rPr>
          <w:szCs w:val="18"/>
        </w:rPr>
        <w:t xml:space="preserve">fn. </w:t>
      </w:r>
      <w:r w:rsidRPr="00317173">
        <w:rPr>
          <w:szCs w:val="18"/>
        </w:rPr>
        <w:fldChar w:fldCharType="begin"/>
      </w:r>
      <w:r w:rsidRPr="00317173">
        <w:rPr>
          <w:szCs w:val="18"/>
        </w:rPr>
        <w:instrText xml:space="preserve"> NOTEREF _Ref516326527 \h  \* MERGEFORMAT </w:instrText>
      </w:r>
      <w:r w:rsidRPr="00317173">
        <w:rPr>
          <w:szCs w:val="18"/>
        </w:rPr>
      </w:r>
      <w:r w:rsidRPr="00317173">
        <w:rPr>
          <w:szCs w:val="18"/>
        </w:rPr>
        <w:fldChar w:fldCharType="separate"/>
      </w:r>
      <w:r w:rsidR="00AE33CF">
        <w:rPr>
          <w:szCs w:val="18"/>
        </w:rPr>
        <w:t>737</w:t>
      </w:r>
      <w:r w:rsidRPr="00317173">
        <w:rPr>
          <w:szCs w:val="18"/>
        </w:rPr>
        <w:fldChar w:fldCharType="end"/>
      </w:r>
      <w:r w:rsidRPr="00317173">
        <w:rPr>
          <w:szCs w:val="18"/>
        </w:rPr>
        <w:t xml:space="preserve">, para. 1186 ; CPI, Jugement </w:t>
      </w:r>
      <w:r w:rsidRPr="00317173">
        <w:rPr>
          <w:i/>
          <w:szCs w:val="18"/>
        </w:rPr>
        <w:t>Bemba</w:t>
      </w:r>
      <w:r w:rsidRPr="00317173">
        <w:rPr>
          <w:szCs w:val="18"/>
        </w:rPr>
        <w:t xml:space="preserve">, </w:t>
      </w:r>
      <w:r w:rsidRPr="00317173">
        <w:rPr>
          <w:i/>
          <w:szCs w:val="18"/>
        </w:rPr>
        <w:t xml:space="preserve">op. cit. </w:t>
      </w:r>
      <w:r w:rsidRPr="00317173">
        <w:rPr>
          <w:szCs w:val="18"/>
        </w:rPr>
        <w:t xml:space="preserve">fn. </w:t>
      </w:r>
      <w:r w:rsidRPr="00317173">
        <w:rPr>
          <w:szCs w:val="18"/>
        </w:rPr>
        <w:fldChar w:fldCharType="begin"/>
      </w:r>
      <w:r w:rsidRPr="00317173">
        <w:rPr>
          <w:szCs w:val="18"/>
        </w:rPr>
        <w:instrText xml:space="preserve"> NOTEREF _Ref516325643 \h  \* MERGEFORMAT </w:instrText>
      </w:r>
      <w:r w:rsidRPr="00317173">
        <w:rPr>
          <w:szCs w:val="18"/>
        </w:rPr>
      </w:r>
      <w:r w:rsidRPr="00317173">
        <w:rPr>
          <w:szCs w:val="18"/>
        </w:rPr>
        <w:fldChar w:fldCharType="separate"/>
      </w:r>
      <w:r w:rsidR="00AE33CF">
        <w:rPr>
          <w:szCs w:val="18"/>
        </w:rPr>
        <w:t>732</w:t>
      </w:r>
      <w:r w:rsidRPr="00317173">
        <w:rPr>
          <w:szCs w:val="18"/>
        </w:rPr>
        <w:fldChar w:fldCharType="end"/>
      </w:r>
      <w:r w:rsidRPr="00317173">
        <w:rPr>
          <w:szCs w:val="18"/>
        </w:rPr>
        <w:t xml:space="preserve">, paras. 134-137. Aucun des indicateurs mentionnés n’est par lui-même essentiel pour établir le critère d’organisation du groupe armé. Voir </w:t>
      </w:r>
      <w:r w:rsidRPr="00317173">
        <w:rPr>
          <w:szCs w:val="18"/>
          <w:lang w:val="fr-CH"/>
        </w:rPr>
        <w:t xml:space="preserve">TPIY, Jugement </w:t>
      </w:r>
      <w:r w:rsidRPr="00317173">
        <w:rPr>
          <w:i/>
          <w:szCs w:val="18"/>
          <w:lang w:val="fr-CH"/>
        </w:rPr>
        <w:t>Haradinaj et consorts</w:t>
      </w:r>
      <w:r w:rsidRPr="00317173">
        <w:rPr>
          <w:szCs w:val="18"/>
          <w:lang w:val="fr-CH"/>
        </w:rPr>
        <w:t xml:space="preserve">, </w:t>
      </w:r>
      <w:r w:rsidRPr="00317173">
        <w:rPr>
          <w:i/>
          <w:szCs w:val="18"/>
        </w:rPr>
        <w:t xml:space="preserve">op. cit. </w:t>
      </w:r>
      <w:r w:rsidRPr="00317173">
        <w:rPr>
          <w:szCs w:val="18"/>
        </w:rPr>
        <w:t xml:space="preserve">fn. </w:t>
      </w:r>
      <w:r w:rsidRPr="00317173">
        <w:rPr>
          <w:szCs w:val="18"/>
        </w:rPr>
        <w:fldChar w:fldCharType="begin"/>
      </w:r>
      <w:r w:rsidRPr="00317173">
        <w:rPr>
          <w:szCs w:val="18"/>
        </w:rPr>
        <w:instrText xml:space="preserve"> NOTEREF _Ref516327020 \h  \* MERGEFORMAT </w:instrText>
      </w:r>
      <w:r w:rsidRPr="00317173">
        <w:rPr>
          <w:szCs w:val="18"/>
        </w:rPr>
      </w:r>
      <w:r w:rsidRPr="00317173">
        <w:rPr>
          <w:szCs w:val="18"/>
        </w:rPr>
        <w:fldChar w:fldCharType="separate"/>
      </w:r>
      <w:r w:rsidR="00AE33CF">
        <w:rPr>
          <w:szCs w:val="18"/>
        </w:rPr>
        <w:t>814</w:t>
      </w:r>
      <w:r w:rsidRPr="00317173">
        <w:rPr>
          <w:szCs w:val="18"/>
        </w:rPr>
        <w:fldChar w:fldCharType="end"/>
      </w:r>
      <w:r w:rsidRPr="00317173">
        <w:rPr>
          <w:szCs w:val="18"/>
          <w:lang w:val="fr-CH"/>
        </w:rPr>
        <w:t xml:space="preserve">, para. 60 ; </w:t>
      </w:r>
      <w:r w:rsidRPr="00317173">
        <w:rPr>
          <w:szCs w:val="18"/>
        </w:rPr>
        <w:t xml:space="preserve">CPI, Jugement </w:t>
      </w:r>
      <w:r w:rsidRPr="00317173">
        <w:rPr>
          <w:i/>
          <w:szCs w:val="18"/>
        </w:rPr>
        <w:t>Katanga</w:t>
      </w:r>
      <w:r w:rsidRPr="00317173">
        <w:rPr>
          <w:szCs w:val="18"/>
        </w:rPr>
        <w:t xml:space="preserve">, </w:t>
      </w:r>
      <w:r w:rsidRPr="00317173">
        <w:rPr>
          <w:i/>
          <w:szCs w:val="18"/>
        </w:rPr>
        <w:t xml:space="preserve">op. cit. </w:t>
      </w:r>
      <w:r w:rsidRPr="00317173">
        <w:rPr>
          <w:szCs w:val="18"/>
        </w:rPr>
        <w:t xml:space="preserve">fn. </w:t>
      </w:r>
      <w:r w:rsidRPr="00317173">
        <w:rPr>
          <w:szCs w:val="18"/>
        </w:rPr>
        <w:fldChar w:fldCharType="begin"/>
      </w:r>
      <w:r w:rsidRPr="00317173">
        <w:rPr>
          <w:szCs w:val="18"/>
        </w:rPr>
        <w:instrText xml:space="preserve"> NOTEREF _Ref516326527 \h  \* MERGEFORMAT </w:instrText>
      </w:r>
      <w:r w:rsidRPr="00317173">
        <w:rPr>
          <w:szCs w:val="18"/>
        </w:rPr>
      </w:r>
      <w:r w:rsidRPr="00317173">
        <w:rPr>
          <w:szCs w:val="18"/>
        </w:rPr>
        <w:fldChar w:fldCharType="separate"/>
      </w:r>
      <w:r w:rsidR="00AE33CF">
        <w:rPr>
          <w:szCs w:val="18"/>
        </w:rPr>
        <w:t>737</w:t>
      </w:r>
      <w:r w:rsidRPr="00317173">
        <w:rPr>
          <w:szCs w:val="18"/>
        </w:rPr>
        <w:fldChar w:fldCharType="end"/>
      </w:r>
      <w:r w:rsidRPr="00317173">
        <w:rPr>
          <w:szCs w:val="18"/>
        </w:rPr>
        <w:t>, pa</w:t>
      </w:r>
      <w:r w:rsidRPr="002D31A9">
        <w:rPr>
          <w:szCs w:val="18"/>
        </w:rPr>
        <w:t>ra. 1186.</w:t>
      </w:r>
    </w:p>
  </w:footnote>
  <w:footnote w:id="817">
    <w:p w14:paraId="4F7BDB88" w14:textId="30EFC5E6" w:rsidR="004E119B" w:rsidRPr="004800F3" w:rsidRDefault="004E119B" w:rsidP="00317173">
      <w:pPr>
        <w:pStyle w:val="FootnoteText"/>
        <w:ind w:left="1152" w:right="1138" w:hanging="245"/>
        <w:jc w:val="left"/>
        <w:rPr>
          <w:szCs w:val="18"/>
        </w:rPr>
      </w:pPr>
      <w:r w:rsidRPr="002D31A9">
        <w:rPr>
          <w:rStyle w:val="FootnoteReference"/>
          <w:szCs w:val="18"/>
        </w:rPr>
        <w:footnoteRef/>
      </w:r>
      <w:r w:rsidRPr="002D31A9">
        <w:rPr>
          <w:szCs w:val="18"/>
        </w:rPr>
        <w:t xml:space="preserve"> La vie des </w:t>
      </w:r>
      <w:r w:rsidRPr="00840539">
        <w:rPr>
          <w:szCs w:val="18"/>
        </w:rPr>
        <w:t>Luba</w:t>
      </w:r>
      <w:r>
        <w:rPr>
          <w:szCs w:val="18"/>
        </w:rPr>
        <w:t>s</w:t>
      </w:r>
      <w:r w:rsidRPr="00840539">
        <w:rPr>
          <w:szCs w:val="18"/>
        </w:rPr>
        <w:t xml:space="preserve"> dont le mouvement Kamuina Nsapu s’inspire est influencée par les croyances ancestrales, fondement de leur système institutionnel. Ce système est basé sur une vision particulière de la nature des </w:t>
      </w:r>
      <w:r w:rsidRPr="00317173">
        <w:rPr>
          <w:szCs w:val="18"/>
          <w:lang w:val="fr-CH"/>
        </w:rPr>
        <w:t>êtres</w:t>
      </w:r>
      <w:r w:rsidRPr="00840539">
        <w:rPr>
          <w:szCs w:val="18"/>
        </w:rPr>
        <w:t xml:space="preserve"> et de leurs influences métaphysiques réciproques. D’après cette vision, de manière ontologique, tout être</w:t>
      </w:r>
      <w:r w:rsidRPr="006E341A">
        <w:rPr>
          <w:szCs w:val="18"/>
        </w:rPr>
        <w:t xml:space="preserve"> est conçu comme une force immatérielle qui le constitue, indépendante de l’enveloppe qui l’extériorise. Pour les Kamuina Nsapu, il n’existe pas à proprement parler une âme qui anime un corps déterminé ; il existe un être composé à la fois d’une essence et</w:t>
      </w:r>
      <w:r w:rsidRPr="0060278B">
        <w:rPr>
          <w:szCs w:val="18"/>
        </w:rPr>
        <w:t xml:space="preserve"> de pouvoir qui agit au moyen d’une enveloppe matérielle ou sans elle. Tout ce qui existe dans l’univers est conçu de cette manière. Dès lors, les </w:t>
      </w:r>
      <w:r w:rsidRPr="009F1B3A">
        <w:rPr>
          <w:szCs w:val="18"/>
        </w:rPr>
        <w:t xml:space="preserve">Lubas </w:t>
      </w:r>
      <w:r w:rsidRPr="008264D5">
        <w:rPr>
          <w:szCs w:val="18"/>
        </w:rPr>
        <w:t>croient qu’un ancêtre mort, qui était puissant et sage pendant sa présence matérielle sur terre</w:t>
      </w:r>
      <w:r w:rsidRPr="004800F3">
        <w:rPr>
          <w:szCs w:val="18"/>
        </w:rPr>
        <w:t>, peut être considéré comme vivant.</w:t>
      </w:r>
    </w:p>
  </w:footnote>
  <w:footnote w:id="818">
    <w:p w14:paraId="7A83762D" w14:textId="77777777" w:rsidR="004E119B" w:rsidRPr="00840539" w:rsidRDefault="004E119B" w:rsidP="00317173">
      <w:pPr>
        <w:pStyle w:val="FootnoteText"/>
        <w:ind w:left="1152" w:right="1138" w:hanging="245"/>
        <w:jc w:val="left"/>
        <w:rPr>
          <w:szCs w:val="18"/>
        </w:rPr>
      </w:pPr>
      <w:r w:rsidRPr="002D31A9">
        <w:rPr>
          <w:rStyle w:val="FootnoteReference"/>
          <w:szCs w:val="18"/>
        </w:rPr>
        <w:footnoteRef/>
      </w:r>
      <w:r w:rsidRPr="002D31A9">
        <w:rPr>
          <w:szCs w:val="18"/>
          <w:lang w:val="en-US"/>
        </w:rPr>
        <w:t xml:space="preserve"> UNICEF, </w:t>
      </w:r>
      <w:r w:rsidRPr="00292FFB">
        <w:rPr>
          <w:szCs w:val="18"/>
          <w:lang w:val="en-US"/>
        </w:rPr>
        <w:t>Democratic Republic of the Congo, Humanitarian Situation Report on the Kasai Crisis</w:t>
      </w:r>
      <w:r w:rsidRPr="002D31A9">
        <w:rPr>
          <w:szCs w:val="18"/>
          <w:lang w:val="en-US"/>
        </w:rPr>
        <w:t xml:space="preserve">, 30 août 2017. </w:t>
      </w:r>
      <w:r w:rsidRPr="00840539">
        <w:rPr>
          <w:szCs w:val="18"/>
        </w:rPr>
        <w:t xml:space="preserve">Il </w:t>
      </w:r>
      <w:r w:rsidRPr="00317173">
        <w:rPr>
          <w:szCs w:val="18"/>
          <w:lang w:val="fr-CH"/>
        </w:rPr>
        <w:t>n’est</w:t>
      </w:r>
      <w:r w:rsidRPr="00840539">
        <w:rPr>
          <w:szCs w:val="18"/>
        </w:rPr>
        <w:t xml:space="preserve"> pas aisé d’obtenir des données exhaustives en raison des difficultés d’accès au terrain. </w:t>
      </w:r>
    </w:p>
  </w:footnote>
  <w:footnote w:id="819">
    <w:p w14:paraId="20F5BA4A" w14:textId="0906292C" w:rsidR="004E119B" w:rsidRPr="00840539" w:rsidRDefault="004E119B" w:rsidP="00317173">
      <w:pPr>
        <w:pStyle w:val="FootnoteText"/>
        <w:ind w:left="1152" w:right="1138" w:hanging="245"/>
        <w:jc w:val="left"/>
        <w:rPr>
          <w:szCs w:val="18"/>
        </w:rPr>
      </w:pPr>
      <w:r w:rsidRPr="002D31A9">
        <w:rPr>
          <w:rStyle w:val="FootnoteReference"/>
          <w:szCs w:val="18"/>
        </w:rPr>
        <w:footnoteRef/>
      </w:r>
      <w:r w:rsidRPr="002D31A9">
        <w:rPr>
          <w:szCs w:val="18"/>
        </w:rPr>
        <w:t xml:space="preserve"> Voir </w:t>
      </w:r>
      <w:r w:rsidRPr="00CB6F4D">
        <w:rPr>
          <w:szCs w:val="18"/>
          <w:lang w:val="fr-CH"/>
        </w:rPr>
        <w:t>supra</w:t>
      </w:r>
      <w:r>
        <w:rPr>
          <w:szCs w:val="18"/>
        </w:rPr>
        <w:t>, paras.</w:t>
      </w:r>
      <w:r>
        <w:rPr>
          <w:szCs w:val="18"/>
        </w:rPr>
        <w:fldChar w:fldCharType="begin"/>
      </w:r>
      <w:r>
        <w:rPr>
          <w:szCs w:val="18"/>
        </w:rPr>
        <w:instrText xml:space="preserve"> REF _Ref517875182 \r \h </w:instrText>
      </w:r>
      <w:r>
        <w:rPr>
          <w:szCs w:val="18"/>
        </w:rPr>
      </w:r>
      <w:r>
        <w:rPr>
          <w:szCs w:val="18"/>
        </w:rPr>
        <w:fldChar w:fldCharType="separate"/>
      </w:r>
      <w:r w:rsidR="00AE33CF">
        <w:rPr>
          <w:szCs w:val="18"/>
        </w:rPr>
        <w:t>180</w:t>
      </w:r>
      <w:r>
        <w:rPr>
          <w:szCs w:val="18"/>
        </w:rPr>
        <w:fldChar w:fldCharType="end"/>
      </w:r>
      <w:r>
        <w:rPr>
          <w:szCs w:val="18"/>
        </w:rPr>
        <w:t xml:space="preserve">, </w:t>
      </w:r>
      <w:r>
        <w:rPr>
          <w:szCs w:val="18"/>
        </w:rPr>
        <w:fldChar w:fldCharType="begin"/>
      </w:r>
      <w:r>
        <w:rPr>
          <w:szCs w:val="18"/>
        </w:rPr>
        <w:instrText xml:space="preserve"> REF _Ref517875207 \r \h </w:instrText>
      </w:r>
      <w:r>
        <w:rPr>
          <w:szCs w:val="18"/>
        </w:rPr>
      </w:r>
      <w:r>
        <w:rPr>
          <w:szCs w:val="18"/>
        </w:rPr>
        <w:fldChar w:fldCharType="separate"/>
      </w:r>
      <w:r w:rsidR="00AE33CF">
        <w:rPr>
          <w:szCs w:val="18"/>
        </w:rPr>
        <w:t>181</w:t>
      </w:r>
      <w:r>
        <w:rPr>
          <w:szCs w:val="18"/>
        </w:rPr>
        <w:fldChar w:fldCharType="end"/>
      </w:r>
      <w:r w:rsidRPr="00840539">
        <w:rPr>
          <w:color w:val="000000" w:themeColor="text1"/>
          <w:szCs w:val="18"/>
        </w:rPr>
        <w:t> ;</w:t>
      </w:r>
      <w:r w:rsidRPr="00840539">
        <w:rPr>
          <w:szCs w:val="18"/>
        </w:rPr>
        <w:t xml:space="preserve"> T0092, T0360.</w:t>
      </w:r>
    </w:p>
  </w:footnote>
  <w:footnote w:id="820">
    <w:p w14:paraId="0DF85DB6" w14:textId="77777777" w:rsidR="004E119B" w:rsidRPr="00840539" w:rsidRDefault="004E119B" w:rsidP="00317173">
      <w:pPr>
        <w:pStyle w:val="FootnoteText"/>
        <w:ind w:left="1152" w:right="1138" w:hanging="245"/>
        <w:jc w:val="left"/>
        <w:rPr>
          <w:szCs w:val="18"/>
        </w:rPr>
      </w:pPr>
      <w:r w:rsidRPr="002D31A9">
        <w:rPr>
          <w:rStyle w:val="FootnoteReference"/>
          <w:szCs w:val="18"/>
        </w:rPr>
        <w:footnoteRef/>
      </w:r>
      <w:r w:rsidRPr="002D31A9">
        <w:rPr>
          <w:szCs w:val="18"/>
        </w:rPr>
        <w:t xml:space="preserve"> Voir notamment T0287, </w:t>
      </w:r>
      <w:r w:rsidRPr="00840539">
        <w:rPr>
          <w:szCs w:val="18"/>
        </w:rPr>
        <w:t>T0044.</w:t>
      </w:r>
    </w:p>
  </w:footnote>
  <w:footnote w:id="821">
    <w:p w14:paraId="0C2FC4C5" w14:textId="0564074E" w:rsidR="004E119B" w:rsidRPr="008264D5" w:rsidRDefault="004E119B" w:rsidP="00317173">
      <w:pPr>
        <w:pStyle w:val="FootnoteText"/>
        <w:ind w:left="1152" w:right="1138" w:hanging="245"/>
        <w:jc w:val="left"/>
        <w:rPr>
          <w:szCs w:val="18"/>
          <w:lang w:val="en-GB"/>
        </w:rPr>
      </w:pPr>
      <w:r w:rsidRPr="002D31A9">
        <w:rPr>
          <w:rStyle w:val="FootnoteReference"/>
          <w:szCs w:val="18"/>
        </w:rPr>
        <w:footnoteRef/>
      </w:r>
      <w:r w:rsidRPr="002D31A9">
        <w:rPr>
          <w:szCs w:val="18"/>
        </w:rPr>
        <w:t xml:space="preserve"> Pour rappel, « tant que le groupe a la </w:t>
      </w:r>
      <w:r w:rsidRPr="002D31A9">
        <w:rPr>
          <w:i/>
          <w:szCs w:val="18"/>
        </w:rPr>
        <w:t xml:space="preserve">capacité </w:t>
      </w:r>
      <w:r w:rsidRPr="00840539">
        <w:rPr>
          <w:szCs w:val="18"/>
        </w:rPr>
        <w:t xml:space="preserve">organisationnelle de respecter les obligations découlant du droit international humanitaire, le fait qu’il se livre à des violations systématiques de ce type ne signifie pas qu’il n’a pas le </w:t>
      </w:r>
      <w:r w:rsidRPr="00317173">
        <w:rPr>
          <w:szCs w:val="18"/>
        </w:rPr>
        <w:t xml:space="preserve">niveau d’organisation requis pour être partie à un conflit armé ». Voir </w:t>
      </w:r>
      <w:r w:rsidRPr="00317173">
        <w:rPr>
          <w:szCs w:val="18"/>
          <w:lang w:val="fr-CH"/>
        </w:rPr>
        <w:t xml:space="preserve">TPIY, Jugement </w:t>
      </w:r>
      <w:r w:rsidRPr="00317173">
        <w:rPr>
          <w:i/>
          <w:szCs w:val="18"/>
          <w:lang w:val="fr-CH"/>
        </w:rPr>
        <w:t>Boškoski et Tarčulovski</w:t>
      </w:r>
      <w:r w:rsidRPr="00317173">
        <w:rPr>
          <w:szCs w:val="18"/>
          <w:lang w:val="fr-CH"/>
        </w:rPr>
        <w:t xml:space="preserve">, </w:t>
      </w:r>
      <w:r w:rsidRPr="00317173">
        <w:rPr>
          <w:i/>
          <w:szCs w:val="18"/>
        </w:rPr>
        <w:t xml:space="preserve">op. cit. </w:t>
      </w:r>
      <w:r w:rsidRPr="00317173">
        <w:rPr>
          <w:szCs w:val="18"/>
        </w:rPr>
        <w:t xml:space="preserve">fn. </w:t>
      </w:r>
      <w:r w:rsidRPr="00317173">
        <w:rPr>
          <w:szCs w:val="18"/>
        </w:rPr>
        <w:fldChar w:fldCharType="begin"/>
      </w:r>
      <w:r w:rsidRPr="00317173">
        <w:rPr>
          <w:szCs w:val="18"/>
        </w:rPr>
        <w:instrText xml:space="preserve"> NOTEREF _Ref516327020 \h  \* MERGEFORMAT </w:instrText>
      </w:r>
      <w:r w:rsidRPr="00317173">
        <w:rPr>
          <w:szCs w:val="18"/>
        </w:rPr>
      </w:r>
      <w:r w:rsidRPr="00317173">
        <w:rPr>
          <w:szCs w:val="18"/>
        </w:rPr>
        <w:fldChar w:fldCharType="separate"/>
      </w:r>
      <w:r w:rsidR="00AE33CF">
        <w:rPr>
          <w:szCs w:val="18"/>
        </w:rPr>
        <w:t>814</w:t>
      </w:r>
      <w:r w:rsidRPr="00317173">
        <w:rPr>
          <w:szCs w:val="18"/>
        </w:rPr>
        <w:fldChar w:fldCharType="end"/>
      </w:r>
      <w:r w:rsidRPr="00317173">
        <w:rPr>
          <w:szCs w:val="18"/>
        </w:rPr>
        <w:t xml:space="preserve">, para. </w:t>
      </w:r>
      <w:r w:rsidRPr="00317173">
        <w:rPr>
          <w:szCs w:val="18"/>
          <w:lang w:val="en-GB"/>
        </w:rPr>
        <w:t>205. Voir aussi Tilman Rodenhäuser, “Armed Groups, Rebel Coalitions, and Transnational Groups</w:t>
      </w:r>
      <w:r w:rsidRPr="002D31A9">
        <w:rPr>
          <w:szCs w:val="18"/>
          <w:lang w:val="en-GB"/>
        </w:rPr>
        <w:t> : The Degree of Organization Required from Non-State Armed Groups to</w:t>
      </w:r>
      <w:r w:rsidRPr="00840539">
        <w:rPr>
          <w:szCs w:val="18"/>
          <w:lang w:val="en-GB"/>
        </w:rPr>
        <w:t xml:space="preserve"> Become Party to a Non-International Armed Conflict”, in </w:t>
      </w:r>
      <w:r w:rsidRPr="00840539">
        <w:rPr>
          <w:i/>
          <w:szCs w:val="18"/>
          <w:lang w:val="en-GB"/>
        </w:rPr>
        <w:t>Yearbook of International Humanitarian Law 2016</w:t>
      </w:r>
      <w:r w:rsidRPr="00840539">
        <w:rPr>
          <w:szCs w:val="18"/>
          <w:lang w:val="en-GB"/>
        </w:rPr>
        <w:t>, vol. 19, T.M.C. Asser Press, 2017, p. 16: « Analysing whether a group has the capacity to comply with basic IHL norms is not a question of examining s</w:t>
      </w:r>
      <w:r w:rsidRPr="006E341A">
        <w:rPr>
          <w:szCs w:val="18"/>
          <w:lang w:val="en-GB"/>
        </w:rPr>
        <w:t xml:space="preserve">pecific structures designed for implementing IHL, such as a classical military command and control systems. Instead, the requirement needs to be understood in a wider sense, meaning that a group needs to have the capacity to implement any kind of internal </w:t>
      </w:r>
      <w:r w:rsidRPr="0060278B">
        <w:rPr>
          <w:szCs w:val="18"/>
          <w:lang w:val="en-GB"/>
        </w:rPr>
        <w:t>rules. If a group has sufficient structures to require its members to respect a simple code of conduct, or if the group operates under strict unwritten rules, this should be sufficient proof for its ability to also implement basic IHL. Concretely, if a gro</w:t>
      </w:r>
      <w:r w:rsidRPr="009F1B3A">
        <w:rPr>
          <w:szCs w:val="18"/>
          <w:lang w:val="en-GB"/>
        </w:rPr>
        <w:t>up’s code of conduct prescribes attacking members of the group’s own constituency, it could similarly include rules prohibiting attack against civilians. Likewise, it does not take sophisticated structures to absolutely prohibit torture. There is no objective reason why a basic set of rules applicable and respected within a group could not contain fundamental IHL norms. As it is well known, however, for the purpose of conflict classification it is not required that parties to the conflict actually comply wi</w:t>
      </w:r>
      <w:r w:rsidRPr="008264D5">
        <w:rPr>
          <w:szCs w:val="18"/>
          <w:lang w:val="en-GB"/>
        </w:rPr>
        <w:t>th IHL ».</w:t>
      </w:r>
    </w:p>
  </w:footnote>
  <w:footnote w:id="822">
    <w:p w14:paraId="1F9C6F24" w14:textId="77777777" w:rsidR="004E119B" w:rsidRPr="002D31A9" w:rsidRDefault="004E119B" w:rsidP="00317173">
      <w:pPr>
        <w:pStyle w:val="FootnoteText"/>
        <w:ind w:left="1152" w:right="1138" w:hanging="245"/>
        <w:jc w:val="left"/>
        <w:rPr>
          <w:szCs w:val="18"/>
        </w:rPr>
      </w:pPr>
      <w:r w:rsidRPr="002D31A9">
        <w:rPr>
          <w:rStyle w:val="FootnoteReference"/>
          <w:szCs w:val="18"/>
        </w:rPr>
        <w:footnoteRef/>
      </w:r>
      <w:r w:rsidRPr="002D31A9">
        <w:rPr>
          <w:szCs w:val="18"/>
        </w:rPr>
        <w:t xml:space="preserve"> Journal officiel de la République démocratique du Congo, 1</w:t>
      </w:r>
      <w:r w:rsidRPr="002D31A9">
        <w:rPr>
          <w:szCs w:val="18"/>
          <w:vertAlign w:val="superscript"/>
        </w:rPr>
        <w:t>er</w:t>
      </w:r>
      <w:r w:rsidRPr="002D31A9">
        <w:rPr>
          <w:szCs w:val="18"/>
        </w:rPr>
        <w:t xml:space="preserve"> avril 2017, p. 8.</w:t>
      </w:r>
    </w:p>
  </w:footnote>
  <w:footnote w:id="823">
    <w:p w14:paraId="4F608D0C" w14:textId="5ED33A37" w:rsidR="004E119B" w:rsidRPr="00840539" w:rsidRDefault="004E119B" w:rsidP="00317173">
      <w:pPr>
        <w:pStyle w:val="FootnoteText"/>
        <w:ind w:left="1152" w:right="1138" w:hanging="245"/>
        <w:jc w:val="left"/>
        <w:rPr>
          <w:szCs w:val="18"/>
        </w:rPr>
      </w:pPr>
      <w:r w:rsidRPr="002D31A9">
        <w:rPr>
          <w:rStyle w:val="FootnoteReference"/>
          <w:szCs w:val="18"/>
        </w:rPr>
        <w:footnoteRef/>
      </w:r>
      <w:r w:rsidRPr="002D31A9">
        <w:rPr>
          <w:szCs w:val="18"/>
        </w:rPr>
        <w:t xml:space="preserve"> Voir </w:t>
      </w:r>
      <w:r w:rsidRPr="002D31A9">
        <w:rPr>
          <w:i/>
          <w:szCs w:val="18"/>
        </w:rPr>
        <w:t>supra</w:t>
      </w:r>
      <w:r w:rsidRPr="002D31A9">
        <w:rPr>
          <w:szCs w:val="18"/>
        </w:rPr>
        <w:t>, para.</w:t>
      </w:r>
      <w:r>
        <w:rPr>
          <w:szCs w:val="18"/>
        </w:rPr>
        <w:fldChar w:fldCharType="begin"/>
      </w:r>
      <w:r>
        <w:rPr>
          <w:szCs w:val="18"/>
        </w:rPr>
        <w:instrText xml:space="preserve"> REF _Ref517875349 \r \h </w:instrText>
      </w:r>
      <w:r>
        <w:rPr>
          <w:szCs w:val="18"/>
        </w:rPr>
      </w:r>
      <w:r>
        <w:rPr>
          <w:szCs w:val="18"/>
        </w:rPr>
        <w:fldChar w:fldCharType="separate"/>
      </w:r>
      <w:r w:rsidR="00AE33CF">
        <w:rPr>
          <w:szCs w:val="18"/>
        </w:rPr>
        <w:t>347</w:t>
      </w:r>
      <w:r>
        <w:rPr>
          <w:szCs w:val="18"/>
        </w:rPr>
        <w:fldChar w:fldCharType="end"/>
      </w:r>
      <w:r>
        <w:rPr>
          <w:szCs w:val="18"/>
        </w:rPr>
        <w:t>,</w:t>
      </w:r>
      <w:r w:rsidRPr="00840539">
        <w:rPr>
          <w:szCs w:val="18"/>
        </w:rPr>
        <w:t xml:space="preserve"> T0092, T0360.</w:t>
      </w:r>
    </w:p>
  </w:footnote>
  <w:footnote w:id="824">
    <w:p w14:paraId="460FDE73" w14:textId="77777777" w:rsidR="004E119B" w:rsidRPr="006E341A" w:rsidRDefault="004E119B" w:rsidP="004A184E">
      <w:pPr>
        <w:pStyle w:val="FootnoteText"/>
        <w:ind w:left="1152" w:right="1138" w:hanging="245"/>
        <w:jc w:val="left"/>
        <w:rPr>
          <w:szCs w:val="18"/>
        </w:rPr>
      </w:pPr>
      <w:r w:rsidRPr="002D31A9">
        <w:rPr>
          <w:rStyle w:val="FootnoteReference"/>
          <w:szCs w:val="18"/>
        </w:rPr>
        <w:footnoteRef/>
      </w:r>
      <w:r w:rsidRPr="002D31A9">
        <w:rPr>
          <w:szCs w:val="18"/>
        </w:rPr>
        <w:t xml:space="preserve"> Les éléments de ce crime sont : (i) L’auteur </w:t>
      </w:r>
      <w:r w:rsidRPr="00840539">
        <w:rPr>
          <w:szCs w:val="18"/>
        </w:rPr>
        <w:t>a tué une ou plusieurs personnes ; (ii) Ladite ou lesdites personnes étaient hors de combat ou des personnes civiles ou des membres du personnel sanitaire ou religieux ne prenant pas activement part aux hostilités ; et (iii) L’auteur avait connaissance des</w:t>
      </w:r>
      <w:r w:rsidRPr="006E341A">
        <w:rPr>
          <w:szCs w:val="18"/>
        </w:rPr>
        <w:t xml:space="preserve"> circonstances de fait établissant ce statut.</w:t>
      </w:r>
    </w:p>
  </w:footnote>
  <w:footnote w:id="825">
    <w:p w14:paraId="69D5BA7D" w14:textId="43737AB7" w:rsidR="004E119B" w:rsidRPr="00840539" w:rsidRDefault="004E119B" w:rsidP="004A184E">
      <w:pPr>
        <w:pStyle w:val="FootnoteText"/>
        <w:ind w:left="1152" w:right="1138" w:hanging="245"/>
        <w:jc w:val="left"/>
        <w:rPr>
          <w:szCs w:val="18"/>
        </w:rPr>
      </w:pPr>
      <w:r w:rsidRPr="002D31A9">
        <w:rPr>
          <w:rStyle w:val="FootnoteReference"/>
          <w:szCs w:val="18"/>
        </w:rPr>
        <w:footnoteRef/>
      </w:r>
      <w:r w:rsidRPr="002D31A9">
        <w:rPr>
          <w:szCs w:val="18"/>
        </w:rPr>
        <w:t xml:space="preserve"> Voir </w:t>
      </w:r>
      <w:r w:rsidRPr="004A184E">
        <w:rPr>
          <w:szCs w:val="18"/>
        </w:rPr>
        <w:t>supra</w:t>
      </w:r>
      <w:r>
        <w:rPr>
          <w:szCs w:val="18"/>
        </w:rPr>
        <w:t>, para</w:t>
      </w:r>
      <w:r w:rsidRPr="002D31A9">
        <w:rPr>
          <w:szCs w:val="18"/>
        </w:rPr>
        <w:t>.</w:t>
      </w:r>
      <w:r>
        <w:rPr>
          <w:szCs w:val="18"/>
        </w:rPr>
        <w:fldChar w:fldCharType="begin"/>
      </w:r>
      <w:r>
        <w:rPr>
          <w:szCs w:val="18"/>
        </w:rPr>
        <w:instrText xml:space="preserve"> REF _Ref517875636 \r \h </w:instrText>
      </w:r>
      <w:r>
        <w:rPr>
          <w:szCs w:val="18"/>
        </w:rPr>
      </w:r>
      <w:r>
        <w:rPr>
          <w:szCs w:val="18"/>
        </w:rPr>
        <w:fldChar w:fldCharType="separate"/>
      </w:r>
      <w:r w:rsidR="00AE33CF">
        <w:rPr>
          <w:szCs w:val="18"/>
        </w:rPr>
        <w:t>274</w:t>
      </w:r>
      <w:r>
        <w:rPr>
          <w:szCs w:val="18"/>
        </w:rPr>
        <w:fldChar w:fldCharType="end"/>
      </w:r>
      <w:r>
        <w:rPr>
          <w:szCs w:val="18"/>
        </w:rPr>
        <w:t>.</w:t>
      </w:r>
    </w:p>
  </w:footnote>
  <w:footnote w:id="826">
    <w:p w14:paraId="47605003" w14:textId="77777777" w:rsidR="004E119B" w:rsidRPr="008264D5" w:rsidRDefault="004E119B" w:rsidP="004A184E">
      <w:pPr>
        <w:pStyle w:val="FootnoteText"/>
        <w:ind w:left="1152" w:right="1138" w:hanging="245"/>
        <w:jc w:val="left"/>
        <w:rPr>
          <w:szCs w:val="18"/>
        </w:rPr>
      </w:pPr>
      <w:r w:rsidRPr="002D31A9">
        <w:rPr>
          <w:rStyle w:val="FootnoteReference"/>
          <w:szCs w:val="18"/>
        </w:rPr>
        <w:footnoteRef/>
      </w:r>
      <w:r w:rsidRPr="002D31A9">
        <w:rPr>
          <w:szCs w:val="18"/>
        </w:rPr>
        <w:t xml:space="preserve"> Nils Melzer (dir.), </w:t>
      </w:r>
      <w:r w:rsidRPr="002D31A9">
        <w:rPr>
          <w:i/>
          <w:szCs w:val="18"/>
        </w:rPr>
        <w:t xml:space="preserve">Guide </w:t>
      </w:r>
      <w:r w:rsidRPr="004A184E">
        <w:rPr>
          <w:i/>
          <w:szCs w:val="18"/>
        </w:rPr>
        <w:t>interprétatif sur la notion de participation directe aux hostilités en droit international humanitaire</w:t>
      </w:r>
      <w:r w:rsidRPr="004A184E">
        <w:rPr>
          <w:szCs w:val="18"/>
        </w:rPr>
        <w:t>, CICR. Genève, 2010 (CICR, Guide sur la participation directe aux hostilités), pp. 29, 35-36. Comme le souligne</w:t>
      </w:r>
      <w:r w:rsidRPr="006E341A">
        <w:rPr>
          <w:szCs w:val="18"/>
        </w:rPr>
        <w:t xml:space="preserve"> ce guide, « les personnes dont la fonction continue implique la préparation, l’exécution ou le commandement d’actes ou d’opé</w:t>
      </w:r>
      <w:r w:rsidRPr="0060278B">
        <w:rPr>
          <w:szCs w:val="18"/>
        </w:rPr>
        <w:t>rations constituant une participation directe aux hostilités assument bel et bien une fonction de combat continue. Une personne recrutée, entraînée et équipée par un groupe armé organisé pour participer, en son nom, aux hostilités de manière continue et di</w:t>
      </w:r>
      <w:r w:rsidRPr="009F1B3A">
        <w:rPr>
          <w:szCs w:val="18"/>
        </w:rPr>
        <w:t xml:space="preserve">recte peut être considérée comme assumant une fonction de combat continue (même avant que cette personne commette un acte hostile) ». Voir </w:t>
      </w:r>
      <w:r w:rsidRPr="009F1B3A">
        <w:rPr>
          <w:i/>
          <w:szCs w:val="18"/>
        </w:rPr>
        <w:t>ibid.</w:t>
      </w:r>
      <w:r w:rsidRPr="008264D5">
        <w:rPr>
          <w:szCs w:val="18"/>
        </w:rPr>
        <w:t>, p. 36.</w:t>
      </w:r>
    </w:p>
  </w:footnote>
  <w:footnote w:id="827">
    <w:p w14:paraId="54EA4D91" w14:textId="77777777" w:rsidR="004E119B" w:rsidRPr="004A184E" w:rsidRDefault="004E119B" w:rsidP="004A184E">
      <w:pPr>
        <w:pStyle w:val="FootnoteText"/>
        <w:ind w:left="1152" w:right="1138" w:hanging="245"/>
        <w:jc w:val="left"/>
        <w:rPr>
          <w:szCs w:val="18"/>
        </w:rPr>
      </w:pPr>
      <w:r w:rsidRPr="002D31A9">
        <w:rPr>
          <w:rStyle w:val="FootnoteReference"/>
          <w:szCs w:val="18"/>
        </w:rPr>
        <w:footnoteRef/>
      </w:r>
      <w:r w:rsidRPr="002D31A9">
        <w:rPr>
          <w:szCs w:val="18"/>
        </w:rPr>
        <w:t xml:space="preserve"> Voir aussi Tilman Rodenhäuser, « Squaring the Circle? Prosecuting Sexual Violence against Child Soldiers by </w:t>
      </w:r>
      <w:r w:rsidRPr="004A184E">
        <w:rPr>
          <w:szCs w:val="18"/>
        </w:rPr>
        <w:t xml:space="preserve">their ‘Own Forces’ », in </w:t>
      </w:r>
      <w:r w:rsidRPr="004A184E">
        <w:rPr>
          <w:i/>
          <w:szCs w:val="18"/>
        </w:rPr>
        <w:t>Journal of International Criminal Justice</w:t>
      </w:r>
      <w:r w:rsidRPr="004A184E">
        <w:rPr>
          <w:szCs w:val="18"/>
        </w:rPr>
        <w:t xml:space="preserve">, OUP, Oxford, 2016, Vol. 14, p. 186 ; René Provost, « Enfants-soldats en droit international humanitaire : civils ou combattants ? Expériences et réflexions canadiennes », in Centre for International Governance Innovation, </w:t>
      </w:r>
      <w:r w:rsidRPr="004A184E">
        <w:rPr>
          <w:i/>
          <w:szCs w:val="18"/>
        </w:rPr>
        <w:t>Canada et droit international : 150 ans d’histoire et perspectives d’avenir</w:t>
      </w:r>
      <w:r w:rsidRPr="004A184E">
        <w:rPr>
          <w:szCs w:val="18"/>
        </w:rPr>
        <w:t>, CIGI, Waterloo, 2018, pp. 5-6.</w:t>
      </w:r>
    </w:p>
  </w:footnote>
  <w:footnote w:id="828">
    <w:p w14:paraId="3BAEA2A5" w14:textId="1A894E92" w:rsidR="004E119B" w:rsidRPr="004A184E" w:rsidRDefault="004E119B" w:rsidP="004A184E">
      <w:pPr>
        <w:pStyle w:val="FootnoteText"/>
        <w:ind w:left="1152" w:right="1138" w:hanging="245"/>
        <w:jc w:val="left"/>
        <w:rPr>
          <w:szCs w:val="18"/>
        </w:rPr>
      </w:pPr>
      <w:r w:rsidRPr="004A184E">
        <w:rPr>
          <w:rStyle w:val="FootnoteReference"/>
          <w:szCs w:val="18"/>
        </w:rPr>
        <w:footnoteRef/>
      </w:r>
      <w:r w:rsidRPr="004A184E">
        <w:rPr>
          <w:szCs w:val="18"/>
        </w:rPr>
        <w:t xml:space="preserve"> CICR, Guide sur la participation directe aux hostilités, </w:t>
      </w:r>
      <w:r w:rsidRPr="004A184E">
        <w:rPr>
          <w:i/>
          <w:szCs w:val="18"/>
        </w:rPr>
        <w:t>op. cit.</w:t>
      </w:r>
      <w:r w:rsidRPr="004A184E">
        <w:rPr>
          <w:szCs w:val="18"/>
        </w:rPr>
        <w:t xml:space="preserve"> fn. </w:t>
      </w:r>
      <w:r w:rsidRPr="004A184E">
        <w:rPr>
          <w:szCs w:val="18"/>
        </w:rPr>
        <w:fldChar w:fldCharType="begin"/>
      </w:r>
      <w:r w:rsidRPr="004A184E">
        <w:rPr>
          <w:szCs w:val="18"/>
        </w:rPr>
        <w:instrText xml:space="preserve"> NOTEREF _Ref516408607 \h  \* MERGEFORMAT </w:instrText>
      </w:r>
      <w:r w:rsidRPr="004A184E">
        <w:rPr>
          <w:szCs w:val="18"/>
        </w:rPr>
      </w:r>
      <w:r w:rsidRPr="004A184E">
        <w:rPr>
          <w:szCs w:val="18"/>
        </w:rPr>
        <w:fldChar w:fldCharType="separate"/>
      </w:r>
      <w:r w:rsidR="00AE33CF">
        <w:rPr>
          <w:szCs w:val="18"/>
        </w:rPr>
        <w:t>824</w:t>
      </w:r>
      <w:r w:rsidRPr="004A184E">
        <w:rPr>
          <w:szCs w:val="18"/>
        </w:rPr>
        <w:fldChar w:fldCharType="end"/>
      </w:r>
      <w:r w:rsidRPr="004A184E">
        <w:rPr>
          <w:szCs w:val="18"/>
        </w:rPr>
        <w:t xml:space="preserve">, p. 62 ; Tilman Rodenhäuser, </w:t>
      </w:r>
      <w:r w:rsidRPr="004A184E">
        <w:rPr>
          <w:i/>
          <w:szCs w:val="18"/>
        </w:rPr>
        <w:t>op. cit.</w:t>
      </w:r>
      <w:r w:rsidRPr="004A184E">
        <w:rPr>
          <w:szCs w:val="18"/>
        </w:rPr>
        <w:t xml:space="preserve"> fn. </w:t>
      </w:r>
      <w:r w:rsidRPr="004A184E">
        <w:rPr>
          <w:szCs w:val="18"/>
        </w:rPr>
        <w:fldChar w:fldCharType="begin"/>
      </w:r>
      <w:r w:rsidRPr="004A184E">
        <w:rPr>
          <w:szCs w:val="18"/>
        </w:rPr>
        <w:instrText xml:space="preserve"> NOTEREF _Ref516413539 \h  \* MERGEFORMAT </w:instrText>
      </w:r>
      <w:r w:rsidRPr="004A184E">
        <w:rPr>
          <w:szCs w:val="18"/>
        </w:rPr>
      </w:r>
      <w:r w:rsidRPr="004A184E">
        <w:rPr>
          <w:szCs w:val="18"/>
        </w:rPr>
        <w:fldChar w:fldCharType="separate"/>
      </w:r>
      <w:r w:rsidR="00AE33CF">
        <w:rPr>
          <w:szCs w:val="18"/>
        </w:rPr>
        <w:t>825</w:t>
      </w:r>
      <w:r w:rsidRPr="004A184E">
        <w:rPr>
          <w:szCs w:val="18"/>
        </w:rPr>
        <w:fldChar w:fldCharType="end"/>
      </w:r>
      <w:r w:rsidRPr="004A184E">
        <w:rPr>
          <w:szCs w:val="18"/>
        </w:rPr>
        <w:t xml:space="preserve">, p. 186 ; René Provost, </w:t>
      </w:r>
      <w:r w:rsidRPr="004A184E">
        <w:rPr>
          <w:i/>
          <w:szCs w:val="18"/>
        </w:rPr>
        <w:t>op. cit.</w:t>
      </w:r>
      <w:r w:rsidRPr="004A184E">
        <w:rPr>
          <w:szCs w:val="18"/>
        </w:rPr>
        <w:t xml:space="preserve"> fn. </w:t>
      </w:r>
      <w:r w:rsidRPr="004A184E">
        <w:rPr>
          <w:szCs w:val="18"/>
        </w:rPr>
        <w:fldChar w:fldCharType="begin"/>
      </w:r>
      <w:r w:rsidRPr="004A184E">
        <w:rPr>
          <w:szCs w:val="18"/>
        </w:rPr>
        <w:instrText xml:space="preserve"> NOTEREF _Ref516413539 \h  \* MERGEFORMAT </w:instrText>
      </w:r>
      <w:r w:rsidRPr="004A184E">
        <w:rPr>
          <w:szCs w:val="18"/>
        </w:rPr>
      </w:r>
      <w:r w:rsidRPr="004A184E">
        <w:rPr>
          <w:szCs w:val="18"/>
        </w:rPr>
        <w:fldChar w:fldCharType="separate"/>
      </w:r>
      <w:r w:rsidR="00AE33CF">
        <w:rPr>
          <w:szCs w:val="18"/>
        </w:rPr>
        <w:t>825</w:t>
      </w:r>
      <w:r w:rsidRPr="004A184E">
        <w:rPr>
          <w:szCs w:val="18"/>
        </w:rPr>
        <w:fldChar w:fldCharType="end"/>
      </w:r>
      <w:r w:rsidRPr="004A184E">
        <w:rPr>
          <w:szCs w:val="18"/>
        </w:rPr>
        <w:t>, p. 8.</w:t>
      </w:r>
    </w:p>
  </w:footnote>
  <w:footnote w:id="829">
    <w:p w14:paraId="35A26E28" w14:textId="7EA52047" w:rsidR="004E119B" w:rsidRPr="009F1B3A" w:rsidRDefault="004E119B" w:rsidP="004A184E">
      <w:pPr>
        <w:pStyle w:val="FootnoteText"/>
        <w:ind w:left="1152" w:right="1138" w:hanging="245"/>
        <w:jc w:val="left"/>
        <w:rPr>
          <w:szCs w:val="18"/>
        </w:rPr>
      </w:pPr>
      <w:r w:rsidRPr="004A184E">
        <w:rPr>
          <w:rStyle w:val="FootnoteReference"/>
          <w:szCs w:val="18"/>
        </w:rPr>
        <w:footnoteRef/>
      </w:r>
      <w:r w:rsidRPr="004A184E">
        <w:rPr>
          <w:szCs w:val="18"/>
        </w:rPr>
        <w:t xml:space="preserve"> L’EEI rappelle néanmoins que cette distinction doit être établie de bonne foi en prenant toutes les précautions pratiquement possibles et, en cas de doute, en présumant que ces personnes ont droit à une protection contre les attaques directes. Voir CICR, Guide sur la participation directe aux hostilités, </w:t>
      </w:r>
      <w:r w:rsidRPr="004A184E">
        <w:rPr>
          <w:i/>
          <w:szCs w:val="18"/>
        </w:rPr>
        <w:t>op. cit.</w:t>
      </w:r>
      <w:r w:rsidRPr="004A184E">
        <w:rPr>
          <w:szCs w:val="18"/>
        </w:rPr>
        <w:t xml:space="preserve"> fn. </w:t>
      </w:r>
      <w:r w:rsidRPr="004A184E">
        <w:rPr>
          <w:szCs w:val="18"/>
        </w:rPr>
        <w:fldChar w:fldCharType="begin"/>
      </w:r>
      <w:r w:rsidRPr="004A184E">
        <w:rPr>
          <w:szCs w:val="18"/>
        </w:rPr>
        <w:instrText xml:space="preserve"> NOTEREF _Ref516408607 \h  \* MERGEFORMAT </w:instrText>
      </w:r>
      <w:r w:rsidRPr="004A184E">
        <w:rPr>
          <w:szCs w:val="18"/>
        </w:rPr>
      </w:r>
      <w:r w:rsidRPr="004A184E">
        <w:rPr>
          <w:szCs w:val="18"/>
        </w:rPr>
        <w:fldChar w:fldCharType="separate"/>
      </w:r>
      <w:r w:rsidR="00AE33CF">
        <w:rPr>
          <w:szCs w:val="18"/>
        </w:rPr>
        <w:t>824</w:t>
      </w:r>
      <w:r w:rsidRPr="004A184E">
        <w:rPr>
          <w:szCs w:val="18"/>
        </w:rPr>
        <w:fldChar w:fldCharType="end"/>
      </w:r>
      <w:r w:rsidRPr="004A184E">
        <w:rPr>
          <w:szCs w:val="18"/>
        </w:rPr>
        <w:t>, pp. 37, 77-79. Par</w:t>
      </w:r>
      <w:r w:rsidRPr="002D31A9">
        <w:rPr>
          <w:szCs w:val="18"/>
        </w:rPr>
        <w:t xml:space="preserve"> ailleurs, l’EEI rappelle également que les attaques directes contre des cibles militaires légitimes doivent toutefois respecter le principe de nécessité militaire – c’est-à-dir</w:t>
      </w:r>
      <w:r w:rsidRPr="00840539">
        <w:rPr>
          <w:szCs w:val="18"/>
        </w:rPr>
        <w:t xml:space="preserve">e d’utiliser seulement le degré et le type de force qui sont requis pour atteindre le but légitime du conflit, à savoir la soumission complète ou partielle de l’ennemi le plus tôt possible avec le coût minimum en vies humaines et en moyens engagés – et le </w:t>
      </w:r>
      <w:r w:rsidRPr="006E341A">
        <w:rPr>
          <w:szCs w:val="18"/>
        </w:rPr>
        <w:t>principe d’humanité – qui interdit d’infliger des souffrances, des blessures ou des destructions qui ne sont pas véritablement nécessaires pour atteindre des buts militaires légitimes. En d’autres termes, sous l’effet conjoint de ces deux principes, les ac</w:t>
      </w:r>
      <w:r w:rsidRPr="0060278B">
        <w:rPr>
          <w:szCs w:val="18"/>
        </w:rPr>
        <w:t xml:space="preserve">tions militaires ne doivent pas excéder ce qui est véritablement nécessaires pour atteindre un but militaire légitime dans les circonstances qui prévalent. Voir </w:t>
      </w:r>
      <w:r w:rsidRPr="009F1B3A">
        <w:rPr>
          <w:i/>
          <w:szCs w:val="18"/>
        </w:rPr>
        <w:t>ibid</w:t>
      </w:r>
      <w:r w:rsidRPr="009F1B3A">
        <w:rPr>
          <w:szCs w:val="18"/>
        </w:rPr>
        <w:t>., pp. 80, 82.</w:t>
      </w:r>
    </w:p>
  </w:footnote>
  <w:footnote w:id="830">
    <w:p w14:paraId="3368C2AF" w14:textId="77777777" w:rsidR="004E119B" w:rsidRPr="006E341A" w:rsidRDefault="004E119B" w:rsidP="004A184E">
      <w:pPr>
        <w:pStyle w:val="FootnoteText"/>
        <w:ind w:left="1152" w:right="1138" w:hanging="245"/>
        <w:jc w:val="left"/>
        <w:rPr>
          <w:szCs w:val="18"/>
        </w:rPr>
      </w:pPr>
      <w:r w:rsidRPr="002D31A9">
        <w:rPr>
          <w:rStyle w:val="FootnoteReference"/>
          <w:szCs w:val="18"/>
        </w:rPr>
        <w:footnoteRef/>
      </w:r>
      <w:r w:rsidRPr="002D31A9">
        <w:rPr>
          <w:szCs w:val="18"/>
        </w:rPr>
        <w:t xml:space="preserve"> Les éléments de ce crime sont : (i) L’auteur a infligé à une ou plusieurs </w:t>
      </w:r>
      <w:r w:rsidRPr="00840539">
        <w:rPr>
          <w:szCs w:val="18"/>
        </w:rPr>
        <w:t>personnes une douleur ou des souffrances aiguës, physiques ou mentales ; (ii) Ladite ou lesdites personnes avaient été mises hors de combat ou étaient des civils ou des membres du personnel médical ou religieux ne prenant pas activement part aux hostilités</w:t>
      </w:r>
      <w:r w:rsidRPr="006E341A">
        <w:rPr>
          <w:szCs w:val="18"/>
        </w:rPr>
        <w:t> ; et (iii) L’auteur avait connaissance des circonstances de fait établissant ce statut.</w:t>
      </w:r>
    </w:p>
  </w:footnote>
  <w:footnote w:id="831">
    <w:p w14:paraId="5501785C" w14:textId="77777777" w:rsidR="004E119B" w:rsidRPr="006E341A" w:rsidRDefault="004E119B" w:rsidP="004A184E">
      <w:pPr>
        <w:pStyle w:val="FootnoteText"/>
        <w:ind w:left="1152" w:right="1138" w:hanging="245"/>
        <w:jc w:val="left"/>
        <w:rPr>
          <w:szCs w:val="18"/>
        </w:rPr>
      </w:pPr>
      <w:r w:rsidRPr="002D31A9">
        <w:rPr>
          <w:rStyle w:val="FootnoteReference"/>
          <w:szCs w:val="18"/>
        </w:rPr>
        <w:footnoteRef/>
      </w:r>
      <w:r w:rsidRPr="002D31A9">
        <w:rPr>
          <w:szCs w:val="18"/>
        </w:rPr>
        <w:t xml:space="preserve"> Les éléments de ce crime sont : (i) L’auteur a infligé à une ou plusieurs personnes une douleur ou des souffrances aiguës, physiques ou mentales ; (ii) L’auteur a in</w:t>
      </w:r>
      <w:r w:rsidRPr="00840539">
        <w:rPr>
          <w:szCs w:val="18"/>
        </w:rPr>
        <w:t>fligé cette douleur ou ces souffrances afin, notamment, d’obtenir des renseignements ou des aveux, de punir, d’intimider ou de contraindre, ou pour une raison fondée sur une discrimination, quelle qu’elle soit ; (iii) Ladite ou lesdites personnes avaient é</w:t>
      </w:r>
      <w:r w:rsidRPr="006E341A">
        <w:rPr>
          <w:szCs w:val="18"/>
        </w:rPr>
        <w:t>té mises hors de combat ou étaient des civils ou des membres du personnel médical ou religieux ne prenant pas activement part aux hostilités ; et (iv) L’auteur avait connaissance des circonstances de fait établissant ce statut.</w:t>
      </w:r>
    </w:p>
  </w:footnote>
  <w:footnote w:id="832">
    <w:p w14:paraId="34733185" w14:textId="43D60277" w:rsidR="004E119B" w:rsidRPr="006E341A" w:rsidRDefault="004E119B" w:rsidP="004A184E">
      <w:pPr>
        <w:pStyle w:val="FootnoteText"/>
        <w:ind w:left="1152" w:right="1138" w:hanging="245"/>
        <w:jc w:val="left"/>
        <w:rPr>
          <w:szCs w:val="18"/>
        </w:rPr>
      </w:pPr>
      <w:r w:rsidRPr="002D31A9">
        <w:rPr>
          <w:rStyle w:val="FootnoteReference"/>
          <w:szCs w:val="18"/>
        </w:rPr>
        <w:footnoteRef/>
      </w:r>
      <w:r w:rsidRPr="002D31A9">
        <w:rPr>
          <w:szCs w:val="18"/>
        </w:rPr>
        <w:t xml:space="preserve"> Voir </w:t>
      </w:r>
      <w:r w:rsidRPr="004A184E">
        <w:rPr>
          <w:szCs w:val="18"/>
        </w:rPr>
        <w:t>supra</w:t>
      </w:r>
      <w:r w:rsidRPr="002D31A9">
        <w:rPr>
          <w:szCs w:val="18"/>
        </w:rPr>
        <w:t>, paras.</w:t>
      </w:r>
      <w:r>
        <w:rPr>
          <w:szCs w:val="18"/>
        </w:rPr>
        <w:fldChar w:fldCharType="begin"/>
      </w:r>
      <w:r>
        <w:rPr>
          <w:szCs w:val="18"/>
        </w:rPr>
        <w:instrText xml:space="preserve"> REF _Ref517879803 \r \h </w:instrText>
      </w:r>
      <w:r>
        <w:rPr>
          <w:szCs w:val="18"/>
        </w:rPr>
      </w:r>
      <w:r>
        <w:rPr>
          <w:szCs w:val="18"/>
        </w:rPr>
        <w:fldChar w:fldCharType="separate"/>
      </w:r>
      <w:r w:rsidR="00AE33CF">
        <w:rPr>
          <w:szCs w:val="18"/>
        </w:rPr>
        <w:t>280</w:t>
      </w:r>
      <w:r>
        <w:rPr>
          <w:szCs w:val="18"/>
        </w:rPr>
        <w:fldChar w:fldCharType="end"/>
      </w:r>
      <w:r>
        <w:rPr>
          <w:szCs w:val="18"/>
        </w:rPr>
        <w:t xml:space="preserve">, </w:t>
      </w:r>
      <w:r>
        <w:rPr>
          <w:szCs w:val="18"/>
        </w:rPr>
        <w:fldChar w:fldCharType="begin"/>
      </w:r>
      <w:r>
        <w:rPr>
          <w:szCs w:val="18"/>
        </w:rPr>
        <w:instrText xml:space="preserve"> REF _Ref517879821 \r \h </w:instrText>
      </w:r>
      <w:r>
        <w:rPr>
          <w:szCs w:val="18"/>
        </w:rPr>
      </w:r>
      <w:r>
        <w:rPr>
          <w:szCs w:val="18"/>
        </w:rPr>
        <w:fldChar w:fldCharType="separate"/>
      </w:r>
      <w:r w:rsidR="00AE33CF">
        <w:rPr>
          <w:szCs w:val="18"/>
        </w:rPr>
        <w:t>281</w:t>
      </w:r>
      <w:r>
        <w:rPr>
          <w:szCs w:val="18"/>
        </w:rPr>
        <w:fldChar w:fldCharType="end"/>
      </w:r>
      <w:r>
        <w:rPr>
          <w:szCs w:val="18"/>
        </w:rPr>
        <w:t>.</w:t>
      </w:r>
    </w:p>
  </w:footnote>
  <w:footnote w:id="833">
    <w:p w14:paraId="423F9BD3" w14:textId="77777777" w:rsidR="004E119B" w:rsidRPr="00840539" w:rsidRDefault="004E119B" w:rsidP="004A184E">
      <w:pPr>
        <w:pStyle w:val="FootnoteText"/>
        <w:ind w:left="1152" w:right="1138" w:hanging="245"/>
        <w:jc w:val="left"/>
        <w:rPr>
          <w:szCs w:val="18"/>
        </w:rPr>
      </w:pPr>
      <w:r w:rsidRPr="002D31A9">
        <w:rPr>
          <w:rStyle w:val="FootnoteReference"/>
          <w:szCs w:val="18"/>
        </w:rPr>
        <w:footnoteRef/>
      </w:r>
      <w:r w:rsidRPr="002D31A9">
        <w:rPr>
          <w:szCs w:val="18"/>
        </w:rPr>
        <w:t xml:space="preserve"> Les éléments de ce crime sont : (i) L’auteur a lancé une attaque ; (ii) L’objectif de l’attaque était une population civile en général ou des civils ne prenant pas dir</w:t>
      </w:r>
      <w:r w:rsidRPr="00840539">
        <w:rPr>
          <w:szCs w:val="18"/>
        </w:rPr>
        <w:t>ectement part aux hostilités ; et (iii) L’auteur entendait prendre pour cible de son attaque ladite population civile ou des civils ne prenant pas directement part aux hostilités.</w:t>
      </w:r>
    </w:p>
  </w:footnote>
  <w:footnote w:id="834">
    <w:p w14:paraId="1D49C5B2" w14:textId="1662362C" w:rsidR="004E119B" w:rsidRPr="0084053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Voir </w:t>
      </w:r>
      <w:r w:rsidRPr="002D31A9">
        <w:rPr>
          <w:i/>
          <w:szCs w:val="18"/>
        </w:rPr>
        <w:t>supra</w:t>
      </w:r>
      <w:r w:rsidRPr="002D31A9">
        <w:rPr>
          <w:szCs w:val="18"/>
        </w:rPr>
        <w:t>, para</w:t>
      </w:r>
      <w:r>
        <w:rPr>
          <w:szCs w:val="18"/>
        </w:rPr>
        <w:t>s</w:t>
      </w:r>
      <w:r w:rsidRPr="002D31A9">
        <w:rPr>
          <w:szCs w:val="18"/>
        </w:rPr>
        <w:t>.</w:t>
      </w:r>
      <w:r>
        <w:rPr>
          <w:szCs w:val="18"/>
        </w:rPr>
        <w:fldChar w:fldCharType="begin"/>
      </w:r>
      <w:r>
        <w:rPr>
          <w:szCs w:val="18"/>
        </w:rPr>
        <w:instrText xml:space="preserve"> REF _Ref517879947 \r \h </w:instrText>
      </w:r>
      <w:r>
        <w:rPr>
          <w:szCs w:val="18"/>
        </w:rPr>
      </w:r>
      <w:r>
        <w:rPr>
          <w:szCs w:val="18"/>
        </w:rPr>
        <w:fldChar w:fldCharType="separate"/>
      </w:r>
      <w:r w:rsidR="00AE33CF">
        <w:rPr>
          <w:szCs w:val="18"/>
        </w:rPr>
        <w:t>283</w:t>
      </w:r>
      <w:r>
        <w:rPr>
          <w:szCs w:val="18"/>
        </w:rPr>
        <w:fldChar w:fldCharType="end"/>
      </w:r>
      <w:r>
        <w:rPr>
          <w:szCs w:val="18"/>
        </w:rPr>
        <w:t xml:space="preserve">, </w:t>
      </w:r>
      <w:r>
        <w:rPr>
          <w:szCs w:val="18"/>
        </w:rPr>
        <w:fldChar w:fldCharType="begin"/>
      </w:r>
      <w:r>
        <w:rPr>
          <w:szCs w:val="18"/>
        </w:rPr>
        <w:instrText xml:space="preserve"> REF _Ref517879967 \r \h </w:instrText>
      </w:r>
      <w:r>
        <w:rPr>
          <w:szCs w:val="18"/>
        </w:rPr>
      </w:r>
      <w:r>
        <w:rPr>
          <w:szCs w:val="18"/>
        </w:rPr>
        <w:fldChar w:fldCharType="separate"/>
      </w:r>
      <w:r w:rsidR="00AE33CF">
        <w:rPr>
          <w:szCs w:val="18"/>
        </w:rPr>
        <w:t>285</w:t>
      </w:r>
      <w:r>
        <w:rPr>
          <w:szCs w:val="18"/>
        </w:rPr>
        <w:fldChar w:fldCharType="end"/>
      </w:r>
      <w:r>
        <w:rPr>
          <w:szCs w:val="18"/>
        </w:rPr>
        <w:t>.</w:t>
      </w:r>
    </w:p>
  </w:footnote>
  <w:footnote w:id="835">
    <w:p w14:paraId="3232018D" w14:textId="2E2E9AAD" w:rsidR="004E119B" w:rsidRPr="006F7FCC" w:rsidRDefault="004E119B" w:rsidP="004A184E">
      <w:pPr>
        <w:pStyle w:val="FootnoteText"/>
        <w:ind w:left="1152" w:right="1138" w:hanging="245"/>
        <w:jc w:val="left"/>
        <w:rPr>
          <w:szCs w:val="18"/>
        </w:rPr>
      </w:pPr>
      <w:r w:rsidRPr="002D31A9">
        <w:rPr>
          <w:rStyle w:val="FootnoteReference"/>
          <w:szCs w:val="18"/>
        </w:rPr>
        <w:footnoteRef/>
      </w:r>
      <w:r w:rsidRPr="002D31A9">
        <w:rPr>
          <w:szCs w:val="18"/>
        </w:rPr>
        <w:t xml:space="preserve"> CPI, Jugement </w:t>
      </w:r>
      <w:r w:rsidRPr="002D31A9">
        <w:rPr>
          <w:i/>
          <w:szCs w:val="18"/>
        </w:rPr>
        <w:t>Katanga</w:t>
      </w:r>
      <w:r w:rsidRPr="002D31A9">
        <w:rPr>
          <w:szCs w:val="18"/>
        </w:rPr>
        <w:t xml:space="preserve">, </w:t>
      </w:r>
      <w:r w:rsidRPr="00840539">
        <w:rPr>
          <w:i/>
          <w:szCs w:val="18"/>
        </w:rPr>
        <w:t xml:space="preserve">op. cit. </w:t>
      </w:r>
      <w:r w:rsidRPr="00840539">
        <w:rPr>
          <w:szCs w:val="18"/>
        </w:rPr>
        <w:t>fn</w:t>
      </w:r>
      <w:r w:rsidRPr="006F7FCC">
        <w:rPr>
          <w:szCs w:val="18"/>
        </w:rPr>
        <w:t xml:space="preserve">. </w:t>
      </w:r>
      <w:r w:rsidRPr="006F7FCC">
        <w:rPr>
          <w:szCs w:val="18"/>
        </w:rPr>
        <w:fldChar w:fldCharType="begin"/>
      </w:r>
      <w:r w:rsidRPr="006F7FCC">
        <w:rPr>
          <w:szCs w:val="18"/>
        </w:rPr>
        <w:instrText xml:space="preserve"> NOTEREF _Ref516326527 \h  \* MERGEFORMAT </w:instrText>
      </w:r>
      <w:r w:rsidRPr="006F7FCC">
        <w:rPr>
          <w:szCs w:val="18"/>
        </w:rPr>
      </w:r>
      <w:r w:rsidRPr="006F7FCC">
        <w:rPr>
          <w:szCs w:val="18"/>
        </w:rPr>
        <w:fldChar w:fldCharType="separate"/>
      </w:r>
      <w:r w:rsidR="00AE33CF">
        <w:rPr>
          <w:szCs w:val="18"/>
        </w:rPr>
        <w:t>737</w:t>
      </w:r>
      <w:r w:rsidRPr="006F7FCC">
        <w:rPr>
          <w:szCs w:val="18"/>
        </w:rPr>
        <w:fldChar w:fldCharType="end"/>
      </w:r>
      <w:r w:rsidRPr="006F7FCC">
        <w:rPr>
          <w:szCs w:val="18"/>
        </w:rPr>
        <w:t>, para. 802.</w:t>
      </w:r>
    </w:p>
  </w:footnote>
  <w:footnote w:id="836">
    <w:p w14:paraId="4372476D" w14:textId="77777777" w:rsidR="004E119B" w:rsidRPr="006F7FCC" w:rsidRDefault="004E119B" w:rsidP="004A184E">
      <w:pPr>
        <w:pStyle w:val="FootnoteText"/>
        <w:ind w:left="1152" w:right="1138" w:hanging="245"/>
        <w:jc w:val="left"/>
        <w:rPr>
          <w:szCs w:val="18"/>
        </w:rPr>
      </w:pPr>
      <w:r w:rsidRPr="006F7FCC">
        <w:rPr>
          <w:rStyle w:val="FootnoteReference"/>
          <w:szCs w:val="18"/>
        </w:rPr>
        <w:footnoteRef/>
      </w:r>
      <w:r w:rsidRPr="006F7FCC">
        <w:rPr>
          <w:szCs w:val="18"/>
        </w:rPr>
        <w:t xml:space="preserve"> Les éléments de ce crime sont : (i) L’auteur s’est approprié certains biens ; (ii) L’auteur entendait spolier le propriétaire et s’approprier les biens en question à des fins privées ou personnelles ; et (iii) L’appropriation s’est faite sans le consentement du propriétaire.</w:t>
      </w:r>
    </w:p>
  </w:footnote>
  <w:footnote w:id="837">
    <w:p w14:paraId="122B0C33" w14:textId="24DCB364" w:rsidR="004E119B" w:rsidRPr="00840539" w:rsidRDefault="004E119B" w:rsidP="004A184E">
      <w:pPr>
        <w:pStyle w:val="FootnoteText"/>
        <w:ind w:left="1152" w:right="1138" w:hanging="245"/>
        <w:jc w:val="left"/>
        <w:rPr>
          <w:szCs w:val="18"/>
        </w:rPr>
      </w:pPr>
      <w:r w:rsidRPr="006F7FCC">
        <w:rPr>
          <w:rStyle w:val="FootnoteReference"/>
          <w:szCs w:val="18"/>
        </w:rPr>
        <w:footnoteRef/>
      </w:r>
      <w:r w:rsidRPr="006F7FCC">
        <w:rPr>
          <w:szCs w:val="18"/>
        </w:rPr>
        <w:t xml:space="preserve"> Pour les éléments de ces crimes, voir </w:t>
      </w:r>
      <w:r w:rsidRPr="006F7FCC">
        <w:rPr>
          <w:i/>
          <w:szCs w:val="18"/>
        </w:rPr>
        <w:t>supra</w:t>
      </w:r>
      <w:r w:rsidRPr="006F7FCC">
        <w:rPr>
          <w:szCs w:val="18"/>
        </w:rPr>
        <w:t xml:space="preserve">, fns. </w:t>
      </w:r>
      <w:r w:rsidRPr="006F7FCC">
        <w:rPr>
          <w:szCs w:val="18"/>
        </w:rPr>
        <w:fldChar w:fldCharType="begin"/>
      </w:r>
      <w:r w:rsidRPr="006F7FCC">
        <w:rPr>
          <w:szCs w:val="18"/>
        </w:rPr>
        <w:instrText xml:space="preserve"> NOTEREF _Ref515462917 \h  \* MERGEFORMAT </w:instrText>
      </w:r>
      <w:r w:rsidRPr="006F7FCC">
        <w:rPr>
          <w:szCs w:val="18"/>
        </w:rPr>
      </w:r>
      <w:r w:rsidRPr="006F7FCC">
        <w:rPr>
          <w:szCs w:val="18"/>
        </w:rPr>
        <w:fldChar w:fldCharType="separate"/>
      </w:r>
      <w:r w:rsidR="00AE33CF">
        <w:rPr>
          <w:szCs w:val="18"/>
        </w:rPr>
        <w:t>746</w:t>
      </w:r>
      <w:r w:rsidRPr="006F7FCC">
        <w:rPr>
          <w:szCs w:val="18"/>
        </w:rPr>
        <w:fldChar w:fldCharType="end"/>
      </w:r>
      <w:r w:rsidRPr="006F7FCC">
        <w:rPr>
          <w:szCs w:val="18"/>
        </w:rPr>
        <w:t>-</w:t>
      </w:r>
      <w:r w:rsidRPr="006F7FCC">
        <w:rPr>
          <w:szCs w:val="18"/>
        </w:rPr>
        <w:fldChar w:fldCharType="begin"/>
      </w:r>
      <w:r w:rsidRPr="006F7FCC">
        <w:rPr>
          <w:szCs w:val="18"/>
        </w:rPr>
        <w:instrText xml:space="preserve"> NOTEREF _Ref516484729 \h  \* MERGEFORMAT </w:instrText>
      </w:r>
      <w:r w:rsidRPr="006F7FCC">
        <w:rPr>
          <w:szCs w:val="18"/>
        </w:rPr>
      </w:r>
      <w:r w:rsidRPr="006F7FCC">
        <w:rPr>
          <w:szCs w:val="18"/>
        </w:rPr>
        <w:fldChar w:fldCharType="separate"/>
      </w:r>
      <w:r w:rsidR="00AE33CF">
        <w:rPr>
          <w:szCs w:val="18"/>
        </w:rPr>
        <w:t>747</w:t>
      </w:r>
      <w:r w:rsidRPr="006F7FCC">
        <w:rPr>
          <w:szCs w:val="18"/>
        </w:rPr>
        <w:fldChar w:fldCharType="end"/>
      </w:r>
      <w:r w:rsidRPr="006F7FCC">
        <w:rPr>
          <w:szCs w:val="18"/>
        </w:rPr>
        <w:t>. Pour</w:t>
      </w:r>
      <w:r w:rsidRPr="002D31A9">
        <w:rPr>
          <w:szCs w:val="18"/>
        </w:rPr>
        <w:t xml:space="preserve"> les autres formes de violences sexuelles, la seule différence est que ces actes doivent être d’une gravité comparable à celle d’une violation de l’article 3 commun aux quatre Conventions de Genève plutôt qu’aux autres infractions visées à l’article 7(1)(g) du Statut de Rome.</w:t>
      </w:r>
    </w:p>
  </w:footnote>
  <w:footnote w:id="838">
    <w:p w14:paraId="187FADB6" w14:textId="3A2C1BA3" w:rsidR="004E119B" w:rsidRPr="006E341A" w:rsidRDefault="004E119B" w:rsidP="004A184E">
      <w:pPr>
        <w:pStyle w:val="FootnoteText"/>
        <w:ind w:left="1152" w:right="1138" w:hanging="245"/>
        <w:jc w:val="left"/>
        <w:rPr>
          <w:szCs w:val="18"/>
        </w:rPr>
      </w:pPr>
      <w:r w:rsidRPr="002D31A9">
        <w:rPr>
          <w:rStyle w:val="FootnoteReference"/>
          <w:szCs w:val="18"/>
        </w:rPr>
        <w:footnoteRef/>
      </w:r>
      <w:r w:rsidRPr="002D31A9">
        <w:rPr>
          <w:szCs w:val="18"/>
        </w:rPr>
        <w:t xml:space="preserve"> Voir </w:t>
      </w:r>
      <w:r w:rsidRPr="004A184E">
        <w:rPr>
          <w:szCs w:val="18"/>
        </w:rPr>
        <w:t>supra</w:t>
      </w:r>
      <w:r w:rsidRPr="002D31A9">
        <w:rPr>
          <w:szCs w:val="18"/>
        </w:rPr>
        <w:t>, paras.</w:t>
      </w:r>
      <w:r>
        <w:rPr>
          <w:szCs w:val="18"/>
        </w:rPr>
        <w:fldChar w:fldCharType="begin"/>
      </w:r>
      <w:r>
        <w:rPr>
          <w:szCs w:val="18"/>
        </w:rPr>
        <w:instrText xml:space="preserve"> REF _Ref517880049 \r \h </w:instrText>
      </w:r>
      <w:r>
        <w:rPr>
          <w:szCs w:val="18"/>
        </w:rPr>
      </w:r>
      <w:r>
        <w:rPr>
          <w:szCs w:val="18"/>
        </w:rPr>
        <w:fldChar w:fldCharType="separate"/>
      </w:r>
      <w:r w:rsidR="00AE33CF">
        <w:rPr>
          <w:szCs w:val="18"/>
        </w:rPr>
        <w:t>276</w:t>
      </w:r>
      <w:r>
        <w:rPr>
          <w:szCs w:val="18"/>
        </w:rPr>
        <w:fldChar w:fldCharType="end"/>
      </w:r>
      <w:r>
        <w:rPr>
          <w:szCs w:val="18"/>
        </w:rPr>
        <w:t xml:space="preserve"> - </w:t>
      </w:r>
      <w:r>
        <w:rPr>
          <w:szCs w:val="18"/>
        </w:rPr>
        <w:fldChar w:fldCharType="begin"/>
      </w:r>
      <w:r>
        <w:rPr>
          <w:szCs w:val="18"/>
        </w:rPr>
        <w:instrText xml:space="preserve"> REF _Ref517880069 \r \h </w:instrText>
      </w:r>
      <w:r>
        <w:rPr>
          <w:szCs w:val="18"/>
        </w:rPr>
      </w:r>
      <w:r>
        <w:rPr>
          <w:szCs w:val="18"/>
        </w:rPr>
        <w:fldChar w:fldCharType="separate"/>
      </w:r>
      <w:r w:rsidR="00AE33CF">
        <w:rPr>
          <w:szCs w:val="18"/>
        </w:rPr>
        <w:t>279</w:t>
      </w:r>
      <w:r>
        <w:rPr>
          <w:szCs w:val="18"/>
        </w:rPr>
        <w:fldChar w:fldCharType="end"/>
      </w:r>
      <w:r w:rsidRPr="006E341A">
        <w:rPr>
          <w:szCs w:val="18"/>
        </w:rPr>
        <w:t>.</w:t>
      </w:r>
    </w:p>
  </w:footnote>
  <w:footnote w:id="839">
    <w:p w14:paraId="7537E6E5" w14:textId="5E610F09" w:rsidR="004E119B" w:rsidRPr="002D31A9" w:rsidRDefault="004E119B" w:rsidP="004A184E">
      <w:pPr>
        <w:pStyle w:val="FootnoteText"/>
        <w:ind w:left="1152" w:right="1138" w:hanging="245"/>
        <w:jc w:val="left"/>
        <w:rPr>
          <w:szCs w:val="18"/>
        </w:rPr>
      </w:pPr>
      <w:r w:rsidRPr="002D31A9">
        <w:rPr>
          <w:rStyle w:val="FootnoteReference"/>
          <w:szCs w:val="18"/>
        </w:rPr>
        <w:footnoteRef/>
      </w:r>
      <w:r w:rsidRPr="002D31A9">
        <w:rPr>
          <w:szCs w:val="18"/>
        </w:rPr>
        <w:t xml:space="preserve"> Pour les éléments du </w:t>
      </w:r>
      <w:r w:rsidRPr="004B5A98">
        <w:rPr>
          <w:szCs w:val="18"/>
        </w:rPr>
        <w:t xml:space="preserve">crime, voir </w:t>
      </w:r>
      <w:r w:rsidRPr="004B5A98">
        <w:rPr>
          <w:i/>
          <w:szCs w:val="18"/>
        </w:rPr>
        <w:t>supra</w:t>
      </w:r>
      <w:r w:rsidRPr="004B5A98">
        <w:rPr>
          <w:szCs w:val="18"/>
        </w:rPr>
        <w:t xml:space="preserve">, fn. </w:t>
      </w:r>
      <w:r w:rsidRPr="004B5A98">
        <w:rPr>
          <w:szCs w:val="18"/>
        </w:rPr>
        <w:fldChar w:fldCharType="begin"/>
      </w:r>
      <w:r w:rsidRPr="004B5A98">
        <w:rPr>
          <w:szCs w:val="18"/>
        </w:rPr>
        <w:instrText xml:space="preserve"> NOTEREF _Ref515457262 \h  \* MERGEFORMAT </w:instrText>
      </w:r>
      <w:r w:rsidRPr="004B5A98">
        <w:rPr>
          <w:szCs w:val="18"/>
        </w:rPr>
      </w:r>
      <w:r w:rsidRPr="004B5A98">
        <w:rPr>
          <w:szCs w:val="18"/>
        </w:rPr>
        <w:fldChar w:fldCharType="separate"/>
      </w:r>
      <w:r w:rsidR="00AE33CF">
        <w:rPr>
          <w:szCs w:val="18"/>
        </w:rPr>
        <w:t>822</w:t>
      </w:r>
      <w:r w:rsidRPr="004B5A98">
        <w:rPr>
          <w:szCs w:val="18"/>
        </w:rPr>
        <w:fldChar w:fldCharType="end"/>
      </w:r>
      <w:r w:rsidRPr="002D31A9">
        <w:rPr>
          <w:szCs w:val="18"/>
        </w:rPr>
        <w:t>.</w:t>
      </w:r>
    </w:p>
  </w:footnote>
  <w:footnote w:id="840">
    <w:p w14:paraId="7CA1DFD7" w14:textId="0D924BAA" w:rsidR="004E119B" w:rsidRPr="00840539" w:rsidRDefault="004E119B" w:rsidP="004A184E">
      <w:pPr>
        <w:pStyle w:val="FootnoteText"/>
        <w:ind w:left="1152" w:right="1138" w:hanging="245"/>
        <w:jc w:val="left"/>
        <w:rPr>
          <w:szCs w:val="18"/>
        </w:rPr>
      </w:pPr>
      <w:r w:rsidRPr="002D31A9">
        <w:rPr>
          <w:rStyle w:val="FootnoteReference"/>
          <w:szCs w:val="18"/>
        </w:rPr>
        <w:footnoteRef/>
      </w:r>
      <w:r w:rsidRPr="002D31A9">
        <w:rPr>
          <w:szCs w:val="18"/>
        </w:rPr>
        <w:t xml:space="preserve"> Voir </w:t>
      </w:r>
      <w:r w:rsidRPr="002D31A9">
        <w:rPr>
          <w:i/>
          <w:szCs w:val="18"/>
        </w:rPr>
        <w:t>supra</w:t>
      </w:r>
      <w:r w:rsidRPr="002D31A9">
        <w:rPr>
          <w:szCs w:val="18"/>
        </w:rPr>
        <w:t>, paras.</w:t>
      </w:r>
      <w:r>
        <w:rPr>
          <w:szCs w:val="18"/>
        </w:rPr>
        <w:t xml:space="preserve"> </w:t>
      </w:r>
      <w:r>
        <w:rPr>
          <w:szCs w:val="18"/>
        </w:rPr>
        <w:fldChar w:fldCharType="begin"/>
      </w:r>
      <w:r>
        <w:rPr>
          <w:szCs w:val="18"/>
        </w:rPr>
        <w:instrText xml:space="preserve"> REF _Ref517880144 \r \h </w:instrText>
      </w:r>
      <w:r>
        <w:rPr>
          <w:szCs w:val="18"/>
        </w:rPr>
      </w:r>
      <w:r>
        <w:rPr>
          <w:szCs w:val="18"/>
        </w:rPr>
        <w:fldChar w:fldCharType="separate"/>
      </w:r>
      <w:r w:rsidR="00AE33CF">
        <w:rPr>
          <w:szCs w:val="18"/>
        </w:rPr>
        <w:t>288</w:t>
      </w:r>
      <w:r>
        <w:rPr>
          <w:szCs w:val="18"/>
        </w:rPr>
        <w:fldChar w:fldCharType="end"/>
      </w:r>
      <w:r>
        <w:rPr>
          <w:szCs w:val="18"/>
        </w:rPr>
        <w:t xml:space="preserve"> - </w:t>
      </w:r>
      <w:r>
        <w:rPr>
          <w:szCs w:val="18"/>
        </w:rPr>
        <w:fldChar w:fldCharType="begin"/>
      </w:r>
      <w:r>
        <w:rPr>
          <w:szCs w:val="18"/>
        </w:rPr>
        <w:instrText xml:space="preserve"> REF _Ref517880165 \r \h </w:instrText>
      </w:r>
      <w:r>
        <w:rPr>
          <w:szCs w:val="18"/>
        </w:rPr>
      </w:r>
      <w:r>
        <w:rPr>
          <w:szCs w:val="18"/>
        </w:rPr>
        <w:fldChar w:fldCharType="separate"/>
      </w:r>
      <w:r w:rsidR="00AE33CF">
        <w:rPr>
          <w:szCs w:val="18"/>
        </w:rPr>
        <w:t>290</w:t>
      </w:r>
      <w:r>
        <w:rPr>
          <w:szCs w:val="18"/>
        </w:rPr>
        <w:fldChar w:fldCharType="end"/>
      </w:r>
      <w:r>
        <w:rPr>
          <w:szCs w:val="18"/>
        </w:rPr>
        <w:t>.</w:t>
      </w:r>
    </w:p>
  </w:footnote>
  <w:footnote w:id="841">
    <w:p w14:paraId="691536A9" w14:textId="77777777" w:rsidR="004E119B" w:rsidRPr="0060278B"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Les éléments de ce crime sont : (i) L’auteur a soumis une ou plusieurs personnes à une mutilation, en particulier en les défigurant de façon d</w:t>
      </w:r>
      <w:r w:rsidRPr="00840539">
        <w:rPr>
          <w:szCs w:val="18"/>
        </w:rPr>
        <w:t>éfinitive, en les rendant infirmes de façon permanente ou en procédant à l’ablation définitive d’un de leurs organes ou appendices; (ii) Les actes n’étaient motivés ni par un traitement médical, dentaire ou hospitalier de la ou les personne</w:t>
      </w:r>
      <w:r w:rsidRPr="006E341A">
        <w:rPr>
          <w:szCs w:val="18"/>
        </w:rPr>
        <w:t>s concernées ni accomplis dans son ou leur intérêt; (iii) Ladite ou lesdites personnes avaient été mises hors de combat ou étaient des civils ou des membres du personnel médical ou religieux ne prenant pas activement part aux hostilités; et (iv) L’auteur a</w:t>
      </w:r>
      <w:r w:rsidRPr="0060278B">
        <w:rPr>
          <w:szCs w:val="18"/>
        </w:rPr>
        <w:t>vait connaissance des circonstances de fait établissant ce statut.</w:t>
      </w:r>
    </w:p>
  </w:footnote>
  <w:footnote w:id="842">
    <w:p w14:paraId="6DDEDF76" w14:textId="77777777" w:rsidR="004E119B" w:rsidRPr="0084053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Les éléments de ce crime sont : (i) L’auteur a soumis une ou plusieurs personnes à une mutilation, en particulier en les défigurant de façon définitive, en les rendant infirmes de façon permanente ou en </w:t>
      </w:r>
      <w:r w:rsidRPr="00840539">
        <w:rPr>
          <w:szCs w:val="18"/>
        </w:rPr>
        <w:t>procédant à l’ablation définitive d’un de leurs organes ou membres; (ii) Les actes ont causé la mort ou compromis gravement la santé physique ou mentale de ladite ou desdites personnes; (iii) Les actes n’étaient ni justifiés par un traitement médical, dentaire ou hospitalier de la ou les personnes concernées ni accomplis dans son ou leur intérêt; et (iv) Ladite ou lesdites personnes étaient au pouvoir d’une autre partie au conflit.</w:t>
      </w:r>
    </w:p>
  </w:footnote>
  <w:footnote w:id="843">
    <w:p w14:paraId="1A2FAB8E" w14:textId="4B007B3E" w:rsidR="004E119B" w:rsidRPr="006E341A"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Voir </w:t>
      </w:r>
      <w:r w:rsidRPr="002D31A9">
        <w:rPr>
          <w:i/>
          <w:szCs w:val="18"/>
        </w:rPr>
        <w:t>supra</w:t>
      </w:r>
      <w:r w:rsidRPr="002D31A9">
        <w:rPr>
          <w:szCs w:val="18"/>
        </w:rPr>
        <w:t xml:space="preserve">, paras. </w:t>
      </w:r>
      <w:r>
        <w:rPr>
          <w:szCs w:val="18"/>
          <w:highlight w:val="yellow"/>
        </w:rPr>
        <w:fldChar w:fldCharType="begin"/>
      </w:r>
      <w:r>
        <w:rPr>
          <w:szCs w:val="18"/>
        </w:rPr>
        <w:instrText xml:space="preserve"> REF _Ref517880356 \r \h </w:instrText>
      </w:r>
      <w:r>
        <w:rPr>
          <w:szCs w:val="18"/>
          <w:highlight w:val="yellow"/>
        </w:rPr>
      </w:r>
      <w:r>
        <w:rPr>
          <w:szCs w:val="18"/>
          <w:highlight w:val="yellow"/>
        </w:rPr>
        <w:fldChar w:fldCharType="separate"/>
      </w:r>
      <w:r w:rsidR="00AE33CF">
        <w:rPr>
          <w:szCs w:val="18"/>
        </w:rPr>
        <w:t>299</w:t>
      </w:r>
      <w:r>
        <w:rPr>
          <w:szCs w:val="18"/>
          <w:highlight w:val="yellow"/>
        </w:rPr>
        <w:fldChar w:fldCharType="end"/>
      </w:r>
      <w:r>
        <w:rPr>
          <w:szCs w:val="18"/>
        </w:rPr>
        <w:t xml:space="preserve"> - </w:t>
      </w:r>
      <w:r>
        <w:rPr>
          <w:szCs w:val="18"/>
          <w:highlight w:val="yellow"/>
        </w:rPr>
        <w:fldChar w:fldCharType="begin"/>
      </w:r>
      <w:r>
        <w:rPr>
          <w:szCs w:val="18"/>
        </w:rPr>
        <w:instrText xml:space="preserve"> REF _Ref517880374 \r \h </w:instrText>
      </w:r>
      <w:r>
        <w:rPr>
          <w:szCs w:val="18"/>
          <w:highlight w:val="yellow"/>
        </w:rPr>
      </w:r>
      <w:r>
        <w:rPr>
          <w:szCs w:val="18"/>
          <w:highlight w:val="yellow"/>
        </w:rPr>
        <w:fldChar w:fldCharType="separate"/>
      </w:r>
      <w:r w:rsidR="00AE33CF">
        <w:rPr>
          <w:szCs w:val="18"/>
        </w:rPr>
        <w:t>302</w:t>
      </w:r>
      <w:r>
        <w:rPr>
          <w:szCs w:val="18"/>
          <w:highlight w:val="yellow"/>
        </w:rPr>
        <w:fldChar w:fldCharType="end"/>
      </w:r>
      <w:r w:rsidRPr="006E341A">
        <w:rPr>
          <w:szCs w:val="18"/>
        </w:rPr>
        <w:t>.</w:t>
      </w:r>
    </w:p>
  </w:footnote>
  <w:footnote w:id="844">
    <w:p w14:paraId="31D51977" w14:textId="79B96741"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Pour les éléments de ces crime</w:t>
      </w:r>
      <w:r w:rsidRPr="00840539">
        <w:rPr>
          <w:szCs w:val="18"/>
        </w:rPr>
        <w:t xml:space="preserve">s, voir </w:t>
      </w:r>
      <w:r w:rsidRPr="00840539">
        <w:rPr>
          <w:i/>
          <w:szCs w:val="18"/>
        </w:rPr>
        <w:t>supra</w:t>
      </w:r>
      <w:r w:rsidRPr="00840539">
        <w:rPr>
          <w:szCs w:val="18"/>
        </w:rPr>
        <w:t xml:space="preserve">, </w:t>
      </w:r>
      <w:r w:rsidRPr="004B5A98">
        <w:rPr>
          <w:szCs w:val="18"/>
        </w:rPr>
        <w:t xml:space="preserve">fns. </w:t>
      </w:r>
      <w:r w:rsidRPr="004B5A98">
        <w:rPr>
          <w:szCs w:val="18"/>
        </w:rPr>
        <w:fldChar w:fldCharType="begin"/>
      </w:r>
      <w:r w:rsidRPr="004B5A98">
        <w:rPr>
          <w:szCs w:val="18"/>
        </w:rPr>
        <w:instrText xml:space="preserve"> NOTEREF _Ref516472566 \h  \* MERGEFORMAT </w:instrText>
      </w:r>
      <w:r w:rsidRPr="004B5A98">
        <w:rPr>
          <w:szCs w:val="18"/>
        </w:rPr>
      </w:r>
      <w:r w:rsidRPr="004B5A98">
        <w:rPr>
          <w:szCs w:val="18"/>
        </w:rPr>
        <w:fldChar w:fldCharType="separate"/>
      </w:r>
      <w:r w:rsidR="00AE33CF">
        <w:rPr>
          <w:szCs w:val="18"/>
        </w:rPr>
        <w:t>828</w:t>
      </w:r>
      <w:r w:rsidRPr="004B5A98">
        <w:rPr>
          <w:szCs w:val="18"/>
        </w:rPr>
        <w:fldChar w:fldCharType="end"/>
      </w:r>
      <w:r w:rsidRPr="004B5A98">
        <w:rPr>
          <w:szCs w:val="18"/>
        </w:rPr>
        <w:t>-</w:t>
      </w:r>
      <w:r w:rsidRPr="004B5A98">
        <w:rPr>
          <w:szCs w:val="18"/>
        </w:rPr>
        <w:fldChar w:fldCharType="begin"/>
      </w:r>
      <w:r w:rsidRPr="004B5A98">
        <w:rPr>
          <w:szCs w:val="18"/>
        </w:rPr>
        <w:instrText xml:space="preserve"> NOTEREF _Ref515459198 \h  \* MERGEFORMAT </w:instrText>
      </w:r>
      <w:r w:rsidRPr="004B5A98">
        <w:rPr>
          <w:szCs w:val="18"/>
        </w:rPr>
      </w:r>
      <w:r w:rsidRPr="004B5A98">
        <w:rPr>
          <w:szCs w:val="18"/>
        </w:rPr>
        <w:fldChar w:fldCharType="separate"/>
      </w:r>
      <w:r w:rsidR="00AE33CF">
        <w:rPr>
          <w:szCs w:val="18"/>
        </w:rPr>
        <w:t>829</w:t>
      </w:r>
      <w:r w:rsidRPr="004B5A98">
        <w:rPr>
          <w:szCs w:val="18"/>
        </w:rPr>
        <w:fldChar w:fldCharType="end"/>
      </w:r>
      <w:r w:rsidRPr="002D31A9">
        <w:rPr>
          <w:szCs w:val="18"/>
        </w:rPr>
        <w:t>.</w:t>
      </w:r>
    </w:p>
  </w:footnote>
  <w:footnote w:id="845">
    <w:p w14:paraId="573EAA85" w14:textId="5AB115D9" w:rsidR="004E119B" w:rsidRPr="006E341A"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Voir </w:t>
      </w:r>
      <w:r w:rsidRPr="002D31A9">
        <w:rPr>
          <w:i/>
          <w:szCs w:val="18"/>
        </w:rPr>
        <w:t>supra</w:t>
      </w:r>
      <w:r w:rsidRPr="002D31A9">
        <w:rPr>
          <w:szCs w:val="18"/>
        </w:rPr>
        <w:t xml:space="preserve">, paras. </w:t>
      </w:r>
      <w:r>
        <w:rPr>
          <w:szCs w:val="18"/>
          <w:highlight w:val="yellow"/>
        </w:rPr>
        <w:fldChar w:fldCharType="begin"/>
      </w:r>
      <w:r>
        <w:rPr>
          <w:szCs w:val="18"/>
        </w:rPr>
        <w:instrText xml:space="preserve"> REF _Ref517880356 \r \h </w:instrText>
      </w:r>
      <w:r>
        <w:rPr>
          <w:szCs w:val="18"/>
          <w:highlight w:val="yellow"/>
        </w:rPr>
      </w:r>
      <w:r>
        <w:rPr>
          <w:szCs w:val="18"/>
          <w:highlight w:val="yellow"/>
        </w:rPr>
        <w:fldChar w:fldCharType="separate"/>
      </w:r>
      <w:r w:rsidR="00AE33CF">
        <w:rPr>
          <w:szCs w:val="18"/>
        </w:rPr>
        <w:t>299</w:t>
      </w:r>
      <w:r>
        <w:rPr>
          <w:szCs w:val="18"/>
          <w:highlight w:val="yellow"/>
        </w:rPr>
        <w:fldChar w:fldCharType="end"/>
      </w:r>
      <w:r>
        <w:rPr>
          <w:szCs w:val="18"/>
        </w:rPr>
        <w:t xml:space="preserve"> - </w:t>
      </w:r>
      <w:r>
        <w:rPr>
          <w:szCs w:val="18"/>
          <w:highlight w:val="yellow"/>
        </w:rPr>
        <w:fldChar w:fldCharType="begin"/>
      </w:r>
      <w:r>
        <w:rPr>
          <w:szCs w:val="18"/>
        </w:rPr>
        <w:instrText xml:space="preserve"> REF _Ref517880477 \r \h </w:instrText>
      </w:r>
      <w:r>
        <w:rPr>
          <w:szCs w:val="18"/>
          <w:highlight w:val="yellow"/>
        </w:rPr>
      </w:r>
      <w:r>
        <w:rPr>
          <w:szCs w:val="18"/>
          <w:highlight w:val="yellow"/>
        </w:rPr>
        <w:fldChar w:fldCharType="separate"/>
      </w:r>
      <w:r w:rsidR="00AE33CF">
        <w:rPr>
          <w:szCs w:val="18"/>
        </w:rPr>
        <w:t>305</w:t>
      </w:r>
      <w:r>
        <w:rPr>
          <w:szCs w:val="18"/>
          <w:highlight w:val="yellow"/>
        </w:rPr>
        <w:fldChar w:fldCharType="end"/>
      </w:r>
      <w:r>
        <w:rPr>
          <w:szCs w:val="18"/>
        </w:rPr>
        <w:t>.</w:t>
      </w:r>
    </w:p>
  </w:footnote>
  <w:footnote w:id="846">
    <w:p w14:paraId="1A208450" w14:textId="2973ED99" w:rsidR="004E119B" w:rsidRPr="0084053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Voir </w:t>
      </w:r>
      <w:r w:rsidRPr="002D31A9">
        <w:rPr>
          <w:i/>
          <w:szCs w:val="18"/>
        </w:rPr>
        <w:t>supra</w:t>
      </w:r>
      <w:r w:rsidRPr="002D31A9">
        <w:rPr>
          <w:szCs w:val="18"/>
        </w:rPr>
        <w:t xml:space="preserve">, </w:t>
      </w:r>
      <w:r>
        <w:rPr>
          <w:szCs w:val="18"/>
        </w:rPr>
        <w:t xml:space="preserve">paras. </w:t>
      </w:r>
      <w:r>
        <w:rPr>
          <w:szCs w:val="18"/>
        </w:rPr>
        <w:fldChar w:fldCharType="begin"/>
      </w:r>
      <w:r>
        <w:rPr>
          <w:szCs w:val="18"/>
        </w:rPr>
        <w:instrText xml:space="preserve"> REF _Ref517880716 \r \h </w:instrText>
      </w:r>
      <w:r>
        <w:rPr>
          <w:szCs w:val="18"/>
        </w:rPr>
      </w:r>
      <w:r>
        <w:rPr>
          <w:szCs w:val="18"/>
        </w:rPr>
        <w:fldChar w:fldCharType="separate"/>
      </w:r>
      <w:r w:rsidR="00AE33CF">
        <w:rPr>
          <w:szCs w:val="18"/>
        </w:rPr>
        <w:t>294</w:t>
      </w:r>
      <w:r>
        <w:rPr>
          <w:szCs w:val="18"/>
        </w:rPr>
        <w:fldChar w:fldCharType="end"/>
      </w:r>
      <w:r>
        <w:rPr>
          <w:szCs w:val="18"/>
        </w:rPr>
        <w:t xml:space="preserve"> - </w:t>
      </w:r>
      <w:r>
        <w:rPr>
          <w:szCs w:val="18"/>
        </w:rPr>
        <w:fldChar w:fldCharType="begin"/>
      </w:r>
      <w:r>
        <w:rPr>
          <w:szCs w:val="18"/>
        </w:rPr>
        <w:instrText xml:space="preserve"> REF _Ref517880732 \r \h </w:instrText>
      </w:r>
      <w:r>
        <w:rPr>
          <w:szCs w:val="18"/>
        </w:rPr>
      </w:r>
      <w:r>
        <w:rPr>
          <w:szCs w:val="18"/>
        </w:rPr>
        <w:fldChar w:fldCharType="separate"/>
      </w:r>
      <w:r w:rsidR="00AE33CF">
        <w:rPr>
          <w:szCs w:val="18"/>
        </w:rPr>
        <w:t>298</w:t>
      </w:r>
      <w:r>
        <w:rPr>
          <w:szCs w:val="18"/>
        </w:rPr>
        <w:fldChar w:fldCharType="end"/>
      </w:r>
      <w:r>
        <w:rPr>
          <w:szCs w:val="18"/>
        </w:rPr>
        <w:t xml:space="preserve"> and </w:t>
      </w:r>
      <w:r w:rsidRPr="002D31A9">
        <w:rPr>
          <w:szCs w:val="18"/>
        </w:rPr>
        <w:t xml:space="preserve">paras. </w:t>
      </w:r>
      <w:r>
        <w:rPr>
          <w:szCs w:val="18"/>
        </w:rPr>
        <w:fldChar w:fldCharType="begin"/>
      </w:r>
      <w:r>
        <w:rPr>
          <w:szCs w:val="18"/>
        </w:rPr>
        <w:instrText xml:space="preserve"> REF _Ref517880631 \r \h </w:instrText>
      </w:r>
      <w:r>
        <w:rPr>
          <w:szCs w:val="18"/>
        </w:rPr>
      </w:r>
      <w:r>
        <w:rPr>
          <w:szCs w:val="18"/>
        </w:rPr>
        <w:fldChar w:fldCharType="separate"/>
      </w:r>
      <w:r w:rsidR="00AE33CF">
        <w:rPr>
          <w:szCs w:val="18"/>
        </w:rPr>
        <w:t>162</w:t>
      </w:r>
      <w:r>
        <w:rPr>
          <w:szCs w:val="18"/>
        </w:rPr>
        <w:fldChar w:fldCharType="end"/>
      </w:r>
      <w:r>
        <w:rPr>
          <w:szCs w:val="18"/>
        </w:rPr>
        <w:t xml:space="preserve"> - </w:t>
      </w:r>
      <w:r>
        <w:rPr>
          <w:szCs w:val="18"/>
        </w:rPr>
        <w:fldChar w:fldCharType="begin"/>
      </w:r>
      <w:r>
        <w:rPr>
          <w:szCs w:val="18"/>
        </w:rPr>
        <w:instrText xml:space="preserve"> REF _Ref517880650 \r \h </w:instrText>
      </w:r>
      <w:r>
        <w:rPr>
          <w:szCs w:val="18"/>
        </w:rPr>
      </w:r>
      <w:r>
        <w:rPr>
          <w:szCs w:val="18"/>
        </w:rPr>
        <w:fldChar w:fldCharType="separate"/>
      </w:r>
      <w:r w:rsidR="00AE33CF">
        <w:rPr>
          <w:szCs w:val="18"/>
        </w:rPr>
        <w:t>175</w:t>
      </w:r>
      <w:r>
        <w:rPr>
          <w:szCs w:val="18"/>
        </w:rPr>
        <w:fldChar w:fldCharType="end"/>
      </w:r>
      <w:r>
        <w:rPr>
          <w:szCs w:val="18"/>
        </w:rPr>
        <w:t>.</w:t>
      </w:r>
    </w:p>
  </w:footnote>
  <w:footnote w:id="847">
    <w:p w14:paraId="6C80BC4A" w14:textId="39851959"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Pour les éléments du </w:t>
      </w:r>
      <w:r w:rsidRPr="00520250">
        <w:rPr>
          <w:szCs w:val="18"/>
        </w:rPr>
        <w:t xml:space="preserve">crime, voir </w:t>
      </w:r>
      <w:r w:rsidRPr="00520250">
        <w:rPr>
          <w:i/>
          <w:szCs w:val="18"/>
        </w:rPr>
        <w:t>supra</w:t>
      </w:r>
      <w:r w:rsidRPr="00520250">
        <w:rPr>
          <w:szCs w:val="18"/>
        </w:rPr>
        <w:t xml:space="preserve">, fn. </w:t>
      </w:r>
      <w:r w:rsidRPr="00520250">
        <w:rPr>
          <w:szCs w:val="18"/>
        </w:rPr>
        <w:fldChar w:fldCharType="begin"/>
      </w:r>
      <w:r w:rsidRPr="00520250">
        <w:rPr>
          <w:szCs w:val="18"/>
        </w:rPr>
        <w:instrText xml:space="preserve"> NOTEREF _Ref515457425 \h  \* MERGEFORMAT </w:instrText>
      </w:r>
      <w:r w:rsidRPr="00520250">
        <w:rPr>
          <w:szCs w:val="18"/>
        </w:rPr>
      </w:r>
      <w:r w:rsidRPr="00520250">
        <w:rPr>
          <w:szCs w:val="18"/>
        </w:rPr>
        <w:fldChar w:fldCharType="separate"/>
      </w:r>
      <w:r w:rsidR="00AE33CF">
        <w:rPr>
          <w:szCs w:val="18"/>
        </w:rPr>
        <w:t>831</w:t>
      </w:r>
      <w:r w:rsidRPr="00520250">
        <w:rPr>
          <w:szCs w:val="18"/>
        </w:rPr>
        <w:fldChar w:fldCharType="end"/>
      </w:r>
      <w:r w:rsidRPr="002D31A9">
        <w:rPr>
          <w:szCs w:val="18"/>
        </w:rPr>
        <w:t>.</w:t>
      </w:r>
    </w:p>
  </w:footnote>
  <w:footnote w:id="848">
    <w:p w14:paraId="21C44ACF" w14:textId="6C58C762" w:rsidR="004E119B" w:rsidRPr="0084053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Voir </w:t>
      </w:r>
      <w:r w:rsidRPr="002D31A9">
        <w:rPr>
          <w:i/>
          <w:szCs w:val="18"/>
        </w:rPr>
        <w:t>supra</w:t>
      </w:r>
      <w:r w:rsidRPr="002D31A9">
        <w:rPr>
          <w:szCs w:val="18"/>
        </w:rPr>
        <w:t xml:space="preserve">, para. </w:t>
      </w:r>
      <w:r>
        <w:rPr>
          <w:szCs w:val="18"/>
        </w:rPr>
        <w:fldChar w:fldCharType="begin"/>
      </w:r>
      <w:r>
        <w:rPr>
          <w:szCs w:val="18"/>
        </w:rPr>
        <w:instrText xml:space="preserve"> REF _Ref517879947 \r \h </w:instrText>
      </w:r>
      <w:r>
        <w:rPr>
          <w:szCs w:val="18"/>
        </w:rPr>
      </w:r>
      <w:r>
        <w:rPr>
          <w:szCs w:val="18"/>
        </w:rPr>
        <w:fldChar w:fldCharType="separate"/>
      </w:r>
      <w:r w:rsidR="00AE33CF">
        <w:rPr>
          <w:szCs w:val="18"/>
        </w:rPr>
        <w:t>283</w:t>
      </w:r>
      <w:r>
        <w:rPr>
          <w:szCs w:val="18"/>
        </w:rPr>
        <w:fldChar w:fldCharType="end"/>
      </w:r>
    </w:p>
  </w:footnote>
  <w:footnote w:id="849">
    <w:p w14:paraId="0276BEA5" w14:textId="77777777" w:rsidR="004E119B" w:rsidRPr="006E341A"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Les éléments de ce crime sont : (i) L’auteur a lancé une attaque ; (ii) L’objectif de l’attaque était un ou plusieurs bâtiments consacrés </w:t>
      </w:r>
      <w:r w:rsidRPr="00840539">
        <w:rPr>
          <w:szCs w:val="18"/>
        </w:rPr>
        <w:t>à la religion, à l’enseignement […], des hôpitaux et des lieux où des malades ou des blessés sont rassemblés, qui n’étaient pas des objectifs militaires ; et (iii) L’auteur entendait prendre pour cible de son attaque ledit ou lesdits bâtime</w:t>
      </w:r>
      <w:r w:rsidRPr="006E341A">
        <w:rPr>
          <w:szCs w:val="18"/>
        </w:rPr>
        <w:t>nts consacrés à la religion, à l’enseignement […], des hôpitaux et des lieux où des malades ou des blessés sont rassemblés, qui n’étaient pas des objectifs militaires.</w:t>
      </w:r>
    </w:p>
  </w:footnote>
  <w:footnote w:id="850">
    <w:p w14:paraId="207C7272" w14:textId="77777777" w:rsidR="004E119B" w:rsidRPr="006E341A" w:rsidRDefault="004E119B" w:rsidP="00E93251">
      <w:pPr>
        <w:pStyle w:val="FootnoteText"/>
        <w:ind w:left="1138" w:right="1138"/>
        <w:jc w:val="left"/>
        <w:rPr>
          <w:szCs w:val="18"/>
          <w:lang w:val="en-GB"/>
        </w:rPr>
      </w:pPr>
      <w:r w:rsidRPr="002D31A9">
        <w:rPr>
          <w:rStyle w:val="FootnoteReference"/>
          <w:szCs w:val="18"/>
        </w:rPr>
        <w:footnoteRef/>
      </w:r>
      <w:r w:rsidRPr="002D31A9">
        <w:rPr>
          <w:szCs w:val="18"/>
        </w:rPr>
        <w:t xml:space="preserve"> Au vu des éléments des crimes, il n’est pas nécessaire qu’un résultat (dommage) soit démontré pour que ce crime soit commis. </w:t>
      </w:r>
      <w:r w:rsidRPr="002D31A9">
        <w:rPr>
          <w:szCs w:val="18"/>
          <w:lang w:val="en-GB"/>
        </w:rPr>
        <w:t xml:space="preserve">Voir Roberta Arnold and Stefan Wehrenberg, “Article 8(2)(b)(ix) : Intentionally directing attacks against protected buildings”, in Otto Triffterer and Kai Ambos (eds.), </w:t>
      </w:r>
      <w:r w:rsidRPr="00840539">
        <w:rPr>
          <w:i/>
          <w:szCs w:val="18"/>
          <w:lang w:val="en-GB"/>
        </w:rPr>
        <w:t>The Rome Statute of the International Criminal Court – A Commentary</w:t>
      </w:r>
      <w:r w:rsidRPr="00840539">
        <w:rPr>
          <w:szCs w:val="18"/>
          <w:lang w:val="en-GB"/>
        </w:rPr>
        <w:t>, C.H. Beck/Hart/Nomos, 2016 (3</w:t>
      </w:r>
      <w:r w:rsidRPr="00840539">
        <w:rPr>
          <w:szCs w:val="18"/>
          <w:vertAlign w:val="superscript"/>
          <w:lang w:val="en-GB"/>
        </w:rPr>
        <w:t>rd</w:t>
      </w:r>
      <w:r w:rsidRPr="006E341A">
        <w:rPr>
          <w:szCs w:val="18"/>
          <w:lang w:val="en-GB"/>
        </w:rPr>
        <w:t xml:space="preserve"> ed.), p. 419.</w:t>
      </w:r>
    </w:p>
  </w:footnote>
  <w:footnote w:id="851">
    <w:p w14:paraId="613F433A" w14:textId="25B9A3D3" w:rsidR="004E119B" w:rsidRPr="0084053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Voir </w:t>
      </w:r>
      <w:r w:rsidRPr="00520250">
        <w:rPr>
          <w:i/>
          <w:szCs w:val="18"/>
        </w:rPr>
        <w:t>supra</w:t>
      </w:r>
      <w:r w:rsidRPr="002D31A9">
        <w:rPr>
          <w:szCs w:val="18"/>
        </w:rPr>
        <w:t>, para</w:t>
      </w:r>
      <w:r>
        <w:rPr>
          <w:szCs w:val="18"/>
        </w:rPr>
        <w:t xml:space="preserve">. </w:t>
      </w:r>
      <w:r>
        <w:rPr>
          <w:szCs w:val="18"/>
        </w:rPr>
        <w:fldChar w:fldCharType="begin"/>
      </w:r>
      <w:r>
        <w:rPr>
          <w:szCs w:val="18"/>
        </w:rPr>
        <w:instrText xml:space="preserve"> REF _Ref517880885 \r \h </w:instrText>
      </w:r>
      <w:r>
        <w:rPr>
          <w:szCs w:val="18"/>
        </w:rPr>
      </w:r>
      <w:r>
        <w:rPr>
          <w:szCs w:val="18"/>
        </w:rPr>
        <w:fldChar w:fldCharType="separate"/>
      </w:r>
      <w:r w:rsidR="00AE33CF">
        <w:rPr>
          <w:szCs w:val="18"/>
        </w:rPr>
        <w:t>399</w:t>
      </w:r>
      <w:r>
        <w:rPr>
          <w:szCs w:val="18"/>
        </w:rPr>
        <w:fldChar w:fldCharType="end"/>
      </w:r>
      <w:r w:rsidRPr="00840539">
        <w:rPr>
          <w:szCs w:val="18"/>
        </w:rPr>
        <w:t>.</w:t>
      </w:r>
    </w:p>
  </w:footnote>
  <w:footnote w:id="852">
    <w:p w14:paraId="5302E14F" w14:textId="10CFBE4F"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Pour les éléments de ces crimes, voir </w:t>
      </w:r>
      <w:r w:rsidRPr="00520250">
        <w:rPr>
          <w:i/>
          <w:szCs w:val="18"/>
        </w:rPr>
        <w:t>supra</w:t>
      </w:r>
      <w:r w:rsidRPr="00520250">
        <w:rPr>
          <w:szCs w:val="18"/>
        </w:rPr>
        <w:t xml:space="preserve">, fns. </w:t>
      </w:r>
      <w:r w:rsidRPr="00520250">
        <w:rPr>
          <w:szCs w:val="18"/>
        </w:rPr>
        <w:fldChar w:fldCharType="begin"/>
      </w:r>
      <w:r w:rsidRPr="00520250">
        <w:rPr>
          <w:szCs w:val="18"/>
        </w:rPr>
        <w:instrText xml:space="preserve"> NOTEREF _Ref515462917 \h  \* MERGEFORMAT </w:instrText>
      </w:r>
      <w:r w:rsidRPr="00520250">
        <w:rPr>
          <w:szCs w:val="18"/>
        </w:rPr>
      </w:r>
      <w:r w:rsidRPr="00520250">
        <w:rPr>
          <w:szCs w:val="18"/>
        </w:rPr>
        <w:fldChar w:fldCharType="separate"/>
      </w:r>
      <w:r w:rsidR="00AE33CF">
        <w:rPr>
          <w:szCs w:val="18"/>
        </w:rPr>
        <w:t>746</w:t>
      </w:r>
      <w:r w:rsidRPr="00520250">
        <w:rPr>
          <w:szCs w:val="18"/>
        </w:rPr>
        <w:fldChar w:fldCharType="end"/>
      </w:r>
      <w:r w:rsidRPr="00520250">
        <w:rPr>
          <w:szCs w:val="18"/>
        </w:rPr>
        <w:t xml:space="preserve">, </w:t>
      </w:r>
      <w:r w:rsidRPr="00520250">
        <w:rPr>
          <w:szCs w:val="18"/>
        </w:rPr>
        <w:fldChar w:fldCharType="begin"/>
      </w:r>
      <w:r w:rsidRPr="00520250">
        <w:rPr>
          <w:szCs w:val="18"/>
        </w:rPr>
        <w:instrText xml:space="preserve"> NOTEREF _Ref516484729 \h  \* MERGEFORMAT </w:instrText>
      </w:r>
      <w:r w:rsidRPr="00520250">
        <w:rPr>
          <w:szCs w:val="18"/>
        </w:rPr>
      </w:r>
      <w:r w:rsidRPr="00520250">
        <w:rPr>
          <w:szCs w:val="18"/>
        </w:rPr>
        <w:fldChar w:fldCharType="separate"/>
      </w:r>
      <w:r w:rsidR="00AE33CF">
        <w:rPr>
          <w:szCs w:val="18"/>
        </w:rPr>
        <w:t>747</w:t>
      </w:r>
      <w:r w:rsidRPr="00520250">
        <w:rPr>
          <w:szCs w:val="18"/>
        </w:rPr>
        <w:fldChar w:fldCharType="end"/>
      </w:r>
      <w:r w:rsidRPr="00520250">
        <w:rPr>
          <w:szCs w:val="18"/>
        </w:rPr>
        <w:t xml:space="preserve">, </w:t>
      </w:r>
      <w:r w:rsidRPr="00520250">
        <w:rPr>
          <w:szCs w:val="18"/>
        </w:rPr>
        <w:fldChar w:fldCharType="begin"/>
      </w:r>
      <w:r w:rsidRPr="00520250">
        <w:rPr>
          <w:szCs w:val="18"/>
        </w:rPr>
        <w:instrText xml:space="preserve"> NOTEREF _Ref516677093 \h  \* MERGEFORMAT </w:instrText>
      </w:r>
      <w:r w:rsidRPr="00520250">
        <w:rPr>
          <w:szCs w:val="18"/>
        </w:rPr>
      </w:r>
      <w:r w:rsidRPr="00520250">
        <w:rPr>
          <w:szCs w:val="18"/>
        </w:rPr>
        <w:fldChar w:fldCharType="separate"/>
      </w:r>
      <w:r w:rsidR="00AE33CF">
        <w:rPr>
          <w:szCs w:val="18"/>
        </w:rPr>
        <w:t>835</w:t>
      </w:r>
      <w:r w:rsidRPr="00520250">
        <w:rPr>
          <w:szCs w:val="18"/>
        </w:rPr>
        <w:fldChar w:fldCharType="end"/>
      </w:r>
      <w:r w:rsidRPr="002D31A9">
        <w:rPr>
          <w:szCs w:val="18"/>
        </w:rPr>
        <w:t>.</w:t>
      </w:r>
    </w:p>
  </w:footnote>
  <w:footnote w:id="853">
    <w:p w14:paraId="308A7A5A" w14:textId="0881136F" w:rsidR="004E119B" w:rsidRPr="006E341A"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Voir </w:t>
      </w:r>
      <w:r w:rsidRPr="002D31A9">
        <w:rPr>
          <w:i/>
          <w:szCs w:val="18"/>
        </w:rPr>
        <w:t>supra</w:t>
      </w:r>
      <w:r w:rsidRPr="00840539">
        <w:rPr>
          <w:szCs w:val="18"/>
        </w:rPr>
        <w:t xml:space="preserve">, paras. </w:t>
      </w:r>
      <w:r>
        <w:rPr>
          <w:szCs w:val="18"/>
        </w:rPr>
        <w:fldChar w:fldCharType="begin"/>
      </w:r>
      <w:r>
        <w:rPr>
          <w:szCs w:val="18"/>
        </w:rPr>
        <w:instrText xml:space="preserve"> REF _Ref517880716 \r \h </w:instrText>
      </w:r>
      <w:r>
        <w:rPr>
          <w:szCs w:val="18"/>
        </w:rPr>
      </w:r>
      <w:r>
        <w:rPr>
          <w:szCs w:val="18"/>
        </w:rPr>
        <w:fldChar w:fldCharType="separate"/>
      </w:r>
      <w:r w:rsidR="00AE33CF">
        <w:rPr>
          <w:szCs w:val="18"/>
        </w:rPr>
        <w:t>294</w:t>
      </w:r>
      <w:r>
        <w:rPr>
          <w:szCs w:val="18"/>
        </w:rPr>
        <w:fldChar w:fldCharType="end"/>
      </w:r>
      <w:r>
        <w:rPr>
          <w:szCs w:val="18"/>
        </w:rPr>
        <w:t xml:space="preserve"> - </w:t>
      </w:r>
      <w:r>
        <w:rPr>
          <w:szCs w:val="18"/>
        </w:rPr>
        <w:fldChar w:fldCharType="begin"/>
      </w:r>
      <w:r>
        <w:rPr>
          <w:szCs w:val="18"/>
        </w:rPr>
        <w:instrText xml:space="preserve"> REF _Ref517880732 \r \h </w:instrText>
      </w:r>
      <w:r>
        <w:rPr>
          <w:szCs w:val="18"/>
        </w:rPr>
      </w:r>
      <w:r>
        <w:rPr>
          <w:szCs w:val="18"/>
        </w:rPr>
        <w:fldChar w:fldCharType="separate"/>
      </w:r>
      <w:r w:rsidR="00AE33CF">
        <w:rPr>
          <w:szCs w:val="18"/>
        </w:rPr>
        <w:t>298</w:t>
      </w:r>
      <w:r>
        <w:rPr>
          <w:szCs w:val="18"/>
        </w:rPr>
        <w:fldChar w:fldCharType="end"/>
      </w:r>
      <w:r w:rsidRPr="00520250">
        <w:rPr>
          <w:szCs w:val="18"/>
        </w:rPr>
        <w:t>.</w:t>
      </w:r>
    </w:p>
  </w:footnote>
  <w:footnote w:id="854">
    <w:p w14:paraId="4B84A2B1" w14:textId="7682629D" w:rsidR="004E119B" w:rsidRPr="002D31A9" w:rsidRDefault="004E119B" w:rsidP="00E93251">
      <w:pPr>
        <w:pStyle w:val="FootnoteText"/>
        <w:ind w:left="1138" w:right="1138"/>
        <w:jc w:val="left"/>
        <w:rPr>
          <w:szCs w:val="18"/>
        </w:rPr>
      </w:pPr>
      <w:r w:rsidRPr="002D31A9">
        <w:rPr>
          <w:rStyle w:val="FootnoteReference"/>
          <w:szCs w:val="18"/>
        </w:rPr>
        <w:footnoteRef/>
      </w:r>
      <w:r w:rsidRPr="00CB6F4D">
        <w:rPr>
          <w:szCs w:val="18"/>
          <w:lang w:val="fr-CH"/>
        </w:rPr>
        <w:t xml:space="preserve"> Tilman Rodenhäuser, </w:t>
      </w:r>
      <w:r w:rsidRPr="00CB6F4D">
        <w:rPr>
          <w:i/>
          <w:szCs w:val="18"/>
          <w:lang w:val="fr-CH"/>
        </w:rPr>
        <w:t>op. cit.</w:t>
      </w:r>
      <w:r w:rsidRPr="00CB6F4D">
        <w:rPr>
          <w:szCs w:val="18"/>
          <w:lang w:val="fr-CH"/>
        </w:rPr>
        <w:t xml:space="preserve"> fn. </w:t>
      </w:r>
      <w:r w:rsidRPr="00520250">
        <w:rPr>
          <w:szCs w:val="18"/>
        </w:rPr>
        <w:fldChar w:fldCharType="begin"/>
      </w:r>
      <w:r w:rsidRPr="00CB6F4D">
        <w:rPr>
          <w:szCs w:val="18"/>
          <w:lang w:val="fr-CH"/>
        </w:rPr>
        <w:instrText xml:space="preserve"> NOTEREF _Ref516413539 \h  \* MERGEFORMAT </w:instrText>
      </w:r>
      <w:r w:rsidRPr="00520250">
        <w:rPr>
          <w:szCs w:val="18"/>
        </w:rPr>
      </w:r>
      <w:r w:rsidRPr="00520250">
        <w:rPr>
          <w:szCs w:val="18"/>
        </w:rPr>
        <w:fldChar w:fldCharType="separate"/>
      </w:r>
      <w:r w:rsidR="00AE33CF" w:rsidRPr="00AE33CF">
        <w:rPr>
          <w:szCs w:val="18"/>
        </w:rPr>
        <w:t>825</w:t>
      </w:r>
      <w:r w:rsidRPr="00520250">
        <w:rPr>
          <w:szCs w:val="18"/>
        </w:rPr>
        <w:fldChar w:fldCharType="end"/>
      </w:r>
      <w:r w:rsidRPr="00520250">
        <w:rPr>
          <w:szCs w:val="18"/>
        </w:rPr>
        <w:t>, pp</w:t>
      </w:r>
      <w:r w:rsidRPr="002D31A9">
        <w:rPr>
          <w:szCs w:val="18"/>
        </w:rPr>
        <w:t>. 186, 192.</w:t>
      </w:r>
    </w:p>
  </w:footnote>
  <w:footnote w:id="855">
    <w:p w14:paraId="3A622B88" w14:textId="4A157206" w:rsidR="004E119B" w:rsidRPr="006E341A"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Les éléments de ce crime sont : (i) L’auteur a procédé</w:t>
      </w:r>
      <w:r w:rsidRPr="00840539">
        <w:rPr>
          <w:szCs w:val="18"/>
        </w:rPr>
        <w:t xml:space="preserve"> à la conscription ou à l’enrôlement d’une ou plusieurs personnes d</w:t>
      </w:r>
      <w:r>
        <w:rPr>
          <w:szCs w:val="18"/>
        </w:rPr>
        <w:t>ans une force ou un groupe armé</w:t>
      </w:r>
      <w:r w:rsidRPr="00840539">
        <w:rPr>
          <w:szCs w:val="18"/>
        </w:rPr>
        <w:t xml:space="preserve"> ou les a fait participer activement aux hostilités ; (ii) Ladite ou lesdites personnes étaient âgées de moin</w:t>
      </w:r>
      <w:r w:rsidRPr="006E341A">
        <w:rPr>
          <w:szCs w:val="18"/>
        </w:rPr>
        <w:t>s de 15/18 ans ; (iii) L’auteur savait ou aurait dû savoir que ladite ou lesdites personnes étaient âgées de moins de 15/18 ans.</w:t>
      </w:r>
    </w:p>
  </w:footnote>
  <w:footnote w:id="856">
    <w:p w14:paraId="632CC1F7" w14:textId="77777777" w:rsidR="004E119B" w:rsidRPr="0084053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CPI, </w:t>
      </w:r>
      <w:r w:rsidRPr="002D31A9">
        <w:rPr>
          <w:i/>
          <w:szCs w:val="18"/>
        </w:rPr>
        <w:t>Le Procureur c. Thomas Lubanga Dyilo</w:t>
      </w:r>
      <w:r w:rsidRPr="002D31A9">
        <w:rPr>
          <w:szCs w:val="18"/>
        </w:rPr>
        <w:t>, Affaire n° ICC-01/04-01/06, Décision sur la confirmation des charges (Version publique avec annexe I), 29 janvier 2007, paras. 246</w:t>
      </w:r>
      <w:r w:rsidRPr="00840539">
        <w:rPr>
          <w:szCs w:val="18"/>
        </w:rPr>
        <w:t>-247.</w:t>
      </w:r>
    </w:p>
  </w:footnote>
  <w:footnote w:id="857">
    <w:p w14:paraId="471A1E76" w14:textId="77777777" w:rsidR="004E119B" w:rsidRPr="008264D5"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Article 4(1) du Projet d’articles sur la responsabilité de l’Etat pour fait internationale illicite, </w:t>
      </w:r>
      <w:r w:rsidRPr="00520250">
        <w:rPr>
          <w:szCs w:val="18"/>
        </w:rPr>
        <w:t>adopté par la Commission du droit international à sa 53</w:t>
      </w:r>
      <w:r w:rsidRPr="00520250">
        <w:rPr>
          <w:szCs w:val="18"/>
          <w:vertAlign w:val="superscript"/>
        </w:rPr>
        <w:t>ème</w:t>
      </w:r>
      <w:r w:rsidRPr="00520250">
        <w:rPr>
          <w:szCs w:val="18"/>
        </w:rPr>
        <w:t xml:space="preserve"> session en 2001 et soumis à l’Assemblée générale des Nations Unies dans le cadre du rapport de la Commission sur ladite session (Projet d’articles sur la responsabilité de l’Etat).</w:t>
      </w:r>
      <w:r w:rsidRPr="006E341A">
        <w:rPr>
          <w:szCs w:val="18"/>
        </w:rPr>
        <w:t xml:space="preserve"> UN Doc. A/56/10 Supplément n° 10, 2001. L’Assemblée générale des Nations Unies a pris note du projet d’articles le </w:t>
      </w:r>
      <w:r w:rsidRPr="0060278B">
        <w:rPr>
          <w:szCs w:val="18"/>
        </w:rPr>
        <w:t xml:space="preserve">12 décembre 2001. Voir UN Doc. A/RES/56/83, 2001, Annexe. Voir aussi CIJ, </w:t>
      </w:r>
      <w:r w:rsidRPr="009F1B3A">
        <w:rPr>
          <w:i/>
          <w:szCs w:val="18"/>
        </w:rPr>
        <w:t>Affaire relative à l’application de la Convention pour la prévention et la répression du crime de génocide (Bosnie-Herzégovine c. Serbie-et-Monténégro)</w:t>
      </w:r>
      <w:r w:rsidRPr="009F1B3A">
        <w:rPr>
          <w:szCs w:val="18"/>
        </w:rPr>
        <w:t>, arrêt du 26 février 2007, C.I</w:t>
      </w:r>
      <w:r w:rsidRPr="008264D5">
        <w:rPr>
          <w:szCs w:val="18"/>
        </w:rPr>
        <w:t>.J. Recueil 2007, p. 43, para. 385. L’article 4(2) du Projet d’articles sur la responsabilité de l’Etat précise qu’ « [u]n organe comprend toute personne ou entité qui a ce statut d’après le droit interne de l’Etat ».</w:t>
      </w:r>
    </w:p>
  </w:footnote>
  <w:footnote w:id="858">
    <w:p w14:paraId="500F66C3" w14:textId="77777777"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Article 5 du Projet d’articles sur la responsabilité de l’Etat.</w:t>
      </w:r>
    </w:p>
  </w:footnote>
  <w:footnote w:id="859">
    <w:p w14:paraId="79E63522" w14:textId="77777777"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CIJ, </w:t>
      </w:r>
      <w:r w:rsidRPr="002D31A9">
        <w:rPr>
          <w:i/>
          <w:szCs w:val="18"/>
        </w:rPr>
        <w:t>Affaire relative à l’application de la Convention pour la prévention et la répression du crime de génocide (Bosnie-Herzégovine c. Serbie-et-Monténégro)</w:t>
      </w:r>
      <w:r w:rsidRPr="002D31A9">
        <w:rPr>
          <w:szCs w:val="18"/>
        </w:rPr>
        <w:t>, arrêt du 26 février 2007, C.I.J. Recueil 2007, p. 43, paras. 392-393.</w:t>
      </w:r>
    </w:p>
  </w:footnote>
  <w:footnote w:id="860">
    <w:p w14:paraId="0F914195" w14:textId="77777777"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Article 8 du Projet d’articles sur la responsabilité de l’Etat.</w:t>
      </w:r>
    </w:p>
  </w:footnote>
  <w:footnote w:id="861">
    <w:p w14:paraId="528D97B7" w14:textId="77777777"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Article 11 du Projet d’articles sur la responsabilité de l’Etat.</w:t>
      </w:r>
    </w:p>
  </w:footnote>
  <w:footnote w:id="862">
    <w:p w14:paraId="112B8F89" w14:textId="3EFF390F" w:rsidR="004E119B" w:rsidRPr="0084053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OCHA, Urgence complexe dans la région du Kasaï, R.D. Congo, Rapport de situation No.14, 23 octobre 2017. </w:t>
      </w:r>
    </w:p>
  </w:footnote>
  <w:footnote w:id="863">
    <w:p w14:paraId="350F13C2" w14:textId="79A639EB"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T0229, T0260, T0334, T0337, T0254, T0435, document interne </w:t>
      </w:r>
      <w:r>
        <w:rPr>
          <w:szCs w:val="18"/>
        </w:rPr>
        <w:t>MONUSCO</w:t>
      </w:r>
      <w:r w:rsidRPr="002D31A9">
        <w:rPr>
          <w:szCs w:val="18"/>
        </w:rPr>
        <w:t>.</w:t>
      </w:r>
    </w:p>
  </w:footnote>
  <w:footnote w:id="864">
    <w:p w14:paraId="5A4E6631" w14:textId="54D78AB1"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T0304.</w:t>
      </w:r>
    </w:p>
  </w:footnote>
  <w:footnote w:id="865">
    <w:p w14:paraId="3752E17C" w14:textId="100BAF3F"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T0149, T0266.</w:t>
      </w:r>
    </w:p>
  </w:footnote>
  <w:footnote w:id="866">
    <w:p w14:paraId="512EF7DD" w14:textId="603CDA33"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Document interne MONUSCO.</w:t>
      </w:r>
    </w:p>
  </w:footnote>
  <w:footnote w:id="867">
    <w:p w14:paraId="1A3A6254" w14:textId="198BC9FF"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T0055, T0061, T0068, T0424, document interne MONUSCO.</w:t>
      </w:r>
    </w:p>
  </w:footnote>
  <w:footnote w:id="868">
    <w:p w14:paraId="359D54A7" w14:textId="22D0EB98"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Documents internes MONUSCO.</w:t>
      </w:r>
    </w:p>
  </w:footnote>
  <w:footnote w:id="869">
    <w:p w14:paraId="4B4D281C" w14:textId="04AD5BFC" w:rsidR="004E119B" w:rsidRDefault="004E119B" w:rsidP="00E93251">
      <w:pPr>
        <w:pStyle w:val="FootnoteText"/>
        <w:ind w:left="1138" w:right="1138"/>
        <w:jc w:val="left"/>
      </w:pPr>
      <w:r>
        <w:rPr>
          <w:rStyle w:val="FootnoteReference"/>
        </w:rPr>
        <w:footnoteRef/>
      </w:r>
      <w:r>
        <w:t xml:space="preserve"> Document interne MONUSCO. </w:t>
      </w:r>
    </w:p>
  </w:footnote>
  <w:footnote w:id="870">
    <w:p w14:paraId="662E6977" w14:textId="43EAE349"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T0375, documents internes MONUSCO.</w:t>
      </w:r>
    </w:p>
  </w:footnote>
  <w:footnote w:id="871">
    <w:p w14:paraId="70F3691C" w14:textId="7414A3F3" w:rsidR="004E119B" w:rsidRPr="002D31A9" w:rsidRDefault="004E119B" w:rsidP="00E93251">
      <w:pPr>
        <w:pStyle w:val="FootnoteText"/>
        <w:ind w:left="1138" w:right="1138"/>
        <w:jc w:val="left"/>
        <w:rPr>
          <w:szCs w:val="18"/>
        </w:rPr>
      </w:pPr>
      <w:r w:rsidRPr="002D31A9">
        <w:rPr>
          <w:rStyle w:val="FootnoteReference"/>
          <w:szCs w:val="18"/>
        </w:rPr>
        <w:footnoteRef/>
      </w:r>
      <w:r>
        <w:rPr>
          <w:szCs w:val="18"/>
        </w:rPr>
        <w:t xml:space="preserve"> Document interne MONUSCO,</w:t>
      </w:r>
      <w:r w:rsidRPr="002D31A9">
        <w:rPr>
          <w:szCs w:val="18"/>
        </w:rPr>
        <w:t xml:space="preserve"> </w:t>
      </w:r>
      <w:hyperlink r:id="rId7" w:tgtFrame="_blank" w:history="1">
        <w:r w:rsidRPr="002D31A9">
          <w:rPr>
            <w:szCs w:val="18"/>
          </w:rPr>
          <w:t>https://reliefweb.int/report/democratic-republic-congo/drc-msf-treats-20-people-after-deadly-attack-kasai-region</w:t>
        </w:r>
      </w:hyperlink>
      <w:r w:rsidRPr="002D31A9">
        <w:rPr>
          <w:szCs w:val="18"/>
        </w:rPr>
        <w:t xml:space="preserve">. </w:t>
      </w:r>
    </w:p>
  </w:footnote>
  <w:footnote w:id="872">
    <w:p w14:paraId="7FEE3DBF" w14:textId="251E42C9"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Documents internes MONUSCO.</w:t>
      </w:r>
    </w:p>
  </w:footnote>
  <w:footnote w:id="873">
    <w:p w14:paraId="6EA62095" w14:textId="14F4D5A4" w:rsidR="004E119B" w:rsidRPr="0084053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Documents internes MONUSCO.</w:t>
      </w:r>
    </w:p>
  </w:footnote>
  <w:footnote w:id="874">
    <w:p w14:paraId="448BFB5B" w14:textId="56E2951E"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w:t>
      </w:r>
      <w:hyperlink r:id="rId8" w:tgtFrame="_blank" w:history="1">
        <w:r w:rsidRPr="002D31A9">
          <w:rPr>
            <w:rStyle w:val="Hyperlink"/>
            <w:szCs w:val="18"/>
          </w:rPr>
          <w:t>https://www.radiookapi.net/2018/06/15/actualite/revue-de-presse/le-potentiel-le-president-kabila-appele-se-prononcer-le-clc</w:t>
        </w:r>
      </w:hyperlink>
      <w:r w:rsidRPr="002D31A9">
        <w:rPr>
          <w:szCs w:val="18"/>
        </w:rPr>
        <w:t xml:space="preserve">; </w:t>
      </w:r>
      <w:r w:rsidRPr="00CB2CDD">
        <w:rPr>
          <w:color w:val="212121"/>
          <w:szCs w:val="18"/>
          <w:shd w:val="clear" w:color="auto" w:fill="FFFFFF"/>
        </w:rPr>
        <w:t>http://www.rfi.fr/afrique/20180615-rdc-comite-laic-s-inquiete-organisation-elections</w:t>
      </w:r>
      <w:r w:rsidRPr="002D31A9">
        <w:rPr>
          <w:szCs w:val="18"/>
        </w:rPr>
        <w:t xml:space="preserve">. </w:t>
      </w:r>
    </w:p>
  </w:footnote>
  <w:footnote w:id="875">
    <w:p w14:paraId="55681C02" w14:textId="4D7F72D8" w:rsidR="004E119B" w:rsidRPr="002D31A9" w:rsidRDefault="004E119B" w:rsidP="00E93251">
      <w:pPr>
        <w:pStyle w:val="BodyText"/>
        <w:numPr>
          <w:ilvl w:val="0"/>
          <w:numId w:val="0"/>
        </w:numPr>
        <w:spacing w:after="0" w:line="220" w:lineRule="exact"/>
        <w:ind w:left="1138" w:right="1138"/>
        <w:jc w:val="left"/>
        <w:rPr>
          <w:sz w:val="18"/>
          <w:szCs w:val="18"/>
        </w:rPr>
      </w:pPr>
      <w:r w:rsidRPr="002D31A9">
        <w:rPr>
          <w:rStyle w:val="FootnoteReference"/>
          <w:szCs w:val="18"/>
        </w:rPr>
        <w:footnoteRef/>
      </w:r>
      <w:r w:rsidRPr="002D31A9">
        <w:rPr>
          <w:sz w:val="18"/>
          <w:szCs w:val="18"/>
        </w:rPr>
        <w:t xml:space="preserve"> </w:t>
      </w:r>
      <w:hyperlink r:id="rId9" w:tgtFrame="_blank" w:history="1">
        <w:r w:rsidRPr="002D31A9">
          <w:rPr>
            <w:rStyle w:val="Hyperlink"/>
            <w:sz w:val="18"/>
            <w:szCs w:val="18"/>
          </w:rPr>
          <w:t>http://www.rfi.fr/afrique/20171108-rdc-projet-loi-associations-inquiete-societe-civile</w:t>
        </w:r>
      </w:hyperlink>
      <w:r w:rsidRPr="002D31A9">
        <w:rPr>
          <w:sz w:val="18"/>
          <w:szCs w:val="18"/>
        </w:rPr>
        <w:t>.</w:t>
      </w:r>
    </w:p>
  </w:footnote>
  <w:footnote w:id="876">
    <w:p w14:paraId="700BD05B" w14:textId="6B359CF9"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HCDH, « République démocratique du Congo : Les experts des Nations Unies demandent une révision du projet de loi sur les ONG », https://www.ohchr.org/FR/NewsEvents/Pages/DisplayNews.aspx?NewsID=23170&amp;LangID=F.</w:t>
      </w:r>
    </w:p>
  </w:footnote>
  <w:footnote w:id="877">
    <w:p w14:paraId="6FDEABFA" w14:textId="77777777"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Entretiens avec des représentants de la société civile.</w:t>
      </w:r>
    </w:p>
  </w:footnote>
  <w:footnote w:id="878">
    <w:p w14:paraId="4C788144" w14:textId="77777777" w:rsidR="004E119B" w:rsidRPr="006E341A" w:rsidRDefault="004E119B" w:rsidP="00E93251">
      <w:pPr>
        <w:pStyle w:val="FootnoteText"/>
        <w:ind w:left="1138" w:right="1138"/>
        <w:jc w:val="left"/>
        <w:rPr>
          <w:szCs w:val="18"/>
          <w:highlight w:val="yellow"/>
          <w:lang w:val="en-US"/>
        </w:rPr>
      </w:pPr>
      <w:r w:rsidRPr="002D31A9">
        <w:rPr>
          <w:rStyle w:val="FootnoteReference"/>
          <w:szCs w:val="18"/>
        </w:rPr>
        <w:footnoteRef/>
      </w:r>
      <w:r w:rsidRPr="002D31A9">
        <w:rPr>
          <w:szCs w:val="18"/>
          <w:lang w:val="en-US"/>
        </w:rPr>
        <w:t xml:space="preserve"> UNICEF, Democratic Republic of the Congo, Humanitarian Update #3, Crisis in the Kasai region, 12 June 2017</w:t>
      </w:r>
      <w:r w:rsidRPr="002D31A9">
        <w:rPr>
          <w:i/>
          <w:szCs w:val="18"/>
          <w:lang w:val="en-US"/>
        </w:rPr>
        <w:t xml:space="preserve">. </w:t>
      </w:r>
      <w:r w:rsidRPr="00840539">
        <w:rPr>
          <w:szCs w:val="18"/>
          <w:lang w:val="en-US"/>
        </w:rPr>
        <w:t>http://www.unocha.org/story/drc-funds-urgently-needed-humanitarian-appeal-remains-less-25-cent-funded, 21 juillet 2017, visité le 04 mars 2018.</w:t>
      </w:r>
    </w:p>
  </w:footnote>
  <w:footnote w:id="879">
    <w:p w14:paraId="4603F9D3" w14:textId="67978B74" w:rsidR="004E119B" w:rsidRPr="00E93251" w:rsidRDefault="004E119B" w:rsidP="00E93251">
      <w:pPr>
        <w:pStyle w:val="FootnoteText"/>
        <w:ind w:left="1138" w:right="1138"/>
        <w:jc w:val="left"/>
        <w:rPr>
          <w:szCs w:val="18"/>
          <w:lang w:val="en-US"/>
        </w:rPr>
      </w:pPr>
      <w:r w:rsidRPr="002D31A9">
        <w:rPr>
          <w:rStyle w:val="FootnoteReference"/>
          <w:szCs w:val="18"/>
        </w:rPr>
        <w:footnoteRef/>
      </w:r>
      <w:r w:rsidRPr="00E93251">
        <w:rPr>
          <w:szCs w:val="18"/>
          <w:lang w:val="en-US"/>
        </w:rPr>
        <w:t xml:space="preserve"> PAM, Democratic Republic of Congo emergency http://www1.wfp.org/emergencies/kasai-emergency</w:t>
      </w:r>
      <w:r>
        <w:rPr>
          <w:szCs w:val="18"/>
          <w:lang w:val="en-US"/>
        </w:rPr>
        <w:t>.</w:t>
      </w:r>
    </w:p>
  </w:footnote>
  <w:footnote w:id="880">
    <w:p w14:paraId="2193F19D" w14:textId="77777777"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Entretiens avec des représentants de la société civile ; http://cicr.blog.lemonde.fr/2018/03/14/rdc-les-conditions-de-vie-desastreuses-de-centaines-de-milliers-de-personnes-dans-le-kasai/, visité le 23 avril 2018.</w:t>
      </w:r>
    </w:p>
  </w:footnote>
  <w:footnote w:id="881">
    <w:p w14:paraId="43A8E555" w14:textId="773A269C" w:rsidR="004E119B" w:rsidRPr="00E93251" w:rsidRDefault="004E119B" w:rsidP="00E93251">
      <w:pPr>
        <w:pStyle w:val="FootnoteText"/>
        <w:ind w:left="1138" w:right="1138"/>
        <w:jc w:val="left"/>
        <w:rPr>
          <w:szCs w:val="18"/>
          <w:highlight w:val="yellow"/>
          <w:lang w:val="en-US"/>
        </w:rPr>
      </w:pPr>
      <w:r w:rsidRPr="002D31A9">
        <w:rPr>
          <w:rStyle w:val="FootnoteReference"/>
          <w:szCs w:val="18"/>
        </w:rPr>
        <w:footnoteRef/>
      </w:r>
      <w:r w:rsidRPr="00E93251">
        <w:rPr>
          <w:szCs w:val="18"/>
          <w:lang w:val="en-US"/>
        </w:rPr>
        <w:t xml:space="preserve"> PAM, Democratic Republic of Congo emergency http://www1.wfp.org/emergencies/kasai-emergency.</w:t>
      </w:r>
    </w:p>
  </w:footnote>
  <w:footnote w:id="882">
    <w:p w14:paraId="4172CACA" w14:textId="77777777"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Entretiens avec des représentants de la société civile.</w:t>
      </w:r>
    </w:p>
  </w:footnote>
  <w:footnote w:id="883">
    <w:p w14:paraId="6BDA8A36" w14:textId="2D10E907"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UNICEF, Kasaï : les enfants, premières victimes de la crise. Faire face aux ravages du conflit en République démocratique du Congo, mai 2018. Données recueillies pour la période août 2017 à février 2018.</w:t>
      </w:r>
    </w:p>
  </w:footnote>
  <w:footnote w:id="884">
    <w:p w14:paraId="5645C780" w14:textId="7CF90878"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Voir notamment </w:t>
      </w:r>
      <w:r>
        <w:rPr>
          <w:szCs w:val="18"/>
        </w:rPr>
        <w:t>T0425</w:t>
      </w:r>
      <w:r w:rsidRPr="002D31A9">
        <w:rPr>
          <w:szCs w:val="18"/>
        </w:rPr>
        <w:t>.</w:t>
      </w:r>
    </w:p>
  </w:footnote>
  <w:footnote w:id="885">
    <w:p w14:paraId="55073931" w14:textId="77777777"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Entretiens avec des représentants de la société civile.</w:t>
      </w:r>
    </w:p>
  </w:footnote>
  <w:footnote w:id="886">
    <w:p w14:paraId="1129E24C" w14:textId="12F37537" w:rsidR="004E119B" w:rsidRPr="00840539" w:rsidRDefault="004E119B" w:rsidP="00E93251">
      <w:pPr>
        <w:pStyle w:val="FootnoteText"/>
        <w:ind w:left="1138" w:right="1138"/>
        <w:jc w:val="left"/>
        <w:rPr>
          <w:szCs w:val="18"/>
          <w:lang w:val="en-US"/>
        </w:rPr>
      </w:pPr>
      <w:r w:rsidRPr="002D31A9">
        <w:rPr>
          <w:rStyle w:val="FootnoteReference"/>
          <w:szCs w:val="18"/>
        </w:rPr>
        <w:footnoteRef/>
      </w:r>
      <w:r w:rsidRPr="002D31A9">
        <w:rPr>
          <w:szCs w:val="18"/>
          <w:lang w:val="en-US"/>
        </w:rPr>
        <w:t xml:space="preserve"> OXFAM, </w:t>
      </w:r>
      <w:r w:rsidRPr="002D31A9">
        <w:rPr>
          <w:i/>
          <w:szCs w:val="18"/>
          <w:lang w:val="en-US"/>
        </w:rPr>
        <w:t>Kasaï: The Forgotten Province of DRC Gender Assessment October-November 2017</w:t>
      </w:r>
      <w:r>
        <w:rPr>
          <w:szCs w:val="18"/>
          <w:lang w:val="en-US"/>
        </w:rPr>
        <w:t>, février 2018</w:t>
      </w:r>
      <w:r w:rsidRPr="00840539">
        <w:rPr>
          <w:szCs w:val="18"/>
          <w:lang w:val="en-US"/>
        </w:rPr>
        <w:t>.</w:t>
      </w:r>
    </w:p>
  </w:footnote>
  <w:footnote w:id="887">
    <w:p w14:paraId="0EDB3AC1" w14:textId="6964B2B9" w:rsidR="004E119B" w:rsidRPr="00840539" w:rsidRDefault="004E119B" w:rsidP="00E93251">
      <w:pPr>
        <w:pStyle w:val="FootnoteText"/>
        <w:ind w:left="1138" w:right="1138"/>
        <w:jc w:val="left"/>
        <w:rPr>
          <w:szCs w:val="18"/>
        </w:rPr>
      </w:pPr>
      <w:r w:rsidRPr="002D31A9">
        <w:rPr>
          <w:rStyle w:val="FootnoteReference"/>
          <w:szCs w:val="18"/>
        </w:rPr>
        <w:footnoteRef/>
      </w:r>
      <w:r w:rsidRPr="002D31A9">
        <w:rPr>
          <w:szCs w:val="18"/>
          <w:lang w:val="en-US"/>
        </w:rPr>
        <w:t xml:space="preserve"> UNICEF, </w:t>
      </w:r>
      <w:r w:rsidRPr="002D31A9">
        <w:rPr>
          <w:i/>
          <w:szCs w:val="18"/>
          <w:lang w:val="en-US"/>
        </w:rPr>
        <w:t>Democratic Republic of the Congo, Humanitarian Situation Report on the Kasai Crisis</w:t>
      </w:r>
      <w:r w:rsidRPr="002D31A9">
        <w:rPr>
          <w:szCs w:val="18"/>
          <w:lang w:val="en-US"/>
        </w:rPr>
        <w:t xml:space="preserve">, 30 août 2017. </w:t>
      </w:r>
      <w:r w:rsidRPr="002D31A9">
        <w:rPr>
          <w:szCs w:val="18"/>
        </w:rPr>
        <w:t xml:space="preserve">Il n’est pas aisé d’obtenir des données exhaustives en raison des difficultés d’accès au terrain. </w:t>
      </w:r>
    </w:p>
  </w:footnote>
  <w:footnote w:id="888">
    <w:p w14:paraId="0B69B9FC" w14:textId="77777777" w:rsidR="004E119B" w:rsidRPr="002D31A9" w:rsidRDefault="004E119B" w:rsidP="00E93251">
      <w:pPr>
        <w:pStyle w:val="FootnoteText"/>
        <w:ind w:left="1138" w:right="1138"/>
        <w:jc w:val="left"/>
        <w:rPr>
          <w:szCs w:val="18"/>
          <w:lang w:val="en-US"/>
        </w:rPr>
      </w:pPr>
      <w:r w:rsidRPr="002D31A9">
        <w:rPr>
          <w:rStyle w:val="FootnoteReference"/>
          <w:szCs w:val="18"/>
        </w:rPr>
        <w:footnoteRef/>
      </w:r>
      <w:r w:rsidRPr="002D31A9">
        <w:rPr>
          <w:szCs w:val="18"/>
          <w:lang w:val="en-US"/>
        </w:rPr>
        <w:t xml:space="preserve"> UNICEF, </w:t>
      </w:r>
      <w:r w:rsidRPr="00FE5E8D">
        <w:rPr>
          <w:i/>
          <w:szCs w:val="18"/>
          <w:lang w:val="en-US"/>
        </w:rPr>
        <w:t>Democratic Republic of the Congo, Humanitarian Situation Report on the Kasai Crisis</w:t>
      </w:r>
      <w:r w:rsidRPr="002D31A9">
        <w:rPr>
          <w:szCs w:val="18"/>
          <w:lang w:val="en-US"/>
        </w:rPr>
        <w:t>, 30 août 2017.</w:t>
      </w:r>
    </w:p>
  </w:footnote>
  <w:footnote w:id="889">
    <w:p w14:paraId="7210B10A" w14:textId="77777777" w:rsidR="004E119B" w:rsidRPr="002D31A9" w:rsidRDefault="004E119B" w:rsidP="00E93251">
      <w:pPr>
        <w:pStyle w:val="FootnoteText"/>
        <w:ind w:left="1138" w:right="1138"/>
        <w:jc w:val="left"/>
        <w:rPr>
          <w:szCs w:val="18"/>
          <w:lang w:val="en-US"/>
        </w:rPr>
      </w:pPr>
      <w:r w:rsidRPr="002D31A9">
        <w:rPr>
          <w:rStyle w:val="FootnoteReference"/>
          <w:szCs w:val="18"/>
        </w:rPr>
        <w:footnoteRef/>
      </w:r>
      <w:r w:rsidRPr="002D31A9">
        <w:rPr>
          <w:szCs w:val="18"/>
          <w:lang w:val="en-US"/>
        </w:rPr>
        <w:t xml:space="preserve"> UNICEF, </w:t>
      </w:r>
      <w:r w:rsidRPr="00FE5E8D">
        <w:rPr>
          <w:i/>
          <w:szCs w:val="18"/>
          <w:lang w:val="en-US"/>
        </w:rPr>
        <w:t>Democratic Republic of the Congo, Humanitarian Situation Report on the Kasai Crisis</w:t>
      </w:r>
      <w:r w:rsidRPr="002D31A9">
        <w:rPr>
          <w:szCs w:val="18"/>
          <w:lang w:val="en-US"/>
        </w:rPr>
        <w:t>, 30 août 2017, citant OCHA.</w:t>
      </w:r>
    </w:p>
  </w:footnote>
  <w:footnote w:id="890">
    <w:p w14:paraId="0564CB31" w14:textId="3C653B02"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UNICEF, Kasaï : les enfants, premières victimes de la crise. Faire face aux ravages du conflit en République démocratique du Congo, mai 2018.</w:t>
      </w:r>
    </w:p>
  </w:footnote>
  <w:footnote w:id="891">
    <w:p w14:paraId="672D4E46" w14:textId="509CB615"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UNICEF, Kasaï : les enfants, premières victimes de la crise. Faire face aux ravages du conflit en République démocratique du Congo, mai 2018. Données recueillies pour la période août 2017 à février 2018.</w:t>
      </w:r>
    </w:p>
  </w:footnote>
  <w:footnote w:id="892">
    <w:p w14:paraId="06D3C257" w14:textId="77777777" w:rsidR="004E119B" w:rsidRPr="00CB2CDD" w:rsidRDefault="004E119B" w:rsidP="00E93251">
      <w:pPr>
        <w:pStyle w:val="FootnoteText"/>
        <w:ind w:left="1138" w:right="1138"/>
        <w:jc w:val="left"/>
        <w:rPr>
          <w:szCs w:val="18"/>
        </w:rPr>
      </w:pPr>
      <w:r w:rsidRPr="002D31A9">
        <w:rPr>
          <w:rStyle w:val="FootnoteReference"/>
          <w:szCs w:val="18"/>
        </w:rPr>
        <w:footnoteRef/>
      </w:r>
      <w:r w:rsidRPr="00CB2CDD">
        <w:rPr>
          <w:szCs w:val="18"/>
        </w:rPr>
        <w:t xml:space="preserve"> UNICEF, </w:t>
      </w:r>
      <w:r w:rsidRPr="00FE5E8D">
        <w:rPr>
          <w:i/>
          <w:szCs w:val="18"/>
        </w:rPr>
        <w:t>Democratic Republic of the Congo, Humanitarian Update #3, Crisis in the Kasai region</w:t>
      </w:r>
      <w:r w:rsidRPr="00CB2CDD">
        <w:rPr>
          <w:szCs w:val="18"/>
        </w:rPr>
        <w:t>, 12 June 2017</w:t>
      </w:r>
    </w:p>
  </w:footnote>
  <w:footnote w:id="893">
    <w:p w14:paraId="2F0FC393" w14:textId="4948DC50" w:rsidR="004E119B" w:rsidRDefault="004E119B" w:rsidP="00E93251">
      <w:pPr>
        <w:pStyle w:val="FootnoteText"/>
        <w:ind w:left="1138" w:right="1138"/>
        <w:jc w:val="left"/>
      </w:pPr>
      <w:r>
        <w:rPr>
          <w:rStyle w:val="FootnoteReference"/>
        </w:rPr>
        <w:footnoteRef/>
      </w:r>
      <w:r>
        <w:t xml:space="preserve"> Documents internes MONUSCO. </w:t>
      </w:r>
    </w:p>
  </w:footnote>
  <w:footnote w:id="894">
    <w:p w14:paraId="54BBAF01" w14:textId="4FA9303B"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w:t>
      </w:r>
      <w:r>
        <w:rPr>
          <w:szCs w:val="18"/>
        </w:rPr>
        <w:t>T0044</w:t>
      </w:r>
      <w:r w:rsidRPr="002D31A9">
        <w:rPr>
          <w:szCs w:val="18"/>
        </w:rPr>
        <w:t>.</w:t>
      </w:r>
    </w:p>
  </w:footnote>
  <w:footnote w:id="895">
    <w:p w14:paraId="04D3252D" w14:textId="6B0126CD"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w:t>
      </w:r>
      <w:r>
        <w:rPr>
          <w:szCs w:val="18"/>
        </w:rPr>
        <w:t>T0077</w:t>
      </w:r>
      <w:r w:rsidRPr="002D31A9">
        <w:rPr>
          <w:szCs w:val="18"/>
        </w:rPr>
        <w:t>.</w:t>
      </w:r>
    </w:p>
  </w:footnote>
  <w:footnote w:id="896">
    <w:p w14:paraId="3345F136" w14:textId="1248A46F"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w:t>
      </w:r>
      <w:r>
        <w:rPr>
          <w:szCs w:val="18"/>
        </w:rPr>
        <w:t>T0037</w:t>
      </w:r>
      <w:r w:rsidRPr="002D31A9">
        <w:rPr>
          <w:szCs w:val="18"/>
        </w:rPr>
        <w:t>.</w:t>
      </w:r>
    </w:p>
  </w:footnote>
  <w:footnote w:id="897">
    <w:p w14:paraId="1D43717F" w14:textId="1B3648DA"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Voir par exemple </w:t>
      </w:r>
      <w:r>
        <w:rPr>
          <w:szCs w:val="18"/>
        </w:rPr>
        <w:t>T0072</w:t>
      </w:r>
      <w:r w:rsidRPr="002D31A9">
        <w:rPr>
          <w:szCs w:val="18"/>
        </w:rPr>
        <w:t xml:space="preserve">, </w:t>
      </w:r>
      <w:r>
        <w:rPr>
          <w:szCs w:val="18"/>
        </w:rPr>
        <w:t>T0115</w:t>
      </w:r>
      <w:r w:rsidRPr="002D31A9">
        <w:rPr>
          <w:szCs w:val="18"/>
        </w:rPr>
        <w:t>.</w:t>
      </w:r>
    </w:p>
  </w:footnote>
  <w:footnote w:id="898">
    <w:p w14:paraId="3F65D68D" w14:textId="6078D95A"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Voir notamment </w:t>
      </w:r>
      <w:r>
        <w:rPr>
          <w:szCs w:val="18"/>
        </w:rPr>
        <w:t>T0160</w:t>
      </w:r>
      <w:r w:rsidRPr="002D31A9">
        <w:rPr>
          <w:szCs w:val="18"/>
        </w:rPr>
        <w:t xml:space="preserve">, </w:t>
      </w:r>
      <w:r>
        <w:rPr>
          <w:szCs w:val="18"/>
        </w:rPr>
        <w:t>T0264</w:t>
      </w:r>
      <w:r w:rsidRPr="002D31A9">
        <w:rPr>
          <w:szCs w:val="18"/>
        </w:rPr>
        <w:t xml:space="preserve">, </w:t>
      </w:r>
      <w:r>
        <w:rPr>
          <w:szCs w:val="18"/>
        </w:rPr>
        <w:t>T0065</w:t>
      </w:r>
      <w:r w:rsidRPr="002D31A9">
        <w:rPr>
          <w:szCs w:val="18"/>
        </w:rPr>
        <w:t xml:space="preserve">, </w:t>
      </w:r>
      <w:r>
        <w:rPr>
          <w:szCs w:val="18"/>
        </w:rPr>
        <w:t>T0127</w:t>
      </w:r>
      <w:r w:rsidRPr="002D31A9">
        <w:rPr>
          <w:szCs w:val="18"/>
        </w:rPr>
        <w:t xml:space="preserve">, </w:t>
      </w:r>
      <w:r>
        <w:rPr>
          <w:szCs w:val="18"/>
        </w:rPr>
        <w:t>T0085</w:t>
      </w:r>
      <w:r w:rsidRPr="002D31A9">
        <w:rPr>
          <w:szCs w:val="18"/>
        </w:rPr>
        <w:t xml:space="preserve">, </w:t>
      </w:r>
      <w:r>
        <w:rPr>
          <w:szCs w:val="18"/>
        </w:rPr>
        <w:t>T0142</w:t>
      </w:r>
      <w:r w:rsidRPr="002D31A9">
        <w:rPr>
          <w:szCs w:val="18"/>
        </w:rPr>
        <w:t xml:space="preserve">, </w:t>
      </w:r>
      <w:r>
        <w:rPr>
          <w:szCs w:val="18"/>
        </w:rPr>
        <w:t>T0320</w:t>
      </w:r>
      <w:r w:rsidRPr="002D31A9">
        <w:rPr>
          <w:szCs w:val="18"/>
        </w:rPr>
        <w:t xml:space="preserve">, </w:t>
      </w:r>
      <w:r>
        <w:rPr>
          <w:szCs w:val="18"/>
        </w:rPr>
        <w:t>T0028</w:t>
      </w:r>
      <w:r w:rsidRPr="002D31A9">
        <w:rPr>
          <w:szCs w:val="18"/>
        </w:rPr>
        <w:t xml:space="preserve">, </w:t>
      </w:r>
      <w:r>
        <w:rPr>
          <w:szCs w:val="18"/>
        </w:rPr>
        <w:t>T0276</w:t>
      </w:r>
      <w:r w:rsidRPr="002D31A9">
        <w:rPr>
          <w:szCs w:val="18"/>
        </w:rPr>
        <w:t xml:space="preserve">, </w:t>
      </w:r>
      <w:r>
        <w:rPr>
          <w:szCs w:val="18"/>
        </w:rPr>
        <w:t>T0018</w:t>
      </w:r>
      <w:r w:rsidRPr="002D31A9">
        <w:rPr>
          <w:szCs w:val="18"/>
        </w:rPr>
        <w:t xml:space="preserve">, </w:t>
      </w:r>
      <w:r>
        <w:rPr>
          <w:szCs w:val="18"/>
        </w:rPr>
        <w:t>T0128</w:t>
      </w:r>
      <w:r w:rsidRPr="002D31A9">
        <w:rPr>
          <w:szCs w:val="18"/>
        </w:rPr>
        <w:t xml:space="preserve">, </w:t>
      </w:r>
      <w:r>
        <w:rPr>
          <w:szCs w:val="18"/>
        </w:rPr>
        <w:t>T0342</w:t>
      </w:r>
      <w:r w:rsidRPr="002D31A9">
        <w:rPr>
          <w:szCs w:val="18"/>
        </w:rPr>
        <w:t xml:space="preserve">, </w:t>
      </w:r>
      <w:r>
        <w:rPr>
          <w:szCs w:val="18"/>
        </w:rPr>
        <w:t>T0312</w:t>
      </w:r>
      <w:r w:rsidRPr="002D31A9">
        <w:rPr>
          <w:szCs w:val="18"/>
        </w:rPr>
        <w:t xml:space="preserve">, </w:t>
      </w:r>
      <w:r>
        <w:rPr>
          <w:szCs w:val="18"/>
        </w:rPr>
        <w:t>T0364</w:t>
      </w:r>
      <w:r w:rsidRPr="002D31A9">
        <w:rPr>
          <w:szCs w:val="18"/>
        </w:rPr>
        <w:t xml:space="preserve">, </w:t>
      </w:r>
      <w:r>
        <w:rPr>
          <w:szCs w:val="18"/>
        </w:rPr>
        <w:t>T0115</w:t>
      </w:r>
      <w:r w:rsidRPr="002D31A9">
        <w:rPr>
          <w:szCs w:val="18"/>
        </w:rPr>
        <w:t xml:space="preserve">, </w:t>
      </w:r>
      <w:r>
        <w:rPr>
          <w:szCs w:val="18"/>
        </w:rPr>
        <w:t>T0157</w:t>
      </w:r>
      <w:r w:rsidRPr="002D31A9">
        <w:rPr>
          <w:szCs w:val="18"/>
        </w:rPr>
        <w:t xml:space="preserve">, </w:t>
      </w:r>
      <w:r>
        <w:rPr>
          <w:szCs w:val="18"/>
        </w:rPr>
        <w:t>T0288</w:t>
      </w:r>
      <w:r w:rsidRPr="002D31A9">
        <w:rPr>
          <w:szCs w:val="18"/>
        </w:rPr>
        <w:t xml:space="preserve">, </w:t>
      </w:r>
      <w:r>
        <w:rPr>
          <w:szCs w:val="18"/>
        </w:rPr>
        <w:t>T0306</w:t>
      </w:r>
      <w:r w:rsidRPr="002D31A9">
        <w:rPr>
          <w:szCs w:val="18"/>
        </w:rPr>
        <w:t xml:space="preserve">, </w:t>
      </w:r>
      <w:r>
        <w:rPr>
          <w:szCs w:val="18"/>
        </w:rPr>
        <w:t>T0300</w:t>
      </w:r>
      <w:r w:rsidRPr="002D31A9">
        <w:rPr>
          <w:szCs w:val="18"/>
        </w:rPr>
        <w:t xml:space="preserve">, </w:t>
      </w:r>
      <w:r>
        <w:rPr>
          <w:szCs w:val="18"/>
        </w:rPr>
        <w:t>T0406</w:t>
      </w:r>
      <w:r w:rsidRPr="002D31A9">
        <w:rPr>
          <w:szCs w:val="18"/>
        </w:rPr>
        <w:t xml:space="preserve">, </w:t>
      </w:r>
      <w:r>
        <w:rPr>
          <w:szCs w:val="18"/>
        </w:rPr>
        <w:t>T0362</w:t>
      </w:r>
      <w:r w:rsidRPr="002D31A9">
        <w:rPr>
          <w:szCs w:val="18"/>
        </w:rPr>
        <w:t>.</w:t>
      </w:r>
    </w:p>
  </w:footnote>
  <w:footnote w:id="899">
    <w:p w14:paraId="40E4A8A7" w14:textId="4939B371"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w:t>
      </w:r>
      <w:r>
        <w:rPr>
          <w:szCs w:val="18"/>
        </w:rPr>
        <w:t>T0067</w:t>
      </w:r>
      <w:r w:rsidRPr="002D31A9">
        <w:rPr>
          <w:szCs w:val="18"/>
        </w:rPr>
        <w:t>.</w:t>
      </w:r>
    </w:p>
  </w:footnote>
  <w:footnote w:id="900">
    <w:p w14:paraId="1F26E8CF" w14:textId="3C964109"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Voir par exemple </w:t>
      </w:r>
      <w:r>
        <w:rPr>
          <w:szCs w:val="18"/>
        </w:rPr>
        <w:t>T0115</w:t>
      </w:r>
      <w:r w:rsidRPr="002D31A9">
        <w:rPr>
          <w:szCs w:val="18"/>
        </w:rPr>
        <w:t>.</w:t>
      </w:r>
    </w:p>
  </w:footnote>
  <w:footnote w:id="901">
    <w:p w14:paraId="32BE1462" w14:textId="22CE9885" w:rsidR="004E119B" w:rsidRPr="00633737" w:rsidRDefault="004E119B" w:rsidP="00E93251">
      <w:pPr>
        <w:pStyle w:val="FootnoteText"/>
        <w:ind w:left="1138" w:right="1138"/>
        <w:jc w:val="left"/>
        <w:rPr>
          <w:szCs w:val="18"/>
        </w:rPr>
      </w:pPr>
      <w:r w:rsidRPr="002D31A9">
        <w:rPr>
          <w:rStyle w:val="FootnoteReference"/>
          <w:szCs w:val="18"/>
        </w:rPr>
        <w:footnoteRef/>
      </w:r>
      <w:r w:rsidRPr="00633737">
        <w:rPr>
          <w:szCs w:val="18"/>
        </w:rPr>
        <w:t xml:space="preserve"> T0160, T0173, </w:t>
      </w:r>
      <w:r>
        <w:rPr>
          <w:szCs w:val="18"/>
        </w:rPr>
        <w:t>T0231</w:t>
      </w:r>
      <w:r w:rsidRPr="00633737">
        <w:rPr>
          <w:szCs w:val="18"/>
        </w:rPr>
        <w:t>.</w:t>
      </w:r>
    </w:p>
  </w:footnote>
  <w:footnote w:id="902">
    <w:p w14:paraId="4120BC82" w14:textId="67681F39" w:rsidR="004E119B" w:rsidRPr="00633737" w:rsidRDefault="004E119B" w:rsidP="00E93251">
      <w:pPr>
        <w:pStyle w:val="FootnoteText"/>
        <w:ind w:left="1138" w:right="1138"/>
        <w:jc w:val="left"/>
        <w:rPr>
          <w:szCs w:val="18"/>
        </w:rPr>
      </w:pPr>
      <w:r w:rsidRPr="002D31A9">
        <w:rPr>
          <w:rStyle w:val="FootnoteReference"/>
          <w:szCs w:val="18"/>
        </w:rPr>
        <w:footnoteRef/>
      </w:r>
      <w:r w:rsidRPr="00633737">
        <w:rPr>
          <w:szCs w:val="18"/>
        </w:rPr>
        <w:t xml:space="preserve"> </w:t>
      </w:r>
      <w:r>
        <w:rPr>
          <w:szCs w:val="18"/>
        </w:rPr>
        <w:t>T0282</w:t>
      </w:r>
      <w:r w:rsidRPr="00633737">
        <w:rPr>
          <w:szCs w:val="18"/>
        </w:rPr>
        <w:t xml:space="preserve">, </w:t>
      </w:r>
      <w:r>
        <w:rPr>
          <w:szCs w:val="18"/>
        </w:rPr>
        <w:t>T0134</w:t>
      </w:r>
      <w:r w:rsidRPr="00633737">
        <w:rPr>
          <w:szCs w:val="18"/>
        </w:rPr>
        <w:t xml:space="preserve">, </w:t>
      </w:r>
      <w:r>
        <w:rPr>
          <w:szCs w:val="18"/>
        </w:rPr>
        <w:t>T0128</w:t>
      </w:r>
      <w:r w:rsidRPr="00633737">
        <w:rPr>
          <w:szCs w:val="18"/>
        </w:rPr>
        <w:t>, T0277.</w:t>
      </w:r>
    </w:p>
  </w:footnote>
  <w:footnote w:id="903">
    <w:p w14:paraId="1FEC96F4" w14:textId="4F01D6F1"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w:t>
      </w:r>
      <w:r>
        <w:rPr>
          <w:szCs w:val="18"/>
        </w:rPr>
        <w:t>T0327</w:t>
      </w:r>
      <w:r w:rsidRPr="002D31A9">
        <w:rPr>
          <w:szCs w:val="18"/>
        </w:rPr>
        <w:t xml:space="preserve">, </w:t>
      </w:r>
      <w:r>
        <w:rPr>
          <w:szCs w:val="18"/>
        </w:rPr>
        <w:t>T0278</w:t>
      </w:r>
      <w:r w:rsidRPr="002D31A9">
        <w:rPr>
          <w:szCs w:val="18"/>
        </w:rPr>
        <w:t xml:space="preserve">, </w:t>
      </w:r>
      <w:r>
        <w:rPr>
          <w:szCs w:val="18"/>
        </w:rPr>
        <w:t>T0106</w:t>
      </w:r>
      <w:r w:rsidRPr="002D31A9">
        <w:rPr>
          <w:szCs w:val="18"/>
        </w:rPr>
        <w:t xml:space="preserve">, </w:t>
      </w:r>
      <w:r>
        <w:rPr>
          <w:szCs w:val="18"/>
        </w:rPr>
        <w:t>T0428</w:t>
      </w:r>
      <w:r w:rsidRPr="002D31A9">
        <w:rPr>
          <w:szCs w:val="18"/>
        </w:rPr>
        <w:t>.</w:t>
      </w:r>
    </w:p>
  </w:footnote>
  <w:footnote w:id="904">
    <w:p w14:paraId="5267CC4E" w14:textId="2811AA3D"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Voir notamment </w:t>
      </w:r>
      <w:r>
        <w:rPr>
          <w:szCs w:val="18"/>
        </w:rPr>
        <w:t>T0031</w:t>
      </w:r>
      <w:r w:rsidRPr="002D31A9">
        <w:rPr>
          <w:szCs w:val="18"/>
        </w:rPr>
        <w:t>.</w:t>
      </w:r>
    </w:p>
  </w:footnote>
  <w:footnote w:id="905">
    <w:p w14:paraId="7315B8FB" w14:textId="0C8A9528" w:rsidR="004E119B" w:rsidRPr="00D13A3C" w:rsidRDefault="004E119B" w:rsidP="00E93251">
      <w:pPr>
        <w:pStyle w:val="FootnoteText"/>
        <w:ind w:left="1138" w:right="1138"/>
        <w:jc w:val="left"/>
        <w:rPr>
          <w:szCs w:val="18"/>
        </w:rPr>
      </w:pPr>
      <w:r w:rsidRPr="002D31A9">
        <w:rPr>
          <w:rStyle w:val="FootnoteReference"/>
          <w:szCs w:val="18"/>
        </w:rPr>
        <w:footnoteRef/>
      </w:r>
      <w:r w:rsidRPr="00D13A3C">
        <w:rPr>
          <w:szCs w:val="18"/>
        </w:rPr>
        <w:t xml:space="preserve"> T0127.</w:t>
      </w:r>
    </w:p>
  </w:footnote>
  <w:footnote w:id="906">
    <w:p w14:paraId="23665D90" w14:textId="011A12A0" w:rsidR="004E119B" w:rsidRPr="003A1757" w:rsidRDefault="004E119B" w:rsidP="00E93251">
      <w:pPr>
        <w:pStyle w:val="FootnoteText"/>
        <w:ind w:left="1138" w:right="1138"/>
        <w:jc w:val="left"/>
        <w:rPr>
          <w:szCs w:val="18"/>
        </w:rPr>
      </w:pPr>
      <w:r w:rsidRPr="002D31A9">
        <w:rPr>
          <w:rStyle w:val="FootnoteReference"/>
          <w:szCs w:val="18"/>
        </w:rPr>
        <w:footnoteRef/>
      </w:r>
      <w:r w:rsidRPr="003A1757">
        <w:rPr>
          <w:szCs w:val="18"/>
        </w:rPr>
        <w:t xml:space="preserve"> </w:t>
      </w:r>
      <w:r>
        <w:rPr>
          <w:szCs w:val="18"/>
        </w:rPr>
        <w:t>T0143</w:t>
      </w:r>
      <w:r w:rsidRPr="003A1757">
        <w:rPr>
          <w:szCs w:val="18"/>
        </w:rPr>
        <w:t xml:space="preserve">, </w:t>
      </w:r>
      <w:r>
        <w:rPr>
          <w:szCs w:val="18"/>
        </w:rPr>
        <w:t>T0398</w:t>
      </w:r>
      <w:r w:rsidRPr="003A1757">
        <w:rPr>
          <w:szCs w:val="18"/>
        </w:rPr>
        <w:t xml:space="preserve">, </w:t>
      </w:r>
      <w:r>
        <w:rPr>
          <w:szCs w:val="18"/>
        </w:rPr>
        <w:t>T0267</w:t>
      </w:r>
      <w:r w:rsidRPr="003A1757">
        <w:rPr>
          <w:szCs w:val="18"/>
        </w:rPr>
        <w:t>, T0162, T0189</w:t>
      </w:r>
      <w:r>
        <w:rPr>
          <w:szCs w:val="18"/>
        </w:rPr>
        <w:t> ; vidéo diffusée sur les réseaux sociaux montrant le viol de la restauratrice de Luebo et de son beau-fils, obligés par des miliciens Kamuina Nsapu d’avoir des relations sexuelles en public</w:t>
      </w:r>
      <w:r w:rsidRPr="003A1757">
        <w:rPr>
          <w:szCs w:val="18"/>
        </w:rPr>
        <w:t>.</w:t>
      </w:r>
    </w:p>
  </w:footnote>
  <w:footnote w:id="907">
    <w:p w14:paraId="292011D7" w14:textId="7E895548" w:rsidR="004E119B" w:rsidRPr="000F5C18" w:rsidRDefault="004E119B" w:rsidP="00E93251">
      <w:pPr>
        <w:pStyle w:val="FootnoteText"/>
        <w:ind w:left="1138" w:right="1138"/>
        <w:jc w:val="left"/>
        <w:rPr>
          <w:szCs w:val="18"/>
        </w:rPr>
      </w:pPr>
      <w:r w:rsidRPr="002D31A9">
        <w:rPr>
          <w:rStyle w:val="FootnoteReference"/>
          <w:szCs w:val="18"/>
        </w:rPr>
        <w:footnoteRef/>
      </w:r>
      <w:r w:rsidRPr="000F5C18">
        <w:rPr>
          <w:szCs w:val="18"/>
        </w:rPr>
        <w:t xml:space="preserve"> T0309.</w:t>
      </w:r>
    </w:p>
  </w:footnote>
  <w:footnote w:id="908">
    <w:p w14:paraId="4E59253E" w14:textId="59312BFE" w:rsidR="004E119B" w:rsidRPr="000F5C18" w:rsidRDefault="004E119B" w:rsidP="00E93251">
      <w:pPr>
        <w:pStyle w:val="FootnoteText"/>
        <w:ind w:left="1138" w:right="1138"/>
        <w:jc w:val="left"/>
        <w:rPr>
          <w:szCs w:val="18"/>
        </w:rPr>
      </w:pPr>
      <w:r w:rsidRPr="002D31A9">
        <w:rPr>
          <w:rStyle w:val="FootnoteReference"/>
          <w:szCs w:val="18"/>
        </w:rPr>
        <w:footnoteRef/>
      </w:r>
      <w:r w:rsidRPr="000F5C18">
        <w:rPr>
          <w:szCs w:val="18"/>
        </w:rPr>
        <w:t xml:space="preserve"> T0298, </w:t>
      </w:r>
      <w:r>
        <w:rPr>
          <w:szCs w:val="18"/>
        </w:rPr>
        <w:t>T0282</w:t>
      </w:r>
      <w:r w:rsidRPr="000F5C18">
        <w:rPr>
          <w:szCs w:val="18"/>
        </w:rPr>
        <w:t xml:space="preserve">, T0444, </w:t>
      </w:r>
      <w:r>
        <w:rPr>
          <w:szCs w:val="18"/>
        </w:rPr>
        <w:t>T0355</w:t>
      </w:r>
      <w:r w:rsidRPr="000F5C18">
        <w:rPr>
          <w:szCs w:val="18"/>
        </w:rPr>
        <w:t xml:space="preserve">, </w:t>
      </w:r>
      <w:r>
        <w:rPr>
          <w:szCs w:val="18"/>
        </w:rPr>
        <w:t>T0035</w:t>
      </w:r>
      <w:r w:rsidRPr="000F5C18">
        <w:rPr>
          <w:szCs w:val="18"/>
        </w:rPr>
        <w:t xml:space="preserve">, </w:t>
      </w:r>
      <w:r>
        <w:rPr>
          <w:szCs w:val="18"/>
        </w:rPr>
        <w:t>T0359</w:t>
      </w:r>
      <w:r w:rsidRPr="000F5C18">
        <w:rPr>
          <w:szCs w:val="18"/>
        </w:rPr>
        <w:t xml:space="preserve">, </w:t>
      </w:r>
      <w:r>
        <w:rPr>
          <w:szCs w:val="18"/>
        </w:rPr>
        <w:t>T0248</w:t>
      </w:r>
      <w:r w:rsidRPr="000F5C18">
        <w:rPr>
          <w:szCs w:val="18"/>
        </w:rPr>
        <w:t>.</w:t>
      </w:r>
    </w:p>
  </w:footnote>
  <w:footnote w:id="909">
    <w:p w14:paraId="4CF6A7F2" w14:textId="25501246" w:rsidR="004E119B" w:rsidRPr="006956C5" w:rsidRDefault="004E119B" w:rsidP="00E93251">
      <w:pPr>
        <w:pStyle w:val="FootnoteText"/>
        <w:ind w:left="1138" w:right="1138"/>
        <w:jc w:val="left"/>
        <w:rPr>
          <w:szCs w:val="18"/>
        </w:rPr>
      </w:pPr>
      <w:r w:rsidRPr="002D31A9">
        <w:rPr>
          <w:rStyle w:val="FootnoteReference"/>
          <w:szCs w:val="18"/>
        </w:rPr>
        <w:footnoteRef/>
      </w:r>
      <w:r w:rsidRPr="006956C5">
        <w:rPr>
          <w:szCs w:val="18"/>
        </w:rPr>
        <w:t xml:space="preserve"> T0179, T0058.</w:t>
      </w:r>
    </w:p>
  </w:footnote>
  <w:footnote w:id="910">
    <w:p w14:paraId="2D95C263" w14:textId="0FF03A07" w:rsidR="004E119B" w:rsidRPr="00633737" w:rsidRDefault="004E119B" w:rsidP="00E93251">
      <w:pPr>
        <w:pStyle w:val="FootnoteText"/>
        <w:ind w:left="1138" w:right="1138"/>
        <w:jc w:val="left"/>
        <w:rPr>
          <w:szCs w:val="18"/>
        </w:rPr>
      </w:pPr>
      <w:r w:rsidRPr="002D31A9">
        <w:rPr>
          <w:rStyle w:val="FootnoteReference"/>
          <w:szCs w:val="18"/>
        </w:rPr>
        <w:footnoteRef/>
      </w:r>
      <w:r w:rsidRPr="00633737">
        <w:rPr>
          <w:szCs w:val="18"/>
        </w:rPr>
        <w:t xml:space="preserve"> </w:t>
      </w:r>
      <w:r>
        <w:rPr>
          <w:szCs w:val="18"/>
        </w:rPr>
        <w:t>T0158</w:t>
      </w:r>
      <w:r w:rsidRPr="00633737">
        <w:rPr>
          <w:szCs w:val="18"/>
        </w:rPr>
        <w:t xml:space="preserve">, </w:t>
      </w:r>
      <w:r>
        <w:rPr>
          <w:szCs w:val="18"/>
        </w:rPr>
        <w:t>T0443</w:t>
      </w:r>
      <w:r w:rsidRPr="00633737">
        <w:rPr>
          <w:szCs w:val="18"/>
        </w:rPr>
        <w:t xml:space="preserve">, </w:t>
      </w:r>
      <w:r>
        <w:rPr>
          <w:szCs w:val="18"/>
        </w:rPr>
        <w:t>T0404</w:t>
      </w:r>
      <w:r w:rsidRPr="00633737">
        <w:rPr>
          <w:szCs w:val="18"/>
        </w:rPr>
        <w:t xml:space="preserve">, </w:t>
      </w:r>
      <w:r>
        <w:rPr>
          <w:szCs w:val="18"/>
        </w:rPr>
        <w:t>T0083</w:t>
      </w:r>
      <w:r w:rsidRPr="00633737">
        <w:rPr>
          <w:szCs w:val="18"/>
        </w:rPr>
        <w:t xml:space="preserve">, </w:t>
      </w:r>
      <w:r>
        <w:rPr>
          <w:szCs w:val="18"/>
        </w:rPr>
        <w:t>T0256</w:t>
      </w:r>
      <w:r w:rsidRPr="00633737">
        <w:rPr>
          <w:szCs w:val="18"/>
        </w:rPr>
        <w:t xml:space="preserve">, T0155, </w:t>
      </w:r>
      <w:r>
        <w:rPr>
          <w:szCs w:val="18"/>
        </w:rPr>
        <w:t>T0407</w:t>
      </w:r>
      <w:r w:rsidRPr="00633737">
        <w:rPr>
          <w:szCs w:val="18"/>
        </w:rPr>
        <w:t xml:space="preserve">, T0178, T0240, </w:t>
      </w:r>
      <w:r>
        <w:rPr>
          <w:szCs w:val="18"/>
        </w:rPr>
        <w:t>T0006</w:t>
      </w:r>
      <w:r w:rsidRPr="00633737">
        <w:rPr>
          <w:szCs w:val="18"/>
        </w:rPr>
        <w:t>.</w:t>
      </w:r>
    </w:p>
  </w:footnote>
  <w:footnote w:id="911">
    <w:p w14:paraId="654F10C7" w14:textId="6BFB8EA9" w:rsidR="004E119B" w:rsidRPr="00633737" w:rsidRDefault="004E119B" w:rsidP="00E93251">
      <w:pPr>
        <w:pStyle w:val="FootnoteText"/>
        <w:ind w:left="1138" w:right="1138"/>
        <w:jc w:val="left"/>
        <w:rPr>
          <w:szCs w:val="18"/>
        </w:rPr>
      </w:pPr>
      <w:r w:rsidRPr="002D31A9">
        <w:rPr>
          <w:rStyle w:val="FootnoteReference"/>
          <w:szCs w:val="18"/>
        </w:rPr>
        <w:footnoteRef/>
      </w:r>
      <w:r w:rsidRPr="00633737">
        <w:rPr>
          <w:szCs w:val="18"/>
        </w:rPr>
        <w:t xml:space="preserve"> </w:t>
      </w:r>
      <w:r>
        <w:rPr>
          <w:szCs w:val="18"/>
        </w:rPr>
        <w:t>T0282</w:t>
      </w:r>
      <w:r w:rsidRPr="00633737">
        <w:rPr>
          <w:szCs w:val="18"/>
        </w:rPr>
        <w:t xml:space="preserve">, T0437, </w:t>
      </w:r>
      <w:r>
        <w:rPr>
          <w:szCs w:val="18"/>
        </w:rPr>
        <w:t>T0278</w:t>
      </w:r>
      <w:r w:rsidRPr="00633737">
        <w:rPr>
          <w:szCs w:val="18"/>
        </w:rPr>
        <w:t xml:space="preserve">, </w:t>
      </w:r>
      <w:r>
        <w:rPr>
          <w:szCs w:val="18"/>
        </w:rPr>
        <w:t>T0416</w:t>
      </w:r>
      <w:r w:rsidRPr="00633737">
        <w:rPr>
          <w:szCs w:val="18"/>
        </w:rPr>
        <w:t xml:space="preserve">, </w:t>
      </w:r>
      <w:r>
        <w:rPr>
          <w:szCs w:val="18"/>
        </w:rPr>
        <w:t>T0382</w:t>
      </w:r>
      <w:r w:rsidRPr="00633737">
        <w:rPr>
          <w:szCs w:val="18"/>
        </w:rPr>
        <w:t xml:space="preserve">, </w:t>
      </w:r>
      <w:r>
        <w:rPr>
          <w:szCs w:val="18"/>
        </w:rPr>
        <w:t>T0432</w:t>
      </w:r>
      <w:r w:rsidRPr="00633737">
        <w:rPr>
          <w:szCs w:val="18"/>
        </w:rPr>
        <w:t xml:space="preserve">, MRB054, T0375, </w:t>
      </w:r>
      <w:r>
        <w:rPr>
          <w:szCs w:val="18"/>
        </w:rPr>
        <w:t>T0276</w:t>
      </w:r>
      <w:r w:rsidRPr="00633737">
        <w:rPr>
          <w:szCs w:val="18"/>
        </w:rPr>
        <w:t xml:space="preserve">, </w:t>
      </w:r>
      <w:r>
        <w:rPr>
          <w:szCs w:val="18"/>
        </w:rPr>
        <w:t>T0069</w:t>
      </w:r>
      <w:r w:rsidRPr="00633737">
        <w:rPr>
          <w:szCs w:val="18"/>
        </w:rPr>
        <w:t>, T0066, T0035.</w:t>
      </w:r>
    </w:p>
  </w:footnote>
  <w:footnote w:id="912">
    <w:p w14:paraId="254380B4" w14:textId="60493919"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w:t>
      </w:r>
      <w:r w:rsidRPr="00114306">
        <w:rPr>
          <w:szCs w:val="18"/>
        </w:rPr>
        <w:t>Voir par exemple T0072, T0008</w:t>
      </w:r>
      <w:r>
        <w:rPr>
          <w:szCs w:val="18"/>
        </w:rPr>
        <w:t xml:space="preserve"> </w:t>
      </w:r>
      <w:r w:rsidRPr="002D31A9">
        <w:rPr>
          <w:szCs w:val="18"/>
        </w:rPr>
        <w:t>; entretiens avec des membres de la société civile.</w:t>
      </w:r>
    </w:p>
  </w:footnote>
  <w:footnote w:id="913">
    <w:p w14:paraId="29AD4E23" w14:textId="0E322F2B" w:rsidR="004E119B" w:rsidRPr="001A302E" w:rsidRDefault="004E119B" w:rsidP="00E93251">
      <w:pPr>
        <w:pStyle w:val="FootnoteText"/>
        <w:ind w:left="1138" w:right="1138"/>
        <w:jc w:val="left"/>
        <w:rPr>
          <w:szCs w:val="18"/>
        </w:rPr>
      </w:pPr>
      <w:r w:rsidRPr="002D31A9">
        <w:rPr>
          <w:rStyle w:val="FootnoteReference"/>
          <w:szCs w:val="18"/>
        </w:rPr>
        <w:footnoteRef/>
      </w:r>
      <w:r w:rsidRPr="001A302E">
        <w:rPr>
          <w:szCs w:val="18"/>
        </w:rPr>
        <w:t xml:space="preserve"> T0327, </w:t>
      </w:r>
      <w:r>
        <w:rPr>
          <w:szCs w:val="18"/>
        </w:rPr>
        <w:t>T0115</w:t>
      </w:r>
      <w:r w:rsidRPr="001A302E">
        <w:rPr>
          <w:szCs w:val="18"/>
        </w:rPr>
        <w:t xml:space="preserve">, </w:t>
      </w:r>
      <w:r>
        <w:rPr>
          <w:szCs w:val="18"/>
        </w:rPr>
        <w:t>T0273</w:t>
      </w:r>
      <w:r w:rsidRPr="001A302E">
        <w:rPr>
          <w:szCs w:val="18"/>
        </w:rPr>
        <w:t xml:space="preserve">, </w:t>
      </w:r>
      <w:r>
        <w:rPr>
          <w:szCs w:val="18"/>
        </w:rPr>
        <w:t>T0060</w:t>
      </w:r>
      <w:r w:rsidRPr="001A302E">
        <w:rPr>
          <w:szCs w:val="18"/>
        </w:rPr>
        <w:t xml:space="preserve">, T0288, </w:t>
      </w:r>
      <w:r>
        <w:rPr>
          <w:szCs w:val="18"/>
        </w:rPr>
        <w:t>T0114</w:t>
      </w:r>
      <w:r w:rsidRPr="001A302E">
        <w:rPr>
          <w:szCs w:val="18"/>
        </w:rPr>
        <w:t>.</w:t>
      </w:r>
    </w:p>
  </w:footnote>
  <w:footnote w:id="914">
    <w:p w14:paraId="789B58E5" w14:textId="77777777"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Entretiens avec des membres de la société civile et des avocats.</w:t>
      </w:r>
    </w:p>
  </w:footnote>
  <w:footnote w:id="915">
    <w:p w14:paraId="7AAE54A1" w14:textId="77777777"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Certaines normes coutumières ne font pas la différence entre l’adultère et le viol.</w:t>
      </w:r>
    </w:p>
  </w:footnote>
  <w:footnote w:id="916">
    <w:p w14:paraId="0CF1A60B" w14:textId="6FD60CC5" w:rsidR="004E119B" w:rsidRPr="00B50F59" w:rsidRDefault="004E119B" w:rsidP="00E93251">
      <w:pPr>
        <w:pStyle w:val="FootnoteText"/>
        <w:ind w:left="1138" w:right="1138"/>
        <w:jc w:val="left"/>
        <w:rPr>
          <w:szCs w:val="18"/>
        </w:rPr>
      </w:pPr>
      <w:r w:rsidRPr="002D31A9">
        <w:rPr>
          <w:rStyle w:val="FootnoteReference"/>
          <w:szCs w:val="18"/>
        </w:rPr>
        <w:footnoteRef/>
      </w:r>
      <w:r w:rsidRPr="00B50F59">
        <w:rPr>
          <w:szCs w:val="18"/>
        </w:rPr>
        <w:t xml:space="preserve"> T0115.</w:t>
      </w:r>
    </w:p>
  </w:footnote>
  <w:footnote w:id="917">
    <w:p w14:paraId="2D7BA9B9" w14:textId="7127860F" w:rsidR="004E119B" w:rsidRPr="00B50F59" w:rsidRDefault="004E119B" w:rsidP="00E93251">
      <w:pPr>
        <w:pStyle w:val="FootnoteText"/>
        <w:ind w:left="1138" w:right="1138"/>
        <w:jc w:val="left"/>
        <w:rPr>
          <w:szCs w:val="18"/>
        </w:rPr>
      </w:pPr>
      <w:r w:rsidRPr="002D31A9">
        <w:rPr>
          <w:rStyle w:val="FootnoteReference"/>
          <w:szCs w:val="18"/>
        </w:rPr>
        <w:footnoteRef/>
      </w:r>
      <w:r w:rsidRPr="00B50F59">
        <w:rPr>
          <w:szCs w:val="18"/>
        </w:rPr>
        <w:t xml:space="preserve"> T0273.</w:t>
      </w:r>
    </w:p>
  </w:footnote>
  <w:footnote w:id="918">
    <w:p w14:paraId="7C2ADABF" w14:textId="11674644" w:rsidR="004E119B" w:rsidRPr="00B50F59" w:rsidRDefault="004E119B" w:rsidP="00E93251">
      <w:pPr>
        <w:pStyle w:val="FootnoteText"/>
        <w:ind w:left="1138" w:right="1138"/>
        <w:jc w:val="left"/>
        <w:rPr>
          <w:szCs w:val="18"/>
        </w:rPr>
      </w:pPr>
      <w:r w:rsidRPr="002D31A9">
        <w:rPr>
          <w:rStyle w:val="FootnoteReference"/>
          <w:szCs w:val="18"/>
        </w:rPr>
        <w:footnoteRef/>
      </w:r>
      <w:r w:rsidRPr="00B50F59">
        <w:rPr>
          <w:szCs w:val="18"/>
        </w:rPr>
        <w:t xml:space="preserve"> T0231, T0008.</w:t>
      </w:r>
    </w:p>
  </w:footnote>
  <w:footnote w:id="919">
    <w:p w14:paraId="1316C89A" w14:textId="73946D2F" w:rsidR="004E119B" w:rsidRPr="00B50F59" w:rsidRDefault="004E119B" w:rsidP="00E93251">
      <w:pPr>
        <w:pStyle w:val="FootnoteText"/>
        <w:ind w:left="1138" w:right="1138"/>
        <w:jc w:val="left"/>
        <w:rPr>
          <w:szCs w:val="18"/>
        </w:rPr>
      </w:pPr>
      <w:r w:rsidRPr="002D31A9">
        <w:rPr>
          <w:rStyle w:val="FootnoteReference"/>
          <w:szCs w:val="18"/>
        </w:rPr>
        <w:footnoteRef/>
      </w:r>
      <w:r w:rsidRPr="00B50F59">
        <w:rPr>
          <w:szCs w:val="18"/>
        </w:rPr>
        <w:t xml:space="preserve"> T0008. </w:t>
      </w:r>
    </w:p>
  </w:footnote>
  <w:footnote w:id="920">
    <w:p w14:paraId="6C1A6F1E" w14:textId="44FACA01" w:rsidR="004E119B" w:rsidRPr="00B50F59" w:rsidRDefault="004E119B" w:rsidP="00E93251">
      <w:pPr>
        <w:pStyle w:val="FootnoteText"/>
        <w:ind w:left="1138" w:right="1138"/>
        <w:jc w:val="left"/>
        <w:rPr>
          <w:szCs w:val="18"/>
        </w:rPr>
      </w:pPr>
      <w:r w:rsidRPr="002D31A9">
        <w:rPr>
          <w:rStyle w:val="FootnoteReference"/>
          <w:szCs w:val="18"/>
        </w:rPr>
        <w:footnoteRef/>
      </w:r>
      <w:r w:rsidRPr="00B50F59">
        <w:rPr>
          <w:szCs w:val="18"/>
        </w:rPr>
        <w:t xml:space="preserve"> T0153.</w:t>
      </w:r>
    </w:p>
  </w:footnote>
  <w:footnote w:id="921">
    <w:p w14:paraId="4D25D46C" w14:textId="3AAC0720" w:rsidR="004E119B" w:rsidRPr="00B50F59" w:rsidRDefault="004E119B" w:rsidP="00E93251">
      <w:pPr>
        <w:pStyle w:val="FootnoteText"/>
        <w:ind w:left="1138" w:right="1138"/>
        <w:jc w:val="left"/>
        <w:rPr>
          <w:szCs w:val="18"/>
        </w:rPr>
      </w:pPr>
      <w:r w:rsidRPr="002D31A9">
        <w:rPr>
          <w:rStyle w:val="FootnoteReference"/>
          <w:szCs w:val="18"/>
        </w:rPr>
        <w:footnoteRef/>
      </w:r>
      <w:r w:rsidRPr="00B50F59">
        <w:rPr>
          <w:szCs w:val="18"/>
        </w:rPr>
        <w:t xml:space="preserve"> T0015.</w:t>
      </w:r>
    </w:p>
  </w:footnote>
  <w:footnote w:id="922">
    <w:p w14:paraId="3F531D42" w14:textId="0E0FD40D" w:rsidR="004E119B" w:rsidRPr="00EC7100" w:rsidRDefault="004E119B" w:rsidP="00E93251">
      <w:pPr>
        <w:pStyle w:val="FootnoteText"/>
        <w:ind w:left="1138" w:right="1138"/>
        <w:jc w:val="left"/>
        <w:rPr>
          <w:szCs w:val="18"/>
        </w:rPr>
      </w:pPr>
      <w:r w:rsidRPr="002D31A9">
        <w:rPr>
          <w:rStyle w:val="FootnoteReference"/>
          <w:szCs w:val="18"/>
        </w:rPr>
        <w:footnoteRef/>
      </w:r>
      <w:r w:rsidRPr="00EC7100">
        <w:rPr>
          <w:szCs w:val="18"/>
        </w:rPr>
        <w:t xml:space="preserve"> T0135.</w:t>
      </w:r>
    </w:p>
  </w:footnote>
  <w:footnote w:id="923">
    <w:p w14:paraId="729647A3" w14:textId="3FDD40A8" w:rsidR="004E119B" w:rsidRPr="003A1757" w:rsidRDefault="004E119B" w:rsidP="00E93251">
      <w:pPr>
        <w:pStyle w:val="FootnoteText"/>
        <w:ind w:left="1138" w:right="1138"/>
        <w:jc w:val="left"/>
        <w:rPr>
          <w:szCs w:val="18"/>
        </w:rPr>
      </w:pPr>
      <w:r w:rsidRPr="002D31A9">
        <w:rPr>
          <w:rStyle w:val="FootnoteReference"/>
          <w:szCs w:val="18"/>
        </w:rPr>
        <w:footnoteRef/>
      </w:r>
      <w:r w:rsidRPr="003A1757">
        <w:rPr>
          <w:szCs w:val="18"/>
        </w:rPr>
        <w:t xml:space="preserve"> </w:t>
      </w:r>
      <w:r>
        <w:rPr>
          <w:szCs w:val="18"/>
        </w:rPr>
        <w:t>T0135</w:t>
      </w:r>
      <w:r w:rsidRPr="003A1757">
        <w:rPr>
          <w:szCs w:val="18"/>
        </w:rPr>
        <w:t xml:space="preserve">, </w:t>
      </w:r>
      <w:r>
        <w:rPr>
          <w:szCs w:val="18"/>
        </w:rPr>
        <w:t>T0197</w:t>
      </w:r>
      <w:r w:rsidRPr="003A1757">
        <w:rPr>
          <w:szCs w:val="18"/>
        </w:rPr>
        <w:t xml:space="preserve">, </w:t>
      </w:r>
      <w:r>
        <w:rPr>
          <w:szCs w:val="18"/>
        </w:rPr>
        <w:t>T0297</w:t>
      </w:r>
      <w:r w:rsidRPr="003A1757">
        <w:rPr>
          <w:szCs w:val="18"/>
        </w:rPr>
        <w:t xml:space="preserve">, T0205, </w:t>
      </w:r>
      <w:r>
        <w:rPr>
          <w:szCs w:val="18"/>
        </w:rPr>
        <w:t>T0386</w:t>
      </w:r>
      <w:r w:rsidRPr="003A1757">
        <w:rPr>
          <w:szCs w:val="18"/>
        </w:rPr>
        <w:t xml:space="preserve">, </w:t>
      </w:r>
      <w:r>
        <w:rPr>
          <w:szCs w:val="18"/>
        </w:rPr>
        <w:t>T0233</w:t>
      </w:r>
      <w:r w:rsidRPr="003A1757">
        <w:rPr>
          <w:szCs w:val="18"/>
        </w:rPr>
        <w:t xml:space="preserve">, </w:t>
      </w:r>
      <w:r>
        <w:rPr>
          <w:szCs w:val="18"/>
        </w:rPr>
        <w:t>T0335</w:t>
      </w:r>
      <w:r w:rsidRPr="003A1757">
        <w:rPr>
          <w:szCs w:val="18"/>
        </w:rPr>
        <w:t xml:space="preserve">, T0056, </w:t>
      </w:r>
      <w:r>
        <w:rPr>
          <w:szCs w:val="18"/>
        </w:rPr>
        <w:t>T0166</w:t>
      </w:r>
      <w:r w:rsidRPr="003A1757">
        <w:rPr>
          <w:szCs w:val="18"/>
        </w:rPr>
        <w:t xml:space="preserve">, </w:t>
      </w:r>
      <w:r>
        <w:rPr>
          <w:szCs w:val="18"/>
        </w:rPr>
        <w:t>T0167</w:t>
      </w:r>
      <w:r w:rsidRPr="003A1757">
        <w:rPr>
          <w:szCs w:val="18"/>
        </w:rPr>
        <w:t xml:space="preserve">, </w:t>
      </w:r>
      <w:r>
        <w:rPr>
          <w:szCs w:val="18"/>
        </w:rPr>
        <w:t>T0339</w:t>
      </w:r>
      <w:r w:rsidRPr="003A1757">
        <w:rPr>
          <w:szCs w:val="18"/>
        </w:rPr>
        <w:t xml:space="preserve">, </w:t>
      </w:r>
      <w:r>
        <w:rPr>
          <w:szCs w:val="18"/>
        </w:rPr>
        <w:t>T0367</w:t>
      </w:r>
      <w:r w:rsidRPr="003A1757">
        <w:rPr>
          <w:szCs w:val="18"/>
        </w:rPr>
        <w:t xml:space="preserve"> T0044, T0451.</w:t>
      </w:r>
    </w:p>
  </w:footnote>
  <w:footnote w:id="924">
    <w:p w14:paraId="0A47302E" w14:textId="337FE115" w:rsidR="004E119B" w:rsidRPr="00633737" w:rsidRDefault="004E119B" w:rsidP="00E93251">
      <w:pPr>
        <w:pStyle w:val="FootnoteText"/>
        <w:ind w:left="1138" w:right="1138"/>
        <w:jc w:val="left"/>
        <w:rPr>
          <w:szCs w:val="18"/>
        </w:rPr>
      </w:pPr>
      <w:r w:rsidRPr="002D31A9">
        <w:rPr>
          <w:rStyle w:val="FootnoteReference"/>
          <w:szCs w:val="18"/>
        </w:rPr>
        <w:footnoteRef/>
      </w:r>
      <w:r w:rsidRPr="00633737">
        <w:rPr>
          <w:szCs w:val="18"/>
        </w:rPr>
        <w:t xml:space="preserve"> T0271, T0375, T0452.</w:t>
      </w:r>
    </w:p>
  </w:footnote>
  <w:footnote w:id="925">
    <w:p w14:paraId="681000D7" w14:textId="357E7BF6" w:rsidR="004E119B" w:rsidRPr="00633737" w:rsidRDefault="004E119B" w:rsidP="00E93251">
      <w:pPr>
        <w:pStyle w:val="FootnoteText"/>
        <w:ind w:left="1138" w:right="1138"/>
        <w:jc w:val="left"/>
        <w:rPr>
          <w:szCs w:val="18"/>
        </w:rPr>
      </w:pPr>
      <w:r w:rsidRPr="002D31A9">
        <w:rPr>
          <w:rStyle w:val="FootnoteReference"/>
          <w:szCs w:val="18"/>
        </w:rPr>
        <w:footnoteRef/>
      </w:r>
      <w:r w:rsidRPr="00633737">
        <w:rPr>
          <w:szCs w:val="18"/>
        </w:rPr>
        <w:t xml:space="preserve"> T0197, </w:t>
      </w:r>
      <w:r>
        <w:rPr>
          <w:szCs w:val="18"/>
        </w:rPr>
        <w:t>T0073</w:t>
      </w:r>
      <w:r w:rsidRPr="00633737">
        <w:rPr>
          <w:szCs w:val="18"/>
        </w:rPr>
        <w:t>.</w:t>
      </w:r>
    </w:p>
  </w:footnote>
  <w:footnote w:id="926">
    <w:p w14:paraId="48FD37C8" w14:textId="7052DA71"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w:t>
      </w:r>
      <w:r>
        <w:rPr>
          <w:szCs w:val="18"/>
        </w:rPr>
        <w:t>T0391</w:t>
      </w:r>
      <w:r w:rsidRPr="002D31A9">
        <w:rPr>
          <w:szCs w:val="18"/>
        </w:rPr>
        <w:t xml:space="preserve">, </w:t>
      </w:r>
      <w:r>
        <w:rPr>
          <w:szCs w:val="18"/>
        </w:rPr>
        <w:t>T0430</w:t>
      </w:r>
      <w:r w:rsidRPr="002D31A9">
        <w:rPr>
          <w:szCs w:val="18"/>
        </w:rPr>
        <w:t>.</w:t>
      </w:r>
    </w:p>
  </w:footnote>
  <w:footnote w:id="927">
    <w:p w14:paraId="3551E147" w14:textId="77777777"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Entretien avec un représentant de la société civile.</w:t>
      </w:r>
    </w:p>
  </w:footnote>
  <w:footnote w:id="928">
    <w:p w14:paraId="213C30AB" w14:textId="157EDC6B" w:rsidR="004E119B" w:rsidRPr="00633737" w:rsidRDefault="004E119B" w:rsidP="00E93251">
      <w:pPr>
        <w:pStyle w:val="FootnoteText"/>
        <w:ind w:left="1138" w:right="1138"/>
        <w:jc w:val="left"/>
        <w:rPr>
          <w:szCs w:val="18"/>
        </w:rPr>
      </w:pPr>
      <w:r w:rsidRPr="002D31A9">
        <w:rPr>
          <w:rStyle w:val="FootnoteReference"/>
          <w:szCs w:val="18"/>
        </w:rPr>
        <w:footnoteRef/>
      </w:r>
      <w:r w:rsidRPr="00633737">
        <w:rPr>
          <w:szCs w:val="18"/>
        </w:rPr>
        <w:t xml:space="preserve"> </w:t>
      </w:r>
      <w:r>
        <w:rPr>
          <w:szCs w:val="18"/>
        </w:rPr>
        <w:t>T0099</w:t>
      </w:r>
      <w:r w:rsidRPr="00633737">
        <w:rPr>
          <w:szCs w:val="18"/>
        </w:rPr>
        <w:t xml:space="preserve">, </w:t>
      </w:r>
      <w:r>
        <w:rPr>
          <w:szCs w:val="18"/>
        </w:rPr>
        <w:t>T0363</w:t>
      </w:r>
      <w:r w:rsidRPr="00633737">
        <w:rPr>
          <w:szCs w:val="18"/>
        </w:rPr>
        <w:t xml:space="preserve">, T0118, </w:t>
      </w:r>
      <w:r>
        <w:rPr>
          <w:szCs w:val="18"/>
        </w:rPr>
        <w:t>T0104</w:t>
      </w:r>
      <w:r w:rsidRPr="00633737">
        <w:rPr>
          <w:szCs w:val="18"/>
        </w:rPr>
        <w:t xml:space="preserve">, </w:t>
      </w:r>
      <w:r>
        <w:rPr>
          <w:szCs w:val="18"/>
        </w:rPr>
        <w:t>T0073</w:t>
      </w:r>
      <w:r w:rsidRPr="00633737">
        <w:rPr>
          <w:szCs w:val="18"/>
        </w:rPr>
        <w:t>.</w:t>
      </w:r>
    </w:p>
  </w:footnote>
  <w:footnote w:id="929">
    <w:p w14:paraId="1D23DBBA" w14:textId="320B9C7C" w:rsidR="004E119B" w:rsidRPr="00CE3CD0" w:rsidRDefault="004E119B" w:rsidP="00E93251">
      <w:pPr>
        <w:pStyle w:val="FootnoteText"/>
        <w:ind w:left="1138" w:right="1138"/>
        <w:jc w:val="left"/>
        <w:rPr>
          <w:szCs w:val="18"/>
        </w:rPr>
      </w:pPr>
      <w:r w:rsidRPr="002D31A9">
        <w:rPr>
          <w:rStyle w:val="FootnoteReference"/>
          <w:szCs w:val="18"/>
        </w:rPr>
        <w:footnoteRef/>
      </w:r>
      <w:r w:rsidRPr="00CE3CD0">
        <w:rPr>
          <w:szCs w:val="18"/>
        </w:rPr>
        <w:t xml:space="preserve"> Voir notamment T0160, </w:t>
      </w:r>
      <w:r>
        <w:rPr>
          <w:szCs w:val="18"/>
        </w:rPr>
        <w:t>T0120</w:t>
      </w:r>
      <w:r w:rsidRPr="00CE3CD0">
        <w:rPr>
          <w:szCs w:val="18"/>
        </w:rPr>
        <w:t xml:space="preserve">, </w:t>
      </w:r>
      <w:r>
        <w:rPr>
          <w:szCs w:val="18"/>
        </w:rPr>
        <w:t>T0165</w:t>
      </w:r>
      <w:r w:rsidRPr="00CE3CD0">
        <w:rPr>
          <w:szCs w:val="18"/>
        </w:rPr>
        <w:t xml:space="preserve">, </w:t>
      </w:r>
      <w:r>
        <w:rPr>
          <w:szCs w:val="18"/>
        </w:rPr>
        <w:t>T0031</w:t>
      </w:r>
      <w:r w:rsidRPr="00CE3CD0">
        <w:rPr>
          <w:szCs w:val="18"/>
        </w:rPr>
        <w:t xml:space="preserve">, </w:t>
      </w:r>
      <w:r>
        <w:rPr>
          <w:szCs w:val="18"/>
        </w:rPr>
        <w:t>T0234</w:t>
      </w:r>
      <w:r w:rsidRPr="00CE3CD0">
        <w:rPr>
          <w:szCs w:val="18"/>
        </w:rPr>
        <w:t xml:space="preserve">, </w:t>
      </w:r>
      <w:r>
        <w:rPr>
          <w:szCs w:val="18"/>
        </w:rPr>
        <w:t>T0273</w:t>
      </w:r>
      <w:r w:rsidRPr="00CE3CD0">
        <w:rPr>
          <w:szCs w:val="18"/>
        </w:rPr>
        <w:t xml:space="preserve">, </w:t>
      </w:r>
      <w:r>
        <w:rPr>
          <w:szCs w:val="18"/>
        </w:rPr>
        <w:t>T0125</w:t>
      </w:r>
      <w:r w:rsidRPr="00CE3CD0">
        <w:rPr>
          <w:szCs w:val="18"/>
        </w:rPr>
        <w:t>, KC015.</w:t>
      </w:r>
    </w:p>
  </w:footnote>
  <w:footnote w:id="930">
    <w:p w14:paraId="03B12C9D" w14:textId="098DD3EC" w:rsidR="004E119B" w:rsidRPr="00EC7100" w:rsidRDefault="004E119B" w:rsidP="00E93251">
      <w:pPr>
        <w:pStyle w:val="FootnoteText"/>
        <w:ind w:left="1138" w:right="1138"/>
        <w:jc w:val="left"/>
        <w:rPr>
          <w:szCs w:val="18"/>
        </w:rPr>
      </w:pPr>
      <w:r w:rsidRPr="002D31A9">
        <w:rPr>
          <w:rStyle w:val="FootnoteReference"/>
          <w:szCs w:val="18"/>
        </w:rPr>
        <w:footnoteRef/>
      </w:r>
      <w:r w:rsidRPr="00EC7100">
        <w:rPr>
          <w:szCs w:val="18"/>
        </w:rPr>
        <w:t xml:space="preserve"> T0327, T0100, T0254, T0361.</w:t>
      </w:r>
    </w:p>
  </w:footnote>
  <w:footnote w:id="931">
    <w:p w14:paraId="3F0945CC" w14:textId="09B9FE7C" w:rsidR="004E119B" w:rsidRPr="00EC7100" w:rsidRDefault="004E119B" w:rsidP="00E93251">
      <w:pPr>
        <w:pStyle w:val="FootnoteText"/>
        <w:ind w:left="1138" w:right="1138"/>
        <w:jc w:val="left"/>
        <w:rPr>
          <w:szCs w:val="18"/>
        </w:rPr>
      </w:pPr>
      <w:r w:rsidRPr="002D31A9">
        <w:rPr>
          <w:rStyle w:val="FootnoteReference"/>
          <w:szCs w:val="18"/>
        </w:rPr>
        <w:footnoteRef/>
      </w:r>
      <w:r w:rsidRPr="00EC7100">
        <w:rPr>
          <w:szCs w:val="18"/>
        </w:rPr>
        <w:t xml:space="preserve"> </w:t>
      </w:r>
      <w:r>
        <w:rPr>
          <w:szCs w:val="18"/>
        </w:rPr>
        <w:t>T0031</w:t>
      </w:r>
      <w:r w:rsidRPr="00EC7100">
        <w:rPr>
          <w:szCs w:val="18"/>
        </w:rPr>
        <w:t xml:space="preserve">, T0249, </w:t>
      </w:r>
      <w:r>
        <w:rPr>
          <w:szCs w:val="18"/>
        </w:rPr>
        <w:t>T0324</w:t>
      </w:r>
      <w:r w:rsidRPr="00EC7100">
        <w:rPr>
          <w:szCs w:val="18"/>
        </w:rPr>
        <w:t xml:space="preserve">, </w:t>
      </w:r>
      <w:r>
        <w:rPr>
          <w:szCs w:val="18"/>
        </w:rPr>
        <w:t>T0425</w:t>
      </w:r>
      <w:r w:rsidRPr="00EC7100">
        <w:rPr>
          <w:szCs w:val="18"/>
        </w:rPr>
        <w:t xml:space="preserve">, </w:t>
      </w:r>
      <w:r>
        <w:rPr>
          <w:szCs w:val="18"/>
        </w:rPr>
        <w:t>T0060</w:t>
      </w:r>
      <w:r w:rsidRPr="00EC7100">
        <w:rPr>
          <w:szCs w:val="18"/>
        </w:rPr>
        <w:t>, T0242.</w:t>
      </w:r>
    </w:p>
  </w:footnote>
  <w:footnote w:id="932">
    <w:p w14:paraId="61C776E1" w14:textId="72467A09"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w:t>
      </w:r>
      <w:r>
        <w:rPr>
          <w:szCs w:val="18"/>
        </w:rPr>
        <w:t>T0332</w:t>
      </w:r>
      <w:r w:rsidRPr="002D31A9">
        <w:rPr>
          <w:szCs w:val="18"/>
        </w:rPr>
        <w:t xml:space="preserve">, </w:t>
      </w:r>
      <w:r>
        <w:rPr>
          <w:szCs w:val="18"/>
        </w:rPr>
        <w:t>T0195</w:t>
      </w:r>
      <w:r w:rsidRPr="002D31A9">
        <w:rPr>
          <w:szCs w:val="18"/>
        </w:rPr>
        <w:t xml:space="preserve">, </w:t>
      </w:r>
      <w:r>
        <w:rPr>
          <w:szCs w:val="18"/>
        </w:rPr>
        <w:t>T0093</w:t>
      </w:r>
      <w:r w:rsidRPr="002D31A9">
        <w:rPr>
          <w:szCs w:val="18"/>
        </w:rPr>
        <w:t xml:space="preserve">, </w:t>
      </w:r>
      <w:r>
        <w:rPr>
          <w:szCs w:val="18"/>
        </w:rPr>
        <w:t>T0171</w:t>
      </w:r>
      <w:r w:rsidRPr="002D31A9">
        <w:rPr>
          <w:szCs w:val="18"/>
        </w:rPr>
        <w:t>.</w:t>
      </w:r>
    </w:p>
  </w:footnote>
  <w:footnote w:id="933">
    <w:p w14:paraId="3C28726D" w14:textId="73DCB842"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Voir notamment </w:t>
      </w:r>
      <w:r>
        <w:rPr>
          <w:szCs w:val="18"/>
        </w:rPr>
        <w:t>T0113</w:t>
      </w:r>
      <w:r w:rsidRPr="002D31A9">
        <w:rPr>
          <w:szCs w:val="18"/>
        </w:rPr>
        <w:t xml:space="preserve">, </w:t>
      </w:r>
      <w:r>
        <w:rPr>
          <w:szCs w:val="18"/>
        </w:rPr>
        <w:t>T0355</w:t>
      </w:r>
      <w:r w:rsidRPr="002D31A9">
        <w:rPr>
          <w:szCs w:val="18"/>
        </w:rPr>
        <w:t xml:space="preserve">, </w:t>
      </w:r>
      <w:r>
        <w:rPr>
          <w:szCs w:val="18"/>
        </w:rPr>
        <w:t>T0171</w:t>
      </w:r>
      <w:r w:rsidRPr="002D31A9">
        <w:rPr>
          <w:szCs w:val="18"/>
        </w:rPr>
        <w:t xml:space="preserve">, </w:t>
      </w:r>
      <w:r>
        <w:rPr>
          <w:szCs w:val="18"/>
        </w:rPr>
        <w:t>T0293</w:t>
      </w:r>
      <w:r w:rsidRPr="002D31A9">
        <w:rPr>
          <w:szCs w:val="18"/>
        </w:rPr>
        <w:t>.</w:t>
      </w:r>
    </w:p>
  </w:footnote>
  <w:footnote w:id="934">
    <w:p w14:paraId="76BA8D85" w14:textId="6BFFAAEE"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w:t>
      </w:r>
      <w:r>
        <w:rPr>
          <w:szCs w:val="18"/>
        </w:rPr>
        <w:t>T0280</w:t>
      </w:r>
      <w:r w:rsidRPr="002D31A9">
        <w:rPr>
          <w:szCs w:val="18"/>
        </w:rPr>
        <w:t>.</w:t>
      </w:r>
    </w:p>
  </w:footnote>
  <w:footnote w:id="935">
    <w:p w14:paraId="6DD423EB" w14:textId="378C7073" w:rsidR="004E119B" w:rsidRPr="002D31A9" w:rsidRDefault="004E119B" w:rsidP="00E93251">
      <w:pPr>
        <w:pStyle w:val="FootnoteText"/>
        <w:ind w:left="1138" w:right="1138"/>
        <w:jc w:val="left"/>
        <w:rPr>
          <w:szCs w:val="18"/>
        </w:rPr>
      </w:pPr>
      <w:r w:rsidRPr="002D31A9">
        <w:rPr>
          <w:rStyle w:val="FootnoteReference"/>
          <w:szCs w:val="18"/>
        </w:rPr>
        <w:footnoteRef/>
      </w:r>
      <w:r w:rsidRPr="002D31A9">
        <w:rPr>
          <w:szCs w:val="18"/>
        </w:rPr>
        <w:t xml:space="preserve"> Déclaration du Procureur de la </w:t>
      </w:r>
      <w:r>
        <w:rPr>
          <w:szCs w:val="18"/>
        </w:rPr>
        <w:t>CPI</w:t>
      </w:r>
      <w:r w:rsidRPr="002D31A9">
        <w:rPr>
          <w:szCs w:val="18"/>
        </w:rPr>
        <w:t>, 4 mai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9178F" w14:textId="288D8D0D" w:rsidR="004E119B" w:rsidRPr="00CB6D4F" w:rsidRDefault="00AE33CF">
    <w:pPr>
      <w:pStyle w:val="Header"/>
    </w:pPr>
    <w:fldSimple w:instr=" TITLE  \* MERGEFORMAT ">
      <w:r>
        <w:t>A/HRC/38/CRP.1</w:t>
      </w:r>
    </w:fldSimple>
    <w:r w:rsidR="004E119B" w:rsidRPr="00B640DD">
      <w:rPr>
        <w:szCs w:val="18"/>
        <w:lang w:val="fr-FR"/>
      </w:rPr>
      <w:t>CRP.1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4A884" w14:textId="2D3534EB" w:rsidR="004E119B" w:rsidRPr="00CB6D4F" w:rsidRDefault="00AE33CF" w:rsidP="00CB6D4F">
    <w:pPr>
      <w:pStyle w:val="Header"/>
      <w:jc w:val="right"/>
    </w:pPr>
    <w:fldSimple w:instr=" TITLE  \* MERGEFORMAT ">
      <w:r>
        <w:t>A/HRC/38/CRP.1</w:t>
      </w:r>
    </w:fldSimple>
    <w:r w:rsidR="004E119B">
      <w:t>/CRP.1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92401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32EA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5AA9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C0AF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D242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405A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466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206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D69F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C614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734208"/>
    <w:multiLevelType w:val="hybridMultilevel"/>
    <w:tmpl w:val="5CA6B82E"/>
    <w:lvl w:ilvl="0" w:tplc="42229936">
      <w:start w:val="1"/>
      <w:numFmt w:val="lowerRoman"/>
      <w:pStyle w:val="Heading5"/>
      <w:lvlText w:val="%1."/>
      <w:lvlJc w:val="right"/>
      <w:pPr>
        <w:ind w:left="720" w:hanging="360"/>
      </w:pPr>
      <w:rPr>
        <w:rFonts w:ascii="Times New Roman" w:hAnsi="Times New Roman" w:cs="Times New Roman"/>
        <w:b w:val="0"/>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AC00A3F"/>
    <w:multiLevelType w:val="hybridMultilevel"/>
    <w:tmpl w:val="68A86114"/>
    <w:lvl w:ilvl="0" w:tplc="040C0001">
      <w:start w:val="1"/>
      <w:numFmt w:val="bullet"/>
      <w:lvlText w:val=""/>
      <w:lvlJc w:val="left"/>
      <w:pPr>
        <w:ind w:left="1498" w:hanging="360"/>
      </w:pPr>
      <w:rPr>
        <w:rFonts w:ascii="Symbol" w:hAnsi="Symbol" w:hint="default"/>
      </w:rPr>
    </w:lvl>
    <w:lvl w:ilvl="1" w:tplc="040C0003" w:tentative="1">
      <w:start w:val="1"/>
      <w:numFmt w:val="bullet"/>
      <w:lvlText w:val="o"/>
      <w:lvlJc w:val="left"/>
      <w:pPr>
        <w:ind w:left="2218" w:hanging="360"/>
      </w:pPr>
      <w:rPr>
        <w:rFonts w:ascii="Courier New" w:hAnsi="Courier New" w:cs="Courier New" w:hint="default"/>
      </w:rPr>
    </w:lvl>
    <w:lvl w:ilvl="2" w:tplc="040C0005" w:tentative="1">
      <w:start w:val="1"/>
      <w:numFmt w:val="bullet"/>
      <w:lvlText w:val=""/>
      <w:lvlJc w:val="left"/>
      <w:pPr>
        <w:ind w:left="2938" w:hanging="360"/>
      </w:pPr>
      <w:rPr>
        <w:rFonts w:ascii="Wingdings" w:hAnsi="Wingdings" w:hint="default"/>
      </w:rPr>
    </w:lvl>
    <w:lvl w:ilvl="3" w:tplc="040C0001" w:tentative="1">
      <w:start w:val="1"/>
      <w:numFmt w:val="bullet"/>
      <w:lvlText w:val=""/>
      <w:lvlJc w:val="left"/>
      <w:pPr>
        <w:ind w:left="3658" w:hanging="360"/>
      </w:pPr>
      <w:rPr>
        <w:rFonts w:ascii="Symbol" w:hAnsi="Symbol" w:hint="default"/>
      </w:rPr>
    </w:lvl>
    <w:lvl w:ilvl="4" w:tplc="040C0003" w:tentative="1">
      <w:start w:val="1"/>
      <w:numFmt w:val="bullet"/>
      <w:lvlText w:val="o"/>
      <w:lvlJc w:val="left"/>
      <w:pPr>
        <w:ind w:left="4378" w:hanging="360"/>
      </w:pPr>
      <w:rPr>
        <w:rFonts w:ascii="Courier New" w:hAnsi="Courier New" w:cs="Courier New" w:hint="default"/>
      </w:rPr>
    </w:lvl>
    <w:lvl w:ilvl="5" w:tplc="040C0005" w:tentative="1">
      <w:start w:val="1"/>
      <w:numFmt w:val="bullet"/>
      <w:lvlText w:val=""/>
      <w:lvlJc w:val="left"/>
      <w:pPr>
        <w:ind w:left="5098" w:hanging="360"/>
      </w:pPr>
      <w:rPr>
        <w:rFonts w:ascii="Wingdings" w:hAnsi="Wingdings" w:hint="default"/>
      </w:rPr>
    </w:lvl>
    <w:lvl w:ilvl="6" w:tplc="040C0001" w:tentative="1">
      <w:start w:val="1"/>
      <w:numFmt w:val="bullet"/>
      <w:lvlText w:val=""/>
      <w:lvlJc w:val="left"/>
      <w:pPr>
        <w:ind w:left="5818" w:hanging="360"/>
      </w:pPr>
      <w:rPr>
        <w:rFonts w:ascii="Symbol" w:hAnsi="Symbol" w:hint="default"/>
      </w:rPr>
    </w:lvl>
    <w:lvl w:ilvl="7" w:tplc="040C0003" w:tentative="1">
      <w:start w:val="1"/>
      <w:numFmt w:val="bullet"/>
      <w:lvlText w:val="o"/>
      <w:lvlJc w:val="left"/>
      <w:pPr>
        <w:ind w:left="6538" w:hanging="360"/>
      </w:pPr>
      <w:rPr>
        <w:rFonts w:ascii="Courier New" w:hAnsi="Courier New" w:cs="Courier New" w:hint="default"/>
      </w:rPr>
    </w:lvl>
    <w:lvl w:ilvl="8" w:tplc="040C0005" w:tentative="1">
      <w:start w:val="1"/>
      <w:numFmt w:val="bullet"/>
      <w:lvlText w:val=""/>
      <w:lvlJc w:val="left"/>
      <w:pPr>
        <w:ind w:left="7258"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D253D91"/>
    <w:multiLevelType w:val="hybridMultilevel"/>
    <w:tmpl w:val="B49EC078"/>
    <w:lvl w:ilvl="0" w:tplc="4D7286AC">
      <w:start w:val="1"/>
      <w:numFmt w:val="decimal"/>
      <w:pStyle w:val="BodyText"/>
      <w:lvlText w:val="%1."/>
      <w:lvlJc w:val="left"/>
      <w:pPr>
        <w:ind w:left="5039" w:hanging="360"/>
      </w:pPr>
      <w:rPr>
        <w:i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161AB"/>
    <w:multiLevelType w:val="multilevel"/>
    <w:tmpl w:val="5A76F770"/>
    <w:lvl w:ilvl="0">
      <w:start w:val="1"/>
      <w:numFmt w:val="upperRoman"/>
      <w:pStyle w:val="Heading1"/>
      <w:lvlText w:val="%1."/>
      <w:lvlJc w:val="right"/>
      <w:pPr>
        <w:ind w:left="360" w:hanging="360"/>
      </w:pPr>
      <w:rPr>
        <w:b/>
      </w:rPr>
    </w:lvl>
    <w:lvl w:ilvl="1">
      <w:start w:val="1"/>
      <w:numFmt w:val="upperLetter"/>
      <w:pStyle w:val="Heading2"/>
      <w:lvlText w:val="%2."/>
      <w:lvlJc w:val="left"/>
      <w:pPr>
        <w:ind w:left="720" w:firstLine="0"/>
      </w:pPr>
      <w:rPr>
        <w:b/>
      </w:rPr>
    </w:lvl>
    <w:lvl w:ilvl="2">
      <w:start w:val="1"/>
      <w:numFmt w:val="decimal"/>
      <w:pStyle w:val="Heading3"/>
      <w:lvlText w:val="%3."/>
      <w:lvlJc w:val="left"/>
      <w:pPr>
        <w:ind w:left="1440" w:firstLine="0"/>
      </w:pPr>
      <w:rPr>
        <w:b/>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6" w15:restartNumberingAfterBreak="0">
    <w:nsid w:val="3B1D7C5D"/>
    <w:multiLevelType w:val="multilevel"/>
    <w:tmpl w:val="0409001D"/>
    <w:styleLink w:val="TitresRapportLong"/>
    <w:lvl w:ilvl="0">
      <w:start w:val="1"/>
      <w:numFmt w:val="upperRoman"/>
      <w:lvlText w:val="%1)"/>
      <w:lvlJc w:val="left"/>
      <w:pPr>
        <w:ind w:left="360" w:hanging="360"/>
      </w:pPr>
      <w:rPr>
        <w:rFonts w:ascii="Times New Roman" w:hAnsi="Times New Roman"/>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FB335E"/>
    <w:multiLevelType w:val="hybridMultilevel"/>
    <w:tmpl w:val="9184F85C"/>
    <w:lvl w:ilvl="0" w:tplc="69229DE6">
      <w:start w:val="1"/>
      <w:numFmt w:val="decimal"/>
      <w:pStyle w:val="Numbering"/>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D8565D"/>
    <w:multiLevelType w:val="hybridMultilevel"/>
    <w:tmpl w:val="5756D502"/>
    <w:lvl w:ilvl="0" w:tplc="3C247992">
      <w:start w:val="1"/>
      <w:numFmt w:val="lowerLetter"/>
      <w:pStyle w:val="Heading4"/>
      <w:lvlText w:val="%1."/>
      <w:lvlJc w:val="left"/>
      <w:pPr>
        <w:ind w:left="18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10"/>
  </w:num>
  <w:num w:numId="2">
    <w:abstractNumId w:val="17"/>
  </w:num>
  <w:num w:numId="3">
    <w:abstractNumId w:val="13"/>
  </w:num>
  <w:num w:numId="4">
    <w:abstractNumId w:val="14"/>
  </w:num>
  <w:num w:numId="5">
    <w:abstractNumId w:val="16"/>
  </w:num>
  <w:num w:numId="6">
    <w:abstractNumId w:val="15"/>
  </w:num>
  <w:num w:numId="7">
    <w:abstractNumId w:val="18"/>
  </w:num>
  <w:num w:numId="8">
    <w:abstractNumId w:val="19"/>
  </w:num>
  <w:num w:numId="9">
    <w:abstractNumId w:val="11"/>
  </w:num>
  <w:num w:numId="10">
    <w:abstractNumId w:val="12"/>
  </w:num>
  <w:num w:numId="11">
    <w:abstractNumId w:val="11"/>
    <w:lvlOverride w:ilvl="0">
      <w:startOverride w:val="1"/>
    </w:lvlOverride>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GB" w:vendorID="64" w:dllVersion="131077" w:nlCheck="1" w:checkStyle="1"/>
  <w:activeWritingStyle w:appName="MSWord" w:lang="fr-CH" w:vendorID="64" w:dllVersion="131078" w:nlCheck="1" w:checkStyle="0"/>
  <w:activeWritingStyle w:appName="MSWord" w:lang="en-GB" w:vendorID="64" w:dllVersion="131078" w:nlCheck="1" w:checkStyle="0"/>
  <w:activeWritingStyle w:appName="MSWord" w:lang="fr-FR" w:vendorID="64" w:dllVersion="131078" w:nlCheck="1" w:checkStyle="0"/>
  <w:activeWritingStyle w:appName="MSWord" w:lang="en-US" w:vendorID="64" w:dllVersion="131078" w:nlCheck="1" w:checkStyle="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4F"/>
    <w:rsid w:val="000007D0"/>
    <w:rsid w:val="00000EE2"/>
    <w:rsid w:val="00001BC9"/>
    <w:rsid w:val="000022FE"/>
    <w:rsid w:val="00005F0A"/>
    <w:rsid w:val="000060E5"/>
    <w:rsid w:val="00006825"/>
    <w:rsid w:val="000073AA"/>
    <w:rsid w:val="00010EEB"/>
    <w:rsid w:val="00011314"/>
    <w:rsid w:val="00011FED"/>
    <w:rsid w:val="00012DCD"/>
    <w:rsid w:val="00013C24"/>
    <w:rsid w:val="0001472A"/>
    <w:rsid w:val="00014820"/>
    <w:rsid w:val="000155D0"/>
    <w:rsid w:val="0001561B"/>
    <w:rsid w:val="00016AC5"/>
    <w:rsid w:val="0001728A"/>
    <w:rsid w:val="00020C56"/>
    <w:rsid w:val="00021C4C"/>
    <w:rsid w:val="0002287B"/>
    <w:rsid w:val="00022B61"/>
    <w:rsid w:val="00023C69"/>
    <w:rsid w:val="00025771"/>
    <w:rsid w:val="0003055E"/>
    <w:rsid w:val="00032989"/>
    <w:rsid w:val="00033350"/>
    <w:rsid w:val="00033387"/>
    <w:rsid w:val="0004105B"/>
    <w:rsid w:val="00041581"/>
    <w:rsid w:val="000450EC"/>
    <w:rsid w:val="00047FEB"/>
    <w:rsid w:val="00050FC0"/>
    <w:rsid w:val="00051090"/>
    <w:rsid w:val="00053F8A"/>
    <w:rsid w:val="00054B52"/>
    <w:rsid w:val="00056931"/>
    <w:rsid w:val="00056C2C"/>
    <w:rsid w:val="00057BC0"/>
    <w:rsid w:val="00060038"/>
    <w:rsid w:val="000646C5"/>
    <w:rsid w:val="00064957"/>
    <w:rsid w:val="00064BD5"/>
    <w:rsid w:val="00065526"/>
    <w:rsid w:val="00066F0B"/>
    <w:rsid w:val="00072EB5"/>
    <w:rsid w:val="0007446C"/>
    <w:rsid w:val="00076004"/>
    <w:rsid w:val="000767E6"/>
    <w:rsid w:val="0008047D"/>
    <w:rsid w:val="00080B12"/>
    <w:rsid w:val="00080C8B"/>
    <w:rsid w:val="0008167F"/>
    <w:rsid w:val="00081B17"/>
    <w:rsid w:val="00087FCA"/>
    <w:rsid w:val="00091503"/>
    <w:rsid w:val="00092EA1"/>
    <w:rsid w:val="000934A7"/>
    <w:rsid w:val="000951A4"/>
    <w:rsid w:val="00095A4C"/>
    <w:rsid w:val="00096B85"/>
    <w:rsid w:val="000A5405"/>
    <w:rsid w:val="000A5B2D"/>
    <w:rsid w:val="000B02B8"/>
    <w:rsid w:val="000B2ABE"/>
    <w:rsid w:val="000B4E47"/>
    <w:rsid w:val="000B5E0C"/>
    <w:rsid w:val="000B60A1"/>
    <w:rsid w:val="000B6B06"/>
    <w:rsid w:val="000C0568"/>
    <w:rsid w:val="000C2229"/>
    <w:rsid w:val="000C54C2"/>
    <w:rsid w:val="000C6055"/>
    <w:rsid w:val="000C6631"/>
    <w:rsid w:val="000D120E"/>
    <w:rsid w:val="000D4E0E"/>
    <w:rsid w:val="000D6F73"/>
    <w:rsid w:val="000D7090"/>
    <w:rsid w:val="000D7155"/>
    <w:rsid w:val="000E0294"/>
    <w:rsid w:val="000E03D2"/>
    <w:rsid w:val="000E0941"/>
    <w:rsid w:val="000E0DA5"/>
    <w:rsid w:val="000E1844"/>
    <w:rsid w:val="000E2858"/>
    <w:rsid w:val="000E2F10"/>
    <w:rsid w:val="000F0FC3"/>
    <w:rsid w:val="000F2C44"/>
    <w:rsid w:val="000F2F7A"/>
    <w:rsid w:val="000F41F2"/>
    <w:rsid w:val="000F5C18"/>
    <w:rsid w:val="000F6FB5"/>
    <w:rsid w:val="0010058E"/>
    <w:rsid w:val="0010121B"/>
    <w:rsid w:val="001027FA"/>
    <w:rsid w:val="00103A13"/>
    <w:rsid w:val="00104BC2"/>
    <w:rsid w:val="0011001A"/>
    <w:rsid w:val="001102C6"/>
    <w:rsid w:val="001112CD"/>
    <w:rsid w:val="001116CC"/>
    <w:rsid w:val="00111C51"/>
    <w:rsid w:val="0011219D"/>
    <w:rsid w:val="00112D66"/>
    <w:rsid w:val="001132A1"/>
    <w:rsid w:val="00114306"/>
    <w:rsid w:val="001167FD"/>
    <w:rsid w:val="00116D75"/>
    <w:rsid w:val="00120DAC"/>
    <w:rsid w:val="00121441"/>
    <w:rsid w:val="00130845"/>
    <w:rsid w:val="00130EF7"/>
    <w:rsid w:val="001317ED"/>
    <w:rsid w:val="00132DE2"/>
    <w:rsid w:val="0013364E"/>
    <w:rsid w:val="00133B7A"/>
    <w:rsid w:val="00133D2B"/>
    <w:rsid w:val="00134DF5"/>
    <w:rsid w:val="001370FA"/>
    <w:rsid w:val="00137490"/>
    <w:rsid w:val="001424F6"/>
    <w:rsid w:val="00146195"/>
    <w:rsid w:val="00146623"/>
    <w:rsid w:val="00153B2E"/>
    <w:rsid w:val="00155238"/>
    <w:rsid w:val="001562A3"/>
    <w:rsid w:val="00157710"/>
    <w:rsid w:val="00160540"/>
    <w:rsid w:val="00161135"/>
    <w:rsid w:val="0016217F"/>
    <w:rsid w:val="00163DD8"/>
    <w:rsid w:val="0016470F"/>
    <w:rsid w:val="00164B24"/>
    <w:rsid w:val="001656E9"/>
    <w:rsid w:val="00165A20"/>
    <w:rsid w:val="0016799E"/>
    <w:rsid w:val="00170BBF"/>
    <w:rsid w:val="00170DF3"/>
    <w:rsid w:val="001728DB"/>
    <w:rsid w:val="00172B41"/>
    <w:rsid w:val="00172B99"/>
    <w:rsid w:val="00172F69"/>
    <w:rsid w:val="00173141"/>
    <w:rsid w:val="00174D6E"/>
    <w:rsid w:val="00174E87"/>
    <w:rsid w:val="001772B0"/>
    <w:rsid w:val="00183754"/>
    <w:rsid w:val="001838A5"/>
    <w:rsid w:val="00184D97"/>
    <w:rsid w:val="00186254"/>
    <w:rsid w:val="001865F4"/>
    <w:rsid w:val="001908BC"/>
    <w:rsid w:val="00192143"/>
    <w:rsid w:val="00192EEB"/>
    <w:rsid w:val="001944A7"/>
    <w:rsid w:val="00196845"/>
    <w:rsid w:val="00196951"/>
    <w:rsid w:val="00197640"/>
    <w:rsid w:val="00197843"/>
    <w:rsid w:val="001A20FB"/>
    <w:rsid w:val="001A2D45"/>
    <w:rsid w:val="001A2F60"/>
    <w:rsid w:val="001A302E"/>
    <w:rsid w:val="001A3A81"/>
    <w:rsid w:val="001A45E8"/>
    <w:rsid w:val="001A5FA0"/>
    <w:rsid w:val="001A67A9"/>
    <w:rsid w:val="001A6D31"/>
    <w:rsid w:val="001A7DCC"/>
    <w:rsid w:val="001B1F1A"/>
    <w:rsid w:val="001B2412"/>
    <w:rsid w:val="001B3B5C"/>
    <w:rsid w:val="001B55B5"/>
    <w:rsid w:val="001B5F56"/>
    <w:rsid w:val="001B7BC2"/>
    <w:rsid w:val="001C03C6"/>
    <w:rsid w:val="001C0B43"/>
    <w:rsid w:val="001C3496"/>
    <w:rsid w:val="001C5339"/>
    <w:rsid w:val="001C6647"/>
    <w:rsid w:val="001C6DDD"/>
    <w:rsid w:val="001C728D"/>
    <w:rsid w:val="001C736D"/>
    <w:rsid w:val="001D24C7"/>
    <w:rsid w:val="001D7280"/>
    <w:rsid w:val="001E2715"/>
    <w:rsid w:val="001E3FEB"/>
    <w:rsid w:val="001E453A"/>
    <w:rsid w:val="001E4A02"/>
    <w:rsid w:val="001E4DA2"/>
    <w:rsid w:val="001E5BF7"/>
    <w:rsid w:val="001E60E0"/>
    <w:rsid w:val="001E72F7"/>
    <w:rsid w:val="001F11E7"/>
    <w:rsid w:val="001F5B4E"/>
    <w:rsid w:val="001F5D01"/>
    <w:rsid w:val="001F6026"/>
    <w:rsid w:val="002011A2"/>
    <w:rsid w:val="00201CCF"/>
    <w:rsid w:val="00204A04"/>
    <w:rsid w:val="00204A72"/>
    <w:rsid w:val="00205119"/>
    <w:rsid w:val="00206A00"/>
    <w:rsid w:val="00210375"/>
    <w:rsid w:val="00211548"/>
    <w:rsid w:val="002127E4"/>
    <w:rsid w:val="0021658E"/>
    <w:rsid w:val="002171F8"/>
    <w:rsid w:val="00222859"/>
    <w:rsid w:val="002231A4"/>
    <w:rsid w:val="00227D05"/>
    <w:rsid w:val="00231D69"/>
    <w:rsid w:val="0023224C"/>
    <w:rsid w:val="002327CC"/>
    <w:rsid w:val="00233435"/>
    <w:rsid w:val="00234354"/>
    <w:rsid w:val="002352EA"/>
    <w:rsid w:val="0023702C"/>
    <w:rsid w:val="00241E35"/>
    <w:rsid w:val="0024549D"/>
    <w:rsid w:val="002465FD"/>
    <w:rsid w:val="002505CB"/>
    <w:rsid w:val="002508E2"/>
    <w:rsid w:val="00250ACF"/>
    <w:rsid w:val="00251EF4"/>
    <w:rsid w:val="002521FD"/>
    <w:rsid w:val="00252A0A"/>
    <w:rsid w:val="0025600D"/>
    <w:rsid w:val="002560E3"/>
    <w:rsid w:val="00257215"/>
    <w:rsid w:val="00261191"/>
    <w:rsid w:val="00261236"/>
    <w:rsid w:val="00261864"/>
    <w:rsid w:val="0026213F"/>
    <w:rsid w:val="00262911"/>
    <w:rsid w:val="002659F1"/>
    <w:rsid w:val="00267146"/>
    <w:rsid w:val="0027038B"/>
    <w:rsid w:val="0027166D"/>
    <w:rsid w:val="00272E45"/>
    <w:rsid w:val="00273560"/>
    <w:rsid w:val="002744DF"/>
    <w:rsid w:val="00282823"/>
    <w:rsid w:val="00283907"/>
    <w:rsid w:val="002847C0"/>
    <w:rsid w:val="002860A8"/>
    <w:rsid w:val="0028654A"/>
    <w:rsid w:val="00287E79"/>
    <w:rsid w:val="00290523"/>
    <w:rsid w:val="00292350"/>
    <w:rsid w:val="002928F9"/>
    <w:rsid w:val="00292FFB"/>
    <w:rsid w:val="0029585B"/>
    <w:rsid w:val="00297DF8"/>
    <w:rsid w:val="002A079B"/>
    <w:rsid w:val="002A1F8A"/>
    <w:rsid w:val="002A3C89"/>
    <w:rsid w:val="002A51DA"/>
    <w:rsid w:val="002A5881"/>
    <w:rsid w:val="002A5D07"/>
    <w:rsid w:val="002B02EE"/>
    <w:rsid w:val="002B0C36"/>
    <w:rsid w:val="002B0D3C"/>
    <w:rsid w:val="002B1566"/>
    <w:rsid w:val="002B1E25"/>
    <w:rsid w:val="002B3DCA"/>
    <w:rsid w:val="002B41C8"/>
    <w:rsid w:val="002B67C9"/>
    <w:rsid w:val="002C08A8"/>
    <w:rsid w:val="002C3B42"/>
    <w:rsid w:val="002D0097"/>
    <w:rsid w:val="002D1007"/>
    <w:rsid w:val="002D31A9"/>
    <w:rsid w:val="002D4425"/>
    <w:rsid w:val="002D48C4"/>
    <w:rsid w:val="002D5239"/>
    <w:rsid w:val="002D5D63"/>
    <w:rsid w:val="002E1D96"/>
    <w:rsid w:val="002E470D"/>
    <w:rsid w:val="002E5E61"/>
    <w:rsid w:val="002E7727"/>
    <w:rsid w:val="002F02C7"/>
    <w:rsid w:val="003016B7"/>
    <w:rsid w:val="003051E4"/>
    <w:rsid w:val="0030587F"/>
    <w:rsid w:val="00306A6E"/>
    <w:rsid w:val="003104AA"/>
    <w:rsid w:val="003162A8"/>
    <w:rsid w:val="003168AC"/>
    <w:rsid w:val="00317173"/>
    <w:rsid w:val="003221FF"/>
    <w:rsid w:val="00322588"/>
    <w:rsid w:val="00323252"/>
    <w:rsid w:val="003236F7"/>
    <w:rsid w:val="00324BFE"/>
    <w:rsid w:val="00325FDD"/>
    <w:rsid w:val="00333C18"/>
    <w:rsid w:val="00333FFE"/>
    <w:rsid w:val="0033426F"/>
    <w:rsid w:val="003347B9"/>
    <w:rsid w:val="00334EE1"/>
    <w:rsid w:val="0033574A"/>
    <w:rsid w:val="0034314E"/>
    <w:rsid w:val="0034745E"/>
    <w:rsid w:val="003501D2"/>
    <w:rsid w:val="003509AD"/>
    <w:rsid w:val="003515AA"/>
    <w:rsid w:val="0035201D"/>
    <w:rsid w:val="00354930"/>
    <w:rsid w:val="00356488"/>
    <w:rsid w:val="0035763B"/>
    <w:rsid w:val="0036071B"/>
    <w:rsid w:val="00360D7A"/>
    <w:rsid w:val="00363965"/>
    <w:rsid w:val="00364E3B"/>
    <w:rsid w:val="00364F84"/>
    <w:rsid w:val="00366883"/>
    <w:rsid w:val="003702C5"/>
    <w:rsid w:val="003715CC"/>
    <w:rsid w:val="00373375"/>
    <w:rsid w:val="00374106"/>
    <w:rsid w:val="0037434B"/>
    <w:rsid w:val="00374E2C"/>
    <w:rsid w:val="00375151"/>
    <w:rsid w:val="003760EA"/>
    <w:rsid w:val="0037787B"/>
    <w:rsid w:val="003800E1"/>
    <w:rsid w:val="00383C09"/>
    <w:rsid w:val="00383DE2"/>
    <w:rsid w:val="003852EC"/>
    <w:rsid w:val="0039050B"/>
    <w:rsid w:val="00391AF8"/>
    <w:rsid w:val="00391DDF"/>
    <w:rsid w:val="00395761"/>
    <w:rsid w:val="0039647C"/>
    <w:rsid w:val="00397374"/>
    <w:rsid w:val="003976D5"/>
    <w:rsid w:val="003A0DC8"/>
    <w:rsid w:val="003A1757"/>
    <w:rsid w:val="003A5FE2"/>
    <w:rsid w:val="003A6EC5"/>
    <w:rsid w:val="003A7BBD"/>
    <w:rsid w:val="003B313C"/>
    <w:rsid w:val="003B33D1"/>
    <w:rsid w:val="003B3830"/>
    <w:rsid w:val="003B55C8"/>
    <w:rsid w:val="003B7A88"/>
    <w:rsid w:val="003C2143"/>
    <w:rsid w:val="003C26C7"/>
    <w:rsid w:val="003C4EFB"/>
    <w:rsid w:val="003C500C"/>
    <w:rsid w:val="003C7570"/>
    <w:rsid w:val="003D193B"/>
    <w:rsid w:val="003D1FF1"/>
    <w:rsid w:val="003D33D0"/>
    <w:rsid w:val="003D51E1"/>
    <w:rsid w:val="003D5896"/>
    <w:rsid w:val="003D5D72"/>
    <w:rsid w:val="003D6442"/>
    <w:rsid w:val="003D6C68"/>
    <w:rsid w:val="003D75DA"/>
    <w:rsid w:val="003D77E2"/>
    <w:rsid w:val="003D7F62"/>
    <w:rsid w:val="003E1838"/>
    <w:rsid w:val="003E1A16"/>
    <w:rsid w:val="003E212A"/>
    <w:rsid w:val="003E3225"/>
    <w:rsid w:val="003E3639"/>
    <w:rsid w:val="003E6ACD"/>
    <w:rsid w:val="003F2615"/>
    <w:rsid w:val="003F56FC"/>
    <w:rsid w:val="003F7C05"/>
    <w:rsid w:val="0040180E"/>
    <w:rsid w:val="0040182F"/>
    <w:rsid w:val="00403015"/>
    <w:rsid w:val="00405F13"/>
    <w:rsid w:val="00406A4C"/>
    <w:rsid w:val="004100A1"/>
    <w:rsid w:val="004119C6"/>
    <w:rsid w:val="00414786"/>
    <w:rsid w:val="0041506E"/>
    <w:rsid w:val="004151EF"/>
    <w:rsid w:val="004159D0"/>
    <w:rsid w:val="0042104C"/>
    <w:rsid w:val="00421059"/>
    <w:rsid w:val="004214B4"/>
    <w:rsid w:val="00431AC3"/>
    <w:rsid w:val="004347AC"/>
    <w:rsid w:val="00434C80"/>
    <w:rsid w:val="00436ABF"/>
    <w:rsid w:val="00441300"/>
    <w:rsid w:val="00444DA8"/>
    <w:rsid w:val="004464D5"/>
    <w:rsid w:val="004503ED"/>
    <w:rsid w:val="00451C4D"/>
    <w:rsid w:val="00453678"/>
    <w:rsid w:val="00453816"/>
    <w:rsid w:val="004550A7"/>
    <w:rsid w:val="004603A8"/>
    <w:rsid w:val="004635F3"/>
    <w:rsid w:val="004637BD"/>
    <w:rsid w:val="00470E50"/>
    <w:rsid w:val="00472769"/>
    <w:rsid w:val="004740DC"/>
    <w:rsid w:val="00475CE5"/>
    <w:rsid w:val="004769F2"/>
    <w:rsid w:val="004773D3"/>
    <w:rsid w:val="00477494"/>
    <w:rsid w:val="004800F3"/>
    <w:rsid w:val="00481744"/>
    <w:rsid w:val="004817CC"/>
    <w:rsid w:val="00482630"/>
    <w:rsid w:val="004837FC"/>
    <w:rsid w:val="004902E3"/>
    <w:rsid w:val="00490D19"/>
    <w:rsid w:val="00491B6D"/>
    <w:rsid w:val="00492477"/>
    <w:rsid w:val="0049283E"/>
    <w:rsid w:val="00495B6D"/>
    <w:rsid w:val="00497169"/>
    <w:rsid w:val="004A0571"/>
    <w:rsid w:val="004A163E"/>
    <w:rsid w:val="004A184E"/>
    <w:rsid w:val="004A4733"/>
    <w:rsid w:val="004A52A8"/>
    <w:rsid w:val="004A5D3D"/>
    <w:rsid w:val="004A5E54"/>
    <w:rsid w:val="004A7428"/>
    <w:rsid w:val="004B034C"/>
    <w:rsid w:val="004B03B1"/>
    <w:rsid w:val="004B092E"/>
    <w:rsid w:val="004B0C8B"/>
    <w:rsid w:val="004B1487"/>
    <w:rsid w:val="004B2F4D"/>
    <w:rsid w:val="004B4D21"/>
    <w:rsid w:val="004B4F91"/>
    <w:rsid w:val="004B5A98"/>
    <w:rsid w:val="004B701B"/>
    <w:rsid w:val="004C1A4B"/>
    <w:rsid w:val="004C3157"/>
    <w:rsid w:val="004C7889"/>
    <w:rsid w:val="004D1711"/>
    <w:rsid w:val="004D2A06"/>
    <w:rsid w:val="004D3AD8"/>
    <w:rsid w:val="004D3D7D"/>
    <w:rsid w:val="004D5E37"/>
    <w:rsid w:val="004E0ED4"/>
    <w:rsid w:val="004E119B"/>
    <w:rsid w:val="004E172A"/>
    <w:rsid w:val="004E692D"/>
    <w:rsid w:val="004F30E0"/>
    <w:rsid w:val="004F3255"/>
    <w:rsid w:val="004F4197"/>
    <w:rsid w:val="004F6A0C"/>
    <w:rsid w:val="004F7F7B"/>
    <w:rsid w:val="0050151D"/>
    <w:rsid w:val="0050163C"/>
    <w:rsid w:val="00501DF1"/>
    <w:rsid w:val="00502590"/>
    <w:rsid w:val="00502D46"/>
    <w:rsid w:val="005032C5"/>
    <w:rsid w:val="005041A3"/>
    <w:rsid w:val="00506892"/>
    <w:rsid w:val="00507AB2"/>
    <w:rsid w:val="00511C27"/>
    <w:rsid w:val="005137FD"/>
    <w:rsid w:val="00513E4D"/>
    <w:rsid w:val="005151A0"/>
    <w:rsid w:val="00515E4C"/>
    <w:rsid w:val="00520250"/>
    <w:rsid w:val="00533331"/>
    <w:rsid w:val="00536F35"/>
    <w:rsid w:val="00540FCE"/>
    <w:rsid w:val="00541C9B"/>
    <w:rsid w:val="0054507E"/>
    <w:rsid w:val="00552335"/>
    <w:rsid w:val="0055246D"/>
    <w:rsid w:val="005541F9"/>
    <w:rsid w:val="005579CA"/>
    <w:rsid w:val="00557BD0"/>
    <w:rsid w:val="005600EE"/>
    <w:rsid w:val="00561D1C"/>
    <w:rsid w:val="00562077"/>
    <w:rsid w:val="00565C02"/>
    <w:rsid w:val="00566F7C"/>
    <w:rsid w:val="00567DB2"/>
    <w:rsid w:val="00570EF2"/>
    <w:rsid w:val="00571F41"/>
    <w:rsid w:val="00572FA7"/>
    <w:rsid w:val="00573297"/>
    <w:rsid w:val="00575075"/>
    <w:rsid w:val="00580A53"/>
    <w:rsid w:val="00581397"/>
    <w:rsid w:val="00584F69"/>
    <w:rsid w:val="00590008"/>
    <w:rsid w:val="0059105E"/>
    <w:rsid w:val="00591FD8"/>
    <w:rsid w:val="00594033"/>
    <w:rsid w:val="0059423F"/>
    <w:rsid w:val="00594AF4"/>
    <w:rsid w:val="005955BD"/>
    <w:rsid w:val="00595C6A"/>
    <w:rsid w:val="005965F3"/>
    <w:rsid w:val="005976D4"/>
    <w:rsid w:val="005A0D41"/>
    <w:rsid w:val="005A11C1"/>
    <w:rsid w:val="005A6602"/>
    <w:rsid w:val="005A7257"/>
    <w:rsid w:val="005B0511"/>
    <w:rsid w:val="005B1184"/>
    <w:rsid w:val="005B1D1D"/>
    <w:rsid w:val="005B36CC"/>
    <w:rsid w:val="005B4135"/>
    <w:rsid w:val="005B5484"/>
    <w:rsid w:val="005B7EC3"/>
    <w:rsid w:val="005C066F"/>
    <w:rsid w:val="005C0D7B"/>
    <w:rsid w:val="005C1269"/>
    <w:rsid w:val="005C39D3"/>
    <w:rsid w:val="005C4E0C"/>
    <w:rsid w:val="005C776D"/>
    <w:rsid w:val="005D1D29"/>
    <w:rsid w:val="005D5157"/>
    <w:rsid w:val="005D53FA"/>
    <w:rsid w:val="005D7D7D"/>
    <w:rsid w:val="005E2371"/>
    <w:rsid w:val="005E3246"/>
    <w:rsid w:val="005E32E5"/>
    <w:rsid w:val="005E4DFF"/>
    <w:rsid w:val="005E5451"/>
    <w:rsid w:val="005E5D1F"/>
    <w:rsid w:val="005F10E9"/>
    <w:rsid w:val="005F3C2D"/>
    <w:rsid w:val="005F4783"/>
    <w:rsid w:val="005F7091"/>
    <w:rsid w:val="005F7300"/>
    <w:rsid w:val="0060148F"/>
    <w:rsid w:val="006021F1"/>
    <w:rsid w:val="00602214"/>
    <w:rsid w:val="00602450"/>
    <w:rsid w:val="006026DC"/>
    <w:rsid w:val="0060278B"/>
    <w:rsid w:val="00603176"/>
    <w:rsid w:val="006033ED"/>
    <w:rsid w:val="00604710"/>
    <w:rsid w:val="00604F3B"/>
    <w:rsid w:val="00605A35"/>
    <w:rsid w:val="0060764C"/>
    <w:rsid w:val="00612916"/>
    <w:rsid w:val="00612D48"/>
    <w:rsid w:val="006135BA"/>
    <w:rsid w:val="0061479D"/>
    <w:rsid w:val="00614B9A"/>
    <w:rsid w:val="0061588E"/>
    <w:rsid w:val="00616B45"/>
    <w:rsid w:val="0062414F"/>
    <w:rsid w:val="00626571"/>
    <w:rsid w:val="006267DA"/>
    <w:rsid w:val="006275BD"/>
    <w:rsid w:val="006306B0"/>
    <w:rsid w:val="00633737"/>
    <w:rsid w:val="00634E62"/>
    <w:rsid w:val="0063546A"/>
    <w:rsid w:val="00636694"/>
    <w:rsid w:val="006402CD"/>
    <w:rsid w:val="00641B14"/>
    <w:rsid w:val="00641F36"/>
    <w:rsid w:val="00643703"/>
    <w:rsid w:val="006438BD"/>
    <w:rsid w:val="006439EC"/>
    <w:rsid w:val="00644622"/>
    <w:rsid w:val="0064500C"/>
    <w:rsid w:val="0064568E"/>
    <w:rsid w:val="006460C1"/>
    <w:rsid w:val="006465E8"/>
    <w:rsid w:val="00650554"/>
    <w:rsid w:val="0065088E"/>
    <w:rsid w:val="00651768"/>
    <w:rsid w:val="0065176A"/>
    <w:rsid w:val="0065224A"/>
    <w:rsid w:val="00653B5F"/>
    <w:rsid w:val="00655D14"/>
    <w:rsid w:val="006560CD"/>
    <w:rsid w:val="00657A7B"/>
    <w:rsid w:val="00657E95"/>
    <w:rsid w:val="00660D7D"/>
    <w:rsid w:val="006611F6"/>
    <w:rsid w:val="0066166E"/>
    <w:rsid w:val="00662B68"/>
    <w:rsid w:val="0066300C"/>
    <w:rsid w:val="006644C3"/>
    <w:rsid w:val="0066560B"/>
    <w:rsid w:val="00665FB0"/>
    <w:rsid w:val="006662B7"/>
    <w:rsid w:val="00666F70"/>
    <w:rsid w:val="00667C30"/>
    <w:rsid w:val="00667C3E"/>
    <w:rsid w:val="00670238"/>
    <w:rsid w:val="006717FE"/>
    <w:rsid w:val="006739B9"/>
    <w:rsid w:val="00676204"/>
    <w:rsid w:val="00676276"/>
    <w:rsid w:val="00676F91"/>
    <w:rsid w:val="006820D0"/>
    <w:rsid w:val="00684E01"/>
    <w:rsid w:val="00686A1C"/>
    <w:rsid w:val="00686B07"/>
    <w:rsid w:val="00690672"/>
    <w:rsid w:val="00691A72"/>
    <w:rsid w:val="00693631"/>
    <w:rsid w:val="006938E5"/>
    <w:rsid w:val="006943EB"/>
    <w:rsid w:val="00695197"/>
    <w:rsid w:val="006956C5"/>
    <w:rsid w:val="00697BB3"/>
    <w:rsid w:val="006A2DA0"/>
    <w:rsid w:val="006A4BB1"/>
    <w:rsid w:val="006A5829"/>
    <w:rsid w:val="006A595C"/>
    <w:rsid w:val="006B1DB8"/>
    <w:rsid w:val="006B4590"/>
    <w:rsid w:val="006C20DF"/>
    <w:rsid w:val="006C287B"/>
    <w:rsid w:val="006C340C"/>
    <w:rsid w:val="006C6266"/>
    <w:rsid w:val="006D0E3B"/>
    <w:rsid w:val="006D19E0"/>
    <w:rsid w:val="006D4C2A"/>
    <w:rsid w:val="006D6C4C"/>
    <w:rsid w:val="006E341A"/>
    <w:rsid w:val="006E7DF6"/>
    <w:rsid w:val="006F1284"/>
    <w:rsid w:val="006F3A2F"/>
    <w:rsid w:val="006F7FCC"/>
    <w:rsid w:val="00700E09"/>
    <w:rsid w:val="007017B7"/>
    <w:rsid w:val="0070329F"/>
    <w:rsid w:val="0070347C"/>
    <w:rsid w:val="00711B0B"/>
    <w:rsid w:val="0071368E"/>
    <w:rsid w:val="00713B24"/>
    <w:rsid w:val="00717242"/>
    <w:rsid w:val="007174AB"/>
    <w:rsid w:val="00723D32"/>
    <w:rsid w:val="007245EE"/>
    <w:rsid w:val="00724641"/>
    <w:rsid w:val="007303C8"/>
    <w:rsid w:val="00730E79"/>
    <w:rsid w:val="007312CB"/>
    <w:rsid w:val="00731357"/>
    <w:rsid w:val="0073290E"/>
    <w:rsid w:val="00733083"/>
    <w:rsid w:val="00735E11"/>
    <w:rsid w:val="00736D83"/>
    <w:rsid w:val="00737C46"/>
    <w:rsid w:val="007427CB"/>
    <w:rsid w:val="00744B26"/>
    <w:rsid w:val="00745AA8"/>
    <w:rsid w:val="0075309C"/>
    <w:rsid w:val="00754212"/>
    <w:rsid w:val="007557F9"/>
    <w:rsid w:val="00755DC4"/>
    <w:rsid w:val="00757464"/>
    <w:rsid w:val="00757916"/>
    <w:rsid w:val="00757B26"/>
    <w:rsid w:val="00757E95"/>
    <w:rsid w:val="007602DF"/>
    <w:rsid w:val="00760F7B"/>
    <w:rsid w:val="007643AA"/>
    <w:rsid w:val="007671E1"/>
    <w:rsid w:val="0076761C"/>
    <w:rsid w:val="007706C1"/>
    <w:rsid w:val="00771DAE"/>
    <w:rsid w:val="0077681E"/>
    <w:rsid w:val="00783BEB"/>
    <w:rsid w:val="00791632"/>
    <w:rsid w:val="00793AED"/>
    <w:rsid w:val="00793C66"/>
    <w:rsid w:val="00794671"/>
    <w:rsid w:val="007947CC"/>
    <w:rsid w:val="00796AC3"/>
    <w:rsid w:val="00796FB0"/>
    <w:rsid w:val="007A06CB"/>
    <w:rsid w:val="007A17AD"/>
    <w:rsid w:val="007A1810"/>
    <w:rsid w:val="007A275C"/>
    <w:rsid w:val="007A33E3"/>
    <w:rsid w:val="007A67B5"/>
    <w:rsid w:val="007B1EDD"/>
    <w:rsid w:val="007B2997"/>
    <w:rsid w:val="007B34FF"/>
    <w:rsid w:val="007B4AD1"/>
    <w:rsid w:val="007B5B14"/>
    <w:rsid w:val="007B5E83"/>
    <w:rsid w:val="007B746F"/>
    <w:rsid w:val="007C0206"/>
    <w:rsid w:val="007C08F6"/>
    <w:rsid w:val="007C17DE"/>
    <w:rsid w:val="007C2106"/>
    <w:rsid w:val="007C4147"/>
    <w:rsid w:val="007C41D0"/>
    <w:rsid w:val="007C5757"/>
    <w:rsid w:val="007C64CA"/>
    <w:rsid w:val="007C6AC3"/>
    <w:rsid w:val="007D2C46"/>
    <w:rsid w:val="007D30F7"/>
    <w:rsid w:val="007D735A"/>
    <w:rsid w:val="007D7A02"/>
    <w:rsid w:val="007E0444"/>
    <w:rsid w:val="007E2881"/>
    <w:rsid w:val="007E38EC"/>
    <w:rsid w:val="007E4F92"/>
    <w:rsid w:val="007E64AD"/>
    <w:rsid w:val="007E708D"/>
    <w:rsid w:val="007F08B0"/>
    <w:rsid w:val="007F0D97"/>
    <w:rsid w:val="007F1170"/>
    <w:rsid w:val="007F31FF"/>
    <w:rsid w:val="007F394E"/>
    <w:rsid w:val="007F4147"/>
    <w:rsid w:val="007F4D60"/>
    <w:rsid w:val="007F4D87"/>
    <w:rsid w:val="00802FC5"/>
    <w:rsid w:val="0080302F"/>
    <w:rsid w:val="00805609"/>
    <w:rsid w:val="00810E59"/>
    <w:rsid w:val="0081197C"/>
    <w:rsid w:val="00814915"/>
    <w:rsid w:val="00817C86"/>
    <w:rsid w:val="00824298"/>
    <w:rsid w:val="0082442C"/>
    <w:rsid w:val="00824616"/>
    <w:rsid w:val="0082488A"/>
    <w:rsid w:val="0082580D"/>
    <w:rsid w:val="008264D5"/>
    <w:rsid w:val="00831C67"/>
    <w:rsid w:val="00832AD7"/>
    <w:rsid w:val="00833865"/>
    <w:rsid w:val="008404BB"/>
    <w:rsid w:val="00840539"/>
    <w:rsid w:val="0084066A"/>
    <w:rsid w:val="00840A06"/>
    <w:rsid w:val="00840BC2"/>
    <w:rsid w:val="00841410"/>
    <w:rsid w:val="00841714"/>
    <w:rsid w:val="00842F02"/>
    <w:rsid w:val="00843764"/>
    <w:rsid w:val="00844750"/>
    <w:rsid w:val="00844BC6"/>
    <w:rsid w:val="00851220"/>
    <w:rsid w:val="00851248"/>
    <w:rsid w:val="00854584"/>
    <w:rsid w:val="008559AA"/>
    <w:rsid w:val="0085697C"/>
    <w:rsid w:val="008606F4"/>
    <w:rsid w:val="00863914"/>
    <w:rsid w:val="00867FCB"/>
    <w:rsid w:val="00870653"/>
    <w:rsid w:val="0087092A"/>
    <w:rsid w:val="00871114"/>
    <w:rsid w:val="00871A84"/>
    <w:rsid w:val="00872188"/>
    <w:rsid w:val="00873FAD"/>
    <w:rsid w:val="00875158"/>
    <w:rsid w:val="00877E41"/>
    <w:rsid w:val="00882332"/>
    <w:rsid w:val="008830D7"/>
    <w:rsid w:val="0088312E"/>
    <w:rsid w:val="008844A4"/>
    <w:rsid w:val="0088645F"/>
    <w:rsid w:val="008866CA"/>
    <w:rsid w:val="00886E95"/>
    <w:rsid w:val="00887378"/>
    <w:rsid w:val="008921DD"/>
    <w:rsid w:val="00893EA8"/>
    <w:rsid w:val="00894501"/>
    <w:rsid w:val="0089452B"/>
    <w:rsid w:val="008946FE"/>
    <w:rsid w:val="0089595B"/>
    <w:rsid w:val="00896E81"/>
    <w:rsid w:val="008A1454"/>
    <w:rsid w:val="008A31C5"/>
    <w:rsid w:val="008A3224"/>
    <w:rsid w:val="008A3E69"/>
    <w:rsid w:val="008A527A"/>
    <w:rsid w:val="008B04AB"/>
    <w:rsid w:val="008B0953"/>
    <w:rsid w:val="008B38DD"/>
    <w:rsid w:val="008B3961"/>
    <w:rsid w:val="008B39F2"/>
    <w:rsid w:val="008B4356"/>
    <w:rsid w:val="008B6B38"/>
    <w:rsid w:val="008B6BBF"/>
    <w:rsid w:val="008B6D32"/>
    <w:rsid w:val="008C25BA"/>
    <w:rsid w:val="008C2AAA"/>
    <w:rsid w:val="008C45A9"/>
    <w:rsid w:val="008C7B98"/>
    <w:rsid w:val="008D0469"/>
    <w:rsid w:val="008D219F"/>
    <w:rsid w:val="008D5C54"/>
    <w:rsid w:val="008D5C5D"/>
    <w:rsid w:val="008D6AC6"/>
    <w:rsid w:val="008E0938"/>
    <w:rsid w:val="008E260F"/>
    <w:rsid w:val="008E2E00"/>
    <w:rsid w:val="008E3B39"/>
    <w:rsid w:val="008E5E4C"/>
    <w:rsid w:val="008E7FAE"/>
    <w:rsid w:val="008F2FEC"/>
    <w:rsid w:val="008F415E"/>
    <w:rsid w:val="00900CF4"/>
    <w:rsid w:val="009035DD"/>
    <w:rsid w:val="00904079"/>
    <w:rsid w:val="009107E3"/>
    <w:rsid w:val="00911BF7"/>
    <w:rsid w:val="00920248"/>
    <w:rsid w:val="009219B7"/>
    <w:rsid w:val="00924EDC"/>
    <w:rsid w:val="0093354B"/>
    <w:rsid w:val="0093544C"/>
    <w:rsid w:val="00935C03"/>
    <w:rsid w:val="0093751D"/>
    <w:rsid w:val="009413B8"/>
    <w:rsid w:val="00941569"/>
    <w:rsid w:val="00941661"/>
    <w:rsid w:val="00941705"/>
    <w:rsid w:val="0094347A"/>
    <w:rsid w:val="00943C4A"/>
    <w:rsid w:val="00944220"/>
    <w:rsid w:val="00944F6F"/>
    <w:rsid w:val="0094671E"/>
    <w:rsid w:val="00946A69"/>
    <w:rsid w:val="00950A8C"/>
    <w:rsid w:val="00953717"/>
    <w:rsid w:val="00956A64"/>
    <w:rsid w:val="0096305A"/>
    <w:rsid w:val="009634AE"/>
    <w:rsid w:val="009644BA"/>
    <w:rsid w:val="0096714A"/>
    <w:rsid w:val="009677B5"/>
    <w:rsid w:val="00970A83"/>
    <w:rsid w:val="00972C82"/>
    <w:rsid w:val="00977C10"/>
    <w:rsid w:val="00977EC8"/>
    <w:rsid w:val="009808FC"/>
    <w:rsid w:val="00984537"/>
    <w:rsid w:val="00986154"/>
    <w:rsid w:val="0098782B"/>
    <w:rsid w:val="009918BF"/>
    <w:rsid w:val="00991C36"/>
    <w:rsid w:val="0099277C"/>
    <w:rsid w:val="00992BC4"/>
    <w:rsid w:val="00992FBC"/>
    <w:rsid w:val="00995778"/>
    <w:rsid w:val="009966F9"/>
    <w:rsid w:val="009978BE"/>
    <w:rsid w:val="009A0EE8"/>
    <w:rsid w:val="009A3610"/>
    <w:rsid w:val="009A65B7"/>
    <w:rsid w:val="009A7EB4"/>
    <w:rsid w:val="009B0918"/>
    <w:rsid w:val="009B21B0"/>
    <w:rsid w:val="009B395C"/>
    <w:rsid w:val="009B5569"/>
    <w:rsid w:val="009B68E9"/>
    <w:rsid w:val="009B6E92"/>
    <w:rsid w:val="009C2133"/>
    <w:rsid w:val="009C21B8"/>
    <w:rsid w:val="009C25D9"/>
    <w:rsid w:val="009C2953"/>
    <w:rsid w:val="009C307C"/>
    <w:rsid w:val="009C3F62"/>
    <w:rsid w:val="009C4DA1"/>
    <w:rsid w:val="009D0240"/>
    <w:rsid w:val="009D14DA"/>
    <w:rsid w:val="009D262C"/>
    <w:rsid w:val="009D3145"/>
    <w:rsid w:val="009D3A8C"/>
    <w:rsid w:val="009D411A"/>
    <w:rsid w:val="009D4209"/>
    <w:rsid w:val="009D4BFC"/>
    <w:rsid w:val="009D5DD8"/>
    <w:rsid w:val="009E11B5"/>
    <w:rsid w:val="009E4F5B"/>
    <w:rsid w:val="009E5068"/>
    <w:rsid w:val="009E7033"/>
    <w:rsid w:val="009E7117"/>
    <w:rsid w:val="009E7956"/>
    <w:rsid w:val="009F1B3A"/>
    <w:rsid w:val="009F4962"/>
    <w:rsid w:val="009F5FFA"/>
    <w:rsid w:val="009F7525"/>
    <w:rsid w:val="009F7C54"/>
    <w:rsid w:val="00A00A7A"/>
    <w:rsid w:val="00A01FE7"/>
    <w:rsid w:val="00A0437B"/>
    <w:rsid w:val="00A1478D"/>
    <w:rsid w:val="00A15015"/>
    <w:rsid w:val="00A21406"/>
    <w:rsid w:val="00A214E4"/>
    <w:rsid w:val="00A217AB"/>
    <w:rsid w:val="00A2492E"/>
    <w:rsid w:val="00A269D2"/>
    <w:rsid w:val="00A26A37"/>
    <w:rsid w:val="00A30416"/>
    <w:rsid w:val="00A31771"/>
    <w:rsid w:val="00A31BEF"/>
    <w:rsid w:val="00A31E3C"/>
    <w:rsid w:val="00A34D85"/>
    <w:rsid w:val="00A35DCB"/>
    <w:rsid w:val="00A4100B"/>
    <w:rsid w:val="00A41F60"/>
    <w:rsid w:val="00A41FCA"/>
    <w:rsid w:val="00A42426"/>
    <w:rsid w:val="00A445AB"/>
    <w:rsid w:val="00A51180"/>
    <w:rsid w:val="00A54F58"/>
    <w:rsid w:val="00A5582A"/>
    <w:rsid w:val="00A569CB"/>
    <w:rsid w:val="00A62F91"/>
    <w:rsid w:val="00A63BBD"/>
    <w:rsid w:val="00A63EE2"/>
    <w:rsid w:val="00A672EB"/>
    <w:rsid w:val="00A70979"/>
    <w:rsid w:val="00A72539"/>
    <w:rsid w:val="00A732A8"/>
    <w:rsid w:val="00A73DBE"/>
    <w:rsid w:val="00A806D4"/>
    <w:rsid w:val="00A80FBA"/>
    <w:rsid w:val="00A81DEA"/>
    <w:rsid w:val="00A82FB1"/>
    <w:rsid w:val="00A83434"/>
    <w:rsid w:val="00A8374C"/>
    <w:rsid w:val="00A876A1"/>
    <w:rsid w:val="00A9120A"/>
    <w:rsid w:val="00A93E4A"/>
    <w:rsid w:val="00A95421"/>
    <w:rsid w:val="00A954DF"/>
    <w:rsid w:val="00AA08ED"/>
    <w:rsid w:val="00AA256E"/>
    <w:rsid w:val="00AA6927"/>
    <w:rsid w:val="00AB032D"/>
    <w:rsid w:val="00AB0472"/>
    <w:rsid w:val="00AB33F7"/>
    <w:rsid w:val="00AB7F66"/>
    <w:rsid w:val="00AC2CA8"/>
    <w:rsid w:val="00AC319B"/>
    <w:rsid w:val="00AC3B92"/>
    <w:rsid w:val="00AC3BF2"/>
    <w:rsid w:val="00AC47AD"/>
    <w:rsid w:val="00AC5E56"/>
    <w:rsid w:val="00AC640A"/>
    <w:rsid w:val="00AC7977"/>
    <w:rsid w:val="00AD269F"/>
    <w:rsid w:val="00AD2889"/>
    <w:rsid w:val="00AD3035"/>
    <w:rsid w:val="00AD391A"/>
    <w:rsid w:val="00AD5AB7"/>
    <w:rsid w:val="00AD6DB7"/>
    <w:rsid w:val="00AD6EAC"/>
    <w:rsid w:val="00AE0A73"/>
    <w:rsid w:val="00AE1A51"/>
    <w:rsid w:val="00AE31D3"/>
    <w:rsid w:val="00AE33CF"/>
    <w:rsid w:val="00AE352C"/>
    <w:rsid w:val="00AE45F2"/>
    <w:rsid w:val="00AE5C9A"/>
    <w:rsid w:val="00AE7F32"/>
    <w:rsid w:val="00AF0278"/>
    <w:rsid w:val="00AF09A8"/>
    <w:rsid w:val="00AF0F7F"/>
    <w:rsid w:val="00AF3E95"/>
    <w:rsid w:val="00AF43CE"/>
    <w:rsid w:val="00AF547F"/>
    <w:rsid w:val="00B01B98"/>
    <w:rsid w:val="00B0218F"/>
    <w:rsid w:val="00B05CEB"/>
    <w:rsid w:val="00B07142"/>
    <w:rsid w:val="00B109EC"/>
    <w:rsid w:val="00B1129F"/>
    <w:rsid w:val="00B12AB3"/>
    <w:rsid w:val="00B136B9"/>
    <w:rsid w:val="00B21048"/>
    <w:rsid w:val="00B2189B"/>
    <w:rsid w:val="00B21BBE"/>
    <w:rsid w:val="00B21C1B"/>
    <w:rsid w:val="00B24641"/>
    <w:rsid w:val="00B258F7"/>
    <w:rsid w:val="00B3017C"/>
    <w:rsid w:val="00B30878"/>
    <w:rsid w:val="00B30C53"/>
    <w:rsid w:val="00B31AF7"/>
    <w:rsid w:val="00B31FEE"/>
    <w:rsid w:val="00B32AA5"/>
    <w:rsid w:val="00B32B64"/>
    <w:rsid w:val="00B32E2D"/>
    <w:rsid w:val="00B352E8"/>
    <w:rsid w:val="00B4103A"/>
    <w:rsid w:val="00B41686"/>
    <w:rsid w:val="00B4388D"/>
    <w:rsid w:val="00B439F4"/>
    <w:rsid w:val="00B44E9C"/>
    <w:rsid w:val="00B45F32"/>
    <w:rsid w:val="00B46224"/>
    <w:rsid w:val="00B468E2"/>
    <w:rsid w:val="00B46E4B"/>
    <w:rsid w:val="00B47CEC"/>
    <w:rsid w:val="00B50244"/>
    <w:rsid w:val="00B50F59"/>
    <w:rsid w:val="00B53CFC"/>
    <w:rsid w:val="00B55680"/>
    <w:rsid w:val="00B57158"/>
    <w:rsid w:val="00B57220"/>
    <w:rsid w:val="00B57547"/>
    <w:rsid w:val="00B57A3A"/>
    <w:rsid w:val="00B61990"/>
    <w:rsid w:val="00B657C4"/>
    <w:rsid w:val="00B71642"/>
    <w:rsid w:val="00B71B77"/>
    <w:rsid w:val="00B74BC6"/>
    <w:rsid w:val="00B76E6A"/>
    <w:rsid w:val="00B77644"/>
    <w:rsid w:val="00B84322"/>
    <w:rsid w:val="00B87FD2"/>
    <w:rsid w:val="00B91877"/>
    <w:rsid w:val="00B924AA"/>
    <w:rsid w:val="00B9642C"/>
    <w:rsid w:val="00BA1060"/>
    <w:rsid w:val="00BA14D7"/>
    <w:rsid w:val="00BB1AB8"/>
    <w:rsid w:val="00BB4759"/>
    <w:rsid w:val="00BB5904"/>
    <w:rsid w:val="00BB5BFA"/>
    <w:rsid w:val="00BB5C44"/>
    <w:rsid w:val="00BB6396"/>
    <w:rsid w:val="00BB7854"/>
    <w:rsid w:val="00BC072B"/>
    <w:rsid w:val="00BC0930"/>
    <w:rsid w:val="00BC0D36"/>
    <w:rsid w:val="00BC132B"/>
    <w:rsid w:val="00BC2EB8"/>
    <w:rsid w:val="00BC3F51"/>
    <w:rsid w:val="00BC668B"/>
    <w:rsid w:val="00BD4ADC"/>
    <w:rsid w:val="00BD5939"/>
    <w:rsid w:val="00BE0732"/>
    <w:rsid w:val="00BE1057"/>
    <w:rsid w:val="00BE28D3"/>
    <w:rsid w:val="00BE5147"/>
    <w:rsid w:val="00BE6484"/>
    <w:rsid w:val="00BE6E9A"/>
    <w:rsid w:val="00BE7A9B"/>
    <w:rsid w:val="00BE7CAA"/>
    <w:rsid w:val="00BF0556"/>
    <w:rsid w:val="00BF2AAD"/>
    <w:rsid w:val="00BF5300"/>
    <w:rsid w:val="00BF542A"/>
    <w:rsid w:val="00C01BCE"/>
    <w:rsid w:val="00C03957"/>
    <w:rsid w:val="00C11CE7"/>
    <w:rsid w:val="00C122C1"/>
    <w:rsid w:val="00C1461B"/>
    <w:rsid w:val="00C15D58"/>
    <w:rsid w:val="00C17129"/>
    <w:rsid w:val="00C20FAD"/>
    <w:rsid w:val="00C23028"/>
    <w:rsid w:val="00C236D5"/>
    <w:rsid w:val="00C261F8"/>
    <w:rsid w:val="00C262F1"/>
    <w:rsid w:val="00C30C2A"/>
    <w:rsid w:val="00C30D1B"/>
    <w:rsid w:val="00C3117D"/>
    <w:rsid w:val="00C44567"/>
    <w:rsid w:val="00C44FF6"/>
    <w:rsid w:val="00C4518D"/>
    <w:rsid w:val="00C4711E"/>
    <w:rsid w:val="00C503A4"/>
    <w:rsid w:val="00C510F7"/>
    <w:rsid w:val="00C52F8F"/>
    <w:rsid w:val="00C5448C"/>
    <w:rsid w:val="00C5645D"/>
    <w:rsid w:val="00C56798"/>
    <w:rsid w:val="00C5705F"/>
    <w:rsid w:val="00C60BAE"/>
    <w:rsid w:val="00C61EA0"/>
    <w:rsid w:val="00C629F7"/>
    <w:rsid w:val="00C62D03"/>
    <w:rsid w:val="00C63225"/>
    <w:rsid w:val="00C65067"/>
    <w:rsid w:val="00C700ED"/>
    <w:rsid w:val="00C717E0"/>
    <w:rsid w:val="00C720FB"/>
    <w:rsid w:val="00C76D0E"/>
    <w:rsid w:val="00C76DD9"/>
    <w:rsid w:val="00C824FC"/>
    <w:rsid w:val="00C85F8F"/>
    <w:rsid w:val="00C90623"/>
    <w:rsid w:val="00C907A7"/>
    <w:rsid w:val="00C92D06"/>
    <w:rsid w:val="00C94D55"/>
    <w:rsid w:val="00C95C21"/>
    <w:rsid w:val="00CA0246"/>
    <w:rsid w:val="00CA21E7"/>
    <w:rsid w:val="00CA6F91"/>
    <w:rsid w:val="00CB00E5"/>
    <w:rsid w:val="00CB09C4"/>
    <w:rsid w:val="00CB2B94"/>
    <w:rsid w:val="00CB2CDD"/>
    <w:rsid w:val="00CB371E"/>
    <w:rsid w:val="00CB42C8"/>
    <w:rsid w:val="00CB6D4F"/>
    <w:rsid w:val="00CB6F4D"/>
    <w:rsid w:val="00CC2A6D"/>
    <w:rsid w:val="00CC51D3"/>
    <w:rsid w:val="00CC6481"/>
    <w:rsid w:val="00CD06FD"/>
    <w:rsid w:val="00CD09E6"/>
    <w:rsid w:val="00CD1518"/>
    <w:rsid w:val="00CD1A71"/>
    <w:rsid w:val="00CD1FBB"/>
    <w:rsid w:val="00CD25B0"/>
    <w:rsid w:val="00CD3BE4"/>
    <w:rsid w:val="00CD453A"/>
    <w:rsid w:val="00CD52DE"/>
    <w:rsid w:val="00CD604D"/>
    <w:rsid w:val="00CD644A"/>
    <w:rsid w:val="00CE008F"/>
    <w:rsid w:val="00CE13E8"/>
    <w:rsid w:val="00CE2A9C"/>
    <w:rsid w:val="00CE3CD0"/>
    <w:rsid w:val="00CE3F87"/>
    <w:rsid w:val="00CE4159"/>
    <w:rsid w:val="00CE444D"/>
    <w:rsid w:val="00CE4B4A"/>
    <w:rsid w:val="00CE4BFC"/>
    <w:rsid w:val="00CE53E5"/>
    <w:rsid w:val="00CE5AFE"/>
    <w:rsid w:val="00CE6D98"/>
    <w:rsid w:val="00CE73CC"/>
    <w:rsid w:val="00CF01A5"/>
    <w:rsid w:val="00CF3FCB"/>
    <w:rsid w:val="00CF4D06"/>
    <w:rsid w:val="00CF502E"/>
    <w:rsid w:val="00D00E42"/>
    <w:rsid w:val="00D016B5"/>
    <w:rsid w:val="00D02559"/>
    <w:rsid w:val="00D034F1"/>
    <w:rsid w:val="00D03C4E"/>
    <w:rsid w:val="00D03E10"/>
    <w:rsid w:val="00D10247"/>
    <w:rsid w:val="00D107E4"/>
    <w:rsid w:val="00D10AFD"/>
    <w:rsid w:val="00D11488"/>
    <w:rsid w:val="00D123C2"/>
    <w:rsid w:val="00D13A3C"/>
    <w:rsid w:val="00D13C1C"/>
    <w:rsid w:val="00D20DB8"/>
    <w:rsid w:val="00D22635"/>
    <w:rsid w:val="00D24636"/>
    <w:rsid w:val="00D24DB5"/>
    <w:rsid w:val="00D27D5E"/>
    <w:rsid w:val="00D31043"/>
    <w:rsid w:val="00D32095"/>
    <w:rsid w:val="00D334E6"/>
    <w:rsid w:val="00D33BB5"/>
    <w:rsid w:val="00D33FF4"/>
    <w:rsid w:val="00D42E42"/>
    <w:rsid w:val="00D43985"/>
    <w:rsid w:val="00D53BE9"/>
    <w:rsid w:val="00D555E0"/>
    <w:rsid w:val="00D55DB5"/>
    <w:rsid w:val="00D62BFD"/>
    <w:rsid w:val="00D63265"/>
    <w:rsid w:val="00D65669"/>
    <w:rsid w:val="00D6632D"/>
    <w:rsid w:val="00D665E0"/>
    <w:rsid w:val="00D66E25"/>
    <w:rsid w:val="00D6779C"/>
    <w:rsid w:val="00D67E0B"/>
    <w:rsid w:val="00D72E7E"/>
    <w:rsid w:val="00D73483"/>
    <w:rsid w:val="00D73685"/>
    <w:rsid w:val="00D80729"/>
    <w:rsid w:val="00D84524"/>
    <w:rsid w:val="00D871FF"/>
    <w:rsid w:val="00D909EF"/>
    <w:rsid w:val="00D92A03"/>
    <w:rsid w:val="00D95080"/>
    <w:rsid w:val="00DA0E60"/>
    <w:rsid w:val="00DA7ED7"/>
    <w:rsid w:val="00DB20FB"/>
    <w:rsid w:val="00DB238D"/>
    <w:rsid w:val="00DB37FF"/>
    <w:rsid w:val="00DB6A32"/>
    <w:rsid w:val="00DC0C44"/>
    <w:rsid w:val="00DC1F5A"/>
    <w:rsid w:val="00DC3EB5"/>
    <w:rsid w:val="00DC3F3D"/>
    <w:rsid w:val="00DC4475"/>
    <w:rsid w:val="00DC6FB6"/>
    <w:rsid w:val="00DD00F3"/>
    <w:rsid w:val="00DD05BB"/>
    <w:rsid w:val="00DD3122"/>
    <w:rsid w:val="00DD4A37"/>
    <w:rsid w:val="00DE1463"/>
    <w:rsid w:val="00DE2AF1"/>
    <w:rsid w:val="00DE6D90"/>
    <w:rsid w:val="00DF002F"/>
    <w:rsid w:val="00DF202E"/>
    <w:rsid w:val="00DF250E"/>
    <w:rsid w:val="00DF2777"/>
    <w:rsid w:val="00DF6519"/>
    <w:rsid w:val="00E01858"/>
    <w:rsid w:val="00E0244D"/>
    <w:rsid w:val="00E02919"/>
    <w:rsid w:val="00E06F8D"/>
    <w:rsid w:val="00E10231"/>
    <w:rsid w:val="00E1130B"/>
    <w:rsid w:val="00E12CA0"/>
    <w:rsid w:val="00E15737"/>
    <w:rsid w:val="00E16064"/>
    <w:rsid w:val="00E17637"/>
    <w:rsid w:val="00E210C4"/>
    <w:rsid w:val="00E21D5F"/>
    <w:rsid w:val="00E232A6"/>
    <w:rsid w:val="00E23AC3"/>
    <w:rsid w:val="00E2660C"/>
    <w:rsid w:val="00E32702"/>
    <w:rsid w:val="00E3320F"/>
    <w:rsid w:val="00E33BE6"/>
    <w:rsid w:val="00E33D37"/>
    <w:rsid w:val="00E34854"/>
    <w:rsid w:val="00E362FD"/>
    <w:rsid w:val="00E40ABB"/>
    <w:rsid w:val="00E4165A"/>
    <w:rsid w:val="00E424BA"/>
    <w:rsid w:val="00E42B8C"/>
    <w:rsid w:val="00E442FD"/>
    <w:rsid w:val="00E44D93"/>
    <w:rsid w:val="00E457FA"/>
    <w:rsid w:val="00E4658C"/>
    <w:rsid w:val="00E50830"/>
    <w:rsid w:val="00E52125"/>
    <w:rsid w:val="00E53A1D"/>
    <w:rsid w:val="00E5779A"/>
    <w:rsid w:val="00E60A4C"/>
    <w:rsid w:val="00E62399"/>
    <w:rsid w:val="00E63F5B"/>
    <w:rsid w:val="00E66E4F"/>
    <w:rsid w:val="00E704F9"/>
    <w:rsid w:val="00E716C2"/>
    <w:rsid w:val="00E72646"/>
    <w:rsid w:val="00E73176"/>
    <w:rsid w:val="00E74075"/>
    <w:rsid w:val="00E74C4A"/>
    <w:rsid w:val="00E75091"/>
    <w:rsid w:val="00E766A5"/>
    <w:rsid w:val="00E771F7"/>
    <w:rsid w:val="00E810ED"/>
    <w:rsid w:val="00E81962"/>
    <w:rsid w:val="00E81E94"/>
    <w:rsid w:val="00E81F02"/>
    <w:rsid w:val="00E82607"/>
    <w:rsid w:val="00E829E5"/>
    <w:rsid w:val="00E83409"/>
    <w:rsid w:val="00E8461F"/>
    <w:rsid w:val="00E846FE"/>
    <w:rsid w:val="00E84FDB"/>
    <w:rsid w:val="00E87055"/>
    <w:rsid w:val="00E9067F"/>
    <w:rsid w:val="00E90C08"/>
    <w:rsid w:val="00E92F7B"/>
    <w:rsid w:val="00E93251"/>
    <w:rsid w:val="00E9574D"/>
    <w:rsid w:val="00E95F8E"/>
    <w:rsid w:val="00EA175E"/>
    <w:rsid w:val="00EA6AA1"/>
    <w:rsid w:val="00EA6F21"/>
    <w:rsid w:val="00EB088A"/>
    <w:rsid w:val="00EB0DA2"/>
    <w:rsid w:val="00EB1126"/>
    <w:rsid w:val="00EC33A9"/>
    <w:rsid w:val="00EC5C9A"/>
    <w:rsid w:val="00EC7100"/>
    <w:rsid w:val="00EC7B0C"/>
    <w:rsid w:val="00ED36B7"/>
    <w:rsid w:val="00ED64E6"/>
    <w:rsid w:val="00EE1833"/>
    <w:rsid w:val="00EE2378"/>
    <w:rsid w:val="00EE5D1B"/>
    <w:rsid w:val="00EF17DE"/>
    <w:rsid w:val="00EF45E1"/>
    <w:rsid w:val="00EF6E9B"/>
    <w:rsid w:val="00F00FC7"/>
    <w:rsid w:val="00F105AD"/>
    <w:rsid w:val="00F11C6E"/>
    <w:rsid w:val="00F12042"/>
    <w:rsid w:val="00F12A82"/>
    <w:rsid w:val="00F16F70"/>
    <w:rsid w:val="00F2148A"/>
    <w:rsid w:val="00F22103"/>
    <w:rsid w:val="00F235E5"/>
    <w:rsid w:val="00F236D4"/>
    <w:rsid w:val="00F252ED"/>
    <w:rsid w:val="00F3338A"/>
    <w:rsid w:val="00F34B93"/>
    <w:rsid w:val="00F370EA"/>
    <w:rsid w:val="00F42631"/>
    <w:rsid w:val="00F45308"/>
    <w:rsid w:val="00F528E8"/>
    <w:rsid w:val="00F55D5C"/>
    <w:rsid w:val="00F57374"/>
    <w:rsid w:val="00F61389"/>
    <w:rsid w:val="00F616B2"/>
    <w:rsid w:val="00F62F0D"/>
    <w:rsid w:val="00F634E7"/>
    <w:rsid w:val="00F66995"/>
    <w:rsid w:val="00F72951"/>
    <w:rsid w:val="00F7435A"/>
    <w:rsid w:val="00F824D9"/>
    <w:rsid w:val="00F82FEA"/>
    <w:rsid w:val="00F8677E"/>
    <w:rsid w:val="00F904E6"/>
    <w:rsid w:val="00F908DB"/>
    <w:rsid w:val="00F90DA9"/>
    <w:rsid w:val="00F96381"/>
    <w:rsid w:val="00F9763F"/>
    <w:rsid w:val="00F97CE6"/>
    <w:rsid w:val="00FA047E"/>
    <w:rsid w:val="00FA0D66"/>
    <w:rsid w:val="00FA1A40"/>
    <w:rsid w:val="00FA2F05"/>
    <w:rsid w:val="00FA5A79"/>
    <w:rsid w:val="00FA614C"/>
    <w:rsid w:val="00FA6BD2"/>
    <w:rsid w:val="00FA7CDB"/>
    <w:rsid w:val="00FB093B"/>
    <w:rsid w:val="00FB0BFE"/>
    <w:rsid w:val="00FB4C51"/>
    <w:rsid w:val="00FC0286"/>
    <w:rsid w:val="00FC06FD"/>
    <w:rsid w:val="00FC2113"/>
    <w:rsid w:val="00FC28E3"/>
    <w:rsid w:val="00FC3BB2"/>
    <w:rsid w:val="00FC3C24"/>
    <w:rsid w:val="00FC52D8"/>
    <w:rsid w:val="00FC5820"/>
    <w:rsid w:val="00FD274A"/>
    <w:rsid w:val="00FD377D"/>
    <w:rsid w:val="00FD386A"/>
    <w:rsid w:val="00FD4610"/>
    <w:rsid w:val="00FD5252"/>
    <w:rsid w:val="00FE08AD"/>
    <w:rsid w:val="00FE1552"/>
    <w:rsid w:val="00FE2AAE"/>
    <w:rsid w:val="00FE402E"/>
    <w:rsid w:val="00FE4653"/>
    <w:rsid w:val="00FE5238"/>
    <w:rsid w:val="00FE567B"/>
    <w:rsid w:val="00FE5E8D"/>
    <w:rsid w:val="00FF0060"/>
    <w:rsid w:val="00FF07B1"/>
    <w:rsid w:val="00FF0B45"/>
    <w:rsid w:val="00FF19B8"/>
    <w:rsid w:val="00FF1DBD"/>
    <w:rsid w:val="00FF25D6"/>
    <w:rsid w:val="00FF2A56"/>
    <w:rsid w:val="00FF2B50"/>
    <w:rsid w:val="00FF52C5"/>
    <w:rsid w:val="00FF55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79274EE8"/>
  <w15:docId w15:val="{82EF229F-8D28-4B05-8DCB-03C7746C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833"/>
    <w:rPr>
      <w:lang w:eastAsia="en-US"/>
    </w:rPr>
  </w:style>
  <w:style w:type="paragraph" w:styleId="Heading1">
    <w:name w:val="heading 1"/>
    <w:aliases w:val="Table_G"/>
    <w:basedOn w:val="Normal"/>
    <w:next w:val="BodyText"/>
    <w:link w:val="Heading1Char"/>
    <w:uiPriority w:val="9"/>
    <w:qFormat/>
    <w:rsid w:val="00FF52C5"/>
    <w:pPr>
      <w:numPr>
        <w:numId w:val="6"/>
      </w:numPr>
      <w:spacing w:before="240" w:after="360"/>
      <w:outlineLvl w:val="0"/>
    </w:pPr>
    <w:rPr>
      <w:b/>
      <w:sz w:val="28"/>
      <w:szCs w:val="28"/>
    </w:rPr>
  </w:style>
  <w:style w:type="paragraph" w:styleId="Heading2">
    <w:name w:val="heading 2"/>
    <w:basedOn w:val="Normal"/>
    <w:next w:val="Normal"/>
    <w:link w:val="Heading2Char"/>
    <w:uiPriority w:val="9"/>
    <w:qFormat/>
    <w:rsid w:val="003D51E1"/>
    <w:pPr>
      <w:numPr>
        <w:ilvl w:val="1"/>
        <w:numId w:val="6"/>
      </w:numPr>
      <w:spacing w:after="240"/>
      <w:outlineLvl w:val="1"/>
    </w:pPr>
    <w:rPr>
      <w:b/>
      <w:sz w:val="22"/>
      <w:szCs w:val="22"/>
      <w:lang w:val="en-GB"/>
    </w:rPr>
  </w:style>
  <w:style w:type="paragraph" w:styleId="Heading3">
    <w:name w:val="heading 3"/>
    <w:basedOn w:val="Normal"/>
    <w:next w:val="Normal"/>
    <w:link w:val="Heading3Char"/>
    <w:uiPriority w:val="9"/>
    <w:qFormat/>
    <w:rsid w:val="00657E95"/>
    <w:pPr>
      <w:numPr>
        <w:ilvl w:val="2"/>
        <w:numId w:val="6"/>
      </w:numPr>
      <w:spacing w:after="120"/>
      <w:outlineLvl w:val="2"/>
    </w:pPr>
    <w:rPr>
      <w:lang w:val="en-GB"/>
    </w:rPr>
  </w:style>
  <w:style w:type="paragraph" w:styleId="Heading4">
    <w:name w:val="heading 4"/>
    <w:basedOn w:val="ListParagraph"/>
    <w:next w:val="Normal"/>
    <w:link w:val="Heading4Char"/>
    <w:qFormat/>
    <w:rsid w:val="00EE1833"/>
    <w:pPr>
      <w:numPr>
        <w:numId w:val="8"/>
      </w:numPr>
      <w:tabs>
        <w:tab w:val="right" w:pos="0"/>
        <w:tab w:val="left" w:pos="567"/>
        <w:tab w:val="right" w:pos="1170"/>
        <w:tab w:val="left" w:pos="1559"/>
        <w:tab w:val="left" w:pos="1984"/>
        <w:tab w:val="left" w:leader="dot" w:pos="7654"/>
        <w:tab w:val="right" w:pos="8640"/>
      </w:tabs>
      <w:spacing w:before="120" w:after="120"/>
      <w:ind w:right="6"/>
      <w:contextualSpacing w:val="0"/>
      <w:jc w:val="both"/>
      <w:outlineLvl w:val="3"/>
    </w:pPr>
    <w:rPr>
      <w:i/>
    </w:rPr>
  </w:style>
  <w:style w:type="paragraph" w:styleId="Heading5">
    <w:name w:val="heading 5"/>
    <w:basedOn w:val="ListParagraph"/>
    <w:next w:val="Normal"/>
    <w:link w:val="Heading5Char"/>
    <w:semiHidden/>
    <w:qFormat/>
    <w:rsid w:val="00B76E6A"/>
    <w:pPr>
      <w:numPr>
        <w:numId w:val="9"/>
      </w:numPr>
      <w:tabs>
        <w:tab w:val="right" w:pos="850"/>
        <w:tab w:val="left" w:pos="1134"/>
        <w:tab w:val="left" w:pos="1559"/>
        <w:tab w:val="left" w:pos="1984"/>
        <w:tab w:val="left" w:leader="dot" w:pos="7654"/>
        <w:tab w:val="right" w:pos="8929"/>
        <w:tab w:val="right" w:pos="9639"/>
      </w:tabs>
      <w:outlineLvl w:val="4"/>
    </w:pPr>
    <w:rPr>
      <w:b/>
      <w:i/>
    </w:rPr>
  </w:style>
  <w:style w:type="paragraph" w:styleId="Heading6">
    <w:name w:val="heading 6"/>
    <w:basedOn w:val="ListParagraph"/>
    <w:next w:val="Normal"/>
    <w:link w:val="Heading6Char"/>
    <w:semiHidden/>
    <w:qFormat/>
    <w:rsid w:val="00B258F7"/>
    <w:pPr>
      <w:tabs>
        <w:tab w:val="left" w:pos="567"/>
        <w:tab w:val="left" w:pos="1559"/>
        <w:tab w:val="left" w:pos="1984"/>
        <w:tab w:val="left" w:leader="dot" w:pos="7654"/>
        <w:tab w:val="right" w:pos="8929"/>
        <w:tab w:val="right" w:pos="9639"/>
      </w:tabs>
      <w:spacing w:after="120"/>
      <w:ind w:left="0"/>
      <w:contextualSpacing w:val="0"/>
      <w:jc w:val="both"/>
      <w:outlineLvl w:val="5"/>
    </w:pPr>
    <w:rPr>
      <w:i/>
    </w:rPr>
  </w:style>
  <w:style w:type="paragraph" w:styleId="Heading7">
    <w:name w:val="heading 7"/>
    <w:basedOn w:val="Normal"/>
    <w:next w:val="Normal"/>
    <w:link w:val="Heading7Char"/>
    <w:semiHidden/>
    <w:qFormat/>
    <w:rsid w:val="0008167F"/>
    <w:pPr>
      <w:numPr>
        <w:ilvl w:val="6"/>
        <w:numId w:val="6"/>
      </w:numPr>
      <w:outlineLvl w:val="6"/>
    </w:pPr>
    <w:rPr>
      <w:lang w:val="en-GB"/>
    </w:rPr>
  </w:style>
  <w:style w:type="paragraph" w:styleId="Heading8">
    <w:name w:val="heading 8"/>
    <w:basedOn w:val="Normal"/>
    <w:next w:val="Normal"/>
    <w:link w:val="Heading8Char"/>
    <w:semiHidden/>
    <w:qFormat/>
    <w:rsid w:val="0008167F"/>
    <w:pPr>
      <w:numPr>
        <w:ilvl w:val="7"/>
        <w:numId w:val="6"/>
      </w:numPr>
      <w:outlineLvl w:val="7"/>
    </w:pPr>
    <w:rPr>
      <w:lang w:val="en-GB"/>
    </w:rPr>
  </w:style>
  <w:style w:type="paragraph" w:styleId="Heading9">
    <w:name w:val="heading 9"/>
    <w:basedOn w:val="Normal"/>
    <w:next w:val="Normal"/>
    <w:link w:val="Heading9Char"/>
    <w:semiHidden/>
    <w:qFormat/>
    <w:rsid w:val="0008167F"/>
    <w:pPr>
      <w:numPr>
        <w:ilvl w:val="8"/>
        <w:numId w:val="6"/>
      </w:numPr>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79467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94671"/>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08167F"/>
    <w:pPr>
      <w:keepNext/>
      <w:keepLines/>
      <w:tabs>
        <w:tab w:val="right" w:pos="851"/>
      </w:tabs>
      <w:spacing w:before="360" w:after="240" w:line="270" w:lineRule="exact"/>
      <w:ind w:left="1134" w:right="1134" w:hanging="1134"/>
    </w:pPr>
    <w:rPr>
      <w:b/>
      <w:sz w:val="24"/>
      <w:lang w:val="en-GB"/>
    </w:rPr>
  </w:style>
  <w:style w:type="paragraph" w:customStyle="1" w:styleId="H23G">
    <w:name w:val="_ H_2/3_G"/>
    <w:basedOn w:val="Normal"/>
    <w:next w:val="Normal"/>
    <w:qFormat/>
    <w:rsid w:val="0079467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94671"/>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94671"/>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94671"/>
    <w:pPr>
      <w:spacing w:after="120"/>
      <w:ind w:left="1134" w:right="1134"/>
      <w:jc w:val="both"/>
    </w:pPr>
  </w:style>
  <w:style w:type="paragraph" w:customStyle="1" w:styleId="SLG">
    <w:name w:val="__S_L_G"/>
    <w:basedOn w:val="Normal"/>
    <w:next w:val="Normal"/>
    <w:rsid w:val="00794671"/>
    <w:pPr>
      <w:keepNext/>
      <w:keepLines/>
      <w:spacing w:before="240" w:after="240" w:line="580" w:lineRule="exact"/>
      <w:ind w:left="1134" w:right="1134"/>
    </w:pPr>
    <w:rPr>
      <w:b/>
      <w:sz w:val="56"/>
    </w:rPr>
  </w:style>
  <w:style w:type="paragraph" w:customStyle="1" w:styleId="SMG">
    <w:name w:val="__S_M_G"/>
    <w:basedOn w:val="Normal"/>
    <w:next w:val="Normal"/>
    <w:rsid w:val="00794671"/>
    <w:pPr>
      <w:keepNext/>
      <w:keepLines/>
      <w:spacing w:before="240" w:after="240" w:line="420" w:lineRule="exact"/>
      <w:ind w:left="1134" w:right="1134"/>
    </w:pPr>
    <w:rPr>
      <w:b/>
      <w:sz w:val="40"/>
    </w:rPr>
  </w:style>
  <w:style w:type="paragraph" w:customStyle="1" w:styleId="SSG">
    <w:name w:val="__S_S_G"/>
    <w:basedOn w:val="Normal"/>
    <w:next w:val="Normal"/>
    <w:rsid w:val="00794671"/>
    <w:pPr>
      <w:keepNext/>
      <w:keepLines/>
      <w:spacing w:before="240" w:after="240" w:line="300" w:lineRule="exact"/>
      <w:ind w:left="1134" w:right="1134"/>
    </w:pPr>
    <w:rPr>
      <w:b/>
      <w:sz w:val="28"/>
    </w:rPr>
  </w:style>
  <w:style w:type="paragraph" w:customStyle="1" w:styleId="XLargeG">
    <w:name w:val="__XLarge_G"/>
    <w:basedOn w:val="Normal"/>
    <w:next w:val="Normal"/>
    <w:rsid w:val="00794671"/>
    <w:pPr>
      <w:keepNext/>
      <w:keepLines/>
      <w:spacing w:before="240" w:after="240" w:line="420" w:lineRule="exact"/>
      <w:ind w:left="1134" w:right="1134"/>
    </w:pPr>
    <w:rPr>
      <w:b/>
      <w:sz w:val="40"/>
    </w:rPr>
  </w:style>
  <w:style w:type="paragraph" w:customStyle="1" w:styleId="Bullet1G">
    <w:name w:val="_Bullet 1_G"/>
    <w:basedOn w:val="Normal"/>
    <w:qFormat/>
    <w:rsid w:val="00794671"/>
    <w:pPr>
      <w:numPr>
        <w:numId w:val="1"/>
      </w:numPr>
      <w:spacing w:after="120"/>
      <w:ind w:right="1134"/>
      <w:jc w:val="both"/>
    </w:pPr>
  </w:style>
  <w:style w:type="paragraph" w:customStyle="1" w:styleId="Bullet2G">
    <w:name w:val="_Bullet 2_G"/>
    <w:basedOn w:val="Normal"/>
    <w:qFormat/>
    <w:rsid w:val="00794671"/>
    <w:pPr>
      <w:numPr>
        <w:numId w:val="2"/>
      </w:numPr>
      <w:spacing w:after="120"/>
      <w:ind w:right="1134"/>
      <w:jc w:val="both"/>
    </w:pPr>
  </w:style>
  <w:style w:type="character" w:styleId="FootnoteReference">
    <w:name w:val="footnote reference"/>
    <w:aliases w:val="4_G,Footnote number,ftref,Texto de nota al pie"/>
    <w:basedOn w:val="DefaultParagraphFont"/>
    <w:qFormat/>
    <w:rsid w:val="0008167F"/>
    <w:rPr>
      <w:rFonts w:ascii="Times New Roman" w:hAnsi="Times New Roman"/>
      <w:sz w:val="18"/>
      <w:vertAlign w:val="superscript"/>
    </w:rPr>
  </w:style>
  <w:style w:type="character" w:styleId="EndnoteReference">
    <w:name w:val="endnote reference"/>
    <w:aliases w:val="1_G"/>
    <w:basedOn w:val="FootnoteReference"/>
    <w:qFormat/>
    <w:rsid w:val="00794671"/>
    <w:rPr>
      <w:rFonts w:ascii="Times New Roman" w:hAnsi="Times New Roman"/>
      <w:sz w:val="18"/>
      <w:vertAlign w:val="superscript"/>
      <w:lang w:val="fr-CH"/>
    </w:rPr>
  </w:style>
  <w:style w:type="paragraph" w:styleId="Header">
    <w:name w:val="header"/>
    <w:aliases w:val="6_G"/>
    <w:basedOn w:val="Normal"/>
    <w:link w:val="HeaderChar"/>
    <w:uiPriority w:val="99"/>
    <w:rsid w:val="0008167F"/>
    <w:pPr>
      <w:pBdr>
        <w:bottom w:val="single" w:sz="4" w:space="4" w:color="auto"/>
      </w:pBdr>
    </w:pPr>
    <w:rPr>
      <w:b/>
      <w:sz w:val="18"/>
      <w:lang w:val="en-GB"/>
    </w:rPr>
  </w:style>
  <w:style w:type="paragraph" w:styleId="FootnoteText">
    <w:name w:val="footnote text"/>
    <w:aliases w:val="5_G, Char,Footnote Text Char Char Char,Footnote Text Char Char Char Char,Footnote Text Char Char Char Char Char,Footnote Text Char Char Char Char Char Char,Footnote Text Char Char Char Char Char Char Char Char Char Char,FA Fu"/>
    <w:basedOn w:val="Normal"/>
    <w:link w:val="FootnoteTextChar"/>
    <w:uiPriority w:val="99"/>
    <w:qFormat/>
    <w:rsid w:val="00FD386A"/>
    <w:pPr>
      <w:spacing w:line="220" w:lineRule="exact"/>
      <w:jc w:val="both"/>
    </w:pPr>
    <w:rPr>
      <w:sz w:val="18"/>
    </w:rPr>
  </w:style>
  <w:style w:type="paragraph" w:styleId="EndnoteText">
    <w:name w:val="endnote text"/>
    <w:aliases w:val="2_G"/>
    <w:basedOn w:val="FootnoteText"/>
    <w:link w:val="EndnoteTextChar"/>
    <w:qFormat/>
    <w:rsid w:val="0008167F"/>
  </w:style>
  <w:style w:type="character" w:styleId="PageNumber">
    <w:name w:val="page number"/>
    <w:aliases w:val="7_G"/>
    <w:basedOn w:val="DefaultParagraphFont"/>
    <w:qFormat/>
    <w:rsid w:val="0008167F"/>
    <w:rPr>
      <w:rFonts w:ascii="Times New Roman" w:hAnsi="Times New Roman"/>
      <w:b/>
      <w:sz w:val="18"/>
    </w:rPr>
  </w:style>
  <w:style w:type="paragraph" w:styleId="Footer">
    <w:name w:val="footer"/>
    <w:aliases w:val="3_G"/>
    <w:basedOn w:val="Normal"/>
    <w:link w:val="FooterChar"/>
    <w:uiPriority w:val="99"/>
    <w:qFormat/>
    <w:rsid w:val="0008167F"/>
    <w:rPr>
      <w:sz w:val="16"/>
      <w:lang w:val="en-GB"/>
    </w:rPr>
  </w:style>
  <w:style w:type="character" w:styleId="Hyperlink">
    <w:name w:val="Hyperlink"/>
    <w:basedOn w:val="DefaultParagraphFont"/>
    <w:uiPriority w:val="99"/>
    <w:rsid w:val="0008167F"/>
    <w:rPr>
      <w:color w:val="auto"/>
      <w:u w:val="none"/>
    </w:rPr>
  </w:style>
  <w:style w:type="character" w:styleId="FollowedHyperlink">
    <w:name w:val="FollowedHyperlink"/>
    <w:basedOn w:val="DefaultParagraphFont"/>
    <w:semiHidden/>
    <w:rsid w:val="0008167F"/>
    <w:rPr>
      <w:color w:val="auto"/>
      <w:u w:val="none"/>
    </w:rPr>
  </w:style>
  <w:style w:type="table" w:styleId="TableGrid">
    <w:name w:val="Table Grid"/>
    <w:basedOn w:val="TableNormal"/>
    <w:uiPriority w:val="59"/>
    <w:rsid w:val="0008167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uiPriority w:val="99"/>
    <w:semiHidden/>
    <w:rsid w:val="006717FE"/>
    <w:rPr>
      <w:rFonts w:ascii="Tahoma" w:hAnsi="Tahoma" w:cs="Tahoma"/>
      <w:sz w:val="16"/>
      <w:szCs w:val="16"/>
    </w:rPr>
  </w:style>
  <w:style w:type="character" w:customStyle="1" w:styleId="BalloonTextChar">
    <w:name w:val="Balloon Text Char"/>
    <w:basedOn w:val="DefaultParagraphFont"/>
    <w:link w:val="BalloonText"/>
    <w:uiPriority w:val="99"/>
    <w:semiHidden/>
    <w:rsid w:val="006717FE"/>
    <w:rPr>
      <w:rFonts w:ascii="Tahoma" w:hAnsi="Tahoma" w:cs="Tahoma"/>
      <w:sz w:val="16"/>
      <w:szCs w:val="16"/>
      <w:lang w:val="fr-CH" w:eastAsia="en-US"/>
    </w:rPr>
  </w:style>
  <w:style w:type="paragraph" w:customStyle="1" w:styleId="ParNoG">
    <w:name w:val="_ParNo_G"/>
    <w:basedOn w:val="SingleTxtG"/>
    <w:qFormat/>
    <w:rsid w:val="007245EE"/>
    <w:pPr>
      <w:numPr>
        <w:numId w:val="3"/>
      </w:numPr>
      <w:kinsoku w:val="0"/>
      <w:overflowPunct w:val="0"/>
      <w:autoSpaceDE w:val="0"/>
      <w:autoSpaceDN w:val="0"/>
      <w:adjustRightInd w:val="0"/>
      <w:snapToGrid w:val="0"/>
    </w:pPr>
  </w:style>
  <w:style w:type="paragraph" w:styleId="ListParagraph">
    <w:name w:val="List Paragraph"/>
    <w:aliases w:val="normal,List Paragraph1,Normal1,Normal2,Normal3,Normal4,Normal5,Normal6,Normal7,Normal11,Normal111,Medium Grid 1 - Accent 21,Normal21,Normal8,Normal9,Normal10,Normal12,Normal13,Normal14,Normal15,Normal16,Normal17,Normal18,Normal19"/>
    <w:basedOn w:val="Normal"/>
    <w:link w:val="ListParagraphChar"/>
    <w:uiPriority w:val="34"/>
    <w:qFormat/>
    <w:rsid w:val="00BE5147"/>
    <w:pPr>
      <w:ind w:left="720"/>
      <w:contextualSpacing/>
    </w:pPr>
  </w:style>
  <w:style w:type="character" w:customStyle="1" w:styleId="FootnoteTextChar">
    <w:name w:val="Footnote Text Char"/>
    <w:aliases w:val="5_G Char, Char Char,Footnote Text Char Char Char Char1,Footnote Text Char Char Char Char Char1,Footnote Text Char Char Char Char Char Char1,Footnote Text Char Char Char Char Char Char Char,FA Fu Char"/>
    <w:basedOn w:val="DefaultParagraphFont"/>
    <w:link w:val="FootnoteText"/>
    <w:uiPriority w:val="99"/>
    <w:rsid w:val="00FD386A"/>
    <w:rPr>
      <w:sz w:val="18"/>
      <w:lang w:eastAsia="en-US"/>
    </w:rPr>
  </w:style>
  <w:style w:type="character" w:styleId="CommentReference">
    <w:name w:val="annotation reference"/>
    <w:basedOn w:val="DefaultParagraphFont"/>
    <w:uiPriority w:val="99"/>
    <w:semiHidden/>
    <w:unhideWhenUsed/>
    <w:rsid w:val="00064957"/>
    <w:rPr>
      <w:sz w:val="16"/>
      <w:szCs w:val="16"/>
    </w:rPr>
  </w:style>
  <w:style w:type="paragraph" w:styleId="CommentText">
    <w:name w:val="annotation text"/>
    <w:basedOn w:val="Normal"/>
    <w:link w:val="CommentTextChar"/>
    <w:uiPriority w:val="99"/>
    <w:unhideWhenUsed/>
    <w:rsid w:val="00064957"/>
    <w:rPr>
      <w:lang w:val="en-GB"/>
    </w:rPr>
  </w:style>
  <w:style w:type="character" w:customStyle="1" w:styleId="CommentTextChar">
    <w:name w:val="Comment Text Char"/>
    <w:basedOn w:val="DefaultParagraphFont"/>
    <w:link w:val="CommentText"/>
    <w:uiPriority w:val="99"/>
    <w:rsid w:val="00064957"/>
    <w:rPr>
      <w:lang w:val="en-GB" w:eastAsia="en-US"/>
    </w:rPr>
  </w:style>
  <w:style w:type="paragraph" w:styleId="NoSpacing">
    <w:name w:val="No Spacing"/>
    <w:uiPriority w:val="1"/>
    <w:qFormat/>
    <w:rsid w:val="00064957"/>
    <w:rPr>
      <w:rFonts w:asciiTheme="minorHAnsi" w:eastAsiaTheme="minorEastAsia" w:hAnsiTheme="minorHAnsi" w:cstheme="minorBidi"/>
      <w:sz w:val="24"/>
      <w:szCs w:val="24"/>
      <w:lang w:val="en-US" w:eastAsia="en-US"/>
    </w:rPr>
  </w:style>
  <w:style w:type="numbering" w:customStyle="1" w:styleId="TitresRapportLong">
    <w:name w:val="Titres Rapport Long"/>
    <w:uiPriority w:val="99"/>
    <w:rsid w:val="005041A3"/>
    <w:pPr>
      <w:numPr>
        <w:numId w:val="5"/>
      </w:numPr>
    </w:pPr>
  </w:style>
  <w:style w:type="paragraph" w:styleId="TOCHeading">
    <w:name w:val="TOC Heading"/>
    <w:basedOn w:val="Heading1"/>
    <w:next w:val="Normal"/>
    <w:uiPriority w:val="39"/>
    <w:unhideWhenUsed/>
    <w:qFormat/>
    <w:rsid w:val="00B47CEC"/>
    <w:pPr>
      <w:keepNext/>
      <w:keepLines/>
      <w:numPr>
        <w:numId w:val="0"/>
      </w:numPr>
      <w:spacing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D55DB5"/>
    <w:pPr>
      <w:tabs>
        <w:tab w:val="left" w:pos="567"/>
        <w:tab w:val="right" w:leader="dot" w:pos="9629"/>
      </w:tabs>
      <w:spacing w:after="100"/>
    </w:pPr>
  </w:style>
  <w:style w:type="paragraph" w:styleId="TOC2">
    <w:name w:val="toc 2"/>
    <w:basedOn w:val="Normal"/>
    <w:next w:val="Normal"/>
    <w:autoRedefine/>
    <w:uiPriority w:val="39"/>
    <w:unhideWhenUsed/>
    <w:rsid w:val="00D55DB5"/>
    <w:pPr>
      <w:tabs>
        <w:tab w:val="left" w:pos="567"/>
        <w:tab w:val="left" w:pos="993"/>
        <w:tab w:val="right" w:leader="dot" w:pos="9621"/>
      </w:tabs>
      <w:spacing w:after="100"/>
      <w:ind w:left="993" w:hanging="651"/>
    </w:pPr>
  </w:style>
  <w:style w:type="paragraph" w:styleId="TOC3">
    <w:name w:val="toc 3"/>
    <w:basedOn w:val="Normal"/>
    <w:next w:val="Normal"/>
    <w:autoRedefine/>
    <w:uiPriority w:val="39"/>
    <w:unhideWhenUsed/>
    <w:rsid w:val="005B0511"/>
    <w:pPr>
      <w:tabs>
        <w:tab w:val="left" w:pos="880"/>
        <w:tab w:val="right" w:leader="dot" w:pos="9629"/>
      </w:tabs>
      <w:spacing w:after="100"/>
      <w:ind w:left="400"/>
    </w:pPr>
    <w:rPr>
      <w:b/>
      <w:noProof/>
    </w:rPr>
  </w:style>
  <w:style w:type="paragraph" w:styleId="CommentSubject">
    <w:name w:val="annotation subject"/>
    <w:basedOn w:val="CommentText"/>
    <w:next w:val="CommentText"/>
    <w:link w:val="CommentSubjectChar"/>
    <w:uiPriority w:val="99"/>
    <w:semiHidden/>
    <w:unhideWhenUsed/>
    <w:rsid w:val="00033387"/>
    <w:rPr>
      <w:b/>
      <w:bCs/>
      <w:lang w:val="fr-CH"/>
    </w:rPr>
  </w:style>
  <w:style w:type="character" w:customStyle="1" w:styleId="CommentSubjectChar">
    <w:name w:val="Comment Subject Char"/>
    <w:basedOn w:val="CommentTextChar"/>
    <w:link w:val="CommentSubject"/>
    <w:uiPriority w:val="99"/>
    <w:semiHidden/>
    <w:rsid w:val="00033387"/>
    <w:rPr>
      <w:b/>
      <w:bCs/>
      <w:lang w:val="fr-CH" w:eastAsia="en-US"/>
    </w:rPr>
  </w:style>
  <w:style w:type="character" w:customStyle="1" w:styleId="SingleTxtGChar">
    <w:name w:val="_ Single Txt_G Char"/>
    <w:link w:val="SingleTxtG"/>
    <w:locked/>
    <w:rsid w:val="0011001A"/>
    <w:rPr>
      <w:lang w:val="fr-CH" w:eastAsia="en-US"/>
    </w:rPr>
  </w:style>
  <w:style w:type="paragraph" w:styleId="Revision">
    <w:name w:val="Revision"/>
    <w:hidden/>
    <w:uiPriority w:val="99"/>
    <w:semiHidden/>
    <w:rsid w:val="00851220"/>
    <w:rPr>
      <w:lang w:val="fr-CH" w:eastAsia="en-US"/>
    </w:rPr>
  </w:style>
  <w:style w:type="paragraph" w:styleId="BodyText">
    <w:name w:val="Body Text"/>
    <w:basedOn w:val="ListParagraph"/>
    <w:link w:val="BodyTextChar"/>
    <w:uiPriority w:val="99"/>
    <w:unhideWhenUsed/>
    <w:qFormat/>
    <w:rsid w:val="00B258F7"/>
    <w:pPr>
      <w:numPr>
        <w:numId w:val="4"/>
      </w:numPr>
      <w:tabs>
        <w:tab w:val="right" w:pos="0"/>
        <w:tab w:val="left" w:pos="567"/>
      </w:tabs>
      <w:spacing w:after="120"/>
      <w:contextualSpacing w:val="0"/>
      <w:jc w:val="both"/>
    </w:pPr>
  </w:style>
  <w:style w:type="character" w:customStyle="1" w:styleId="BodyTextChar">
    <w:name w:val="Body Text Char"/>
    <w:basedOn w:val="DefaultParagraphFont"/>
    <w:link w:val="BodyText"/>
    <w:uiPriority w:val="99"/>
    <w:rsid w:val="00B258F7"/>
    <w:rPr>
      <w:lang w:eastAsia="en-US"/>
    </w:rPr>
  </w:style>
  <w:style w:type="character" w:customStyle="1" w:styleId="ListParagraphChar">
    <w:name w:val="List Paragraph Char"/>
    <w:aliases w:val="normal Char,List Paragraph1 Char,Normal1 Char,Normal2 Char,Normal3 Char,Normal4 Char,Normal5 Char,Normal6 Char,Normal7 Char,Normal11 Char,Normal111 Char,Medium Grid 1 - Accent 21 Char,Normal21 Char,Normal8 Char,Normal9 Char"/>
    <w:basedOn w:val="DefaultParagraphFont"/>
    <w:link w:val="ListParagraph"/>
    <w:uiPriority w:val="34"/>
    <w:locked/>
    <w:rsid w:val="00060038"/>
    <w:rPr>
      <w:lang w:eastAsia="en-US"/>
    </w:rPr>
  </w:style>
  <w:style w:type="character" w:customStyle="1" w:styleId="Heading1Char">
    <w:name w:val="Heading 1 Char"/>
    <w:aliases w:val="Table_G Char"/>
    <w:basedOn w:val="DefaultParagraphFont"/>
    <w:link w:val="Heading1"/>
    <w:uiPriority w:val="9"/>
    <w:rsid w:val="00771DAE"/>
    <w:rPr>
      <w:b/>
      <w:sz w:val="28"/>
      <w:szCs w:val="28"/>
      <w:lang w:eastAsia="en-US"/>
    </w:rPr>
  </w:style>
  <w:style w:type="character" w:customStyle="1" w:styleId="Heading2Char">
    <w:name w:val="Heading 2 Char"/>
    <w:basedOn w:val="DefaultParagraphFont"/>
    <w:link w:val="Heading2"/>
    <w:uiPriority w:val="9"/>
    <w:rsid w:val="00771DAE"/>
    <w:rPr>
      <w:b/>
      <w:sz w:val="22"/>
      <w:szCs w:val="22"/>
      <w:lang w:val="en-GB" w:eastAsia="en-US"/>
    </w:rPr>
  </w:style>
  <w:style w:type="character" w:customStyle="1" w:styleId="Heading3Char">
    <w:name w:val="Heading 3 Char"/>
    <w:basedOn w:val="DefaultParagraphFont"/>
    <w:link w:val="Heading3"/>
    <w:uiPriority w:val="9"/>
    <w:rsid w:val="00771DAE"/>
    <w:rPr>
      <w:lang w:val="en-GB" w:eastAsia="en-US"/>
    </w:rPr>
  </w:style>
  <w:style w:type="character" w:customStyle="1" w:styleId="Heading4Char">
    <w:name w:val="Heading 4 Char"/>
    <w:basedOn w:val="DefaultParagraphFont"/>
    <w:link w:val="Heading4"/>
    <w:rsid w:val="00EE1833"/>
    <w:rPr>
      <w:i/>
      <w:lang w:eastAsia="en-US"/>
    </w:rPr>
  </w:style>
  <w:style w:type="character" w:customStyle="1" w:styleId="Heading5Char">
    <w:name w:val="Heading 5 Char"/>
    <w:basedOn w:val="DefaultParagraphFont"/>
    <w:link w:val="Heading5"/>
    <w:semiHidden/>
    <w:rsid w:val="00B76E6A"/>
    <w:rPr>
      <w:b/>
      <w:i/>
      <w:lang w:eastAsia="en-US"/>
    </w:rPr>
  </w:style>
  <w:style w:type="character" w:customStyle="1" w:styleId="Heading6Char">
    <w:name w:val="Heading 6 Char"/>
    <w:basedOn w:val="DefaultParagraphFont"/>
    <w:link w:val="Heading6"/>
    <w:semiHidden/>
    <w:rsid w:val="00B258F7"/>
    <w:rPr>
      <w:i/>
      <w:lang w:eastAsia="en-US"/>
    </w:rPr>
  </w:style>
  <w:style w:type="character" w:customStyle="1" w:styleId="Heading7Char">
    <w:name w:val="Heading 7 Char"/>
    <w:basedOn w:val="DefaultParagraphFont"/>
    <w:link w:val="Heading7"/>
    <w:semiHidden/>
    <w:rsid w:val="00771DAE"/>
    <w:rPr>
      <w:lang w:val="en-GB" w:eastAsia="en-US"/>
    </w:rPr>
  </w:style>
  <w:style w:type="character" w:customStyle="1" w:styleId="Heading8Char">
    <w:name w:val="Heading 8 Char"/>
    <w:basedOn w:val="DefaultParagraphFont"/>
    <w:link w:val="Heading8"/>
    <w:semiHidden/>
    <w:rsid w:val="00771DAE"/>
    <w:rPr>
      <w:lang w:val="en-GB" w:eastAsia="en-US"/>
    </w:rPr>
  </w:style>
  <w:style w:type="character" w:customStyle="1" w:styleId="Heading9Char">
    <w:name w:val="Heading 9 Char"/>
    <w:basedOn w:val="DefaultParagraphFont"/>
    <w:link w:val="Heading9"/>
    <w:semiHidden/>
    <w:rsid w:val="00771DAE"/>
    <w:rPr>
      <w:lang w:val="en-GB" w:eastAsia="en-US"/>
    </w:rPr>
  </w:style>
  <w:style w:type="character" w:customStyle="1" w:styleId="HeaderChar">
    <w:name w:val="Header Char"/>
    <w:aliases w:val="6_G Char"/>
    <w:basedOn w:val="DefaultParagraphFont"/>
    <w:link w:val="Header"/>
    <w:uiPriority w:val="99"/>
    <w:rsid w:val="00771DAE"/>
    <w:rPr>
      <w:b/>
      <w:sz w:val="18"/>
      <w:lang w:val="en-GB" w:eastAsia="en-US"/>
    </w:rPr>
  </w:style>
  <w:style w:type="character" w:customStyle="1" w:styleId="EndnoteTextChar">
    <w:name w:val="Endnote Text Char"/>
    <w:aliases w:val="2_G Char"/>
    <w:basedOn w:val="DefaultParagraphFont"/>
    <w:link w:val="EndnoteText"/>
    <w:rsid w:val="00771DAE"/>
    <w:rPr>
      <w:sz w:val="18"/>
      <w:lang w:eastAsia="en-US"/>
    </w:rPr>
  </w:style>
  <w:style w:type="character" w:customStyle="1" w:styleId="FooterChar">
    <w:name w:val="Footer Char"/>
    <w:aliases w:val="3_G Char"/>
    <w:basedOn w:val="DefaultParagraphFont"/>
    <w:link w:val="Footer"/>
    <w:uiPriority w:val="99"/>
    <w:rsid w:val="00771DAE"/>
    <w:rPr>
      <w:sz w:val="16"/>
      <w:lang w:val="en-GB" w:eastAsia="en-US"/>
    </w:rPr>
  </w:style>
  <w:style w:type="paragraph" w:styleId="NormalWeb">
    <w:name w:val="Normal (Web)"/>
    <w:basedOn w:val="Normal"/>
    <w:uiPriority w:val="99"/>
    <w:unhideWhenUsed/>
    <w:rsid w:val="00771DAE"/>
    <w:pPr>
      <w:spacing w:before="100" w:beforeAutospacing="1" w:after="100" w:afterAutospacing="1"/>
    </w:pPr>
    <w:rPr>
      <w:sz w:val="24"/>
      <w:szCs w:val="24"/>
      <w:lang w:val="en-US"/>
    </w:rPr>
  </w:style>
  <w:style w:type="paragraph" w:customStyle="1" w:styleId="Default">
    <w:name w:val="Default"/>
    <w:rsid w:val="00771DAE"/>
    <w:pPr>
      <w:autoSpaceDE w:val="0"/>
      <w:autoSpaceDN w:val="0"/>
      <w:adjustRightInd w:val="0"/>
    </w:pPr>
    <w:rPr>
      <w:rFonts w:eastAsiaTheme="minorHAnsi"/>
      <w:color w:val="000000"/>
      <w:sz w:val="24"/>
      <w:szCs w:val="24"/>
      <w:lang w:val="en-US" w:eastAsia="en-US"/>
    </w:rPr>
  </w:style>
  <w:style w:type="paragraph" w:customStyle="1" w:styleId="Numbering">
    <w:name w:val="Numbering"/>
    <w:basedOn w:val="Normal"/>
    <w:rsid w:val="00771DAE"/>
    <w:pPr>
      <w:widowControl w:val="0"/>
      <w:numPr>
        <w:numId w:val="7"/>
      </w:numPr>
      <w:spacing w:after="240" w:line="360" w:lineRule="auto"/>
    </w:pPr>
    <w:rPr>
      <w:rFonts w:ascii="Courier New" w:hAnsi="Courier New"/>
      <w:sz w:val="24"/>
      <w:szCs w:val="24"/>
      <w:lang w:val="en-GB"/>
    </w:rPr>
  </w:style>
  <w:style w:type="paragraph" w:customStyle="1" w:styleId="default0">
    <w:name w:val="default"/>
    <w:basedOn w:val="Normal"/>
    <w:rsid w:val="00771DAE"/>
    <w:pPr>
      <w:spacing w:before="100" w:beforeAutospacing="1" w:after="100" w:afterAutospacing="1"/>
    </w:pPr>
    <w:rPr>
      <w:sz w:val="24"/>
      <w:szCs w:val="24"/>
      <w:lang w:val="en-US"/>
    </w:rPr>
  </w:style>
  <w:style w:type="paragraph" w:customStyle="1" w:styleId="Corps">
    <w:name w:val="Corps"/>
    <w:rsid w:val="00771DAE"/>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BodyText2">
    <w:name w:val="Body Text 2"/>
    <w:basedOn w:val="Normal"/>
    <w:link w:val="BodyText2Char"/>
    <w:unhideWhenUsed/>
    <w:rsid w:val="00431AC3"/>
    <w:pPr>
      <w:spacing w:after="120" w:line="480" w:lineRule="auto"/>
    </w:pPr>
  </w:style>
  <w:style w:type="character" w:customStyle="1" w:styleId="BodyText2Char">
    <w:name w:val="Body Text 2 Char"/>
    <w:basedOn w:val="DefaultParagraphFont"/>
    <w:link w:val="BodyText2"/>
    <w:rsid w:val="00431AC3"/>
    <w:rPr>
      <w:lang w:eastAsia="en-US"/>
    </w:rPr>
  </w:style>
  <w:style w:type="paragraph" w:styleId="BodyText3">
    <w:name w:val="Body Text 3"/>
    <w:basedOn w:val="Normal"/>
    <w:link w:val="BodyText3Char"/>
    <w:unhideWhenUsed/>
    <w:rsid w:val="002B02EE"/>
    <w:pPr>
      <w:spacing w:after="120"/>
    </w:pPr>
    <w:rPr>
      <w:sz w:val="16"/>
      <w:szCs w:val="16"/>
    </w:rPr>
  </w:style>
  <w:style w:type="character" w:customStyle="1" w:styleId="BodyText3Char">
    <w:name w:val="Body Text 3 Char"/>
    <w:basedOn w:val="DefaultParagraphFont"/>
    <w:link w:val="BodyText3"/>
    <w:rsid w:val="002B02EE"/>
    <w:rPr>
      <w:sz w:val="16"/>
      <w:szCs w:val="16"/>
      <w:lang w:eastAsia="en-US"/>
    </w:rPr>
  </w:style>
  <w:style w:type="paragraph" w:styleId="TOC4">
    <w:name w:val="toc 4"/>
    <w:basedOn w:val="Normal"/>
    <w:next w:val="Normal"/>
    <w:autoRedefine/>
    <w:uiPriority w:val="39"/>
    <w:unhideWhenUsed/>
    <w:rsid w:val="0093751D"/>
    <w:pPr>
      <w:spacing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93751D"/>
    <w:pPr>
      <w:spacing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93751D"/>
    <w:pPr>
      <w:spacing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rsid w:val="0093751D"/>
    <w:pPr>
      <w:spacing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93751D"/>
    <w:pPr>
      <w:spacing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93751D"/>
    <w:pPr>
      <w:spacing w:after="100" w:line="259" w:lineRule="auto"/>
      <w:ind w:left="1760"/>
    </w:pPr>
    <w:rPr>
      <w:rFonts w:asciiTheme="minorHAnsi" w:eastAsiaTheme="minorEastAsia" w:hAnsiTheme="minorHAnsi" w:cstheme="minorBidi"/>
      <w:sz w:val="22"/>
      <w:szCs w:val="22"/>
      <w:lang w:val="en-GB" w:eastAsia="en-GB"/>
    </w:rPr>
  </w:style>
  <w:style w:type="paragraph" w:customStyle="1" w:styleId="xmsonormal">
    <w:name w:val="x_msonormal"/>
    <w:basedOn w:val="Normal"/>
    <w:rsid w:val="00DD3122"/>
    <w:pPr>
      <w:spacing w:before="100" w:beforeAutospacing="1" w:after="100" w:afterAutospacing="1"/>
    </w:pPr>
    <w:rPr>
      <w:sz w:val="24"/>
      <w:szCs w:val="24"/>
      <w:lang w:eastAsia="fr-FR"/>
    </w:rPr>
  </w:style>
  <w:style w:type="paragraph" w:customStyle="1" w:styleId="xmsolistparagraph">
    <w:name w:val="x_msolistparagraph"/>
    <w:basedOn w:val="Normal"/>
    <w:rsid w:val="00DD3122"/>
    <w:pPr>
      <w:spacing w:before="100" w:beforeAutospacing="1" w:after="100" w:afterAutospacing="1"/>
    </w:pPr>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2621">
      <w:bodyDiv w:val="1"/>
      <w:marLeft w:val="0"/>
      <w:marRight w:val="0"/>
      <w:marTop w:val="0"/>
      <w:marBottom w:val="0"/>
      <w:divBdr>
        <w:top w:val="none" w:sz="0" w:space="0" w:color="auto"/>
        <w:left w:val="none" w:sz="0" w:space="0" w:color="auto"/>
        <w:bottom w:val="none" w:sz="0" w:space="0" w:color="auto"/>
        <w:right w:val="none" w:sz="0" w:space="0" w:color="auto"/>
      </w:divBdr>
    </w:div>
    <w:div w:id="522979943">
      <w:bodyDiv w:val="1"/>
      <w:marLeft w:val="0"/>
      <w:marRight w:val="0"/>
      <w:marTop w:val="0"/>
      <w:marBottom w:val="0"/>
      <w:divBdr>
        <w:top w:val="none" w:sz="0" w:space="0" w:color="auto"/>
        <w:left w:val="none" w:sz="0" w:space="0" w:color="auto"/>
        <w:bottom w:val="none" w:sz="0" w:space="0" w:color="auto"/>
        <w:right w:val="none" w:sz="0" w:space="0" w:color="auto"/>
      </w:divBdr>
    </w:div>
    <w:div w:id="1222905237">
      <w:bodyDiv w:val="1"/>
      <w:marLeft w:val="0"/>
      <w:marRight w:val="0"/>
      <w:marTop w:val="0"/>
      <w:marBottom w:val="0"/>
      <w:divBdr>
        <w:top w:val="none" w:sz="0" w:space="0" w:color="auto"/>
        <w:left w:val="none" w:sz="0" w:space="0" w:color="auto"/>
        <w:bottom w:val="none" w:sz="0" w:space="0" w:color="auto"/>
        <w:right w:val="none" w:sz="0" w:space="0" w:color="auto"/>
      </w:divBdr>
    </w:div>
    <w:div w:id="135738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8" Type="http://schemas.openxmlformats.org/officeDocument/2006/relationships/hyperlink" Target="https://www.radiookapi.net/2018/06/15/actualite/revue-de-presse/le-potentiel-le-president-kabila-appele-se-prononcer-le-clc" TargetMode="External"/><Relationship Id="rId3" Type="http://schemas.openxmlformats.org/officeDocument/2006/relationships/hyperlink" Target="http://webdoc.rfi.fr/rdc-kasai-violences-crimes-kamuina-nsapu/chap-03/index.html" TargetMode="External"/><Relationship Id="rId7" Type="http://schemas.openxmlformats.org/officeDocument/2006/relationships/hyperlink" Target="https://reliefweb.int/report/democratic-republic-congo/drc-msf-treats-20-people-after-deadly-attack-kasai-region" TargetMode="External"/><Relationship Id="rId2" Type="http://schemas.openxmlformats.org/officeDocument/2006/relationships/hyperlink" Target="http://webdoc.rfi.fr/rdc-kasai-violences-crimes-kamuina-nsapu/chap-01/" TargetMode="External"/><Relationship Id="rId1" Type="http://schemas.openxmlformats.org/officeDocument/2006/relationships/hyperlink" Target="http://webdoc.rfi.fr/rdc-kasai-violences-crimes-kamuina-nsapu/chap-01/" TargetMode="External"/><Relationship Id="rId6" Type="http://schemas.openxmlformats.org/officeDocument/2006/relationships/hyperlink" Target="https://actualite.cd/2018/06/06/rdc-kasai-au-moins-68-enfants-sont-encore-retenus-en-otage/" TargetMode="External"/><Relationship Id="rId5" Type="http://schemas.openxmlformats.org/officeDocument/2006/relationships/hyperlink" Target="https://actualite.cd/2017/03/25/lomami-affrontement-entre-forces-de-lordre-miliciens-a-mwene-ditu/" TargetMode="External"/><Relationship Id="rId4" Type="http://schemas.openxmlformats.org/officeDocument/2006/relationships/hyperlink" Target="http://webdoc.rfi.fr/rdc-kasai-violences-crimes-kamuina-nsapu/chap-02/index.html" TargetMode="External"/><Relationship Id="rId9" Type="http://schemas.openxmlformats.org/officeDocument/2006/relationships/hyperlink" Target="http://www.rfi.fr/afrique/20171108-rdc-projet-loi-associations-inquiete-societe-civi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ardv\Documents\UN-Docs2017\Templates\A\A_F.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5ECBF9782E2F42AF1EE835987A4198" ma:contentTypeVersion="1" ma:contentTypeDescription="Create a new document." ma:contentTypeScope="" ma:versionID="69f755f0599931d1736f547fe031266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DABD43-53C1-4531-BA61-3D69C55A8743}">
  <ds:schemaRefs>
    <ds:schemaRef ds:uri="http://schemas.openxmlformats.org/officeDocument/2006/bibliography"/>
  </ds:schemaRefs>
</ds:datastoreItem>
</file>

<file path=customXml/itemProps2.xml><?xml version="1.0" encoding="utf-8"?>
<ds:datastoreItem xmlns:ds="http://schemas.openxmlformats.org/officeDocument/2006/customXml" ds:itemID="{7949FB43-5A13-411C-91C1-6EA931487572}"/>
</file>

<file path=customXml/itemProps3.xml><?xml version="1.0" encoding="utf-8"?>
<ds:datastoreItem xmlns:ds="http://schemas.openxmlformats.org/officeDocument/2006/customXml" ds:itemID="{71F6B659-5C23-4DE3-9B65-9B464D074902}"/>
</file>

<file path=customXml/itemProps4.xml><?xml version="1.0" encoding="utf-8"?>
<ds:datastoreItem xmlns:ds="http://schemas.openxmlformats.org/officeDocument/2006/customXml" ds:itemID="{793C9F4D-BC3D-418B-8E87-24BAADE4518B}"/>
</file>

<file path=docProps/app.xml><?xml version="1.0" encoding="utf-8"?>
<Properties xmlns="http://schemas.openxmlformats.org/officeDocument/2006/extended-properties" xmlns:vt="http://schemas.openxmlformats.org/officeDocument/2006/docPropsVTypes">
  <Template>A_F.dotm</Template>
  <TotalTime>0</TotalTime>
  <Pages>14</Pages>
  <Words>57097</Words>
  <Characters>325454</Characters>
  <Application>Microsoft Office Word</Application>
  <DocSecurity>0</DocSecurity>
  <Lines>2712</Lines>
  <Paragraphs>763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A/HRC/38/CRP.1</vt:lpstr>
      <vt:lpstr>A/HRC/38/CRP.1</vt:lpstr>
    </vt:vector>
  </TitlesOfParts>
  <Company>CSD</Company>
  <LinksUpToDate>false</LinksUpToDate>
  <CharactersWithSpaces>381788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A/HRC/38/CRP.1</dc:title>
  <dc:subject>qrcode</dc:subject>
  <dc:creator>dvx</dc:creator>
  <cp:keywords/>
  <dc:description/>
  <cp:lastModifiedBy>LANZ Veronique</cp:lastModifiedBy>
  <cp:revision>2</cp:revision>
  <cp:lastPrinted>2018-06-29T07:29:00Z</cp:lastPrinted>
  <dcterms:created xsi:type="dcterms:W3CDTF">2018-06-29T12:25:00Z</dcterms:created>
  <dcterms:modified xsi:type="dcterms:W3CDTF">2018-06-29T12:25:00Z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0x010100515ECBF9782E2F42AF1EE835987A4198</vt:lpwstr>
  </property>
</Properties>
</file>