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183F8B" w14:paraId="458C99F5" w14:textId="77777777" w:rsidTr="0040017C">
        <w:trPr>
          <w:trHeight w:val="851"/>
        </w:trPr>
        <w:tc>
          <w:tcPr>
            <w:tcW w:w="1259" w:type="dxa"/>
            <w:tcBorders>
              <w:top w:val="nil"/>
              <w:left w:val="nil"/>
              <w:bottom w:val="single" w:sz="4" w:space="0" w:color="auto"/>
              <w:right w:val="nil"/>
            </w:tcBorders>
          </w:tcPr>
          <w:p w14:paraId="75997052" w14:textId="77777777" w:rsidR="00E52109" w:rsidRPr="00AE022A" w:rsidRDefault="00E52109" w:rsidP="0040017C">
            <w:pPr>
              <w:pStyle w:val="HMG"/>
              <w:rPr>
                <w:lang w:val="en-US"/>
              </w:rPr>
            </w:pPr>
            <w:bookmarkStart w:id="0" w:name="_GoBack"/>
            <w:bookmarkEnd w:id="0"/>
          </w:p>
        </w:tc>
        <w:tc>
          <w:tcPr>
            <w:tcW w:w="2236" w:type="dxa"/>
            <w:tcBorders>
              <w:top w:val="nil"/>
              <w:left w:val="nil"/>
              <w:bottom w:val="single" w:sz="4" w:space="0" w:color="auto"/>
              <w:right w:val="nil"/>
            </w:tcBorders>
            <w:vAlign w:val="bottom"/>
          </w:tcPr>
          <w:p w14:paraId="1A76E371" w14:textId="2DA82220" w:rsidR="00E52109" w:rsidRPr="00183F8B"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E001E05" w14:textId="77777777" w:rsidR="00E52109" w:rsidRPr="00183F8B" w:rsidRDefault="0014586E" w:rsidP="00F10A78">
            <w:pPr>
              <w:suppressAutoHyphens w:val="0"/>
              <w:spacing w:after="20"/>
              <w:jc w:val="right"/>
            </w:pPr>
            <w:r>
              <w:rPr>
                <w:sz w:val="40"/>
                <w:szCs w:val="40"/>
                <w:lang w:val="en-US"/>
              </w:rPr>
              <w:t>A</w:t>
            </w:r>
            <w:r>
              <w:rPr>
                <w:lang w:val="en-US"/>
              </w:rPr>
              <w:t>/HRC/39/19</w:t>
            </w:r>
          </w:p>
        </w:tc>
      </w:tr>
      <w:tr w:rsidR="00E52109" w:rsidRPr="00183F8B" w14:paraId="10599633" w14:textId="77777777" w:rsidTr="0040017C">
        <w:trPr>
          <w:trHeight w:val="2835"/>
        </w:trPr>
        <w:tc>
          <w:tcPr>
            <w:tcW w:w="1259" w:type="dxa"/>
            <w:tcBorders>
              <w:top w:val="single" w:sz="4" w:space="0" w:color="auto"/>
              <w:left w:val="nil"/>
              <w:bottom w:val="single" w:sz="12" w:space="0" w:color="auto"/>
              <w:right w:val="nil"/>
            </w:tcBorders>
          </w:tcPr>
          <w:p w14:paraId="3DFB144F" w14:textId="0B1B340A" w:rsidR="00E52109" w:rsidRPr="00183F8B"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6446FF67" w14:textId="477C6AD4" w:rsidR="00E52109" w:rsidRPr="00183F8B" w:rsidRDefault="005B2370"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2C0F10E" w14:textId="77777777" w:rsidR="00E52109" w:rsidRPr="00183F8B" w:rsidRDefault="001E3925" w:rsidP="001E3925">
            <w:pPr>
              <w:suppressAutoHyphens w:val="0"/>
              <w:spacing w:before="240" w:line="240" w:lineRule="exact"/>
            </w:pPr>
            <w:r w:rsidRPr="00183F8B">
              <w:t>Distr.: General</w:t>
            </w:r>
          </w:p>
          <w:p w14:paraId="0EEC6960" w14:textId="208274C8" w:rsidR="001E3925" w:rsidRPr="00183F8B" w:rsidRDefault="007159E7" w:rsidP="001E3925">
            <w:pPr>
              <w:suppressAutoHyphens w:val="0"/>
            </w:pPr>
            <w:r>
              <w:t>14 September</w:t>
            </w:r>
            <w:r w:rsidR="00854FD2">
              <w:t xml:space="preserve"> 2018</w:t>
            </w:r>
          </w:p>
          <w:p w14:paraId="1E933FB3" w14:textId="77777777" w:rsidR="001E3925" w:rsidRPr="00183F8B" w:rsidRDefault="001E3925" w:rsidP="001E3925">
            <w:pPr>
              <w:suppressAutoHyphens w:val="0"/>
            </w:pPr>
          </w:p>
          <w:p w14:paraId="11FF75DF" w14:textId="77777777" w:rsidR="001E3925" w:rsidRPr="00183F8B" w:rsidRDefault="001E3925" w:rsidP="001E3925">
            <w:pPr>
              <w:suppressAutoHyphens w:val="0"/>
            </w:pPr>
            <w:r w:rsidRPr="00183F8B">
              <w:t>Original: English</w:t>
            </w:r>
          </w:p>
        </w:tc>
      </w:tr>
    </w:tbl>
    <w:p w14:paraId="57E3E01E" w14:textId="77777777" w:rsidR="001E742E" w:rsidRDefault="00F10A78" w:rsidP="00AE022A">
      <w:pPr>
        <w:spacing w:before="120"/>
        <w:rPr>
          <w:rFonts w:eastAsia="Times New Roman"/>
        </w:rPr>
      </w:pPr>
      <w:r w:rsidRPr="00F10A78">
        <w:rPr>
          <w:rFonts w:eastAsia="Times New Roman"/>
          <w:b/>
          <w:sz w:val="24"/>
          <w:szCs w:val="24"/>
        </w:rPr>
        <w:t>Human Rights Council</w:t>
      </w:r>
      <w:r w:rsidRPr="00F10A78">
        <w:rPr>
          <w:rFonts w:eastAsia="Times New Roman"/>
          <w:sz w:val="24"/>
          <w:szCs w:val="24"/>
        </w:rPr>
        <w:br/>
      </w:r>
      <w:r w:rsidR="00854FD2">
        <w:rPr>
          <w:rFonts w:eastAsia="Times New Roman"/>
          <w:b/>
        </w:rPr>
        <w:t>Thirty-ninth</w:t>
      </w:r>
      <w:r w:rsidRPr="00F10A78">
        <w:rPr>
          <w:rFonts w:eastAsia="Times New Roman"/>
          <w:b/>
        </w:rPr>
        <w:t xml:space="preserve"> session</w:t>
      </w:r>
      <w:r w:rsidRPr="00F10A78">
        <w:rPr>
          <w:rFonts w:eastAsia="Times New Roman"/>
        </w:rPr>
        <w:br/>
      </w:r>
      <w:r w:rsidR="00854FD2">
        <w:rPr>
          <w:rFonts w:eastAsia="Times New Roman"/>
        </w:rPr>
        <w:t>10–28 September 2018</w:t>
      </w:r>
    </w:p>
    <w:p w14:paraId="5C19C493" w14:textId="77777777" w:rsidR="00F10A78" w:rsidRPr="00F10A78" w:rsidRDefault="00F10A78" w:rsidP="001E742E">
      <w:pPr>
        <w:rPr>
          <w:rFonts w:eastAsia="Times New Roman"/>
        </w:rPr>
      </w:pPr>
      <w:r w:rsidRPr="00F10A78">
        <w:rPr>
          <w:rFonts w:eastAsia="Times New Roman"/>
        </w:rPr>
        <w:t>Agenda item</w:t>
      </w:r>
      <w:r w:rsidR="00052CCA">
        <w:rPr>
          <w:rFonts w:eastAsia="Times New Roman"/>
        </w:rPr>
        <w:t>s</w:t>
      </w:r>
      <w:r w:rsidR="0014586E">
        <w:rPr>
          <w:rFonts w:eastAsia="Times New Roman"/>
        </w:rPr>
        <w:t xml:space="preserve"> 2 and 3</w:t>
      </w:r>
    </w:p>
    <w:p w14:paraId="639727E6" w14:textId="77777777" w:rsidR="0014586E" w:rsidRDefault="0014586E" w:rsidP="0014586E">
      <w:pPr>
        <w:pStyle w:val="Text"/>
        <w:spacing w:after="120" w:line="240" w:lineRule="auto"/>
        <w:rPr>
          <w:rFonts w:ascii="Times New Roman Bold" w:eastAsia="Times New Roman Bold" w:hAnsi="Times New Roman Bold" w:cs="Times New Roman Bold"/>
          <w:lang w:val="en-US"/>
        </w:rPr>
      </w:pPr>
      <w:r>
        <w:rPr>
          <w:rFonts w:ascii="Times New Roman Bold"/>
          <w:lang w:val="en-US"/>
        </w:rPr>
        <w:t xml:space="preserve">Annual report of the United Nations High Commissioner </w:t>
      </w:r>
      <w:r>
        <w:rPr>
          <w:rFonts w:ascii="Times New Roman Bold" w:eastAsia="Times New Roman Bold" w:hAnsi="Times New Roman Bold" w:cs="Times New Roman Bold"/>
          <w:lang w:val="en-US"/>
        </w:rPr>
        <w:br/>
      </w:r>
      <w:r>
        <w:rPr>
          <w:rFonts w:ascii="Times New Roman Bold"/>
          <w:lang w:val="en-US"/>
        </w:rPr>
        <w:t xml:space="preserve">for Human Rights and reports of the Office of the </w:t>
      </w:r>
      <w:r>
        <w:rPr>
          <w:rFonts w:ascii="Times New Roman Bold" w:eastAsia="Times New Roman Bold" w:hAnsi="Times New Roman Bold" w:cs="Times New Roman Bold"/>
          <w:lang w:val="en-US"/>
        </w:rPr>
        <w:br/>
      </w:r>
      <w:r>
        <w:rPr>
          <w:rFonts w:ascii="Times New Roman Bold"/>
          <w:lang w:val="en-US"/>
        </w:rPr>
        <w:t>High Commissioner and the Secretary-General</w:t>
      </w:r>
    </w:p>
    <w:p w14:paraId="38E27CFE" w14:textId="77777777" w:rsidR="0014586E" w:rsidRDefault="0014586E" w:rsidP="0014586E">
      <w:pPr>
        <w:pStyle w:val="Text"/>
        <w:spacing w:line="240" w:lineRule="auto"/>
        <w:rPr>
          <w:rFonts w:ascii="Times New Roman Bold" w:eastAsia="Times New Roman Bold" w:hAnsi="Times New Roman Bold" w:cs="Times New Roman Bold"/>
        </w:rPr>
      </w:pPr>
      <w:r>
        <w:rPr>
          <w:rFonts w:ascii="Times New Roman Bold"/>
          <w:lang w:val="en-US"/>
        </w:rPr>
        <w:t>Promotion and protection of all human rights, civil,</w:t>
      </w:r>
      <w:r>
        <w:rPr>
          <w:rFonts w:ascii="Times New Roman Bold" w:eastAsia="Times New Roman Bold" w:hAnsi="Times New Roman Bold" w:cs="Times New Roman Bold"/>
        </w:rPr>
        <w:br/>
      </w:r>
      <w:r>
        <w:rPr>
          <w:rFonts w:ascii="Times New Roman Bold"/>
          <w:lang w:val="en-US"/>
        </w:rPr>
        <w:t>political, economic, social and cultural rights,</w:t>
      </w:r>
      <w:r>
        <w:rPr>
          <w:rFonts w:ascii="Times New Roman Bold" w:eastAsia="Times New Roman Bold" w:hAnsi="Times New Roman Bold" w:cs="Times New Roman Bold"/>
        </w:rPr>
        <w:br/>
      </w:r>
      <w:r>
        <w:rPr>
          <w:rFonts w:ascii="Times New Roman Bold"/>
          <w:lang w:val="en-US"/>
        </w:rPr>
        <w:t>including the right to development</w:t>
      </w:r>
    </w:p>
    <w:p w14:paraId="63E1FF54" w14:textId="77777777" w:rsidR="00F10A78" w:rsidRPr="00B83A34" w:rsidRDefault="00EB6C51" w:rsidP="00F10A78">
      <w:pPr>
        <w:pStyle w:val="HChG"/>
      </w:pPr>
      <w:r w:rsidRPr="00471670">
        <w:tab/>
      </w:r>
      <w:r w:rsidRPr="00471670">
        <w:tab/>
      </w:r>
      <w:r w:rsidR="001C04A0">
        <w:rPr>
          <w:rFonts w:eastAsia="Arial Unicode MS" w:hAnsi="Arial Unicode MS" w:cs="Arial Unicode MS"/>
        </w:rPr>
        <w:t>Question of the death penalty</w:t>
      </w:r>
      <w:r w:rsidR="000B4E5B" w:rsidRPr="00AD41FF">
        <w:rPr>
          <w:rStyle w:val="FootnoteReference"/>
          <w:rFonts w:eastAsia="Arial Unicode MS" w:cs="Arial Unicode MS"/>
          <w:b w:val="0"/>
          <w:sz w:val="20"/>
          <w:vertAlign w:val="baseline"/>
        </w:rPr>
        <w:footnoteReference w:customMarkFollows="1" w:id="2"/>
        <w:sym w:font="Symbol" w:char="F02A"/>
      </w:r>
    </w:p>
    <w:p w14:paraId="700D184C" w14:textId="77777777" w:rsidR="00F10A78" w:rsidRDefault="00F10A78" w:rsidP="00F10A78">
      <w:pPr>
        <w:pStyle w:val="H1G"/>
      </w:pPr>
      <w:r w:rsidRPr="00FD06BE">
        <w:tab/>
      </w:r>
      <w:r w:rsidRPr="00FD06BE">
        <w:tab/>
      </w:r>
      <w:r w:rsidR="001C04A0">
        <w:t>Report of the Secretary-General</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1C04A0" w14:paraId="1D6F3B1C" w14:textId="77777777" w:rsidTr="005F0462">
        <w:trPr>
          <w:jc w:val="center"/>
        </w:trPr>
        <w:tc>
          <w:tcPr>
            <w:tcW w:w="9637" w:type="dxa"/>
            <w:shd w:val="clear" w:color="auto" w:fill="auto"/>
          </w:tcPr>
          <w:p w14:paraId="416A1332" w14:textId="77777777" w:rsidR="001C04A0" w:rsidRPr="00C6263E" w:rsidRDefault="001C04A0" w:rsidP="005F0462">
            <w:pPr>
              <w:spacing w:before="240" w:after="120"/>
              <w:ind w:left="255"/>
              <w:rPr>
                <w:i/>
                <w:sz w:val="24"/>
                <w:lang w:val="en-GB"/>
              </w:rPr>
            </w:pPr>
            <w:r w:rsidRPr="00C6263E">
              <w:rPr>
                <w:i/>
                <w:sz w:val="24"/>
                <w:lang w:val="en-GB"/>
              </w:rPr>
              <w:t>Summary</w:t>
            </w:r>
          </w:p>
        </w:tc>
      </w:tr>
      <w:tr w:rsidR="001C04A0" w14:paraId="34223F58" w14:textId="77777777" w:rsidTr="005F0462">
        <w:trPr>
          <w:jc w:val="center"/>
        </w:trPr>
        <w:tc>
          <w:tcPr>
            <w:tcW w:w="9637" w:type="dxa"/>
            <w:shd w:val="clear" w:color="auto" w:fill="auto"/>
          </w:tcPr>
          <w:p w14:paraId="4F3B61C2" w14:textId="714589DE" w:rsidR="001C04A0" w:rsidRDefault="001C04A0" w:rsidP="00735963">
            <w:pPr>
              <w:pStyle w:val="SingleTxtG"/>
              <w:ind w:firstLine="567"/>
              <w:rPr>
                <w:lang w:val="en-GB"/>
              </w:rPr>
            </w:pPr>
            <w:r>
              <w:t xml:space="preserve">Pursuant to Human Rights Council decision 18/117, </w:t>
            </w:r>
            <w:r w:rsidR="002521F5">
              <w:t xml:space="preserve">the present </w:t>
            </w:r>
            <w:r>
              <w:t>report is submitted to update previous reports on the question of the death penalty. I</w:t>
            </w:r>
            <w:r w:rsidR="002521F5">
              <w:t>n his report the Secretary-General</w:t>
            </w:r>
            <w:r>
              <w:t xml:space="preserve"> confirms that the trend towards the universal abolition of the death penalty is continuing. During the reporting period, initiatives limiting the use of the death penalty and implementing the safeguards guaranteeing protection of the rights of those facing the death penalty were al</w:t>
            </w:r>
            <w:r w:rsidR="006728A6">
              <w:t xml:space="preserve">so recorded in several States. </w:t>
            </w:r>
            <w:r>
              <w:t>A minority of States continued to use the death penalty</w:t>
            </w:r>
            <w:r w:rsidR="004B2DB4">
              <w:t>,</w:t>
            </w:r>
            <w:r>
              <w:t xml:space="preserve"> in contravention of international human rights law. As requested </w:t>
            </w:r>
            <w:r w:rsidR="004B2DB4">
              <w:t xml:space="preserve">by the Council </w:t>
            </w:r>
            <w:r>
              <w:t xml:space="preserve">in </w:t>
            </w:r>
            <w:r w:rsidR="004B2DB4">
              <w:t xml:space="preserve">its </w:t>
            </w:r>
            <w:r>
              <w:t xml:space="preserve">resolution 22/11, </w:t>
            </w:r>
            <w:r w:rsidR="004B2DB4">
              <w:t xml:space="preserve">the </w:t>
            </w:r>
            <w:r>
              <w:t>report also includes information on the human rights of children of parents sentenced to the death penalty or executed.</w:t>
            </w:r>
          </w:p>
        </w:tc>
      </w:tr>
      <w:tr w:rsidR="001C04A0" w14:paraId="0A746654" w14:textId="77777777" w:rsidTr="005F0462">
        <w:trPr>
          <w:jc w:val="center"/>
        </w:trPr>
        <w:tc>
          <w:tcPr>
            <w:tcW w:w="9637" w:type="dxa"/>
            <w:shd w:val="clear" w:color="auto" w:fill="auto"/>
          </w:tcPr>
          <w:p w14:paraId="20E4F414" w14:textId="77777777" w:rsidR="001C04A0" w:rsidRDefault="001C04A0" w:rsidP="005F0462">
            <w:pPr>
              <w:rPr>
                <w:lang w:val="en-GB"/>
              </w:rPr>
            </w:pPr>
          </w:p>
        </w:tc>
      </w:tr>
    </w:tbl>
    <w:p w14:paraId="2E866DCC" w14:textId="77777777" w:rsidR="00B574CC" w:rsidRDefault="00B574CC">
      <w:pPr>
        <w:suppressAutoHyphens w:val="0"/>
        <w:kinsoku/>
        <w:overflowPunct/>
        <w:autoSpaceDE/>
        <w:autoSpaceDN/>
        <w:adjustRightInd/>
        <w:snapToGrid/>
        <w:spacing w:line="240" w:lineRule="auto"/>
        <w:rPr>
          <w:rFonts w:eastAsia="Times New Roman"/>
          <w:color w:val="000000"/>
          <w:sz w:val="22"/>
          <w:szCs w:val="22"/>
          <w:u w:color="000000"/>
          <w:bdr w:val="nil"/>
          <w:lang w:eastAsia="en-GB"/>
        </w:rPr>
      </w:pPr>
      <w:r>
        <w:rPr>
          <w:sz w:val="22"/>
          <w:szCs w:val="22"/>
        </w:rPr>
        <w:br w:type="page"/>
      </w:r>
    </w:p>
    <w:p w14:paraId="762EF74F" w14:textId="77777777" w:rsidR="001C04A0" w:rsidRDefault="001C04A0" w:rsidP="001C04A0">
      <w:pPr>
        <w:pStyle w:val="Text"/>
        <w:spacing w:after="120"/>
        <w:rPr>
          <w:sz w:val="28"/>
          <w:szCs w:val="28"/>
        </w:rPr>
      </w:pPr>
      <w:r>
        <w:rPr>
          <w:sz w:val="28"/>
          <w:szCs w:val="28"/>
          <w:lang w:val="en-US"/>
        </w:rPr>
        <w:lastRenderedPageBreak/>
        <w:t>Contents</w:t>
      </w:r>
    </w:p>
    <w:p w14:paraId="02D2877E" w14:textId="77777777" w:rsidR="001C04A0" w:rsidRDefault="001C04A0" w:rsidP="001C04A0">
      <w:pPr>
        <w:pStyle w:val="Text"/>
        <w:tabs>
          <w:tab w:val="right" w:pos="8929"/>
          <w:tab w:val="right" w:pos="9612"/>
        </w:tabs>
        <w:spacing w:after="120"/>
        <w:ind w:left="283"/>
        <w:rPr>
          <w:i/>
          <w:iCs/>
          <w:sz w:val="18"/>
          <w:szCs w:val="18"/>
        </w:rPr>
      </w:pPr>
      <w:r>
        <w:rPr>
          <w:i/>
          <w:iCs/>
          <w:sz w:val="18"/>
          <w:szCs w:val="18"/>
        </w:rPr>
        <w:tab/>
      </w:r>
      <w:r>
        <w:rPr>
          <w:i/>
          <w:iCs/>
          <w:sz w:val="18"/>
          <w:szCs w:val="18"/>
        </w:rPr>
        <w:tab/>
        <w:t>Page</w:t>
      </w:r>
    </w:p>
    <w:p w14:paraId="61A48E90" w14:textId="0B6EFF11"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I.</w:t>
      </w:r>
      <w:r>
        <w:rPr>
          <w:lang w:val="en-US"/>
        </w:rPr>
        <w:tab/>
        <w:t>Introduction</w:t>
      </w:r>
      <w:r>
        <w:rPr>
          <w:lang w:val="en-US"/>
        </w:rPr>
        <w:tab/>
      </w:r>
      <w:r>
        <w:rPr>
          <w:lang w:val="en-US"/>
        </w:rPr>
        <w:tab/>
      </w:r>
      <w:r w:rsidR="00137958">
        <w:rPr>
          <w:lang w:val="en-US"/>
        </w:rPr>
        <w:t>3</w:t>
      </w:r>
    </w:p>
    <w:p w14:paraId="00FE2773" w14:textId="3C3BED98"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II.</w:t>
      </w:r>
      <w:r>
        <w:rPr>
          <w:lang w:val="en-US"/>
        </w:rPr>
        <w:tab/>
        <w:t>Changes in law and practice</w:t>
      </w:r>
      <w:r>
        <w:rPr>
          <w:lang w:val="en-US"/>
        </w:rPr>
        <w:tab/>
      </w:r>
      <w:r w:rsidR="0002458E">
        <w:rPr>
          <w:lang w:val="en-US"/>
        </w:rPr>
        <w:tab/>
      </w:r>
      <w:r w:rsidR="00137958">
        <w:rPr>
          <w:lang w:val="en-US"/>
        </w:rPr>
        <w:t>3</w:t>
      </w:r>
    </w:p>
    <w:p w14:paraId="313C17EE" w14:textId="67BD90E2" w:rsidR="001C04A0" w:rsidRPr="008110CC" w:rsidRDefault="00AE022A" w:rsidP="00AE022A">
      <w:pPr>
        <w:pStyle w:val="Text"/>
        <w:tabs>
          <w:tab w:val="right" w:pos="850"/>
          <w:tab w:val="left" w:pos="1134"/>
          <w:tab w:val="left" w:pos="1559"/>
          <w:tab w:val="left" w:pos="1984"/>
          <w:tab w:val="left" w:leader="dot" w:pos="8931"/>
          <w:tab w:val="right" w:pos="9612"/>
        </w:tabs>
        <w:spacing w:after="120" w:line="240" w:lineRule="auto"/>
        <w:ind w:left="1559" w:hanging="431"/>
        <w:rPr>
          <w:lang w:val="en-US"/>
        </w:rPr>
      </w:pPr>
      <w:bookmarkStart w:id="1" w:name="_Hlk520284584"/>
      <w:r w:rsidRPr="008110CC">
        <w:rPr>
          <w:lang w:val="en-US"/>
        </w:rPr>
        <w:t>A.</w:t>
      </w:r>
      <w:r w:rsidRPr="008110CC">
        <w:rPr>
          <w:lang w:val="en-US"/>
        </w:rPr>
        <w:tab/>
      </w:r>
      <w:r w:rsidR="001C04A0">
        <w:rPr>
          <w:lang w:val="en-US"/>
        </w:rPr>
        <w:t xml:space="preserve">Abolition of the death penalty or initiatives taken for its abolition, </w:t>
      </w:r>
      <w:r w:rsidR="008110CC">
        <w:rPr>
          <w:lang w:val="en-US"/>
        </w:rPr>
        <w:br/>
      </w:r>
      <w:r w:rsidR="00137958">
        <w:rPr>
          <w:lang w:val="en-US"/>
        </w:rPr>
        <w:t>including commitments</w:t>
      </w:r>
      <w:r w:rsidR="00137958" w:rsidRPr="008110CC">
        <w:rPr>
          <w:lang w:val="en-US"/>
        </w:rPr>
        <w:t xml:space="preserve"> </w:t>
      </w:r>
      <w:r w:rsidR="001C04A0" w:rsidRPr="008110CC">
        <w:rPr>
          <w:lang w:val="en-US"/>
        </w:rPr>
        <w:t>provided to abolish it</w:t>
      </w:r>
      <w:bookmarkEnd w:id="1"/>
      <w:r w:rsidR="001C04A0" w:rsidRPr="008110CC">
        <w:rPr>
          <w:lang w:val="en-US"/>
        </w:rPr>
        <w:tab/>
      </w:r>
      <w:r w:rsidR="001C04A0" w:rsidRPr="008110CC">
        <w:rPr>
          <w:lang w:val="en-US"/>
        </w:rPr>
        <w:tab/>
      </w:r>
      <w:r w:rsidR="00137958">
        <w:rPr>
          <w:lang w:val="en-US"/>
        </w:rPr>
        <w:t>3</w:t>
      </w:r>
    </w:p>
    <w:p w14:paraId="696EE54B" w14:textId="00A34018"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B.</w:t>
      </w:r>
      <w:r>
        <w:rPr>
          <w:lang w:val="en-US"/>
        </w:rPr>
        <w:tab/>
        <w:t>Restrictions on the use and scope of the death penalty or limitations of its use</w:t>
      </w:r>
      <w:r>
        <w:rPr>
          <w:lang w:val="en-US"/>
        </w:rPr>
        <w:tab/>
      </w:r>
      <w:r w:rsidR="0002458E">
        <w:rPr>
          <w:lang w:val="en-US"/>
        </w:rPr>
        <w:tab/>
      </w:r>
      <w:r w:rsidR="00055A08">
        <w:rPr>
          <w:lang w:val="en-US"/>
        </w:rPr>
        <w:t>4</w:t>
      </w:r>
    </w:p>
    <w:p w14:paraId="5E5F5FCC" w14:textId="11DE90FE"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C.</w:t>
      </w:r>
      <w:r>
        <w:rPr>
          <w:lang w:val="en-US"/>
        </w:rPr>
        <w:tab/>
        <w:t xml:space="preserve">International and </w:t>
      </w:r>
      <w:r w:rsidRPr="008D3058">
        <w:rPr>
          <w:lang w:val="en-US"/>
        </w:rPr>
        <w:t>regional instruments</w:t>
      </w:r>
      <w:r>
        <w:rPr>
          <w:lang w:val="en-US"/>
        </w:rPr>
        <w:t xml:space="preserve"> contributing to the abolition of the death penalty</w:t>
      </w:r>
      <w:r>
        <w:rPr>
          <w:lang w:val="en-US"/>
        </w:rPr>
        <w:tab/>
      </w:r>
      <w:r>
        <w:rPr>
          <w:lang w:val="en-US"/>
        </w:rPr>
        <w:tab/>
      </w:r>
      <w:r w:rsidR="00055A08">
        <w:rPr>
          <w:lang w:val="en-US"/>
        </w:rPr>
        <w:t>5</w:t>
      </w:r>
    </w:p>
    <w:p w14:paraId="0BEB0CB3" w14:textId="4FFA0EA3" w:rsidR="001C04A0" w:rsidRDefault="001C04A0" w:rsidP="001C04A0">
      <w:pPr>
        <w:pStyle w:val="Text"/>
        <w:tabs>
          <w:tab w:val="right" w:pos="850"/>
          <w:tab w:val="left" w:pos="1134"/>
          <w:tab w:val="left" w:pos="1559"/>
          <w:tab w:val="left" w:pos="1984"/>
          <w:tab w:val="left" w:leader="dot" w:pos="8931"/>
          <w:tab w:val="right" w:pos="9612"/>
        </w:tabs>
        <w:spacing w:after="120"/>
        <w:ind w:left="1559" w:hanging="1559"/>
        <w:rPr>
          <w:lang w:val="en-US"/>
        </w:rPr>
      </w:pPr>
      <w:r>
        <w:rPr>
          <w:lang w:val="en-US"/>
        </w:rPr>
        <w:tab/>
      </w:r>
      <w:r>
        <w:rPr>
          <w:lang w:val="en-US"/>
        </w:rPr>
        <w:tab/>
        <w:t>D.</w:t>
      </w:r>
      <w:r>
        <w:rPr>
          <w:lang w:val="en-US"/>
        </w:rPr>
        <w:tab/>
        <w:t>Reintroduction of the use of the death penalty, extension of its scope or resumption of</w:t>
      </w:r>
      <w:r w:rsidR="00055A08">
        <w:rPr>
          <w:lang w:val="en-US"/>
        </w:rPr>
        <w:t> </w:t>
      </w:r>
      <w:r>
        <w:rPr>
          <w:lang w:val="en-US"/>
        </w:rPr>
        <w:t>executions………………………………………..</w:t>
      </w:r>
      <w:r>
        <w:rPr>
          <w:lang w:val="en-US"/>
        </w:rPr>
        <w:tab/>
      </w:r>
      <w:r>
        <w:rPr>
          <w:lang w:val="en-US"/>
        </w:rPr>
        <w:tab/>
      </w:r>
      <w:r w:rsidR="00055A08">
        <w:rPr>
          <w:lang w:val="en-US"/>
        </w:rPr>
        <w:t>6</w:t>
      </w:r>
    </w:p>
    <w:p w14:paraId="5352DE9B" w14:textId="471051B4"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III.</w:t>
      </w:r>
      <w:r>
        <w:rPr>
          <w:lang w:val="en-US"/>
        </w:rPr>
        <w:tab/>
        <w:t>Information on the use of the death penalty</w:t>
      </w:r>
      <w:r>
        <w:rPr>
          <w:lang w:val="en-US"/>
        </w:rPr>
        <w:tab/>
      </w:r>
      <w:r>
        <w:rPr>
          <w:lang w:val="en-US"/>
        </w:rPr>
        <w:tab/>
      </w:r>
      <w:r w:rsidR="00055A08">
        <w:rPr>
          <w:lang w:val="en-US"/>
        </w:rPr>
        <w:t>7</w:t>
      </w:r>
    </w:p>
    <w:p w14:paraId="2D32C743" w14:textId="581B3750"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IV.</w:t>
      </w:r>
      <w:r>
        <w:rPr>
          <w:lang w:val="en-US"/>
        </w:rPr>
        <w:tab/>
        <w:t>Safeguards guaranteeing the protection of the rights of those facing the death penalty</w:t>
      </w:r>
      <w:r>
        <w:rPr>
          <w:lang w:val="en-US"/>
        </w:rPr>
        <w:tab/>
      </w:r>
      <w:r>
        <w:rPr>
          <w:lang w:val="en-US"/>
        </w:rPr>
        <w:tab/>
      </w:r>
      <w:r w:rsidR="00055A08">
        <w:rPr>
          <w:lang w:val="en-US"/>
        </w:rPr>
        <w:t>8</w:t>
      </w:r>
    </w:p>
    <w:p w14:paraId="10131ED9" w14:textId="2725D87F"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A.</w:t>
      </w:r>
      <w:r>
        <w:rPr>
          <w:lang w:val="en-US"/>
        </w:rPr>
        <w:tab/>
        <w:t xml:space="preserve">Restriction of the use of the death penalty to </w:t>
      </w:r>
      <w:r w:rsidR="009D6EB7">
        <w:rPr>
          <w:lang w:val="en-US"/>
        </w:rPr>
        <w:t xml:space="preserve">the </w:t>
      </w:r>
      <w:r>
        <w:rPr>
          <w:lang w:val="en-US"/>
        </w:rPr>
        <w:t>“most serious crimes”</w:t>
      </w:r>
      <w:r>
        <w:rPr>
          <w:lang w:val="en-US"/>
        </w:rPr>
        <w:tab/>
      </w:r>
      <w:r>
        <w:rPr>
          <w:lang w:val="en-US"/>
        </w:rPr>
        <w:tab/>
      </w:r>
      <w:r w:rsidR="00055A08">
        <w:rPr>
          <w:lang w:val="en-US"/>
        </w:rPr>
        <w:t>8</w:t>
      </w:r>
    </w:p>
    <w:p w14:paraId="48932593" w14:textId="71EF5135"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B.</w:t>
      </w:r>
      <w:r>
        <w:rPr>
          <w:lang w:val="en-US"/>
        </w:rPr>
        <w:tab/>
        <w:t>Prohibition of the mandatory use of the death penalty</w:t>
      </w:r>
      <w:r>
        <w:rPr>
          <w:lang w:val="en-US"/>
        </w:rPr>
        <w:tab/>
      </w:r>
      <w:r>
        <w:rPr>
          <w:lang w:val="en-US"/>
        </w:rPr>
        <w:tab/>
      </w:r>
      <w:r w:rsidR="00055A08">
        <w:rPr>
          <w:lang w:val="en-US"/>
        </w:rPr>
        <w:t>10</w:t>
      </w:r>
    </w:p>
    <w:p w14:paraId="501561D3" w14:textId="050B4CA1"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C.</w:t>
      </w:r>
      <w:r>
        <w:rPr>
          <w:lang w:val="en-US"/>
        </w:rPr>
        <w:tab/>
        <w:t>Fair trial guarantees</w:t>
      </w:r>
      <w:r>
        <w:rPr>
          <w:lang w:val="en-US"/>
        </w:rPr>
        <w:tab/>
      </w:r>
      <w:r>
        <w:rPr>
          <w:lang w:val="en-US"/>
        </w:rPr>
        <w:tab/>
      </w:r>
      <w:r w:rsidR="00055A08">
        <w:rPr>
          <w:lang w:val="en-US"/>
        </w:rPr>
        <w:t>11</w:t>
      </w:r>
    </w:p>
    <w:p w14:paraId="5F56CB4B" w14:textId="1D875F08"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D.</w:t>
      </w:r>
      <w:r>
        <w:rPr>
          <w:lang w:val="en-US"/>
        </w:rPr>
        <w:tab/>
        <w:t>Right t</w:t>
      </w:r>
      <w:r w:rsidR="009228EC">
        <w:rPr>
          <w:lang w:val="en-US"/>
        </w:rPr>
        <w:t>o seek pardon or commutation</w:t>
      </w:r>
      <w:r w:rsidR="009228EC">
        <w:rPr>
          <w:lang w:val="en-US"/>
        </w:rPr>
        <w:tab/>
      </w:r>
      <w:r w:rsidR="009228EC">
        <w:rPr>
          <w:lang w:val="en-US"/>
        </w:rPr>
        <w:tab/>
      </w:r>
      <w:r w:rsidR="00055A08">
        <w:rPr>
          <w:lang w:val="en-US"/>
        </w:rPr>
        <w:t>12</w:t>
      </w:r>
    </w:p>
    <w:p w14:paraId="1FC1EED0" w14:textId="6D5585A1"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E.</w:t>
      </w:r>
      <w:r>
        <w:rPr>
          <w:lang w:val="en-US"/>
        </w:rPr>
        <w:tab/>
        <w:t>Proh</w:t>
      </w:r>
      <w:r w:rsidR="009228EC">
        <w:rPr>
          <w:lang w:val="en-US"/>
        </w:rPr>
        <w:t>ibition of public executions</w:t>
      </w:r>
      <w:r w:rsidR="009228EC">
        <w:rPr>
          <w:lang w:val="en-US"/>
        </w:rPr>
        <w:tab/>
      </w:r>
      <w:r w:rsidR="009228EC">
        <w:rPr>
          <w:lang w:val="en-US"/>
        </w:rPr>
        <w:tab/>
      </w:r>
      <w:r w:rsidR="00055A08">
        <w:rPr>
          <w:lang w:val="en-US"/>
        </w:rPr>
        <w:t>13</w:t>
      </w:r>
    </w:p>
    <w:p w14:paraId="6DF370FC" w14:textId="04F45586"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V.</w:t>
      </w:r>
      <w:r>
        <w:rPr>
          <w:lang w:val="en-US"/>
        </w:rPr>
        <w:tab/>
        <w:t>Use of the death penalty against children and persons with mental or intellectual disabilities</w:t>
      </w:r>
      <w:r w:rsidR="009228EC">
        <w:rPr>
          <w:lang w:val="en-US"/>
        </w:rPr>
        <w:tab/>
      </w:r>
      <w:r w:rsidR="009228EC">
        <w:rPr>
          <w:lang w:val="en-US"/>
        </w:rPr>
        <w:tab/>
      </w:r>
      <w:r w:rsidR="00055A08">
        <w:rPr>
          <w:lang w:val="en-US"/>
        </w:rPr>
        <w:t>13</w:t>
      </w:r>
    </w:p>
    <w:p w14:paraId="2F426211" w14:textId="2C8195AD" w:rsidR="001C04A0" w:rsidRDefault="009228EC"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A.</w:t>
      </w:r>
      <w:r>
        <w:rPr>
          <w:lang w:val="en-US"/>
        </w:rPr>
        <w:tab/>
        <w:t>Children</w:t>
      </w:r>
      <w:r>
        <w:rPr>
          <w:lang w:val="en-US"/>
        </w:rPr>
        <w:tab/>
      </w:r>
      <w:r>
        <w:rPr>
          <w:lang w:val="en-US"/>
        </w:rPr>
        <w:tab/>
      </w:r>
      <w:r w:rsidR="00055A08">
        <w:rPr>
          <w:lang w:val="en-US"/>
        </w:rPr>
        <w:t>13</w:t>
      </w:r>
    </w:p>
    <w:p w14:paraId="20B8FD05" w14:textId="0257D6D5"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r>
      <w:r>
        <w:rPr>
          <w:lang w:val="en-US"/>
        </w:rPr>
        <w:tab/>
        <w:t>B.</w:t>
      </w:r>
      <w:r>
        <w:rPr>
          <w:lang w:val="en-US"/>
        </w:rPr>
        <w:tab/>
        <w:t xml:space="preserve">Persons with mental </w:t>
      </w:r>
      <w:r w:rsidR="009228EC">
        <w:rPr>
          <w:lang w:val="en-US"/>
        </w:rPr>
        <w:t>or intellectual disabilities</w:t>
      </w:r>
      <w:r w:rsidR="009228EC">
        <w:rPr>
          <w:lang w:val="en-US"/>
        </w:rPr>
        <w:tab/>
      </w:r>
      <w:r w:rsidR="009228EC">
        <w:rPr>
          <w:lang w:val="en-US"/>
        </w:rPr>
        <w:tab/>
      </w:r>
      <w:r w:rsidR="005E3847">
        <w:rPr>
          <w:lang w:val="en-US"/>
        </w:rPr>
        <w:t>14</w:t>
      </w:r>
    </w:p>
    <w:p w14:paraId="73CF704C" w14:textId="7ED959B4" w:rsidR="001C04A0" w:rsidRDefault="001C04A0"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VI.</w:t>
      </w:r>
      <w:r>
        <w:rPr>
          <w:lang w:val="en-US"/>
        </w:rPr>
        <w:tab/>
        <w:t>Human rights of children of parents sentenced to t</w:t>
      </w:r>
      <w:r w:rsidR="009228EC">
        <w:rPr>
          <w:lang w:val="en-US"/>
        </w:rPr>
        <w:t>he death penalty or executed</w:t>
      </w:r>
      <w:r w:rsidR="009228EC">
        <w:rPr>
          <w:lang w:val="en-US"/>
        </w:rPr>
        <w:tab/>
      </w:r>
      <w:r w:rsidR="009228EC">
        <w:rPr>
          <w:lang w:val="en-US"/>
        </w:rPr>
        <w:tab/>
      </w:r>
      <w:r w:rsidR="005E3847">
        <w:rPr>
          <w:lang w:val="en-US"/>
        </w:rPr>
        <w:t>15</w:t>
      </w:r>
    </w:p>
    <w:p w14:paraId="7813F863" w14:textId="735354A9" w:rsidR="001C04A0" w:rsidRDefault="009228EC" w:rsidP="001C04A0">
      <w:pPr>
        <w:pStyle w:val="Text"/>
        <w:tabs>
          <w:tab w:val="right" w:pos="850"/>
          <w:tab w:val="left" w:pos="1134"/>
          <w:tab w:val="left" w:pos="1559"/>
          <w:tab w:val="left" w:pos="1984"/>
          <w:tab w:val="left" w:leader="dot" w:pos="8931"/>
          <w:tab w:val="right" w:pos="9612"/>
        </w:tabs>
        <w:spacing w:after="120"/>
        <w:rPr>
          <w:lang w:val="en-US"/>
        </w:rPr>
      </w:pPr>
      <w:r>
        <w:rPr>
          <w:lang w:val="en-US"/>
        </w:rPr>
        <w:tab/>
        <w:t>VII.</w:t>
      </w:r>
      <w:r>
        <w:rPr>
          <w:lang w:val="en-US"/>
        </w:rPr>
        <w:tab/>
        <w:t>Conclusions</w:t>
      </w:r>
      <w:r w:rsidR="00E71FFE">
        <w:rPr>
          <w:lang w:val="en-US"/>
        </w:rPr>
        <w:t xml:space="preserve"> and recommendation</w:t>
      </w:r>
      <w:r w:rsidR="00755B7C">
        <w:rPr>
          <w:lang w:val="en-US"/>
        </w:rPr>
        <w:t>s</w:t>
      </w:r>
      <w:r>
        <w:rPr>
          <w:lang w:val="en-US"/>
        </w:rPr>
        <w:tab/>
      </w:r>
      <w:r>
        <w:rPr>
          <w:lang w:val="en-US"/>
        </w:rPr>
        <w:tab/>
      </w:r>
      <w:r w:rsidR="005E3847">
        <w:rPr>
          <w:lang w:val="en-US"/>
        </w:rPr>
        <w:t>16</w:t>
      </w:r>
    </w:p>
    <w:p w14:paraId="312CD3A5" w14:textId="77777777" w:rsidR="00B574CC" w:rsidRDefault="00B574CC">
      <w:pPr>
        <w:suppressAutoHyphens w:val="0"/>
        <w:kinsoku/>
        <w:overflowPunct/>
        <w:autoSpaceDE/>
        <w:autoSpaceDN/>
        <w:adjustRightInd/>
        <w:snapToGrid/>
        <w:spacing w:line="240" w:lineRule="auto"/>
        <w:rPr>
          <w:rFonts w:eastAsia="Arial Unicode MS" w:hAnsi="Arial Unicode MS" w:cs="Arial Unicode MS"/>
          <w:b/>
          <w:sz w:val="28"/>
        </w:rPr>
      </w:pPr>
      <w:r>
        <w:rPr>
          <w:rFonts w:eastAsia="Arial Unicode MS" w:hAnsi="Arial Unicode MS" w:cs="Arial Unicode MS"/>
        </w:rPr>
        <w:br w:type="page"/>
      </w:r>
    </w:p>
    <w:p w14:paraId="1FC02727" w14:textId="5EE3DB7E" w:rsidR="001C04A0" w:rsidRDefault="001C04A0" w:rsidP="008110CC">
      <w:pPr>
        <w:pStyle w:val="HChG"/>
        <w:tabs>
          <w:tab w:val="left" w:pos="1134"/>
          <w:tab w:val="left" w:pos="1701"/>
          <w:tab w:val="left" w:pos="2268"/>
          <w:tab w:val="right" w:pos="8505"/>
        </w:tabs>
      </w:pPr>
      <w:r>
        <w:lastRenderedPageBreak/>
        <w:tab/>
        <w:t>I.</w:t>
      </w:r>
      <w:r>
        <w:tab/>
      </w:r>
      <w:r w:rsidRPr="008110CC">
        <w:t>Introduction</w:t>
      </w:r>
    </w:p>
    <w:p w14:paraId="29AABE37" w14:textId="27035828" w:rsidR="001C04A0" w:rsidRPr="00AE022A" w:rsidRDefault="001C04A0" w:rsidP="00AE022A">
      <w:pPr>
        <w:pStyle w:val="SingleTxtG"/>
      </w:pPr>
      <w:r>
        <w:t>1.</w:t>
      </w:r>
      <w:r>
        <w:tab/>
        <w:t xml:space="preserve">Pursuant to Human Rights Council decision 18/117, </w:t>
      </w:r>
      <w:r w:rsidR="00055C23">
        <w:t xml:space="preserve">the present </w:t>
      </w:r>
      <w:r>
        <w:t>report is submitted to update previous reports on the question of the death penalty, including the most recent quinq</w:t>
      </w:r>
      <w:r w:rsidR="000B4E5B">
        <w:t>uennial repor</w:t>
      </w:r>
      <w:r w:rsidR="00A30E96">
        <w:t xml:space="preserve">t </w:t>
      </w:r>
      <w:r w:rsidR="00801A49">
        <w:t xml:space="preserve">of the Secretary-General </w:t>
      </w:r>
      <w:r w:rsidR="00A30E96">
        <w:t>(</w:t>
      </w:r>
      <w:r w:rsidR="00A30E96" w:rsidRPr="000B4E5B">
        <w:rPr>
          <w:rStyle w:val="FootnoteReference"/>
          <w:vertAlign w:val="baseline"/>
        </w:rPr>
        <w:t>E/2015/49</w:t>
      </w:r>
      <w:r w:rsidR="00A30E96">
        <w:t xml:space="preserve"> and </w:t>
      </w:r>
      <w:r w:rsidR="00A30E96" w:rsidRPr="000B4E5B">
        <w:rPr>
          <w:rStyle w:val="FootnoteReference"/>
          <w:vertAlign w:val="baseline"/>
        </w:rPr>
        <w:t>Corr.1</w:t>
      </w:r>
      <w:r w:rsidR="00A30E96">
        <w:t>)</w:t>
      </w:r>
      <w:r w:rsidR="00801A49">
        <w:t>.</w:t>
      </w:r>
      <w:r>
        <w:t xml:space="preserve"> Pursuant to Council resolution 22/11, the report also includes information on the human rights of children of parents sentenced to the death penalty or executed.</w:t>
      </w:r>
    </w:p>
    <w:p w14:paraId="164FFC8E" w14:textId="3C202B2B" w:rsidR="001C04A0" w:rsidRPr="005F0462" w:rsidRDefault="001C04A0" w:rsidP="00AE022A">
      <w:pPr>
        <w:pStyle w:val="SingleTxtG"/>
      </w:pPr>
      <w:r>
        <w:rPr>
          <w:lang w:val="en-US"/>
        </w:rPr>
        <w:t>2.</w:t>
      </w:r>
      <w:r>
        <w:rPr>
          <w:lang w:val="en-US"/>
        </w:rPr>
        <w:tab/>
      </w:r>
      <w:r w:rsidRPr="005F0462">
        <w:t>The report covers the period from July 2016</w:t>
      </w:r>
      <w:r w:rsidR="00801A49">
        <w:t xml:space="preserve"> to</w:t>
      </w:r>
      <w:r w:rsidR="008F2DE7">
        <w:t xml:space="preserve"> </w:t>
      </w:r>
      <w:r w:rsidRPr="005F0462">
        <w:t>June 2018. It is based notably on a call for inputs circulated on 29 January 2018 to States, national human rights institutions, United Nations agencies, international and regional intergovernmental bodies and non-governmental organizations.</w:t>
      </w:r>
      <w:r w:rsidRPr="00E1363B">
        <w:rPr>
          <w:rStyle w:val="FootnoteReference"/>
        </w:rPr>
        <w:footnoteReference w:id="3"/>
      </w:r>
      <w:r w:rsidRPr="005F0462">
        <w:t xml:space="preserve"> Attention is also drawn to the report of the Secretary-General to the General Assembly on a moratorium on the use of the death penalty</w:t>
      </w:r>
      <w:r w:rsidR="00E3326A">
        <w:t xml:space="preserve"> (</w:t>
      </w:r>
      <w:r w:rsidR="00E3326A" w:rsidRPr="000B4E5B">
        <w:rPr>
          <w:rStyle w:val="FootnoteReference"/>
          <w:vertAlign w:val="baseline"/>
        </w:rPr>
        <w:t>A/73/260</w:t>
      </w:r>
      <w:r w:rsidR="00E3326A">
        <w:t>),</w:t>
      </w:r>
      <w:r w:rsidRPr="005F0462">
        <w:t xml:space="preserve"> </w:t>
      </w:r>
      <w:r w:rsidR="00E3326A">
        <w:t xml:space="preserve">in </w:t>
      </w:r>
      <w:r w:rsidRPr="005F0462">
        <w:t xml:space="preserve">which </w:t>
      </w:r>
      <w:r w:rsidR="00E3326A">
        <w:t xml:space="preserve">he </w:t>
      </w:r>
      <w:r w:rsidRPr="005F0462">
        <w:t>outline</w:t>
      </w:r>
      <w:r w:rsidR="00365C60">
        <w:t>d</w:t>
      </w:r>
      <w:r w:rsidRPr="005F0462">
        <w:t xml:space="preserve"> efforts made towards the implementation of Assembly resolution 71/187.</w:t>
      </w:r>
    </w:p>
    <w:p w14:paraId="15988C62" w14:textId="4623CA83" w:rsidR="001C04A0" w:rsidRDefault="001C04A0" w:rsidP="001C04A0">
      <w:pPr>
        <w:pStyle w:val="HChG"/>
      </w:pPr>
      <w:r>
        <w:rPr>
          <w:rFonts w:eastAsia="Arial Unicode MS" w:hAnsi="Arial Unicode MS" w:cs="Arial Unicode MS"/>
        </w:rPr>
        <w:tab/>
        <w:t>II.</w:t>
      </w:r>
      <w:r>
        <w:rPr>
          <w:rFonts w:eastAsia="Arial Unicode MS" w:hAnsi="Arial Unicode MS" w:cs="Arial Unicode MS"/>
        </w:rPr>
        <w:tab/>
        <w:t>Changes in law and practice</w:t>
      </w:r>
    </w:p>
    <w:p w14:paraId="184E594E" w14:textId="77777777" w:rsidR="001C04A0" w:rsidRPr="00AE022A" w:rsidRDefault="001C04A0" w:rsidP="00AE022A">
      <w:pPr>
        <w:pStyle w:val="SingleTxtG"/>
      </w:pPr>
      <w:r w:rsidRPr="00FE4F52">
        <w:t>3.</w:t>
      </w:r>
      <w:r>
        <w:tab/>
        <w:t>Changes in law include new legislation abolishing or reinstating the death penalty, restricting it or expanding its scope, as well as ratification of international human rights treaties that provide for the abolition of the death penalty. Changes in practice comprise non-legislative measures, including executive and judicial measures.</w:t>
      </w:r>
    </w:p>
    <w:p w14:paraId="10C4C6AD" w14:textId="4486A4F8" w:rsidR="001C04A0" w:rsidRDefault="001C04A0" w:rsidP="001C04A0">
      <w:pPr>
        <w:pStyle w:val="H1G"/>
      </w:pPr>
      <w:r>
        <w:tab/>
        <w:t>A.</w:t>
      </w:r>
      <w:r>
        <w:tab/>
      </w:r>
      <w:r w:rsidRPr="00580FA8">
        <w:t>Abolition</w:t>
      </w:r>
      <w:r>
        <w:t xml:space="preserve"> of the death penalty or initiatives taken for its abolition, including commitments provided to abolish it</w:t>
      </w:r>
    </w:p>
    <w:p w14:paraId="68069D4F" w14:textId="27A57D91" w:rsidR="001C04A0" w:rsidRPr="00D80DB1" w:rsidRDefault="001C04A0" w:rsidP="00AE022A">
      <w:pPr>
        <w:pStyle w:val="SingleTxtG"/>
      </w:pPr>
      <w:r>
        <w:t>4.</w:t>
      </w:r>
      <w:r>
        <w:tab/>
      </w:r>
      <w:r w:rsidRPr="00D80DB1">
        <w:t xml:space="preserve">Some 170 States have abolished or introduced a moratorium on the death penalty either in law or in practice, or have suspended executions for more than </w:t>
      </w:r>
      <w:r w:rsidR="00C860A0" w:rsidRPr="00D80DB1">
        <w:t xml:space="preserve">10 </w:t>
      </w:r>
      <w:r w:rsidRPr="00D80DB1">
        <w:t>years. During the reporting period, criminal codes which do not provide for the death penalty were adopted or came into force in Benin</w:t>
      </w:r>
      <w:r w:rsidR="00C860A0" w:rsidRPr="00D80DB1">
        <w:t>,</w:t>
      </w:r>
      <w:r w:rsidRPr="00511D90">
        <w:rPr>
          <w:rStyle w:val="FootnoteReference"/>
        </w:rPr>
        <w:footnoteReference w:id="4"/>
      </w:r>
      <w:r w:rsidRPr="00D80DB1">
        <w:t xml:space="preserve"> Burkina Faso</w:t>
      </w:r>
      <w:r w:rsidRPr="00511D90">
        <w:rPr>
          <w:rStyle w:val="FootnoteReference"/>
        </w:rPr>
        <w:footnoteReference w:id="5"/>
      </w:r>
      <w:r w:rsidRPr="00D80DB1">
        <w:t xml:space="preserve"> and Mongolia</w:t>
      </w:r>
      <w:r w:rsidR="00E41AE2" w:rsidRPr="00D80DB1">
        <w:t>.</w:t>
      </w:r>
      <w:r w:rsidRPr="00511D90">
        <w:rPr>
          <w:rStyle w:val="FootnoteReference"/>
        </w:rPr>
        <w:footnoteReference w:id="6"/>
      </w:r>
      <w:r w:rsidRPr="00D80DB1">
        <w:t xml:space="preserve"> In </w:t>
      </w:r>
      <w:r w:rsidR="00E41AE2" w:rsidRPr="00D80DB1">
        <w:t xml:space="preserve">the </w:t>
      </w:r>
      <w:r w:rsidRPr="00D80DB1">
        <w:t>Central African Republic</w:t>
      </w:r>
      <w:r w:rsidRPr="00511D90">
        <w:rPr>
          <w:rStyle w:val="FootnoteReference"/>
        </w:rPr>
        <w:footnoteReference w:id="7"/>
      </w:r>
      <w:r w:rsidRPr="00D80DB1">
        <w:t xml:space="preserve"> and Guinea</w:t>
      </w:r>
      <w:r w:rsidR="00E41AE2" w:rsidRPr="00D80DB1">
        <w:t>,</w:t>
      </w:r>
      <w:r w:rsidRPr="00511D90">
        <w:rPr>
          <w:rStyle w:val="FootnoteReference"/>
        </w:rPr>
        <w:footnoteReference w:id="8"/>
      </w:r>
      <w:r w:rsidRPr="00D80DB1">
        <w:t xml:space="preserve"> </w:t>
      </w:r>
      <w:r w:rsidR="00E41AE2" w:rsidRPr="00D80DB1">
        <w:t>m</w:t>
      </w:r>
      <w:r w:rsidRPr="00D80DB1">
        <w:t xml:space="preserve">ilitary </w:t>
      </w:r>
      <w:r w:rsidR="00E41AE2" w:rsidRPr="00D80DB1">
        <w:t>j</w:t>
      </w:r>
      <w:r w:rsidRPr="00D80DB1">
        <w:t xml:space="preserve">ustice </w:t>
      </w:r>
      <w:r w:rsidR="00E41AE2" w:rsidRPr="00D80DB1">
        <w:t>c</w:t>
      </w:r>
      <w:r w:rsidRPr="00D80DB1">
        <w:t xml:space="preserve">odes which do not provide for the death penalty were adopted or came into force. The National Assembly of Chad promulgated a </w:t>
      </w:r>
      <w:r w:rsidR="00802C65" w:rsidRPr="00D80DB1">
        <w:t>p</w:t>
      </w:r>
      <w:r w:rsidRPr="00D80DB1">
        <w:t xml:space="preserve">enal </w:t>
      </w:r>
      <w:r w:rsidR="00802C65" w:rsidRPr="00D80DB1">
        <w:t>c</w:t>
      </w:r>
      <w:r w:rsidRPr="00D80DB1">
        <w:t>ode which abolishes the death penalty for ordinary crimes, while maintaining it for “terrorism”</w:t>
      </w:r>
      <w:r w:rsidR="00802C65" w:rsidRPr="00D80DB1">
        <w:t>.</w:t>
      </w:r>
      <w:r w:rsidRPr="00511D90">
        <w:rPr>
          <w:rStyle w:val="FootnoteReference"/>
        </w:rPr>
        <w:footnoteReference w:id="9"/>
      </w:r>
      <w:r w:rsidRPr="00D80DB1">
        <w:t xml:space="preserve"> In October 2017, the Guatemala Constitutional Court effectively abolished the death penalty for ordinary crimes</w:t>
      </w:r>
      <w:r w:rsidR="00802C65" w:rsidRPr="00D80DB1">
        <w:t>.</w:t>
      </w:r>
      <w:r w:rsidRPr="00511D90">
        <w:rPr>
          <w:rStyle w:val="FootnoteReference"/>
        </w:rPr>
        <w:footnoteReference w:id="10"/>
      </w:r>
      <w:r w:rsidRPr="00D80DB1">
        <w:t xml:space="preserve"> Madagascar and Sao Tome and Principe ratified the Second Optional Protocol to the International Covenant on Civil and Political Rights, aiming at the abolition of the death penalty; </w:t>
      </w:r>
      <w:r w:rsidR="00344AA7" w:rsidRPr="00D80DB1">
        <w:t xml:space="preserve">the </w:t>
      </w:r>
      <w:r w:rsidRPr="00D80DB1">
        <w:t>Dominican Republic, Togo and the State of Palestine acceded to it and the Gambia signed it</w:t>
      </w:r>
      <w:r w:rsidR="00344AA7" w:rsidRPr="00D80DB1">
        <w:t>.</w:t>
      </w:r>
      <w:r w:rsidRPr="00511D90">
        <w:rPr>
          <w:rStyle w:val="FootnoteReference"/>
        </w:rPr>
        <w:footnoteReference w:id="11"/>
      </w:r>
      <w:r w:rsidRPr="00D80DB1">
        <w:t xml:space="preserve"> In the U</w:t>
      </w:r>
      <w:r w:rsidR="005245F9" w:rsidRPr="00D80DB1">
        <w:t>nited State</w:t>
      </w:r>
      <w:r w:rsidR="0048319C" w:rsidRPr="00D80DB1">
        <w:t>s</w:t>
      </w:r>
      <w:r w:rsidR="005245F9" w:rsidRPr="00D80DB1">
        <w:t xml:space="preserve"> of America</w:t>
      </w:r>
      <w:r w:rsidRPr="00D80DB1">
        <w:t xml:space="preserve">, the Delaware Supreme Court ruled that the capital sentencing statute in that </w:t>
      </w:r>
      <w:r w:rsidR="005245F9" w:rsidRPr="00D80DB1">
        <w:t>s</w:t>
      </w:r>
      <w:r w:rsidRPr="00D80DB1">
        <w:t xml:space="preserve">tate was unconstitutional, </w:t>
      </w:r>
      <w:r w:rsidR="005245F9" w:rsidRPr="00D80DB1">
        <w:t xml:space="preserve">and </w:t>
      </w:r>
      <w:r w:rsidRPr="00D80DB1">
        <w:t>therefore abolish</w:t>
      </w:r>
      <w:r w:rsidR="005245F9" w:rsidRPr="00D80DB1">
        <w:t>ed</w:t>
      </w:r>
      <w:r w:rsidRPr="00D80DB1">
        <w:t xml:space="preserve"> the death penalty</w:t>
      </w:r>
      <w:r w:rsidR="005245F9" w:rsidRPr="00D80DB1">
        <w:t>.</w:t>
      </w:r>
      <w:r w:rsidRPr="00511D90">
        <w:rPr>
          <w:rStyle w:val="FootnoteReference"/>
        </w:rPr>
        <w:footnoteReference w:id="12"/>
      </w:r>
    </w:p>
    <w:p w14:paraId="60CDBDF5" w14:textId="75451C8A" w:rsidR="001C04A0" w:rsidRDefault="001C04A0" w:rsidP="005F0462">
      <w:pPr>
        <w:pStyle w:val="SingleTxtG"/>
      </w:pPr>
      <w:r>
        <w:rPr>
          <w:lang w:val="en-US"/>
        </w:rPr>
        <w:t>5.</w:t>
      </w:r>
      <w:r>
        <w:rPr>
          <w:lang w:val="en-US"/>
        </w:rPr>
        <w:tab/>
        <w:t xml:space="preserve">Various processes to abolish the use of the death penalty were initiated in several States. In Benin and Burkina Faso, </w:t>
      </w:r>
      <w:r w:rsidR="005F4BEC">
        <w:rPr>
          <w:lang w:val="en-US"/>
        </w:rPr>
        <w:t>amendments to the</w:t>
      </w:r>
      <w:r>
        <w:rPr>
          <w:lang w:val="en-US"/>
        </w:rPr>
        <w:t xml:space="preserve"> </w:t>
      </w:r>
      <w:r w:rsidR="009F1929">
        <w:rPr>
          <w:lang w:val="en-US"/>
        </w:rPr>
        <w:t>c</w:t>
      </w:r>
      <w:r>
        <w:rPr>
          <w:lang w:val="en-US"/>
        </w:rPr>
        <w:t xml:space="preserve">onstitution were </w:t>
      </w:r>
      <w:r w:rsidR="0009600A">
        <w:rPr>
          <w:lang w:val="en-US"/>
        </w:rPr>
        <w:t xml:space="preserve">submitted to the National Assembly </w:t>
      </w:r>
      <w:r>
        <w:rPr>
          <w:lang w:val="en-US"/>
        </w:rPr>
        <w:t>which would abolish the death penalty</w:t>
      </w:r>
      <w:r w:rsidR="00923BE2">
        <w:rPr>
          <w:lang w:val="en-US"/>
        </w:rPr>
        <w:t>.</w:t>
      </w:r>
      <w:r w:rsidRPr="00E1363B">
        <w:rPr>
          <w:rStyle w:val="FootnoteReference"/>
        </w:rPr>
        <w:footnoteReference w:id="13"/>
      </w:r>
      <w:r>
        <w:rPr>
          <w:lang w:val="en-US"/>
        </w:rPr>
        <w:t xml:space="preserve"> The Guatemala Congress considered a bill to abolish the death penalty</w:t>
      </w:r>
      <w:r w:rsidR="001A6D8D">
        <w:rPr>
          <w:lang w:val="en-US"/>
        </w:rPr>
        <w:t>.</w:t>
      </w:r>
      <w:r w:rsidRPr="00E1363B">
        <w:rPr>
          <w:rStyle w:val="FootnoteReference"/>
        </w:rPr>
        <w:footnoteReference w:id="14"/>
      </w:r>
      <w:r>
        <w:rPr>
          <w:lang w:val="en-US"/>
        </w:rPr>
        <w:t xml:space="preserve"> The African Court on Human and Peoples’ Rights is also currently considering the merits of a challenge to the consistency of a mandatory penalty scheme with regional and international human rights standards</w:t>
      </w:r>
      <w:r w:rsidR="00B46680">
        <w:rPr>
          <w:lang w:val="en-US"/>
        </w:rPr>
        <w:t>.</w:t>
      </w:r>
      <w:r w:rsidRPr="00E1363B">
        <w:rPr>
          <w:rStyle w:val="FootnoteReference"/>
        </w:rPr>
        <w:footnoteReference w:id="15"/>
      </w:r>
    </w:p>
    <w:p w14:paraId="4FFD4D2C" w14:textId="1CEADA68" w:rsidR="001C04A0" w:rsidRPr="001E26BF" w:rsidRDefault="001C04A0" w:rsidP="005F0462">
      <w:pPr>
        <w:pStyle w:val="SingleTxtG"/>
        <w:rPr>
          <w:rFonts w:eastAsia="SimSun"/>
        </w:rPr>
      </w:pPr>
      <w:r>
        <w:rPr>
          <w:rFonts w:ascii="Times New Roman Bold" w:eastAsia="Times New Roman Bold" w:hAnsi="Times New Roman Bold" w:cs="Times New Roman Bold"/>
        </w:rPr>
        <w:tab/>
      </w:r>
      <w:r w:rsidRPr="00FE4F52">
        <w:rPr>
          <w:rFonts w:eastAsia="Times New Roman"/>
          <w:color w:val="000000"/>
          <w:u w:color="000000"/>
          <w:lang w:eastAsia="en-GB"/>
        </w:rPr>
        <w:t>6.</w:t>
      </w:r>
      <w:r>
        <w:rPr>
          <w:rFonts w:ascii="Times New Roman Bold" w:eastAsia="Times New Roman Bold" w:hAnsi="Times New Roman Bold" w:cs="Times New Roman Bold"/>
        </w:rPr>
        <w:tab/>
      </w:r>
      <w:r w:rsidRPr="00FE4F52">
        <w:rPr>
          <w:rFonts w:eastAsia="SimSun"/>
        </w:rPr>
        <w:t>Further, States made numerous recommendations during the universal periodic review to States that retain the death penalty</w:t>
      </w:r>
      <w:r w:rsidR="004E3599">
        <w:rPr>
          <w:rFonts w:eastAsia="SimSun"/>
        </w:rPr>
        <w:t>.</w:t>
      </w:r>
      <w:r w:rsidRPr="00E1363B">
        <w:rPr>
          <w:rStyle w:val="FootnoteReference"/>
        </w:rPr>
        <w:footnoteReference w:id="16"/>
      </w:r>
      <w:r w:rsidRPr="00FE4F52">
        <w:rPr>
          <w:rFonts w:eastAsia="SimSun"/>
        </w:rPr>
        <w:t xml:space="preserve"> These included recommendations to ratify the Second Optional Protocol</w:t>
      </w:r>
      <w:r w:rsidR="00B77876">
        <w:rPr>
          <w:rFonts w:eastAsia="SimSun"/>
        </w:rPr>
        <w:t xml:space="preserve"> to the</w:t>
      </w:r>
      <w:r w:rsidR="00D144E6">
        <w:rPr>
          <w:rFonts w:eastAsia="SimSun"/>
        </w:rPr>
        <w:t xml:space="preserve"> </w:t>
      </w:r>
      <w:r w:rsidR="001B30F5">
        <w:rPr>
          <w:rFonts w:eastAsia="SimSun"/>
        </w:rPr>
        <w:t>Covenant</w:t>
      </w:r>
      <w:r w:rsidR="00B77876">
        <w:rPr>
          <w:rFonts w:eastAsia="SimSun"/>
        </w:rPr>
        <w:t>,</w:t>
      </w:r>
      <w:r w:rsidRPr="00E1363B">
        <w:rPr>
          <w:rStyle w:val="FootnoteReference"/>
        </w:rPr>
        <w:footnoteReference w:id="17"/>
      </w:r>
      <w:r w:rsidRPr="005E6C6F">
        <w:rPr>
          <w:rFonts w:eastAsia="SimSun"/>
        </w:rPr>
        <w:t xml:space="preserve"> to establish a moratorium</w:t>
      </w:r>
      <w:r w:rsidR="00B77876">
        <w:rPr>
          <w:rFonts w:eastAsia="SimSun"/>
        </w:rPr>
        <w:t>,</w:t>
      </w:r>
      <w:r w:rsidRPr="00E1363B">
        <w:rPr>
          <w:rStyle w:val="FootnoteReference"/>
        </w:rPr>
        <w:footnoteReference w:id="18"/>
      </w:r>
      <w:r w:rsidRPr="005E6C6F">
        <w:rPr>
          <w:rFonts w:eastAsia="SimSun"/>
        </w:rPr>
        <w:t xml:space="preserve"> to continue efforts towards or consider abolition</w:t>
      </w:r>
      <w:r w:rsidRPr="00E1363B">
        <w:rPr>
          <w:rStyle w:val="FootnoteReference"/>
        </w:rPr>
        <w:footnoteReference w:id="19"/>
      </w:r>
      <w:r w:rsidRPr="005E6C6F">
        <w:rPr>
          <w:rFonts w:eastAsia="SimSun"/>
        </w:rPr>
        <w:t xml:space="preserve"> and to abolish the death penalty</w:t>
      </w:r>
      <w:r w:rsidR="00B77876">
        <w:rPr>
          <w:rFonts w:eastAsia="SimSun"/>
        </w:rPr>
        <w:t>.</w:t>
      </w:r>
      <w:r w:rsidRPr="00E1363B">
        <w:rPr>
          <w:rStyle w:val="FootnoteReference"/>
        </w:rPr>
        <w:footnoteReference w:id="20"/>
      </w:r>
      <w:r w:rsidRPr="005E6C6F">
        <w:rPr>
          <w:rFonts w:eastAsia="SimSun"/>
        </w:rPr>
        <w:t xml:space="preserve"> Some of the recommendations were </w:t>
      </w:r>
      <w:r w:rsidRPr="00FE4F52">
        <w:rPr>
          <w:rFonts w:eastAsia="SimSun"/>
        </w:rPr>
        <w:t>“</w:t>
      </w:r>
      <w:r w:rsidRPr="005E6C6F">
        <w:rPr>
          <w:rFonts w:eastAsia="SimSun"/>
        </w:rPr>
        <w:t>noted</w:t>
      </w:r>
      <w:r w:rsidRPr="00FE4F52">
        <w:rPr>
          <w:rFonts w:eastAsia="SimSun"/>
        </w:rPr>
        <w:t>”</w:t>
      </w:r>
      <w:r w:rsidR="00B77876">
        <w:rPr>
          <w:rFonts w:eastAsia="SimSun"/>
        </w:rPr>
        <w:t>,</w:t>
      </w:r>
      <w:r w:rsidRPr="00E1363B">
        <w:rPr>
          <w:rStyle w:val="FootnoteReference"/>
        </w:rPr>
        <w:footnoteReference w:id="21"/>
      </w:r>
      <w:r w:rsidRPr="005E6C6F">
        <w:rPr>
          <w:rFonts w:eastAsia="SimSun"/>
        </w:rPr>
        <w:t xml:space="preserve"> while</w:t>
      </w:r>
      <w:r w:rsidR="00B77876">
        <w:rPr>
          <w:rFonts w:eastAsia="SimSun"/>
        </w:rPr>
        <w:t>,</w:t>
      </w:r>
      <w:r w:rsidRPr="005E6C6F">
        <w:rPr>
          <w:rFonts w:eastAsia="SimSun"/>
        </w:rPr>
        <w:t xml:space="preserve"> as mentioned below, </w:t>
      </w:r>
      <w:r w:rsidRPr="005E6C6F">
        <w:rPr>
          <w:rFonts w:eastAsia="SimSun"/>
          <w:lang w:val="en"/>
        </w:rPr>
        <w:t xml:space="preserve">Sri Lanka supported recommendations to </w:t>
      </w:r>
      <w:r w:rsidRPr="00FE4F52">
        <w:rPr>
          <w:rFonts w:eastAsia="SimSun"/>
          <w:lang w:val="en"/>
        </w:rPr>
        <w:t xml:space="preserve">consider </w:t>
      </w:r>
      <w:r w:rsidRPr="005E6C6F">
        <w:rPr>
          <w:rFonts w:eastAsia="SimSun"/>
          <w:lang w:val="en"/>
        </w:rPr>
        <w:t>ratify</w:t>
      </w:r>
      <w:r w:rsidRPr="00FE4F52">
        <w:rPr>
          <w:rFonts w:eastAsia="SimSun"/>
          <w:lang w:val="en"/>
        </w:rPr>
        <w:t>ing</w:t>
      </w:r>
      <w:r w:rsidRPr="005E6C6F">
        <w:rPr>
          <w:rFonts w:eastAsia="SimSun"/>
          <w:lang w:val="en"/>
        </w:rPr>
        <w:t xml:space="preserve"> the Second Optional Protocol</w:t>
      </w:r>
      <w:r w:rsidRPr="00E1363B">
        <w:rPr>
          <w:rStyle w:val="FootnoteReference"/>
        </w:rPr>
        <w:footnoteReference w:id="22"/>
      </w:r>
      <w:r w:rsidRPr="00FE4F52">
        <w:rPr>
          <w:rFonts w:eastAsia="SimSun"/>
          <w:lang w:val="en"/>
        </w:rPr>
        <w:t xml:space="preserve"> </w:t>
      </w:r>
      <w:r w:rsidRPr="000B5F7B">
        <w:rPr>
          <w:rFonts w:eastAsia="SimSun"/>
          <w:lang w:val="en"/>
        </w:rPr>
        <w:t xml:space="preserve">and </w:t>
      </w:r>
      <w:r w:rsidRPr="005E6C6F">
        <w:rPr>
          <w:rFonts w:eastAsia="SimSun"/>
        </w:rPr>
        <w:t>to</w:t>
      </w:r>
      <w:r w:rsidRPr="00FE4F52">
        <w:rPr>
          <w:rFonts w:eastAsia="SimSun"/>
        </w:rPr>
        <w:t xml:space="preserve"> consider abolishing the death penalty</w:t>
      </w:r>
      <w:r w:rsidR="0080722F">
        <w:rPr>
          <w:rFonts w:eastAsia="SimSun"/>
        </w:rPr>
        <w:t>.</w:t>
      </w:r>
      <w:r w:rsidRPr="00E1363B">
        <w:rPr>
          <w:rStyle w:val="FootnoteReference"/>
        </w:rPr>
        <w:footnoteReference w:id="23"/>
      </w:r>
      <w:r w:rsidRPr="00FE4F52">
        <w:rPr>
          <w:rFonts w:eastAsia="SimSun"/>
        </w:rPr>
        <w:t xml:space="preserve"> </w:t>
      </w:r>
      <w:r w:rsidRPr="005E6C6F">
        <w:rPr>
          <w:rFonts w:eastAsia="SimSun"/>
        </w:rPr>
        <w:t xml:space="preserve">Further, </w:t>
      </w:r>
      <w:r w:rsidRPr="00FE4F52">
        <w:rPr>
          <w:rFonts w:eastAsia="SimSun"/>
        </w:rPr>
        <w:t xml:space="preserve">by way of example, </w:t>
      </w:r>
      <w:r w:rsidRPr="005E6C6F">
        <w:rPr>
          <w:rFonts w:eastAsia="SimSun"/>
        </w:rPr>
        <w:t>Bahrain supported recommendations to restrict the use of the death penalty to crimes that met the threshold of “most serious crimes” under international law</w:t>
      </w:r>
      <w:r w:rsidR="00D144E6">
        <w:rPr>
          <w:rFonts w:eastAsia="SimSun"/>
        </w:rPr>
        <w:t>,</w:t>
      </w:r>
      <w:r w:rsidRPr="00E1363B">
        <w:rPr>
          <w:rStyle w:val="FootnoteReference"/>
        </w:rPr>
        <w:footnoteReference w:id="24"/>
      </w:r>
      <w:r>
        <w:rPr>
          <w:rFonts w:eastAsia="SimSun"/>
        </w:rPr>
        <w:t xml:space="preserve"> and </w:t>
      </w:r>
      <w:r w:rsidRPr="005E6C6F">
        <w:rPr>
          <w:rFonts w:eastAsia="SimSun"/>
        </w:rPr>
        <w:t xml:space="preserve">recommendations to continue dialogue at the national level with a view to reaching consensus to abolish the death penalty </w:t>
      </w:r>
      <w:r w:rsidRPr="000B5F7B">
        <w:rPr>
          <w:rFonts w:eastAsia="SimSun"/>
        </w:rPr>
        <w:t>enjoyed the support of Tunisia</w:t>
      </w:r>
      <w:r w:rsidR="0080722F">
        <w:rPr>
          <w:rFonts w:eastAsia="SimSun"/>
        </w:rPr>
        <w:t>.</w:t>
      </w:r>
      <w:r w:rsidRPr="00E1363B">
        <w:rPr>
          <w:rStyle w:val="FootnoteReference"/>
        </w:rPr>
        <w:footnoteReference w:id="25"/>
      </w:r>
    </w:p>
    <w:p w14:paraId="438683C6" w14:textId="78C979E8" w:rsidR="001C04A0" w:rsidRDefault="001C04A0" w:rsidP="001C04A0">
      <w:pPr>
        <w:pStyle w:val="H1G"/>
      </w:pPr>
      <w:r>
        <w:tab/>
      </w:r>
      <w:r w:rsidRPr="00FE4F52">
        <w:t>B.</w:t>
      </w:r>
      <w:r w:rsidRPr="00FE4F52">
        <w:tab/>
        <w:t>Restrictions on the use and scope of the death penalty or limitations of its</w:t>
      </w:r>
      <w:r w:rsidR="00AD41FF">
        <w:t> </w:t>
      </w:r>
      <w:r w:rsidRPr="00FE4F52">
        <w:t>use</w:t>
      </w:r>
    </w:p>
    <w:p w14:paraId="1A7A2743" w14:textId="136C7F51" w:rsidR="001C04A0" w:rsidRDefault="001C04A0" w:rsidP="00AE022A">
      <w:pPr>
        <w:pStyle w:val="SingleTxtG"/>
        <w:rPr>
          <w:lang w:val="en-US"/>
        </w:rPr>
      </w:pPr>
      <w:r>
        <w:rPr>
          <w:lang w:val="en-US"/>
        </w:rPr>
        <w:t>7.</w:t>
      </w:r>
      <w:r>
        <w:rPr>
          <w:lang w:val="en-US"/>
        </w:rPr>
        <w:tab/>
        <w:t>In several de facto abolitionist States, as well as in States that continue to apply the death penalty, some noticeable initiatives restricting its use were recorded during the reporting period. In Afghanistan, the new Penal Code “significantly reduces the number of crimes for which the death penalty applies”</w:t>
      </w:r>
      <w:r w:rsidR="00A41DFC">
        <w:rPr>
          <w:lang w:val="en-US"/>
        </w:rPr>
        <w:t>.</w:t>
      </w:r>
      <w:r w:rsidRPr="00E1363B">
        <w:rPr>
          <w:rStyle w:val="FootnoteReference"/>
        </w:rPr>
        <w:footnoteReference w:id="26"/>
      </w:r>
      <w:r>
        <w:rPr>
          <w:lang w:val="en-US"/>
        </w:rPr>
        <w:t xml:space="preserve"> A committee was established to review death penalty sentences and to address allegations of egregious human rights violations, in particular</w:t>
      </w:r>
      <w:r w:rsidR="003B49FC">
        <w:rPr>
          <w:lang w:val="en-US"/>
        </w:rPr>
        <w:t>,</w:t>
      </w:r>
      <w:r>
        <w:rPr>
          <w:lang w:val="en-US"/>
        </w:rPr>
        <w:t xml:space="preserve"> fair trial and due process concerns such as lack of access to legal representation and forced confessions.</w:t>
      </w:r>
      <w:r w:rsidRPr="00E1363B">
        <w:rPr>
          <w:rStyle w:val="FootnoteReference"/>
        </w:rPr>
        <w:footnoteReference w:id="27"/>
      </w:r>
      <w:r>
        <w:rPr>
          <w:lang w:val="en-US"/>
        </w:rPr>
        <w:t xml:space="preserve"> The committee has also instructed relevant medical departments to determine the real age of certain prisoners and to re-examine those with mental or intellectual disabilities</w:t>
      </w:r>
      <w:r w:rsidR="006F19E6">
        <w:rPr>
          <w:lang w:val="en-US"/>
        </w:rPr>
        <w:t>.</w:t>
      </w:r>
      <w:r w:rsidRPr="00E1363B">
        <w:rPr>
          <w:rStyle w:val="FootnoteReference"/>
        </w:rPr>
        <w:footnoteReference w:id="28"/>
      </w:r>
      <w:r>
        <w:rPr>
          <w:lang w:val="en-US"/>
        </w:rPr>
        <w:t xml:space="preserve"> In its submission, Kenya highlighted that the Government </w:t>
      </w:r>
      <w:r w:rsidR="00806B87">
        <w:rPr>
          <w:lang w:val="en-US"/>
        </w:rPr>
        <w:t xml:space="preserve">was </w:t>
      </w:r>
      <w:r>
        <w:rPr>
          <w:lang w:val="en-US"/>
        </w:rPr>
        <w:t>committed in its efforts to review the death penalty</w:t>
      </w:r>
      <w:r w:rsidR="00C44B08">
        <w:rPr>
          <w:lang w:val="en-US"/>
        </w:rPr>
        <w:t>.</w:t>
      </w:r>
      <w:r w:rsidRPr="00E1363B">
        <w:rPr>
          <w:rStyle w:val="FootnoteReference"/>
        </w:rPr>
        <w:footnoteReference w:id="29"/>
      </w:r>
      <w:r>
        <w:rPr>
          <w:lang w:val="en-US"/>
        </w:rPr>
        <w:t xml:space="preserve"> In Myanmar, a law repealed provisions which allowed the death penalty for treason, abetting treason and sabotage</w:t>
      </w:r>
      <w:r w:rsidR="00806B87">
        <w:rPr>
          <w:lang w:val="en-US"/>
        </w:rPr>
        <w:t>,</w:t>
      </w:r>
      <w:r w:rsidRPr="00E1363B">
        <w:rPr>
          <w:rStyle w:val="FootnoteReference"/>
        </w:rPr>
        <w:footnoteReference w:id="30"/>
      </w:r>
      <w:r>
        <w:rPr>
          <w:lang w:val="en-US"/>
        </w:rPr>
        <w:t xml:space="preserve"> and Thailand abolished the mandatory death penalty for selling drugs</w:t>
      </w:r>
      <w:r w:rsidR="000E0F84">
        <w:rPr>
          <w:lang w:val="en-US"/>
        </w:rPr>
        <w:t>.</w:t>
      </w:r>
      <w:r w:rsidRPr="00E1363B">
        <w:rPr>
          <w:rStyle w:val="FootnoteReference"/>
        </w:rPr>
        <w:footnoteReference w:id="31"/>
      </w:r>
      <w:r>
        <w:rPr>
          <w:lang w:val="en-US"/>
        </w:rPr>
        <w:t xml:space="preserve"> Several crimes were removed from the list of capital offences in Viet Nam</w:t>
      </w:r>
      <w:r w:rsidR="000E0F84">
        <w:rPr>
          <w:lang w:val="en-US"/>
        </w:rPr>
        <w:t>.</w:t>
      </w:r>
      <w:r w:rsidRPr="00E1363B">
        <w:rPr>
          <w:rStyle w:val="FootnoteReference"/>
        </w:rPr>
        <w:footnoteReference w:id="32"/>
      </w:r>
    </w:p>
    <w:p w14:paraId="5B40F122" w14:textId="537AE751" w:rsidR="001C04A0" w:rsidRDefault="001C04A0" w:rsidP="005F0462">
      <w:pPr>
        <w:pStyle w:val="SingleTxtG"/>
        <w:rPr>
          <w:lang w:val="en-US"/>
        </w:rPr>
      </w:pPr>
      <w:r>
        <w:rPr>
          <w:lang w:val="en-US"/>
        </w:rPr>
        <w:t>8.</w:t>
      </w:r>
      <w:r>
        <w:rPr>
          <w:lang w:val="en-US"/>
        </w:rPr>
        <w:tab/>
        <w:t xml:space="preserve">In November 2017, </w:t>
      </w:r>
      <w:r w:rsidR="000844D7">
        <w:rPr>
          <w:lang w:val="en-US"/>
        </w:rPr>
        <w:t xml:space="preserve">the Islamic Republic of </w:t>
      </w:r>
      <w:r w:rsidRPr="00FE4F52">
        <w:rPr>
          <w:lang w:val="en-US"/>
        </w:rPr>
        <w:t>Iran amended its anti-drug law, limiting the use of the death penalty and reducing the sentences of those sentenced to death. The judiciary was subsequently instructed to review the cases of those already sentenced to death for drug-related offences</w:t>
      </w:r>
      <w:r w:rsidR="000844D7">
        <w:rPr>
          <w:lang w:val="en-US"/>
        </w:rPr>
        <w:t>.</w:t>
      </w:r>
      <w:r w:rsidRPr="00E1363B">
        <w:rPr>
          <w:rStyle w:val="FootnoteReference"/>
        </w:rPr>
        <w:footnoteReference w:id="33"/>
      </w:r>
      <w:r w:rsidRPr="00FE4F52">
        <w:rPr>
          <w:lang w:val="en-US"/>
        </w:rPr>
        <w:t xml:space="preserve"> Reportedly, </w:t>
      </w:r>
      <w:r w:rsidR="00FA42CE">
        <w:rPr>
          <w:lang w:val="en-US"/>
        </w:rPr>
        <w:t>the</w:t>
      </w:r>
      <w:r w:rsidR="00FA42CE" w:rsidRPr="00FE4F52">
        <w:rPr>
          <w:lang w:val="en-US"/>
        </w:rPr>
        <w:t xml:space="preserve"> </w:t>
      </w:r>
      <w:r w:rsidRPr="00FE4F52">
        <w:rPr>
          <w:lang w:val="en-US"/>
        </w:rPr>
        <w:t xml:space="preserve">significant reduction in </w:t>
      </w:r>
      <w:r w:rsidR="00FA42CE">
        <w:rPr>
          <w:lang w:val="en-US"/>
        </w:rPr>
        <w:t xml:space="preserve">the number of </w:t>
      </w:r>
      <w:r w:rsidRPr="00FE4F52">
        <w:rPr>
          <w:lang w:val="en-US"/>
        </w:rPr>
        <w:t>executions in 2018 can be attributed to the commuting of sentences and a temporary halt in drug-related executions</w:t>
      </w:r>
      <w:r w:rsidR="00870EFA">
        <w:rPr>
          <w:lang w:val="en-US"/>
        </w:rPr>
        <w:t>,</w:t>
      </w:r>
      <w:r w:rsidRPr="00FE4F52">
        <w:rPr>
          <w:lang w:val="en-US"/>
        </w:rPr>
        <w:t xml:space="preserve"> as the number of executions for murder charges remained nearly the same as in 2017</w:t>
      </w:r>
      <w:r w:rsidR="00870EFA">
        <w:rPr>
          <w:lang w:val="en-US"/>
        </w:rPr>
        <w:t>.</w:t>
      </w:r>
      <w:r w:rsidRPr="00E1363B">
        <w:rPr>
          <w:rStyle w:val="FootnoteReference"/>
        </w:rPr>
        <w:footnoteReference w:id="34"/>
      </w:r>
      <w:r>
        <w:rPr>
          <w:lang w:val="en-US"/>
        </w:rPr>
        <w:t xml:space="preserve"> Also in November 2017, Malaysia introduced some sentencing discretion where persons convicted of transporting drugs are found to have cooperated with law enforcement</w:t>
      </w:r>
      <w:r w:rsidR="001D7E15">
        <w:rPr>
          <w:lang w:val="en-US"/>
        </w:rPr>
        <w:t>.</w:t>
      </w:r>
      <w:r w:rsidRPr="00E1363B">
        <w:rPr>
          <w:rStyle w:val="FootnoteReference"/>
        </w:rPr>
        <w:footnoteReference w:id="35"/>
      </w:r>
    </w:p>
    <w:p w14:paraId="656F7D3E" w14:textId="2E158409" w:rsidR="001C04A0" w:rsidRDefault="001C04A0" w:rsidP="005F0462">
      <w:pPr>
        <w:pStyle w:val="SingleTxtG"/>
        <w:rPr>
          <w:lang w:val="en-US"/>
        </w:rPr>
      </w:pPr>
      <w:r>
        <w:rPr>
          <w:lang w:val="en-US"/>
        </w:rPr>
        <w:t>9.</w:t>
      </w:r>
      <w:r>
        <w:rPr>
          <w:lang w:val="en-US"/>
        </w:rPr>
        <w:tab/>
        <w:t xml:space="preserve">In the </w:t>
      </w:r>
      <w:r w:rsidR="001D7E15">
        <w:rPr>
          <w:lang w:val="en-US"/>
        </w:rPr>
        <w:t>United States</w:t>
      </w:r>
      <w:r>
        <w:rPr>
          <w:lang w:val="en-US"/>
        </w:rPr>
        <w:t>, the State of Alabama abolished the practice of judicial override for future death sentences, which had allowed judges to impose death sentences despite a jury recommendation for life imprisonment</w:t>
      </w:r>
      <w:r w:rsidR="00A969EB">
        <w:rPr>
          <w:lang w:val="en-US"/>
        </w:rPr>
        <w:t>.</w:t>
      </w:r>
      <w:r w:rsidRPr="00E1363B">
        <w:rPr>
          <w:rStyle w:val="FootnoteReference"/>
        </w:rPr>
        <w:footnoteReference w:id="36"/>
      </w:r>
      <w:r>
        <w:rPr>
          <w:lang w:val="en-US"/>
        </w:rPr>
        <w:t xml:space="preserve"> The State of Florida abolished non-unanimous jury recommendations for death sentences</w:t>
      </w:r>
      <w:r w:rsidR="00A969EB">
        <w:rPr>
          <w:lang w:val="en-US"/>
        </w:rPr>
        <w:t>.</w:t>
      </w:r>
      <w:r w:rsidRPr="00E1363B">
        <w:rPr>
          <w:rStyle w:val="FootnoteReference"/>
        </w:rPr>
        <w:footnoteReference w:id="37"/>
      </w:r>
      <w:r>
        <w:rPr>
          <w:lang w:val="en-US"/>
        </w:rPr>
        <w:t xml:space="preserve"> And a trial court in Kentucky issued the first judicial ruling finding that the execution of offenders under 21 amounts to cruel and unusual punishment</w:t>
      </w:r>
      <w:r w:rsidR="00A969EB">
        <w:rPr>
          <w:lang w:val="en-US"/>
        </w:rPr>
        <w:t>,</w:t>
      </w:r>
      <w:r>
        <w:rPr>
          <w:lang w:val="en-US"/>
        </w:rPr>
        <w:t xml:space="preserve"> in violation of the </w:t>
      </w:r>
      <w:r w:rsidR="00A969EB">
        <w:rPr>
          <w:lang w:val="en-US"/>
        </w:rPr>
        <w:t xml:space="preserve">United States </w:t>
      </w:r>
      <w:r>
        <w:rPr>
          <w:lang w:val="en-US"/>
        </w:rPr>
        <w:t>Constitution</w:t>
      </w:r>
      <w:r w:rsidR="00A969EB">
        <w:rPr>
          <w:lang w:val="en-US"/>
        </w:rPr>
        <w:t>.</w:t>
      </w:r>
      <w:r w:rsidRPr="00E1363B">
        <w:rPr>
          <w:rStyle w:val="FootnoteReference"/>
        </w:rPr>
        <w:footnoteReference w:id="38"/>
      </w:r>
      <w:r>
        <w:rPr>
          <w:lang w:val="en-US"/>
        </w:rPr>
        <w:t xml:space="preserve"> </w:t>
      </w:r>
    </w:p>
    <w:p w14:paraId="01248FD7" w14:textId="77777777" w:rsidR="001C04A0" w:rsidRPr="00E86E83" w:rsidRDefault="001C04A0" w:rsidP="00E86E83">
      <w:pPr>
        <w:pStyle w:val="H1G"/>
      </w:pPr>
      <w:r>
        <w:tab/>
        <w:t>C.</w:t>
      </w:r>
      <w:r>
        <w:tab/>
      </w:r>
      <w:r>
        <w:tab/>
      </w:r>
      <w:r w:rsidRPr="00245453">
        <w:t>International</w:t>
      </w:r>
      <w:r>
        <w:t xml:space="preserve"> and regional instruments contributing to the abolition of the death penalty</w:t>
      </w:r>
    </w:p>
    <w:p w14:paraId="72AED630" w14:textId="3FDFDA30" w:rsidR="001C04A0" w:rsidRDefault="001C04A0" w:rsidP="005F0462">
      <w:pPr>
        <w:pStyle w:val="SingleTxtG"/>
        <w:rPr>
          <w:lang w:val="en-US"/>
        </w:rPr>
      </w:pPr>
      <w:r>
        <w:rPr>
          <w:lang w:val="en-US"/>
        </w:rPr>
        <w:t>10.</w:t>
      </w:r>
      <w:r>
        <w:rPr>
          <w:lang w:val="en-US"/>
        </w:rPr>
        <w:tab/>
        <w:t xml:space="preserve">The Second Optional Protocol to the International Covenant on Civil and Political Rights </w:t>
      </w:r>
      <w:r w:rsidR="001C0630">
        <w:rPr>
          <w:lang w:val="en-US"/>
        </w:rPr>
        <w:t xml:space="preserve">had </w:t>
      </w:r>
      <w:r>
        <w:rPr>
          <w:lang w:val="en-US"/>
        </w:rPr>
        <w:t xml:space="preserve">been ratified by 85 States as of 15 June 2018. It remains the key international treaty prohibiting the use of the death penalty. The Second Optional Protocol contains no provisions for denunciation or withdrawal. The United Nations human rights treaty bodies continued to encourage Member States to ratify or accede to the Second </w:t>
      </w:r>
      <w:r w:rsidR="001C0630">
        <w:rPr>
          <w:lang w:val="en-US"/>
        </w:rPr>
        <w:t xml:space="preserve">Optional </w:t>
      </w:r>
      <w:r>
        <w:rPr>
          <w:lang w:val="en-US"/>
        </w:rPr>
        <w:t xml:space="preserve">Protocol, for example, in their consideration of </w:t>
      </w:r>
      <w:r w:rsidR="00CC7CA7">
        <w:rPr>
          <w:lang w:val="en-US"/>
        </w:rPr>
        <w:t xml:space="preserve">the </w:t>
      </w:r>
      <w:r w:rsidR="005B030C">
        <w:rPr>
          <w:lang w:val="en-US"/>
        </w:rPr>
        <w:t xml:space="preserve">periodic </w:t>
      </w:r>
      <w:r w:rsidR="00CC7CA7">
        <w:rPr>
          <w:lang w:val="en-US"/>
        </w:rPr>
        <w:t xml:space="preserve">reports of </w:t>
      </w:r>
      <w:r>
        <w:rPr>
          <w:lang w:val="en-US"/>
        </w:rPr>
        <w:t>Bangladesh, Barbados, Burkina Faso, Cameroon, C</w:t>
      </w:r>
      <w:r w:rsidR="00CC7CA7">
        <w:rPr>
          <w:lang w:val="en-US"/>
        </w:rPr>
        <w:t>ô</w:t>
      </w:r>
      <w:r>
        <w:rPr>
          <w:lang w:val="en-US"/>
        </w:rPr>
        <w:t xml:space="preserve">te d’Ivoire, Ghana, Guatemala, Haiti, Jamaica, Jordan, Kazakhstan, Kuwait, Lebanon, Malawi, Mauritius, Morocco, Niger, Nigeria, Pakistan, </w:t>
      </w:r>
      <w:r w:rsidR="00CC7CA7">
        <w:rPr>
          <w:lang w:val="en-US"/>
        </w:rPr>
        <w:t xml:space="preserve">the Republic of </w:t>
      </w:r>
      <w:r>
        <w:rPr>
          <w:lang w:val="en-US"/>
        </w:rPr>
        <w:t>Korea, Sri Lanka, Swaziland and Thailand</w:t>
      </w:r>
      <w:r w:rsidR="001A4F46">
        <w:rPr>
          <w:lang w:val="en-US"/>
        </w:rPr>
        <w:t>.</w:t>
      </w:r>
      <w:r w:rsidRPr="00E1363B">
        <w:rPr>
          <w:rStyle w:val="FootnoteReference"/>
        </w:rPr>
        <w:footnoteReference w:id="39"/>
      </w:r>
      <w:r>
        <w:rPr>
          <w:lang w:val="en-US"/>
        </w:rPr>
        <w:t xml:space="preserve"> </w:t>
      </w:r>
      <w:r w:rsidRPr="003552C9">
        <w:rPr>
          <w:lang w:val="en-US"/>
        </w:rPr>
        <w:t>Furthermore, Sri Lanka supported recommendation</w:t>
      </w:r>
      <w:r w:rsidRPr="00D11347">
        <w:rPr>
          <w:lang w:val="en-US"/>
        </w:rPr>
        <w:t>s to consider ratifying the Second Optional Protocol during the universal periodic review.</w:t>
      </w:r>
      <w:r w:rsidRPr="00E1363B">
        <w:rPr>
          <w:rStyle w:val="FootnoteReference"/>
        </w:rPr>
        <w:footnoteReference w:id="40"/>
      </w:r>
      <w:r>
        <w:rPr>
          <w:lang w:val="en-US"/>
        </w:rPr>
        <w:t xml:space="preserve"> </w:t>
      </w:r>
    </w:p>
    <w:p w14:paraId="385BDA4A" w14:textId="255615AB" w:rsidR="001C04A0" w:rsidRDefault="001C04A0" w:rsidP="005F0462">
      <w:pPr>
        <w:pStyle w:val="SingleTxtG"/>
        <w:rPr>
          <w:rFonts w:eastAsia="Arial Unicode MS" w:hAnsi="Arial Unicode MS" w:cs="Arial Unicode MS"/>
        </w:rPr>
      </w:pPr>
      <w:r>
        <w:rPr>
          <w:lang w:val="en-US"/>
        </w:rPr>
        <w:t>11.</w:t>
      </w:r>
      <w:r>
        <w:rPr>
          <w:lang w:val="en-US"/>
        </w:rPr>
        <w:tab/>
        <w:t xml:space="preserve">Given the irreversible nature of the death penalty, death sentences should not be carried out as long as international interim measures requiring a stay of execution are in place. </w:t>
      </w:r>
      <w:r w:rsidRPr="00FE4F52">
        <w:t>The Human Rights Committee noted</w:t>
      </w:r>
      <w:r w:rsidR="00B86349">
        <w:t>,</w:t>
      </w:r>
      <w:r w:rsidRPr="00FE4F52">
        <w:t xml:space="preserve"> in </w:t>
      </w:r>
      <w:r w:rsidR="005D558D">
        <w:t xml:space="preserve">paragraph 19 of </w:t>
      </w:r>
      <w:r w:rsidR="00653604">
        <w:t>g</w:t>
      </w:r>
      <w:r w:rsidRPr="00FE4F52">
        <w:t xml:space="preserve">eneral </w:t>
      </w:r>
      <w:r w:rsidR="00653604">
        <w:t>c</w:t>
      </w:r>
      <w:r w:rsidRPr="00FE4F52">
        <w:t xml:space="preserve">omment No. 33 </w:t>
      </w:r>
      <w:r w:rsidR="00653604">
        <w:t>(2009) on the obligations of States parties under the Optional Protocol</w:t>
      </w:r>
      <w:r w:rsidR="00B86349">
        <w:t>,</w:t>
      </w:r>
      <w:r w:rsidR="00653604">
        <w:t xml:space="preserve"> </w:t>
      </w:r>
      <w:r w:rsidRPr="00FE4F52">
        <w:t xml:space="preserve">that, for countries </w:t>
      </w:r>
      <w:r w:rsidR="00653604">
        <w:t>that</w:t>
      </w:r>
      <w:r w:rsidR="00653604" w:rsidRPr="00FE4F52">
        <w:t xml:space="preserve"> </w:t>
      </w:r>
      <w:r w:rsidR="00883148">
        <w:t>are</w:t>
      </w:r>
      <w:r w:rsidR="006D3CC6" w:rsidRPr="00FE4F52">
        <w:t xml:space="preserve"> </w:t>
      </w:r>
      <w:r w:rsidRPr="00FE4F52">
        <w:t xml:space="preserve">party to the </w:t>
      </w:r>
      <w:r w:rsidR="00653604">
        <w:t>f</w:t>
      </w:r>
      <w:r w:rsidRPr="00FE4F52">
        <w:t xml:space="preserve">irst Optional Protocol, a failure to implement interim or provisional measures </w:t>
      </w:r>
      <w:r w:rsidR="0008752F">
        <w:t>is</w:t>
      </w:r>
      <w:r w:rsidR="006D3CC6" w:rsidRPr="00FE4F52">
        <w:t xml:space="preserve"> </w:t>
      </w:r>
      <w:r w:rsidRPr="00FE4F52">
        <w:t>incompatible with the obligation to respect in good faith the procedure of individual communication established under the Optional Protocol</w:t>
      </w:r>
      <w:r w:rsidR="005D558D">
        <w:t>.</w:t>
      </w:r>
      <w:r>
        <w:rPr>
          <w:lang w:val="en-US"/>
        </w:rPr>
        <w:t xml:space="preserve"> In May 2017, the International Court of Justice indicated </w:t>
      </w:r>
      <w:r w:rsidR="00F26CD3">
        <w:rPr>
          <w:lang w:val="en-US"/>
        </w:rPr>
        <w:t xml:space="preserve">to </w:t>
      </w:r>
      <w:r>
        <w:rPr>
          <w:lang w:val="en-US"/>
        </w:rPr>
        <w:t xml:space="preserve">Pakistan </w:t>
      </w:r>
      <w:r w:rsidR="00F26CD3">
        <w:rPr>
          <w:lang w:val="en-US"/>
        </w:rPr>
        <w:t xml:space="preserve">that it </w:t>
      </w:r>
      <w:r>
        <w:rPr>
          <w:lang w:val="en-US"/>
        </w:rPr>
        <w:t xml:space="preserve">must “take all measures at its disposal” to ensure that an Indian national </w:t>
      </w:r>
      <w:r w:rsidR="006D3CC6">
        <w:rPr>
          <w:lang w:val="en-US"/>
        </w:rPr>
        <w:t xml:space="preserve">was </w:t>
      </w:r>
      <w:r>
        <w:rPr>
          <w:lang w:val="en-US"/>
        </w:rPr>
        <w:t xml:space="preserve">not executed pending a final judgment in a dispute concerning alleged violations of </w:t>
      </w:r>
      <w:r w:rsidR="00E5074B">
        <w:rPr>
          <w:lang w:val="en-US"/>
        </w:rPr>
        <w:t>a</w:t>
      </w:r>
      <w:r>
        <w:rPr>
          <w:lang w:val="en-US"/>
        </w:rPr>
        <w:t>rticle 36 of the Vienna Convention on Consular Relations</w:t>
      </w:r>
      <w:r w:rsidR="00E5074B">
        <w:rPr>
          <w:lang w:val="en-US"/>
        </w:rPr>
        <w:t>.</w:t>
      </w:r>
      <w:r w:rsidRPr="00E1363B">
        <w:rPr>
          <w:rStyle w:val="FootnoteReference"/>
        </w:rPr>
        <w:footnoteReference w:id="41"/>
      </w:r>
      <w:r>
        <w:rPr>
          <w:lang w:val="en-US"/>
        </w:rPr>
        <w:t xml:space="preserve"> The </w:t>
      </w:r>
      <w:r w:rsidR="00E5074B">
        <w:rPr>
          <w:lang w:val="en-US"/>
        </w:rPr>
        <w:t xml:space="preserve">Court </w:t>
      </w:r>
      <w:r>
        <w:rPr>
          <w:lang w:val="en-US"/>
        </w:rPr>
        <w:t>has held its provisional measures to be legally binding</w:t>
      </w:r>
      <w:r w:rsidR="00EE56A6">
        <w:rPr>
          <w:lang w:val="en-US"/>
        </w:rPr>
        <w:t>.</w:t>
      </w:r>
      <w:r w:rsidRPr="00E1363B">
        <w:rPr>
          <w:rStyle w:val="FootnoteReference"/>
        </w:rPr>
        <w:footnoteReference w:id="42"/>
      </w:r>
      <w:r>
        <w:rPr>
          <w:lang w:val="en-US"/>
        </w:rPr>
        <w:t xml:space="preserve"> Similarly, the Committee </w:t>
      </w:r>
      <w:r w:rsidR="003E1757">
        <w:rPr>
          <w:lang w:val="en-US"/>
        </w:rPr>
        <w:t>a</w:t>
      </w:r>
      <w:r>
        <w:rPr>
          <w:lang w:val="en-US"/>
        </w:rPr>
        <w:t>gainst Torture recalled that non-compliance with interim measures of protection regarding deportations constitute</w:t>
      </w:r>
      <w:r w:rsidR="005F619A">
        <w:rPr>
          <w:lang w:val="en-US"/>
        </w:rPr>
        <w:t>d</w:t>
      </w:r>
      <w:r>
        <w:rPr>
          <w:lang w:val="en-US"/>
        </w:rPr>
        <w:t xml:space="preserve"> a breach of article 22 </w:t>
      </w:r>
      <w:r w:rsidR="003E1757">
        <w:rPr>
          <w:lang w:val="en-US"/>
        </w:rPr>
        <w:t>of the Convention against Torture and Other Cruel, Inhuman or Degrading Treatment or Punishment</w:t>
      </w:r>
      <w:r w:rsidRPr="00E1363B">
        <w:rPr>
          <w:rStyle w:val="FootnoteReference"/>
        </w:rPr>
        <w:footnoteReference w:id="43"/>
      </w:r>
      <w:r>
        <w:rPr>
          <w:lang w:val="en-US"/>
        </w:rPr>
        <w:t xml:space="preserve"> and noted that a number of individuals </w:t>
      </w:r>
      <w:r w:rsidR="003E1757">
        <w:rPr>
          <w:lang w:val="en-US"/>
        </w:rPr>
        <w:t xml:space="preserve">had been </w:t>
      </w:r>
      <w:r>
        <w:rPr>
          <w:lang w:val="en-US"/>
        </w:rPr>
        <w:t>executed in Belarus pending proceedings before the Human Rights Committee</w:t>
      </w:r>
      <w:r w:rsidR="003E1757">
        <w:rPr>
          <w:lang w:val="en-US"/>
        </w:rPr>
        <w:t>.</w:t>
      </w:r>
      <w:r w:rsidRPr="00E1363B">
        <w:rPr>
          <w:rStyle w:val="FootnoteReference"/>
        </w:rPr>
        <w:footnoteReference w:id="44"/>
      </w:r>
      <w:r>
        <w:rPr>
          <w:lang w:val="en-US"/>
        </w:rPr>
        <w:t xml:space="preserve"> A dual </w:t>
      </w:r>
      <w:r w:rsidR="00B75B9B">
        <w:rPr>
          <w:lang w:val="en-US"/>
        </w:rPr>
        <w:t xml:space="preserve">national of the United States and </w:t>
      </w:r>
      <w:r>
        <w:rPr>
          <w:lang w:val="en-US"/>
        </w:rPr>
        <w:t>Hungar</w:t>
      </w:r>
      <w:r w:rsidR="005F619A">
        <w:rPr>
          <w:lang w:val="en-US"/>
        </w:rPr>
        <w:t xml:space="preserve">y </w:t>
      </w:r>
      <w:r>
        <w:rPr>
          <w:lang w:val="en-US"/>
        </w:rPr>
        <w:t xml:space="preserve">was executed in the </w:t>
      </w:r>
      <w:r w:rsidR="00B75B9B">
        <w:rPr>
          <w:lang w:val="en-US"/>
        </w:rPr>
        <w:t xml:space="preserve">United States </w:t>
      </w:r>
      <w:r>
        <w:rPr>
          <w:lang w:val="en-US"/>
        </w:rPr>
        <w:t>in July 2017 despite precautionary measures handed down by the Inter-American Commission</w:t>
      </w:r>
      <w:r w:rsidR="00B20461">
        <w:rPr>
          <w:lang w:val="en-US"/>
        </w:rPr>
        <w:t xml:space="preserve"> on Human Rights</w:t>
      </w:r>
      <w:r>
        <w:rPr>
          <w:lang w:val="en-US"/>
        </w:rPr>
        <w:t>.</w:t>
      </w:r>
      <w:r w:rsidRPr="00E1363B">
        <w:rPr>
          <w:rStyle w:val="FootnoteReference"/>
        </w:rPr>
        <w:footnoteReference w:id="45"/>
      </w:r>
    </w:p>
    <w:p w14:paraId="36D208A6" w14:textId="0DB616FD" w:rsidR="001C04A0" w:rsidRPr="00AE022A" w:rsidRDefault="000E5D05" w:rsidP="000E5D05">
      <w:pPr>
        <w:pStyle w:val="H1G"/>
      </w:pPr>
      <w:r>
        <w:rPr>
          <w:lang w:val="en-US"/>
        </w:rPr>
        <w:tab/>
      </w:r>
      <w:r w:rsidR="001C04A0" w:rsidRPr="00FE4F52">
        <w:rPr>
          <w:lang w:val="en-US"/>
        </w:rPr>
        <w:t>D.</w:t>
      </w:r>
      <w:r w:rsidR="001C04A0" w:rsidRPr="00FE4F52">
        <w:rPr>
          <w:lang w:val="en-US"/>
        </w:rPr>
        <w:tab/>
      </w:r>
      <w:r w:rsidR="001C04A0" w:rsidRPr="00AE022A">
        <w:rPr>
          <w:lang w:val="en-US"/>
        </w:rPr>
        <w:t>Reintroduction of the use of the death penalty, extension of its scope or resumption of executions</w:t>
      </w:r>
    </w:p>
    <w:p w14:paraId="32A291E3" w14:textId="156E438C" w:rsidR="001C04A0" w:rsidRDefault="001C04A0" w:rsidP="005F0462">
      <w:pPr>
        <w:pStyle w:val="SingleTxtG"/>
        <w:rPr>
          <w:lang w:val="en-US"/>
        </w:rPr>
      </w:pPr>
      <w:r>
        <w:rPr>
          <w:lang w:val="en-US"/>
        </w:rPr>
        <w:t>12.</w:t>
      </w:r>
      <w:r>
        <w:rPr>
          <w:lang w:val="en-US"/>
        </w:rPr>
        <w:tab/>
        <w:t>During the reporting period, State officials in Mongolia</w:t>
      </w:r>
      <w:r w:rsidR="00B86349">
        <w:rPr>
          <w:lang w:val="en-US"/>
        </w:rPr>
        <w:t>,</w:t>
      </w:r>
      <w:r w:rsidRPr="00E1363B">
        <w:rPr>
          <w:rStyle w:val="FootnoteReference"/>
        </w:rPr>
        <w:footnoteReference w:id="46"/>
      </w:r>
      <w:r>
        <w:rPr>
          <w:lang w:val="en-US"/>
        </w:rPr>
        <w:t xml:space="preserve"> the Philippines</w:t>
      </w:r>
      <w:r w:rsidRPr="00E1363B">
        <w:rPr>
          <w:rStyle w:val="FootnoteReference"/>
        </w:rPr>
        <w:footnoteReference w:id="47"/>
      </w:r>
      <w:r>
        <w:rPr>
          <w:lang w:val="en-US"/>
        </w:rPr>
        <w:t xml:space="preserve"> and Turkey</w:t>
      </w:r>
      <w:r w:rsidRPr="00E1363B">
        <w:rPr>
          <w:rStyle w:val="FootnoteReference"/>
        </w:rPr>
        <w:footnoteReference w:id="48"/>
      </w:r>
      <w:r>
        <w:rPr>
          <w:lang w:val="en-US"/>
        </w:rPr>
        <w:t xml:space="preserve"> announced </w:t>
      </w:r>
      <w:r w:rsidR="00C31A58">
        <w:rPr>
          <w:lang w:val="en-US"/>
        </w:rPr>
        <w:t>that they were considering reintroducing</w:t>
      </w:r>
      <w:r>
        <w:rPr>
          <w:lang w:val="en-US"/>
        </w:rPr>
        <w:t xml:space="preserve"> the death penalty. The </w:t>
      </w:r>
      <w:r w:rsidR="00C31A58">
        <w:rPr>
          <w:lang w:val="en-US"/>
        </w:rPr>
        <w:t xml:space="preserve">United Nations </w:t>
      </w:r>
      <w:r>
        <w:rPr>
          <w:lang w:val="en-US"/>
        </w:rPr>
        <w:t>High Commissioner</w:t>
      </w:r>
      <w:r w:rsidR="00C31A58">
        <w:rPr>
          <w:lang w:val="en-US"/>
        </w:rPr>
        <w:t xml:space="preserve"> for Human Rights</w:t>
      </w:r>
      <w:r>
        <w:rPr>
          <w:lang w:val="en-US"/>
        </w:rPr>
        <w:t xml:space="preserve">, the Human Rights Committee and </w:t>
      </w:r>
      <w:r w:rsidR="00C31A58">
        <w:rPr>
          <w:lang w:val="en-US"/>
        </w:rPr>
        <w:t>s</w:t>
      </w:r>
      <w:r>
        <w:rPr>
          <w:lang w:val="en-US"/>
        </w:rPr>
        <w:t xml:space="preserve">pecial </w:t>
      </w:r>
      <w:r w:rsidR="00C31A58">
        <w:rPr>
          <w:lang w:val="en-US"/>
        </w:rPr>
        <w:t>p</w:t>
      </w:r>
      <w:r>
        <w:rPr>
          <w:lang w:val="en-US"/>
        </w:rPr>
        <w:t xml:space="preserve">rocedure mandate holders expressed their concern </w:t>
      </w:r>
      <w:r w:rsidR="00C31A58">
        <w:rPr>
          <w:lang w:val="en-US"/>
        </w:rPr>
        <w:t xml:space="preserve">at those </w:t>
      </w:r>
      <w:r>
        <w:rPr>
          <w:lang w:val="en-US"/>
        </w:rPr>
        <w:t>pronouncements, highlighting that such plans</w:t>
      </w:r>
      <w:r w:rsidR="00B55667">
        <w:rPr>
          <w:lang w:val="en-US"/>
        </w:rPr>
        <w:t>, should they</w:t>
      </w:r>
      <w:r w:rsidR="005F619A">
        <w:rPr>
          <w:lang w:val="en-US"/>
        </w:rPr>
        <w:t xml:space="preserve"> </w:t>
      </w:r>
      <w:r w:rsidR="00436BC3">
        <w:rPr>
          <w:lang w:val="en-US"/>
        </w:rPr>
        <w:t>be implemented</w:t>
      </w:r>
      <w:r w:rsidR="00502862">
        <w:rPr>
          <w:lang w:val="en-US"/>
        </w:rPr>
        <w:t xml:space="preserve"> in the Philippines</w:t>
      </w:r>
      <w:r w:rsidR="00436BC3">
        <w:rPr>
          <w:lang w:val="en-US"/>
        </w:rPr>
        <w:t>,</w:t>
      </w:r>
      <w:r>
        <w:rPr>
          <w:lang w:val="en-US"/>
        </w:rPr>
        <w:t xml:space="preserve"> would constitute a violation of the country’s obligations as </w:t>
      </w:r>
      <w:r w:rsidR="000667B7">
        <w:rPr>
          <w:lang w:val="en-US"/>
        </w:rPr>
        <w:t>a S</w:t>
      </w:r>
      <w:r>
        <w:rPr>
          <w:lang w:val="en-US"/>
        </w:rPr>
        <w:t>tate party to the Second Optional Protocol.</w:t>
      </w:r>
      <w:r w:rsidRPr="00E1363B">
        <w:rPr>
          <w:rStyle w:val="FootnoteReference"/>
        </w:rPr>
        <w:footnoteReference w:id="49"/>
      </w:r>
      <w:r>
        <w:rPr>
          <w:lang w:val="en-US"/>
        </w:rPr>
        <w:t xml:space="preserve"> </w:t>
      </w:r>
      <w:r w:rsidR="00BC040F">
        <w:rPr>
          <w:lang w:val="en-US"/>
        </w:rPr>
        <w:t>During the universal periodic review in July 2017, s</w:t>
      </w:r>
      <w:r>
        <w:rPr>
          <w:lang w:val="en-US"/>
        </w:rPr>
        <w:t>everal Member States also recommended that the Philippines refrain from reinstituting the death penalty.</w:t>
      </w:r>
      <w:r w:rsidRPr="00E1363B">
        <w:rPr>
          <w:rStyle w:val="FootnoteReference"/>
        </w:rPr>
        <w:footnoteReference w:id="50"/>
      </w:r>
      <w:r>
        <w:rPr>
          <w:lang w:val="en-US"/>
        </w:rPr>
        <w:t xml:space="preserve"> </w:t>
      </w:r>
    </w:p>
    <w:p w14:paraId="21C3732E" w14:textId="6003E617" w:rsidR="001C04A0" w:rsidRDefault="001C04A0" w:rsidP="005F0462">
      <w:pPr>
        <w:pStyle w:val="SingleTxtG"/>
        <w:rPr>
          <w:lang w:val="en-US"/>
        </w:rPr>
      </w:pPr>
      <w:r>
        <w:rPr>
          <w:lang w:val="en-US"/>
        </w:rPr>
        <w:t>13.</w:t>
      </w:r>
      <w:r>
        <w:rPr>
          <w:lang w:val="en-US"/>
        </w:rPr>
        <w:tab/>
        <w:t>During the reporting period several States adopted laws providing for the death penalty: India for hijacking</w:t>
      </w:r>
      <w:r w:rsidR="002B574B">
        <w:rPr>
          <w:lang w:val="en-US"/>
        </w:rPr>
        <w:t>,</w:t>
      </w:r>
      <w:r w:rsidRPr="00E1363B">
        <w:rPr>
          <w:rStyle w:val="FootnoteReference"/>
        </w:rPr>
        <w:footnoteReference w:id="51"/>
      </w:r>
      <w:r>
        <w:rPr>
          <w:lang w:val="en-US"/>
        </w:rPr>
        <w:t xml:space="preserve"> Nigeria for kidnapping</w:t>
      </w:r>
      <w:r w:rsidR="002B574B">
        <w:rPr>
          <w:lang w:val="en-US"/>
        </w:rPr>
        <w:t>,</w:t>
      </w:r>
      <w:r w:rsidRPr="00E1363B">
        <w:rPr>
          <w:rStyle w:val="FootnoteReference"/>
        </w:rPr>
        <w:footnoteReference w:id="52"/>
      </w:r>
      <w:r>
        <w:rPr>
          <w:lang w:val="en-US"/>
        </w:rPr>
        <w:t xml:space="preserve"> Singapore for nuclear terrorism</w:t>
      </w:r>
      <w:r w:rsidRPr="00E1363B">
        <w:rPr>
          <w:rStyle w:val="FootnoteReference"/>
        </w:rPr>
        <w:footnoteReference w:id="53"/>
      </w:r>
      <w:r>
        <w:rPr>
          <w:lang w:val="en-US"/>
        </w:rPr>
        <w:t xml:space="preserve"> and Thailand for corruption</w:t>
      </w:r>
      <w:r w:rsidR="002B574B">
        <w:rPr>
          <w:lang w:val="en-US"/>
        </w:rPr>
        <w:t>.</w:t>
      </w:r>
      <w:r w:rsidRPr="00E1363B">
        <w:rPr>
          <w:rStyle w:val="FootnoteReference"/>
        </w:rPr>
        <w:footnoteReference w:id="54"/>
      </w:r>
      <w:r>
        <w:rPr>
          <w:lang w:val="en-US"/>
        </w:rPr>
        <w:t xml:space="preserve"> In </w:t>
      </w:r>
      <w:r w:rsidR="00D23310">
        <w:rPr>
          <w:lang w:val="en-US"/>
        </w:rPr>
        <w:t xml:space="preserve">the Islamic Republic of </w:t>
      </w:r>
      <w:r>
        <w:rPr>
          <w:lang w:val="en-US"/>
        </w:rPr>
        <w:t>Iran, amendments to the Law for Combating Drugs transformed some non-capital crimes into capital offences</w:t>
      </w:r>
      <w:r w:rsidR="00D23310">
        <w:rPr>
          <w:lang w:val="en-US"/>
        </w:rPr>
        <w:t>.</w:t>
      </w:r>
      <w:r w:rsidRPr="00E1363B">
        <w:rPr>
          <w:rStyle w:val="FootnoteReference"/>
        </w:rPr>
        <w:footnoteReference w:id="55"/>
      </w:r>
      <w:r>
        <w:rPr>
          <w:lang w:val="en-US"/>
        </w:rPr>
        <w:t xml:space="preserve"> In May 2018, Mauritania adopted amendments which impose the mandatory death penalty for </w:t>
      </w:r>
      <w:r w:rsidR="00EF67B2">
        <w:rPr>
          <w:lang w:val="en-US"/>
        </w:rPr>
        <w:t>“</w:t>
      </w:r>
      <w:r>
        <w:rPr>
          <w:lang w:val="en-US"/>
        </w:rPr>
        <w:t>apostasy</w:t>
      </w:r>
      <w:r w:rsidR="00EF67B2">
        <w:rPr>
          <w:lang w:val="en-US"/>
        </w:rPr>
        <w:t>”</w:t>
      </w:r>
      <w:r>
        <w:rPr>
          <w:lang w:val="en-US"/>
        </w:rPr>
        <w:t xml:space="preserve"> and </w:t>
      </w:r>
      <w:r w:rsidR="00EF67B2">
        <w:rPr>
          <w:lang w:val="en-US"/>
        </w:rPr>
        <w:t>“</w:t>
      </w:r>
      <w:r>
        <w:rPr>
          <w:lang w:val="en-US"/>
        </w:rPr>
        <w:t>blasphemy</w:t>
      </w:r>
      <w:r w:rsidR="00EF67B2">
        <w:rPr>
          <w:lang w:val="en-US"/>
        </w:rPr>
        <w:t>”.</w:t>
      </w:r>
      <w:r w:rsidRPr="00E1363B">
        <w:rPr>
          <w:rStyle w:val="FootnoteReference"/>
        </w:rPr>
        <w:footnoteReference w:id="56"/>
      </w:r>
      <w:r>
        <w:rPr>
          <w:lang w:val="en-US"/>
        </w:rPr>
        <w:t xml:space="preserve"> In </w:t>
      </w:r>
      <w:r w:rsidR="00EF67B2">
        <w:rPr>
          <w:lang w:val="en-US"/>
        </w:rPr>
        <w:t xml:space="preserve">the </w:t>
      </w:r>
      <w:r>
        <w:rPr>
          <w:lang w:val="en-US"/>
        </w:rPr>
        <w:t>United Arab Emirates, a new law expanded the scope of the death penalty</w:t>
      </w:r>
      <w:r w:rsidR="00EF67B2">
        <w:rPr>
          <w:lang w:val="en-US"/>
        </w:rPr>
        <w:t>,</w:t>
      </w:r>
      <w:r>
        <w:rPr>
          <w:lang w:val="en-US"/>
        </w:rPr>
        <w:t xml:space="preserve"> including for threats to the State’s internal security</w:t>
      </w:r>
      <w:r w:rsidR="0052344F">
        <w:rPr>
          <w:lang w:val="en-US"/>
        </w:rPr>
        <w:t>.</w:t>
      </w:r>
      <w:r w:rsidRPr="00E1363B">
        <w:rPr>
          <w:rStyle w:val="FootnoteReference"/>
        </w:rPr>
        <w:footnoteReference w:id="57"/>
      </w:r>
      <w:r>
        <w:rPr>
          <w:lang w:val="en-US"/>
        </w:rPr>
        <w:t xml:space="preserve"> </w:t>
      </w:r>
    </w:p>
    <w:p w14:paraId="62266AA6" w14:textId="64D4C247" w:rsidR="001C04A0" w:rsidRDefault="001C04A0" w:rsidP="005F0462">
      <w:pPr>
        <w:pStyle w:val="SingleTxtG"/>
        <w:rPr>
          <w:lang w:val="en-US"/>
        </w:rPr>
      </w:pPr>
      <w:r>
        <w:rPr>
          <w:lang w:val="en-US"/>
        </w:rPr>
        <w:t>14.</w:t>
      </w:r>
      <w:r>
        <w:rPr>
          <w:lang w:val="en-US"/>
        </w:rPr>
        <w:tab/>
        <w:t>Egypt and India expanded the scope of the death penalty for violence against children. In Egypt, amendments to the Penal Code in January 2018 provide for the death penalty for the crime of child abduction when linked to an assault or rape</w:t>
      </w:r>
      <w:r w:rsidR="0052344F">
        <w:rPr>
          <w:lang w:val="en-US"/>
        </w:rPr>
        <w:t>.</w:t>
      </w:r>
      <w:r w:rsidRPr="00E1363B">
        <w:rPr>
          <w:rStyle w:val="FootnoteReference"/>
        </w:rPr>
        <w:footnoteReference w:id="58"/>
      </w:r>
      <w:r>
        <w:rPr>
          <w:lang w:val="en-US"/>
        </w:rPr>
        <w:t xml:space="preserve"> In April 2018, the Indian </w:t>
      </w:r>
      <w:r w:rsidR="0052344F">
        <w:rPr>
          <w:lang w:val="en-US"/>
        </w:rPr>
        <w:t>G</w:t>
      </w:r>
      <w:r>
        <w:rPr>
          <w:lang w:val="en-US"/>
        </w:rPr>
        <w:t>overnment passed an executive ordinance allowing the death penalty for the rape of children younger than 12 years</w:t>
      </w:r>
      <w:r w:rsidR="0052344F">
        <w:rPr>
          <w:lang w:val="en-US"/>
        </w:rPr>
        <w:t>.</w:t>
      </w:r>
      <w:r w:rsidRPr="00E1363B">
        <w:rPr>
          <w:rStyle w:val="FootnoteReference"/>
        </w:rPr>
        <w:footnoteReference w:id="59"/>
      </w:r>
    </w:p>
    <w:p w14:paraId="76D65252" w14:textId="7D4E809A" w:rsidR="001C04A0" w:rsidRDefault="001C04A0" w:rsidP="005F0462">
      <w:pPr>
        <w:pStyle w:val="SingleTxtG"/>
        <w:rPr>
          <w:lang w:val="en-US"/>
        </w:rPr>
      </w:pPr>
      <w:r>
        <w:rPr>
          <w:lang w:val="en-US"/>
        </w:rPr>
        <w:t>15.</w:t>
      </w:r>
      <w:r>
        <w:rPr>
          <w:lang w:val="en-US"/>
        </w:rPr>
        <w:tab/>
        <w:t>A number of States resumed or sought to resume executions during the reporting period. In 2016, Botswana</w:t>
      </w:r>
      <w:r w:rsidRPr="00E1363B">
        <w:rPr>
          <w:rStyle w:val="FootnoteReference"/>
        </w:rPr>
        <w:footnoteReference w:id="60"/>
      </w:r>
      <w:r>
        <w:rPr>
          <w:lang w:val="en-US"/>
        </w:rPr>
        <w:t xml:space="preserve"> and Nigeria</w:t>
      </w:r>
      <w:r w:rsidRPr="00E1363B">
        <w:rPr>
          <w:rStyle w:val="FootnoteReference"/>
        </w:rPr>
        <w:footnoteReference w:id="61"/>
      </w:r>
      <w:r>
        <w:rPr>
          <w:lang w:val="en-US"/>
        </w:rPr>
        <w:t xml:space="preserve"> carried out their first executions since 2013. In January 2017, three men were executed in Bahrain, the first executions since 2010</w:t>
      </w:r>
      <w:r w:rsidR="006B07FC">
        <w:rPr>
          <w:lang w:val="en-US"/>
        </w:rPr>
        <w:t>;</w:t>
      </w:r>
      <w:r>
        <w:rPr>
          <w:lang w:val="en-US"/>
        </w:rPr>
        <w:t xml:space="preserve"> one </w:t>
      </w:r>
      <w:r w:rsidR="006B07FC">
        <w:rPr>
          <w:lang w:val="en-US"/>
        </w:rPr>
        <w:t xml:space="preserve">of the </w:t>
      </w:r>
      <w:r>
        <w:rPr>
          <w:lang w:val="en-US"/>
        </w:rPr>
        <w:t>m</w:t>
      </w:r>
      <w:r w:rsidR="006B07FC">
        <w:rPr>
          <w:lang w:val="en-US"/>
        </w:rPr>
        <w:t>e</w:t>
      </w:r>
      <w:r>
        <w:rPr>
          <w:lang w:val="en-US"/>
        </w:rPr>
        <w:t>n was under 18 at the time of the alleged crime</w:t>
      </w:r>
      <w:r w:rsidR="006B07FC">
        <w:rPr>
          <w:lang w:val="en-US"/>
        </w:rPr>
        <w:t>.</w:t>
      </w:r>
      <w:r w:rsidRPr="00E1363B">
        <w:rPr>
          <w:rStyle w:val="FootnoteReference"/>
        </w:rPr>
        <w:footnoteReference w:id="62"/>
      </w:r>
      <w:r>
        <w:rPr>
          <w:lang w:val="en-US"/>
        </w:rPr>
        <w:t xml:space="preserve"> Kuwait carried out the first executions in four years, hanging seven people in one day</w:t>
      </w:r>
      <w:r w:rsidR="00C32F73">
        <w:rPr>
          <w:lang w:val="en-US"/>
        </w:rPr>
        <w:t>.</w:t>
      </w:r>
      <w:r w:rsidRPr="00E1363B">
        <w:rPr>
          <w:rStyle w:val="FootnoteReference"/>
        </w:rPr>
        <w:footnoteReference w:id="63"/>
      </w:r>
      <w:r>
        <w:rPr>
          <w:lang w:val="en-US"/>
        </w:rPr>
        <w:t xml:space="preserve"> In March 2017, Jordan carried out a group execution of 15 people</w:t>
      </w:r>
      <w:r w:rsidR="00C32F73">
        <w:rPr>
          <w:lang w:val="en-US"/>
        </w:rPr>
        <w:t>.</w:t>
      </w:r>
      <w:r w:rsidRPr="00E1363B">
        <w:rPr>
          <w:rStyle w:val="FootnoteReference"/>
        </w:rPr>
        <w:footnoteReference w:id="64"/>
      </w:r>
      <w:r>
        <w:rPr>
          <w:lang w:val="en-US"/>
        </w:rPr>
        <w:t xml:space="preserve"> The United Arab Emirates carried out one execution in 2017, the first since 2015,</w:t>
      </w:r>
      <w:r w:rsidRPr="00E1363B">
        <w:rPr>
          <w:rStyle w:val="FootnoteReference"/>
        </w:rPr>
        <w:footnoteReference w:id="65"/>
      </w:r>
      <w:r>
        <w:rPr>
          <w:lang w:val="en-US"/>
        </w:rPr>
        <w:t xml:space="preserve"> and Thailand carried out its first execution in nine years in June 2018</w:t>
      </w:r>
      <w:r w:rsidR="00135570">
        <w:rPr>
          <w:lang w:val="en-US"/>
        </w:rPr>
        <w:t>.</w:t>
      </w:r>
      <w:r w:rsidRPr="00E1363B">
        <w:rPr>
          <w:rStyle w:val="FootnoteReference"/>
        </w:rPr>
        <w:footnoteReference w:id="66"/>
      </w:r>
    </w:p>
    <w:p w14:paraId="172102D6" w14:textId="77777777" w:rsidR="001C04A0" w:rsidRDefault="001C04A0" w:rsidP="001C04A0">
      <w:pPr>
        <w:pStyle w:val="HChG"/>
      </w:pPr>
      <w:r>
        <w:rPr>
          <w:rFonts w:eastAsia="Arial Unicode MS" w:hAnsi="Arial Unicode MS" w:cs="Arial Unicode MS"/>
        </w:rPr>
        <w:tab/>
        <w:t>III.</w:t>
      </w:r>
      <w:r>
        <w:rPr>
          <w:rFonts w:eastAsia="Arial Unicode MS" w:hAnsi="Arial Unicode MS" w:cs="Arial Unicode MS"/>
        </w:rPr>
        <w:tab/>
        <w:t>Information on the use of the death penalty</w:t>
      </w:r>
    </w:p>
    <w:p w14:paraId="687686B5" w14:textId="70F707B1" w:rsidR="001C04A0" w:rsidRDefault="001C04A0" w:rsidP="001C04A0">
      <w:pPr>
        <w:pStyle w:val="Text"/>
        <w:spacing w:after="120"/>
        <w:ind w:left="1134" w:right="1134"/>
        <w:jc w:val="both"/>
        <w:rPr>
          <w:lang w:val="en-US"/>
        </w:rPr>
      </w:pPr>
      <w:r>
        <w:rPr>
          <w:lang w:val="en-US"/>
        </w:rPr>
        <w:t>16.</w:t>
      </w:r>
      <w:r>
        <w:rPr>
          <w:lang w:val="en-US"/>
        </w:rPr>
        <w:tab/>
      </w:r>
      <w:r w:rsidRPr="002457AE">
        <w:rPr>
          <w:rStyle w:val="SingleTxtGChar"/>
        </w:rPr>
        <w:t xml:space="preserve">In October 2017, the Secretary-General recalled that transparency </w:t>
      </w:r>
      <w:r w:rsidR="00587ADF">
        <w:rPr>
          <w:rStyle w:val="SingleTxtGChar"/>
        </w:rPr>
        <w:t>was</w:t>
      </w:r>
      <w:r w:rsidR="00587ADF" w:rsidRPr="002457AE">
        <w:rPr>
          <w:rStyle w:val="SingleTxtGChar"/>
        </w:rPr>
        <w:t xml:space="preserve"> </w:t>
      </w:r>
      <w:r w:rsidRPr="002457AE">
        <w:rPr>
          <w:rStyle w:val="SingleTxtGChar"/>
        </w:rPr>
        <w:t xml:space="preserve">a prerequisite to assess whether the death penalty </w:t>
      </w:r>
      <w:r w:rsidR="00587ADF">
        <w:rPr>
          <w:rStyle w:val="SingleTxtGChar"/>
        </w:rPr>
        <w:t>was</w:t>
      </w:r>
      <w:r w:rsidR="00587ADF" w:rsidRPr="002457AE">
        <w:rPr>
          <w:rStyle w:val="SingleTxtGChar"/>
        </w:rPr>
        <w:t xml:space="preserve"> </w:t>
      </w:r>
      <w:r w:rsidRPr="002457AE">
        <w:rPr>
          <w:rStyle w:val="SingleTxtGChar"/>
        </w:rPr>
        <w:t>being carried out in compliance with international human rights standards</w:t>
      </w:r>
      <w:r w:rsidR="00135570">
        <w:rPr>
          <w:rStyle w:val="SingleTxtGChar"/>
        </w:rPr>
        <w:t>.</w:t>
      </w:r>
      <w:r w:rsidRPr="002457AE">
        <w:rPr>
          <w:rStyle w:val="SingleTxtGChar"/>
        </w:rPr>
        <w:t xml:space="preserve"> He highlighted cases where limits </w:t>
      </w:r>
      <w:r w:rsidR="00A35257">
        <w:rPr>
          <w:rStyle w:val="SingleTxtGChar"/>
        </w:rPr>
        <w:t>were</w:t>
      </w:r>
      <w:r w:rsidR="00A35257" w:rsidRPr="002457AE">
        <w:rPr>
          <w:rStyle w:val="SingleTxtGChar"/>
        </w:rPr>
        <w:t xml:space="preserve"> </w:t>
      </w:r>
      <w:r w:rsidRPr="002457AE">
        <w:rPr>
          <w:rStyle w:val="SingleTxtGChar"/>
        </w:rPr>
        <w:t xml:space="preserve">placed on the information that </w:t>
      </w:r>
      <w:r w:rsidR="00A35257">
        <w:rPr>
          <w:rStyle w:val="SingleTxtGChar"/>
        </w:rPr>
        <w:t>could</w:t>
      </w:r>
      <w:r w:rsidR="00A35257" w:rsidRPr="002457AE">
        <w:rPr>
          <w:rStyle w:val="SingleTxtGChar"/>
        </w:rPr>
        <w:t xml:space="preserve"> </w:t>
      </w:r>
      <w:r w:rsidRPr="002457AE">
        <w:rPr>
          <w:rStyle w:val="SingleTxtGChar"/>
        </w:rPr>
        <w:t>be shared with defence lawyers, limiting their ability to appeal for clemency</w:t>
      </w:r>
      <w:r w:rsidR="00A35257">
        <w:rPr>
          <w:rStyle w:val="SingleTxtGChar"/>
        </w:rPr>
        <w:t>,</w:t>
      </w:r>
      <w:r w:rsidRPr="002457AE">
        <w:rPr>
          <w:rStyle w:val="SingleTxtGChar"/>
        </w:rPr>
        <w:t xml:space="preserve"> and cases where anonymity </w:t>
      </w:r>
      <w:r w:rsidR="00A35257">
        <w:rPr>
          <w:rStyle w:val="SingleTxtGChar"/>
        </w:rPr>
        <w:t>was</w:t>
      </w:r>
      <w:r w:rsidR="00A35257" w:rsidRPr="002457AE">
        <w:rPr>
          <w:rStyle w:val="SingleTxtGChar"/>
        </w:rPr>
        <w:t xml:space="preserve"> </w:t>
      </w:r>
      <w:r w:rsidRPr="002457AE">
        <w:rPr>
          <w:rStyle w:val="SingleTxtGChar"/>
        </w:rPr>
        <w:t>granted to companies</w:t>
      </w:r>
      <w:r w:rsidR="00A35257">
        <w:rPr>
          <w:rStyle w:val="SingleTxtGChar"/>
        </w:rPr>
        <w:t>,</w:t>
      </w:r>
      <w:r w:rsidRPr="002457AE">
        <w:rPr>
          <w:rStyle w:val="SingleTxtGChar"/>
        </w:rPr>
        <w:t xml:space="preserve"> shielding them from potential advocacy against the use of their products in executions. The Secretary-General concluded that lack of transparency show</w:t>
      </w:r>
      <w:r w:rsidR="00A76948">
        <w:rPr>
          <w:rStyle w:val="SingleTxtGChar"/>
        </w:rPr>
        <w:t>ed</w:t>
      </w:r>
      <w:r w:rsidRPr="002457AE">
        <w:rPr>
          <w:rStyle w:val="SingleTxtGChar"/>
        </w:rPr>
        <w:t xml:space="preserve"> </w:t>
      </w:r>
      <w:r w:rsidR="00A35257">
        <w:rPr>
          <w:rStyle w:val="SingleTxtGChar"/>
        </w:rPr>
        <w:t>“</w:t>
      </w:r>
      <w:r w:rsidRPr="002457AE">
        <w:rPr>
          <w:rStyle w:val="SingleTxtGChar"/>
        </w:rPr>
        <w:t>a lack of respect for the human rights of those sentenced to death and to their families”</w:t>
      </w:r>
      <w:r w:rsidR="00A76948">
        <w:rPr>
          <w:rStyle w:val="SingleTxtGChar"/>
        </w:rPr>
        <w:t>.</w:t>
      </w:r>
      <w:r w:rsidRPr="002457AE">
        <w:rPr>
          <w:rStyle w:val="SingleTxtGChar"/>
        </w:rPr>
        <w:t xml:space="preserve"> He also noted that it damage</w:t>
      </w:r>
      <w:r w:rsidR="00A76948">
        <w:rPr>
          <w:rStyle w:val="SingleTxtGChar"/>
        </w:rPr>
        <w:t>d</w:t>
      </w:r>
      <w:r w:rsidRPr="002457AE">
        <w:rPr>
          <w:rStyle w:val="SingleTxtGChar"/>
        </w:rPr>
        <w:t xml:space="preserve"> the administration of justice more generally and that access to full and accurate data </w:t>
      </w:r>
      <w:r w:rsidR="00A76948">
        <w:rPr>
          <w:rStyle w:val="SingleTxtGChar"/>
        </w:rPr>
        <w:t>was</w:t>
      </w:r>
      <w:r w:rsidR="00A76948" w:rsidRPr="002457AE">
        <w:rPr>
          <w:rStyle w:val="SingleTxtGChar"/>
        </w:rPr>
        <w:t xml:space="preserve"> </w:t>
      </w:r>
      <w:r w:rsidRPr="002457AE">
        <w:rPr>
          <w:rStyle w:val="SingleTxtGChar"/>
        </w:rPr>
        <w:t>vital to policymakers, civil society and the general public. He concluded that secrecy around executions undermine</w:t>
      </w:r>
      <w:r w:rsidR="00A76948">
        <w:rPr>
          <w:rStyle w:val="SingleTxtGChar"/>
        </w:rPr>
        <w:t>d</w:t>
      </w:r>
      <w:r w:rsidRPr="002457AE">
        <w:rPr>
          <w:rStyle w:val="SingleTxtGChar"/>
        </w:rPr>
        <w:t xml:space="preserve"> the debate around the death penalty and obstruct</w:t>
      </w:r>
      <w:r w:rsidR="00A76948">
        <w:rPr>
          <w:rStyle w:val="SingleTxtGChar"/>
        </w:rPr>
        <w:t>ed</w:t>
      </w:r>
      <w:r w:rsidRPr="002457AE">
        <w:rPr>
          <w:rStyle w:val="SingleTxtGChar"/>
        </w:rPr>
        <w:t xml:space="preserve"> efforts to safeguard the right to life</w:t>
      </w:r>
      <w:r>
        <w:rPr>
          <w:lang w:val="en-US"/>
        </w:rPr>
        <w:t>.</w:t>
      </w:r>
      <w:r w:rsidRPr="00E1363B">
        <w:rPr>
          <w:rStyle w:val="FootnoteReference"/>
        </w:rPr>
        <w:footnoteReference w:id="67"/>
      </w:r>
    </w:p>
    <w:p w14:paraId="261ACC16" w14:textId="21CFE6EB" w:rsidR="001C04A0" w:rsidRDefault="001C04A0" w:rsidP="001C04A0">
      <w:pPr>
        <w:pStyle w:val="Text"/>
        <w:spacing w:after="120"/>
        <w:ind w:left="1134" w:right="1134"/>
        <w:jc w:val="both"/>
        <w:rPr>
          <w:lang w:val="en-US"/>
        </w:rPr>
      </w:pPr>
      <w:r>
        <w:rPr>
          <w:lang w:val="en-US"/>
        </w:rPr>
        <w:t>17.</w:t>
      </w:r>
      <w:r>
        <w:rPr>
          <w:lang w:val="en-US"/>
        </w:rPr>
        <w:tab/>
      </w:r>
      <w:r w:rsidRPr="002457AE">
        <w:rPr>
          <w:rStyle w:val="SingleTxtGChar"/>
        </w:rPr>
        <w:t>It is difficult to obtain up-to-date and accurate global figures on the application of the death penalty. Belarus, China and Viet Nam continue to classify data on the use of the death penalty as a State secret</w:t>
      </w:r>
      <w:r w:rsidR="00DE6BF7">
        <w:rPr>
          <w:rStyle w:val="SingleTxtGChar"/>
        </w:rPr>
        <w:t>.</w:t>
      </w:r>
      <w:r w:rsidRPr="00E1363B">
        <w:rPr>
          <w:rStyle w:val="FootnoteReference"/>
          <w:rFonts w:eastAsia="Calibri"/>
        </w:rPr>
        <w:footnoteReference w:id="68"/>
      </w:r>
      <w:r w:rsidR="000A7BFF">
        <w:rPr>
          <w:rStyle w:val="SingleTxtGChar"/>
        </w:rPr>
        <w:t xml:space="preserve"> </w:t>
      </w:r>
      <w:r w:rsidRPr="002457AE">
        <w:rPr>
          <w:rStyle w:val="SingleTxtGChar"/>
        </w:rPr>
        <w:t>Information regarding the date of executions is reportedly withheld from family members and lawyers of death row prisoners</w:t>
      </w:r>
      <w:r w:rsidR="00EF7F2D">
        <w:rPr>
          <w:rStyle w:val="SingleTxtGChar"/>
        </w:rPr>
        <w:t>,</w:t>
      </w:r>
      <w:r w:rsidRPr="002457AE">
        <w:rPr>
          <w:rStyle w:val="SingleTxtGChar"/>
        </w:rPr>
        <w:t xml:space="preserve"> notably in Belarus</w:t>
      </w:r>
      <w:r w:rsidRPr="00E1363B">
        <w:rPr>
          <w:rStyle w:val="FootnoteReference"/>
          <w:rFonts w:eastAsia="Calibri"/>
        </w:rPr>
        <w:footnoteReference w:id="69"/>
      </w:r>
      <w:r w:rsidRPr="002457AE">
        <w:rPr>
          <w:rStyle w:val="SingleTxtGChar"/>
        </w:rPr>
        <w:t xml:space="preserve"> and Japan</w:t>
      </w:r>
      <w:r w:rsidR="00EF7F2D">
        <w:rPr>
          <w:rStyle w:val="SingleTxtGChar"/>
        </w:rPr>
        <w:t>.</w:t>
      </w:r>
      <w:r w:rsidRPr="00E1363B">
        <w:rPr>
          <w:rStyle w:val="FootnoteReference"/>
          <w:rFonts w:eastAsia="Calibri"/>
        </w:rPr>
        <w:footnoteReference w:id="70"/>
      </w:r>
      <w:r w:rsidRPr="002457AE">
        <w:rPr>
          <w:rStyle w:val="SingleTxtGChar"/>
        </w:rPr>
        <w:t xml:space="preserve"> Obtaining data in countries affected by conflict is a further challenge. </w:t>
      </w:r>
      <w:r w:rsidR="00350059">
        <w:rPr>
          <w:rStyle w:val="SingleTxtGChar"/>
        </w:rPr>
        <w:t>The Office of the United Nations High Commissioner for Human Rights (</w:t>
      </w:r>
      <w:r w:rsidRPr="002457AE">
        <w:rPr>
          <w:rStyle w:val="SingleTxtGChar"/>
        </w:rPr>
        <w:t>OHCHR</w:t>
      </w:r>
      <w:r w:rsidR="00350059">
        <w:rPr>
          <w:rStyle w:val="SingleTxtGChar"/>
        </w:rPr>
        <w:t>)</w:t>
      </w:r>
      <w:r w:rsidRPr="002457AE">
        <w:rPr>
          <w:rStyle w:val="SingleTxtGChar"/>
        </w:rPr>
        <w:t xml:space="preserve"> continued to express concern that despite regular requests for information on the use of the death penalty in Iraq, information was not available.</w:t>
      </w:r>
      <w:r w:rsidRPr="00E1363B">
        <w:rPr>
          <w:rStyle w:val="FootnoteReference"/>
          <w:rFonts w:eastAsia="Calibri"/>
        </w:rPr>
        <w:footnoteReference w:id="71"/>
      </w:r>
    </w:p>
    <w:p w14:paraId="6D1424E8" w14:textId="77777777" w:rsidR="001C04A0" w:rsidRDefault="001C04A0" w:rsidP="001C04A0">
      <w:pPr>
        <w:pStyle w:val="HChG"/>
      </w:pPr>
      <w:r>
        <w:tab/>
        <w:t>IV.</w:t>
      </w:r>
      <w:r>
        <w:tab/>
      </w:r>
      <w:r>
        <w:tab/>
        <w:t xml:space="preserve">Safeguards guaranteeing the protection of the rights </w:t>
      </w:r>
      <w:r>
        <w:br/>
        <w:t>of those facing the death penalty</w:t>
      </w:r>
    </w:p>
    <w:p w14:paraId="38D8CBF9" w14:textId="25384E42" w:rsidR="001C04A0" w:rsidRDefault="001C04A0" w:rsidP="001C04A0">
      <w:pPr>
        <w:pStyle w:val="SingleTxtG"/>
        <w:rPr>
          <w:rFonts w:ascii="Times New Roman Bold" w:eastAsia="Times New Roman Bold" w:hAnsi="Times New Roman Bold" w:cs="Times New Roman Bold"/>
        </w:rPr>
      </w:pPr>
      <w:r>
        <w:rPr>
          <w:rFonts w:eastAsia="Arial Unicode MS" w:hAnsi="Arial Unicode MS" w:cs="Arial Unicode MS"/>
        </w:rPr>
        <w:t>18.</w:t>
      </w:r>
      <w:r>
        <w:rPr>
          <w:rFonts w:eastAsia="Arial Unicode MS" w:hAnsi="Arial Unicode MS" w:cs="Arial Unicode MS"/>
        </w:rPr>
        <w:tab/>
        <w:t xml:space="preserve">The Human Rights Committee continued its consideration of a draft general comment on article 6 </w:t>
      </w:r>
      <w:r w:rsidR="00C91743">
        <w:rPr>
          <w:rFonts w:eastAsia="Arial Unicode MS" w:hAnsi="Arial Unicode MS" w:cs="Arial Unicode MS"/>
        </w:rPr>
        <w:t xml:space="preserve">of the </w:t>
      </w:r>
      <w:r w:rsidR="00FD2126">
        <w:rPr>
          <w:rFonts w:eastAsia="Arial Unicode MS" w:hAnsi="Arial Unicode MS" w:cs="Arial Unicode MS"/>
        </w:rPr>
        <w:t xml:space="preserve">International </w:t>
      </w:r>
      <w:r w:rsidR="00C91743">
        <w:rPr>
          <w:rFonts w:eastAsia="Arial Unicode MS" w:hAnsi="Arial Unicode MS" w:cs="Arial Unicode MS"/>
        </w:rPr>
        <w:t>Covenant</w:t>
      </w:r>
      <w:r w:rsidR="00187372">
        <w:rPr>
          <w:rFonts w:eastAsia="Arial Unicode MS" w:hAnsi="Arial Unicode MS" w:cs="Arial Unicode MS"/>
        </w:rPr>
        <w:t xml:space="preserve"> on Civil and Political Rights</w:t>
      </w:r>
      <w:r w:rsidR="00C91743">
        <w:rPr>
          <w:rFonts w:eastAsia="Arial Unicode MS" w:hAnsi="Arial Unicode MS" w:cs="Arial Unicode MS"/>
        </w:rPr>
        <w:t>,</w:t>
      </w:r>
      <w:r w:rsidRPr="00E1363B">
        <w:rPr>
          <w:rStyle w:val="FootnoteReference"/>
        </w:rPr>
        <w:footnoteReference w:id="72"/>
      </w:r>
      <w:r>
        <w:rPr>
          <w:rFonts w:eastAsia="Arial Unicode MS" w:hAnsi="Arial Unicode MS" w:cs="Arial Unicode MS"/>
        </w:rPr>
        <w:t xml:space="preserve"> addressing notably the meaning of </w:t>
      </w:r>
      <w:r>
        <w:rPr>
          <w:rFonts w:ascii="Arial Unicode MS" w:eastAsia="Arial Unicode MS" w:cs="Arial Unicode MS"/>
        </w:rPr>
        <w:t>“</w:t>
      </w:r>
      <w:r>
        <w:rPr>
          <w:rFonts w:eastAsia="Arial Unicode MS" w:hAnsi="Arial Unicode MS" w:cs="Arial Unicode MS"/>
        </w:rPr>
        <w:t>most serious crimes</w:t>
      </w:r>
      <w:r>
        <w:rPr>
          <w:rFonts w:ascii="Arial Unicode MS" w:eastAsia="Arial Unicode MS" w:cs="Arial Unicode MS"/>
        </w:rPr>
        <w:t>”</w:t>
      </w:r>
      <w:r w:rsidR="004C752C">
        <w:rPr>
          <w:rFonts w:ascii="Arial Unicode MS" w:eastAsia="Arial Unicode MS" w:cs="Arial Unicode MS"/>
        </w:rPr>
        <w:t>,</w:t>
      </w:r>
      <w:r>
        <w:rPr>
          <w:rFonts w:eastAsia="Arial Unicode MS" w:hAnsi="Arial Unicode MS" w:cs="Arial Unicode MS"/>
        </w:rPr>
        <w:t xml:space="preserve"> the prohibition on mandatory death sentences</w:t>
      </w:r>
      <w:r w:rsidR="004C752C">
        <w:rPr>
          <w:rFonts w:eastAsia="Arial Unicode MS" w:hAnsi="Arial Unicode MS" w:cs="Arial Unicode MS"/>
        </w:rPr>
        <w:t>,</w:t>
      </w:r>
      <w:r>
        <w:rPr>
          <w:rFonts w:eastAsia="Arial Unicode MS" w:hAnsi="Arial Unicode MS" w:cs="Arial Unicode MS"/>
        </w:rPr>
        <w:t xml:space="preserve"> methods of execution</w:t>
      </w:r>
      <w:r w:rsidR="004C752C">
        <w:rPr>
          <w:rFonts w:eastAsia="Arial Unicode MS" w:hAnsi="Arial Unicode MS" w:cs="Arial Unicode MS"/>
        </w:rPr>
        <w:t>,</w:t>
      </w:r>
      <w:r>
        <w:rPr>
          <w:rFonts w:eastAsia="Arial Unicode MS" w:hAnsi="Arial Unicode MS" w:cs="Arial Unicode MS"/>
        </w:rPr>
        <w:t xml:space="preserve"> deportation and extradition</w:t>
      </w:r>
      <w:r w:rsidR="004C752C">
        <w:rPr>
          <w:rFonts w:eastAsia="Arial Unicode MS" w:hAnsi="Arial Unicode MS" w:cs="Arial Unicode MS"/>
        </w:rPr>
        <w:t>,</w:t>
      </w:r>
      <w:r>
        <w:rPr>
          <w:rFonts w:eastAsia="Arial Unicode MS" w:hAnsi="Arial Unicode MS" w:cs="Arial Unicode MS"/>
        </w:rPr>
        <w:t xml:space="preserve"> fair trial guarantees</w:t>
      </w:r>
      <w:r w:rsidR="004C752C">
        <w:rPr>
          <w:rFonts w:eastAsia="Arial Unicode MS" w:hAnsi="Arial Unicode MS" w:cs="Arial Unicode MS"/>
        </w:rPr>
        <w:t>,</w:t>
      </w:r>
      <w:r>
        <w:rPr>
          <w:rFonts w:eastAsia="Arial Unicode MS" w:hAnsi="Arial Unicode MS" w:cs="Arial Unicode MS"/>
        </w:rPr>
        <w:t xml:space="preserve"> the right to consular notification</w:t>
      </w:r>
      <w:r w:rsidR="004C752C">
        <w:rPr>
          <w:rFonts w:eastAsia="Arial Unicode MS" w:hAnsi="Arial Unicode MS" w:cs="Arial Unicode MS"/>
        </w:rPr>
        <w:t>,</w:t>
      </w:r>
      <w:r>
        <w:rPr>
          <w:rFonts w:eastAsia="Arial Unicode MS" w:hAnsi="Arial Unicode MS" w:cs="Arial Unicode MS"/>
        </w:rPr>
        <w:t xml:space="preserve"> and protection of juveniles, persons with disabilities and pregnant women</w:t>
      </w:r>
      <w:r w:rsidR="004C752C">
        <w:rPr>
          <w:rFonts w:eastAsia="Arial Unicode MS" w:hAnsi="Arial Unicode MS" w:cs="Arial Unicode MS"/>
        </w:rPr>
        <w:t>.</w:t>
      </w:r>
      <w:r w:rsidRPr="00E1363B">
        <w:rPr>
          <w:rStyle w:val="FootnoteReference"/>
        </w:rPr>
        <w:footnoteReference w:id="73"/>
      </w:r>
      <w:r>
        <w:rPr>
          <w:rFonts w:eastAsia="Arial Unicode MS" w:hAnsi="Arial Unicode MS" w:cs="Arial Unicode MS"/>
        </w:rPr>
        <w:t xml:space="preserve"> In resolution 36/17, the Human Rights Council reaffirmed</w:t>
      </w:r>
      <w:r>
        <w:rPr>
          <w:rFonts w:eastAsia="Arial Unicode MS" w:hAnsi="Arial Unicode MS" w:cs="Arial Unicode MS"/>
          <w:i/>
          <w:iCs/>
        </w:rPr>
        <w:t xml:space="preserve"> </w:t>
      </w:r>
      <w:r>
        <w:rPr>
          <w:rFonts w:eastAsia="Arial Unicode MS" w:hAnsi="Arial Unicode MS" w:cs="Arial Unicode MS"/>
        </w:rPr>
        <w:t>the safeguards guaranteeing the protection of persons facing the death penalty, which are the internationally recognized minimum standards to be observed by States that continue to impose capital punishment</w:t>
      </w:r>
      <w:r w:rsidR="002219F8">
        <w:rPr>
          <w:rFonts w:eastAsia="Arial Unicode MS" w:hAnsi="Arial Unicode MS" w:cs="Arial Unicode MS"/>
        </w:rPr>
        <w:t>.</w:t>
      </w:r>
      <w:r w:rsidRPr="00E1363B">
        <w:rPr>
          <w:rStyle w:val="FootnoteReference"/>
        </w:rPr>
        <w:footnoteReference w:id="74"/>
      </w:r>
    </w:p>
    <w:p w14:paraId="7015D450" w14:textId="26EC4B61" w:rsidR="001C04A0" w:rsidRDefault="001C04A0" w:rsidP="001C04A0">
      <w:pPr>
        <w:pStyle w:val="H1G"/>
      </w:pPr>
      <w:r>
        <w:tab/>
        <w:t>A.</w:t>
      </w:r>
      <w:r>
        <w:tab/>
      </w:r>
      <w:r>
        <w:tab/>
        <w:t xml:space="preserve">Restriction of the use of the death penalty to </w:t>
      </w:r>
      <w:r w:rsidR="00C74EBC">
        <w:t xml:space="preserve">the </w:t>
      </w:r>
      <w:r>
        <w:t>“most serious crimes”</w:t>
      </w:r>
    </w:p>
    <w:p w14:paraId="107EFE7F" w14:textId="7BA7F4A7" w:rsidR="001C04A0" w:rsidRDefault="001C04A0" w:rsidP="000A7BFF">
      <w:pPr>
        <w:pStyle w:val="SingleTxtG"/>
        <w:rPr>
          <w:lang w:val="en-US"/>
        </w:rPr>
      </w:pPr>
      <w:r>
        <w:rPr>
          <w:lang w:val="en-US"/>
        </w:rPr>
        <w:t>19.</w:t>
      </w:r>
      <w:r>
        <w:rPr>
          <w:lang w:val="en-US"/>
        </w:rPr>
        <w:tab/>
        <w:t xml:space="preserve">According to article 6 </w:t>
      </w:r>
      <w:r w:rsidR="00CD3EB6">
        <w:rPr>
          <w:lang w:val="en-US"/>
        </w:rPr>
        <w:t>of the Covenant</w:t>
      </w:r>
      <w:r>
        <w:rPr>
          <w:lang w:val="en-US"/>
        </w:rPr>
        <w:t>, State</w:t>
      </w:r>
      <w:r w:rsidR="00CD3EB6">
        <w:rPr>
          <w:lang w:val="en-US"/>
        </w:rPr>
        <w:t>s</w:t>
      </w:r>
      <w:r>
        <w:rPr>
          <w:lang w:val="en-US"/>
        </w:rPr>
        <w:t xml:space="preserve"> parties that have not yet abolished the death penalty should only impose it for the “most serious crimes”</w:t>
      </w:r>
      <w:r w:rsidR="00CD3EB6">
        <w:rPr>
          <w:lang w:val="en-US"/>
        </w:rPr>
        <w:t>,</w:t>
      </w:r>
      <w:r>
        <w:rPr>
          <w:lang w:val="en-US"/>
        </w:rPr>
        <w:t xml:space="preserve"> which has been consistently interpreted as meaning intentional killing</w:t>
      </w:r>
      <w:r w:rsidR="00CD3EB6">
        <w:rPr>
          <w:lang w:val="en-US"/>
        </w:rPr>
        <w:t>.</w:t>
      </w:r>
      <w:r w:rsidRPr="00E1363B">
        <w:rPr>
          <w:rStyle w:val="FootnoteReference"/>
        </w:rPr>
        <w:footnoteReference w:id="75"/>
      </w:r>
      <w:r>
        <w:rPr>
          <w:lang w:val="en-US"/>
        </w:rPr>
        <w:t xml:space="preserve"> </w:t>
      </w:r>
    </w:p>
    <w:p w14:paraId="72F6044F" w14:textId="28F5844E" w:rsidR="001C04A0" w:rsidRDefault="001C04A0" w:rsidP="000A7BFF">
      <w:pPr>
        <w:pStyle w:val="SingleTxtG"/>
        <w:rPr>
          <w:lang w:val="en-US"/>
        </w:rPr>
      </w:pPr>
      <w:r>
        <w:rPr>
          <w:lang w:val="en-US"/>
        </w:rPr>
        <w:t>20.</w:t>
      </w:r>
      <w:r>
        <w:rPr>
          <w:lang w:val="en-US"/>
        </w:rPr>
        <w:tab/>
        <w:t xml:space="preserve">During the reporting period, the death sentence was reportedly imposed for offences that </w:t>
      </w:r>
      <w:r w:rsidR="006953EF">
        <w:rPr>
          <w:lang w:val="en-US"/>
        </w:rPr>
        <w:t xml:space="preserve">did </w:t>
      </w:r>
      <w:r>
        <w:rPr>
          <w:lang w:val="en-US"/>
        </w:rPr>
        <w:t xml:space="preserve">not meet </w:t>
      </w:r>
      <w:r w:rsidR="006953EF">
        <w:rPr>
          <w:lang w:val="en-US"/>
        </w:rPr>
        <w:t xml:space="preserve">the </w:t>
      </w:r>
      <w:r>
        <w:rPr>
          <w:lang w:val="en-US"/>
        </w:rPr>
        <w:t>threshold of “most serious crimes”, including drug-related offences</w:t>
      </w:r>
      <w:r w:rsidR="00E2733C">
        <w:rPr>
          <w:lang w:val="en-US"/>
        </w:rPr>
        <w:t>,</w:t>
      </w:r>
      <w:r w:rsidRPr="00E1363B">
        <w:rPr>
          <w:rStyle w:val="FootnoteReference"/>
        </w:rPr>
        <w:footnoteReference w:id="76"/>
      </w:r>
      <w:r>
        <w:rPr>
          <w:lang w:val="en-US"/>
        </w:rPr>
        <w:t xml:space="preserve"> spying</w:t>
      </w:r>
      <w:r w:rsidR="00E2733C">
        <w:rPr>
          <w:lang w:val="en-US"/>
        </w:rPr>
        <w:t>,</w:t>
      </w:r>
      <w:r w:rsidRPr="00E1363B">
        <w:rPr>
          <w:rStyle w:val="FootnoteReference"/>
        </w:rPr>
        <w:footnoteReference w:id="77"/>
      </w:r>
      <w:r>
        <w:rPr>
          <w:lang w:val="en-US"/>
        </w:rPr>
        <w:t xml:space="preserve"> economic crimes such as corruption</w:t>
      </w:r>
      <w:r w:rsidRPr="00E1363B">
        <w:rPr>
          <w:rStyle w:val="FootnoteReference"/>
        </w:rPr>
        <w:footnoteReference w:id="78"/>
      </w:r>
      <w:r>
        <w:rPr>
          <w:lang w:val="en-US"/>
        </w:rPr>
        <w:t xml:space="preserve"> </w:t>
      </w:r>
      <w:r w:rsidR="00C24568">
        <w:rPr>
          <w:lang w:val="en-US"/>
        </w:rPr>
        <w:t xml:space="preserve">and </w:t>
      </w:r>
      <w:r>
        <w:rPr>
          <w:lang w:val="en-US"/>
        </w:rPr>
        <w:t>bribery</w:t>
      </w:r>
      <w:r w:rsidR="00E2733C">
        <w:rPr>
          <w:lang w:val="en-US"/>
        </w:rPr>
        <w:t>,</w:t>
      </w:r>
      <w:r w:rsidRPr="00E1363B">
        <w:rPr>
          <w:rStyle w:val="FootnoteReference"/>
        </w:rPr>
        <w:footnoteReference w:id="79"/>
      </w:r>
      <w:r>
        <w:rPr>
          <w:lang w:val="en-US"/>
        </w:rPr>
        <w:t xml:space="preserve"> digging </w:t>
      </w:r>
      <w:r w:rsidR="00E2733C">
        <w:rPr>
          <w:lang w:val="en-US"/>
        </w:rPr>
        <w:t xml:space="preserve">at </w:t>
      </w:r>
      <w:r>
        <w:rPr>
          <w:lang w:val="en-US"/>
        </w:rPr>
        <w:t>ancient cultural sites and reselling cultural relics</w:t>
      </w:r>
      <w:r w:rsidR="00E2733C">
        <w:rPr>
          <w:lang w:val="en-US"/>
        </w:rPr>
        <w:t>,</w:t>
      </w:r>
      <w:r w:rsidRPr="00E1363B">
        <w:rPr>
          <w:rStyle w:val="FootnoteReference"/>
        </w:rPr>
        <w:footnoteReference w:id="80"/>
      </w:r>
      <w:r>
        <w:rPr>
          <w:lang w:val="en-US"/>
        </w:rPr>
        <w:t xml:space="preserve"> smuggling or the adulteration of food</w:t>
      </w:r>
      <w:r w:rsidR="00C24568">
        <w:rPr>
          <w:lang w:val="en-US"/>
        </w:rPr>
        <w:t>,</w:t>
      </w:r>
      <w:r w:rsidRPr="00E1363B">
        <w:rPr>
          <w:rStyle w:val="FootnoteReference"/>
        </w:rPr>
        <w:footnoteReference w:id="81"/>
      </w:r>
      <w:r>
        <w:rPr>
          <w:lang w:val="en-US"/>
        </w:rPr>
        <w:t xml:space="preserve"> kidnapping</w:t>
      </w:r>
      <w:r w:rsidR="00C24568">
        <w:rPr>
          <w:lang w:val="en-US"/>
        </w:rPr>
        <w:t>,</w:t>
      </w:r>
      <w:r w:rsidRPr="00E1363B">
        <w:rPr>
          <w:rStyle w:val="FootnoteReference"/>
        </w:rPr>
        <w:footnoteReference w:id="82"/>
      </w:r>
      <w:r>
        <w:rPr>
          <w:lang w:val="en-US"/>
        </w:rPr>
        <w:t xml:space="preserve"> apostasy and crimes of blasphemy</w:t>
      </w:r>
      <w:r w:rsidR="00C24568">
        <w:rPr>
          <w:lang w:val="en-US"/>
        </w:rPr>
        <w:t>.</w:t>
      </w:r>
      <w:r w:rsidRPr="00E1363B">
        <w:rPr>
          <w:rStyle w:val="FootnoteReference"/>
        </w:rPr>
        <w:footnoteReference w:id="83"/>
      </w:r>
      <w:r>
        <w:rPr>
          <w:lang w:val="en-US"/>
        </w:rPr>
        <w:t xml:space="preserve"> </w:t>
      </w:r>
    </w:p>
    <w:p w14:paraId="6310310D" w14:textId="44BB9879" w:rsidR="001C04A0" w:rsidRDefault="001C04A0" w:rsidP="001C04A0">
      <w:pPr>
        <w:pStyle w:val="Text"/>
        <w:spacing w:after="120"/>
        <w:ind w:left="1134" w:right="1134"/>
        <w:jc w:val="both"/>
        <w:rPr>
          <w:lang w:val="en-US"/>
        </w:rPr>
      </w:pPr>
      <w:r>
        <w:rPr>
          <w:lang w:val="en-US"/>
        </w:rPr>
        <w:t>21.</w:t>
      </w:r>
      <w:r>
        <w:rPr>
          <w:lang w:val="en-US"/>
        </w:rPr>
        <w:tab/>
      </w:r>
      <w:r w:rsidRPr="000A7BFF">
        <w:rPr>
          <w:rStyle w:val="SingleTxtGChar"/>
        </w:rPr>
        <w:t xml:space="preserve">In August 2016, </w:t>
      </w:r>
      <w:r w:rsidR="005D519E">
        <w:rPr>
          <w:rStyle w:val="SingleTxtGChar"/>
        </w:rPr>
        <w:t>s</w:t>
      </w:r>
      <w:r w:rsidRPr="000A7BFF">
        <w:rPr>
          <w:rStyle w:val="SingleTxtGChar"/>
        </w:rPr>
        <w:t>pecial procedure mandate holders condemned charges that carr</w:t>
      </w:r>
      <w:r w:rsidR="00A94F3C">
        <w:rPr>
          <w:rStyle w:val="SingleTxtGChar"/>
        </w:rPr>
        <w:t>ied</w:t>
      </w:r>
      <w:r w:rsidRPr="000A7BFF">
        <w:rPr>
          <w:rStyle w:val="SingleTxtGChar"/>
        </w:rPr>
        <w:t xml:space="preserve"> the death penalty brought against human rights activists in </w:t>
      </w:r>
      <w:r w:rsidR="005D519E">
        <w:rPr>
          <w:rStyle w:val="SingleTxtGChar"/>
        </w:rPr>
        <w:t xml:space="preserve">the </w:t>
      </w:r>
      <w:r w:rsidRPr="000A7BFF">
        <w:rPr>
          <w:rStyle w:val="SingleTxtGChar"/>
        </w:rPr>
        <w:t>Sudan which “appear to be directly linked to their work in the defence of human rights, while exercising their rights to freedom of expression and freedom of association”.</w:t>
      </w:r>
      <w:r w:rsidRPr="00E1363B">
        <w:rPr>
          <w:rStyle w:val="FootnoteReference"/>
          <w:rFonts w:eastAsia="Calibri"/>
        </w:rPr>
        <w:footnoteReference w:id="84"/>
      </w:r>
      <w:r>
        <w:rPr>
          <w:lang w:val="en-US"/>
        </w:rPr>
        <w:t xml:space="preserve"> </w:t>
      </w:r>
    </w:p>
    <w:p w14:paraId="7F369E5B" w14:textId="174800F4" w:rsidR="001C04A0" w:rsidRDefault="001C04A0" w:rsidP="001C04A0">
      <w:pPr>
        <w:pStyle w:val="Text"/>
        <w:spacing w:after="120"/>
        <w:ind w:left="1134" w:right="1134"/>
        <w:jc w:val="both"/>
        <w:rPr>
          <w:lang w:val="en-US"/>
        </w:rPr>
      </w:pPr>
      <w:r>
        <w:rPr>
          <w:lang w:val="en-US"/>
        </w:rPr>
        <w:t>22.</w:t>
      </w:r>
      <w:r>
        <w:rPr>
          <w:lang w:val="en-US"/>
        </w:rPr>
        <w:tab/>
      </w:r>
      <w:r w:rsidRPr="000A7BFF">
        <w:rPr>
          <w:rStyle w:val="SingleTxtGChar"/>
        </w:rPr>
        <w:t xml:space="preserve">Several States, including Bangladesh, </w:t>
      </w:r>
      <w:r w:rsidR="00BA7C9A">
        <w:rPr>
          <w:rStyle w:val="SingleTxtGChar"/>
        </w:rPr>
        <w:t xml:space="preserve">the Islamic Republic of </w:t>
      </w:r>
      <w:r w:rsidRPr="000A7BFF">
        <w:rPr>
          <w:rStyle w:val="SingleTxtGChar"/>
        </w:rPr>
        <w:t xml:space="preserve">Iran and Iraq, also used the death penalty for terrorism-related crimes. The Human Rights Committee recommended that Bangladesh ensure that the death penalty </w:t>
      </w:r>
      <w:r w:rsidR="00A94F3C">
        <w:rPr>
          <w:rStyle w:val="SingleTxtGChar"/>
        </w:rPr>
        <w:t>was</w:t>
      </w:r>
      <w:r w:rsidR="00A94F3C" w:rsidRPr="000A7BFF">
        <w:rPr>
          <w:rStyle w:val="SingleTxtGChar"/>
        </w:rPr>
        <w:t xml:space="preserve"> </w:t>
      </w:r>
      <w:r w:rsidRPr="000A7BFF">
        <w:rPr>
          <w:rStyle w:val="SingleTxtGChar"/>
        </w:rPr>
        <w:t xml:space="preserve">not imposed for offences, such as the financing of terrorism, which </w:t>
      </w:r>
      <w:r w:rsidR="00A94F3C">
        <w:rPr>
          <w:rStyle w:val="SingleTxtGChar"/>
        </w:rPr>
        <w:t>did</w:t>
      </w:r>
      <w:r w:rsidR="00A94F3C" w:rsidRPr="000A7BFF">
        <w:rPr>
          <w:rStyle w:val="SingleTxtGChar"/>
        </w:rPr>
        <w:t xml:space="preserve"> </w:t>
      </w:r>
      <w:r w:rsidRPr="000A7BFF">
        <w:rPr>
          <w:rStyle w:val="SingleTxtGChar"/>
        </w:rPr>
        <w:t>not constitute the “most serious crimes”</w:t>
      </w:r>
      <w:r w:rsidR="00BA7C9A">
        <w:rPr>
          <w:rStyle w:val="SingleTxtGChar"/>
        </w:rPr>
        <w:t>.</w:t>
      </w:r>
      <w:r w:rsidRPr="00E1363B">
        <w:rPr>
          <w:rStyle w:val="FootnoteReference"/>
          <w:rFonts w:eastAsia="Calibri"/>
        </w:rPr>
        <w:footnoteReference w:id="85"/>
      </w:r>
      <w:r w:rsidRPr="000A7BFF">
        <w:rPr>
          <w:rStyle w:val="SingleTxtGChar"/>
        </w:rPr>
        <w:t xml:space="preserve"> In 2016, the High Commissioner denounced mass executions in </w:t>
      </w:r>
      <w:r w:rsidR="00283308">
        <w:rPr>
          <w:rStyle w:val="SingleTxtGChar"/>
        </w:rPr>
        <w:t xml:space="preserve">the Islamic Republic of </w:t>
      </w:r>
      <w:r w:rsidRPr="000A7BFF">
        <w:rPr>
          <w:rStyle w:val="SingleTxtGChar"/>
        </w:rPr>
        <w:t>Iran for purported terrorism-related offences, stating that the “application of overly broad and vague criminal charges, coupled with a disdain for the rights of the accused to due process and a fair trial have in these cases led to a grave injustice”.</w:t>
      </w:r>
      <w:r w:rsidRPr="00E1363B">
        <w:rPr>
          <w:rStyle w:val="FootnoteReference"/>
          <w:rFonts w:eastAsia="Calibri"/>
        </w:rPr>
        <w:footnoteReference w:id="86"/>
      </w:r>
      <w:r w:rsidRPr="000A7BFF">
        <w:rPr>
          <w:rStyle w:val="SingleTxtGChar"/>
        </w:rPr>
        <w:t xml:space="preserve"> </w:t>
      </w:r>
      <w:r w:rsidRPr="0089314B">
        <w:rPr>
          <w:rStyle w:val="SingleTxtGChar"/>
        </w:rPr>
        <w:t>The</w:t>
      </w:r>
      <w:r w:rsidRPr="000A7BFF">
        <w:rPr>
          <w:rStyle w:val="SingleTxtGChar"/>
        </w:rPr>
        <w:t xml:space="preserve"> Special </w:t>
      </w:r>
      <w:r w:rsidR="007B4212">
        <w:rPr>
          <w:rStyle w:val="SingleTxtGChar"/>
        </w:rPr>
        <w:t>R</w:t>
      </w:r>
      <w:r w:rsidRPr="000A7BFF">
        <w:rPr>
          <w:rStyle w:val="SingleTxtGChar"/>
        </w:rPr>
        <w:t xml:space="preserve">apporteur on extrajudicial, summary or arbitrary executions noted that in Iraq, the Anti-Terrorism Law </w:t>
      </w:r>
      <w:r w:rsidR="00FF46A0">
        <w:rPr>
          <w:rStyle w:val="SingleTxtGChar"/>
        </w:rPr>
        <w:t>was</w:t>
      </w:r>
      <w:r w:rsidR="00FF46A0" w:rsidRPr="000A7BFF">
        <w:rPr>
          <w:rStyle w:val="SingleTxtGChar"/>
        </w:rPr>
        <w:t xml:space="preserve"> </w:t>
      </w:r>
      <w:r w:rsidRPr="000A7BFF">
        <w:rPr>
          <w:rStyle w:val="SingleTxtGChar"/>
        </w:rPr>
        <w:t xml:space="preserve">overly broad and the “list of crimes </w:t>
      </w:r>
      <w:r w:rsidR="006728A6">
        <w:rPr>
          <w:rStyle w:val="SingleTxtGChar"/>
        </w:rPr>
        <w:t xml:space="preserve">for which the death penalty is </w:t>
      </w:r>
      <w:r w:rsidRPr="000A7BFF">
        <w:rPr>
          <w:rStyle w:val="SingleTxtGChar"/>
        </w:rPr>
        <w:t>mandatory includes acts whose gravity fall</w:t>
      </w:r>
      <w:r w:rsidR="00D452E7">
        <w:rPr>
          <w:rStyle w:val="SingleTxtGChar"/>
        </w:rPr>
        <w:t>s</w:t>
      </w:r>
      <w:r w:rsidRPr="000A7BFF">
        <w:rPr>
          <w:rStyle w:val="SingleTxtGChar"/>
        </w:rPr>
        <w:t xml:space="preserve"> below the threshold of </w:t>
      </w:r>
      <w:r w:rsidR="007B4212">
        <w:rPr>
          <w:rStyle w:val="SingleTxtGChar"/>
        </w:rPr>
        <w:t>‘</w:t>
      </w:r>
      <w:r w:rsidRPr="000A7BFF">
        <w:rPr>
          <w:rStyle w:val="SingleTxtGChar"/>
        </w:rPr>
        <w:t>most serious crimes</w:t>
      </w:r>
      <w:r w:rsidR="007B4212">
        <w:rPr>
          <w:rStyle w:val="SingleTxtGChar"/>
        </w:rPr>
        <w:t>’</w:t>
      </w:r>
      <w:r w:rsidRPr="000A7BFF">
        <w:rPr>
          <w:rStyle w:val="SingleTxtGChar"/>
        </w:rPr>
        <w:t xml:space="preserve"> necessary to impose such a sentence under international norms”.</w:t>
      </w:r>
      <w:r w:rsidRPr="00E1363B">
        <w:rPr>
          <w:rStyle w:val="FootnoteReference"/>
          <w:rFonts w:eastAsia="Calibri"/>
        </w:rPr>
        <w:footnoteReference w:id="87"/>
      </w:r>
      <w:r w:rsidRPr="000A7BFF">
        <w:rPr>
          <w:rStyle w:val="SingleTxtGChar"/>
        </w:rPr>
        <w:t xml:space="preserve"> The Special Rapporteur </w:t>
      </w:r>
      <w:r w:rsidR="00FF46A0">
        <w:rPr>
          <w:rStyle w:val="SingleTxtGChar"/>
        </w:rPr>
        <w:t xml:space="preserve">also </w:t>
      </w:r>
      <w:r w:rsidRPr="000A7BFF">
        <w:rPr>
          <w:rStyle w:val="SingleTxtGChar"/>
        </w:rPr>
        <w:t xml:space="preserve">noted that some countries </w:t>
      </w:r>
      <w:r w:rsidR="007B4212">
        <w:rPr>
          <w:rStyle w:val="SingleTxtGChar"/>
        </w:rPr>
        <w:t>had</w:t>
      </w:r>
      <w:r w:rsidR="007B4212" w:rsidRPr="000A7BFF">
        <w:rPr>
          <w:rStyle w:val="SingleTxtGChar"/>
        </w:rPr>
        <w:t xml:space="preserve"> </w:t>
      </w:r>
      <w:r w:rsidRPr="000A7BFF">
        <w:rPr>
          <w:rStyle w:val="SingleTxtGChar"/>
        </w:rPr>
        <w:t>defined terrorist offen</w:t>
      </w:r>
      <w:r w:rsidR="007B4212">
        <w:rPr>
          <w:rStyle w:val="SingleTxtGChar"/>
        </w:rPr>
        <w:t>c</w:t>
      </w:r>
      <w:r w:rsidRPr="000A7BFF">
        <w:rPr>
          <w:rStyle w:val="SingleTxtGChar"/>
        </w:rPr>
        <w:t>es very broadly and included non</w:t>
      </w:r>
      <w:r w:rsidR="007B4212">
        <w:rPr>
          <w:rStyle w:val="SingleTxtGChar"/>
        </w:rPr>
        <w:t>-</w:t>
      </w:r>
      <w:r w:rsidRPr="000A7BFF">
        <w:rPr>
          <w:rStyle w:val="SingleTxtGChar"/>
        </w:rPr>
        <w:t>violent acts or acts that would not constitute the “most serious crimes” punishable by death.</w:t>
      </w:r>
      <w:r w:rsidRPr="00E1363B">
        <w:rPr>
          <w:rStyle w:val="FootnoteReference"/>
          <w:rFonts w:eastAsia="Calibri"/>
        </w:rPr>
        <w:footnoteReference w:id="88"/>
      </w:r>
      <w:r w:rsidRPr="000A7BFF">
        <w:rPr>
          <w:rStyle w:val="SingleTxtGChar"/>
        </w:rPr>
        <w:t xml:space="preserve"> On the 2016 World Day Against the Death Penalty, </w:t>
      </w:r>
      <w:r w:rsidR="0014718C">
        <w:rPr>
          <w:rStyle w:val="SingleTxtGChar"/>
        </w:rPr>
        <w:t>s</w:t>
      </w:r>
      <w:r w:rsidRPr="000A7BFF">
        <w:rPr>
          <w:rStyle w:val="SingleTxtGChar"/>
        </w:rPr>
        <w:t>pecial procedure mandate holders reminded States that “the</w:t>
      </w:r>
      <w:r>
        <w:rPr>
          <w:lang w:val="en-US"/>
        </w:rPr>
        <w:t xml:space="preserve"> </w:t>
      </w:r>
      <w:r w:rsidRPr="000A7BFF">
        <w:rPr>
          <w:rStyle w:val="SingleTxtGChar"/>
        </w:rPr>
        <w:t>imposition of the death penalty is an ineffective deterrent for terrorism, and most times it is also an unlawful one</w:t>
      </w:r>
      <w:r>
        <w:rPr>
          <w:lang w:val="en-US"/>
        </w:rPr>
        <w:t>”</w:t>
      </w:r>
      <w:r w:rsidR="0014718C">
        <w:rPr>
          <w:lang w:val="en-US"/>
        </w:rPr>
        <w:t>.</w:t>
      </w:r>
      <w:r w:rsidRPr="00E1363B">
        <w:rPr>
          <w:rStyle w:val="FootnoteReference"/>
        </w:rPr>
        <w:footnoteReference w:id="89"/>
      </w:r>
      <w:r>
        <w:rPr>
          <w:sz w:val="18"/>
          <w:szCs w:val="18"/>
          <w:vertAlign w:val="superscript"/>
          <w:lang w:val="en-US"/>
        </w:rPr>
        <w:t xml:space="preserve"> </w:t>
      </w:r>
    </w:p>
    <w:p w14:paraId="6D65F2B4" w14:textId="3995637B" w:rsidR="001C04A0" w:rsidRDefault="001C04A0" w:rsidP="001C04A0">
      <w:pPr>
        <w:pStyle w:val="Text"/>
        <w:spacing w:after="120"/>
        <w:ind w:left="1134" w:right="1134"/>
        <w:jc w:val="both"/>
        <w:rPr>
          <w:lang w:val="en-US"/>
        </w:rPr>
      </w:pPr>
      <w:r>
        <w:rPr>
          <w:lang w:val="en-US"/>
        </w:rPr>
        <w:t>23.</w:t>
      </w:r>
      <w:r>
        <w:rPr>
          <w:lang w:val="en-US"/>
        </w:rPr>
        <w:tab/>
      </w:r>
      <w:r w:rsidRPr="000A7BFF">
        <w:rPr>
          <w:rStyle w:val="SingleTxtGChar"/>
        </w:rPr>
        <w:t xml:space="preserve">Consensual same-sex conduct is punishable by death in </w:t>
      </w:r>
      <w:r w:rsidR="00D557DB">
        <w:rPr>
          <w:rStyle w:val="SingleTxtGChar"/>
        </w:rPr>
        <w:t xml:space="preserve">the Islamic Republic of </w:t>
      </w:r>
      <w:r w:rsidRPr="000A7BFF">
        <w:rPr>
          <w:rStyle w:val="SingleTxtGChar"/>
        </w:rPr>
        <w:t xml:space="preserve">Iran, Mauritania, Saudi Arabia, </w:t>
      </w:r>
      <w:r w:rsidR="00D557DB">
        <w:rPr>
          <w:rStyle w:val="SingleTxtGChar"/>
        </w:rPr>
        <w:t xml:space="preserve">the </w:t>
      </w:r>
      <w:r w:rsidRPr="000A7BFF">
        <w:rPr>
          <w:rStyle w:val="SingleTxtGChar"/>
        </w:rPr>
        <w:t>Sudan and Yemen, and parts of Nigeria and Somalia.</w:t>
      </w:r>
      <w:r w:rsidRPr="00AE022A">
        <w:rPr>
          <w:rStyle w:val="FootnoteReference"/>
          <w:rFonts w:eastAsia="Calibri"/>
        </w:rPr>
        <w:footnoteReference w:id="90"/>
      </w:r>
      <w:r w:rsidRPr="00AE022A">
        <w:rPr>
          <w:rStyle w:val="SingleTxtGChar"/>
          <w:vertAlign w:val="superscript"/>
        </w:rPr>
        <w:t xml:space="preserve"> </w:t>
      </w:r>
      <w:r w:rsidRPr="000A7BFF">
        <w:rPr>
          <w:rStyle w:val="SingleTxtGChar"/>
        </w:rPr>
        <w:t xml:space="preserve">The Independent Expert on protection against violence and discrimination based on sexual orientation and gender identity stated that the “imposition of the death penalty for offences related to homosexuality violates the right to life” as it </w:t>
      </w:r>
      <w:r w:rsidR="00B13DF0">
        <w:rPr>
          <w:rStyle w:val="SingleTxtGChar"/>
        </w:rPr>
        <w:t>they</w:t>
      </w:r>
      <w:r w:rsidR="00B13DF0" w:rsidRPr="000A7BFF">
        <w:rPr>
          <w:rStyle w:val="SingleTxtGChar"/>
        </w:rPr>
        <w:t xml:space="preserve"> </w:t>
      </w:r>
      <w:r w:rsidRPr="000A7BFF">
        <w:rPr>
          <w:rStyle w:val="SingleTxtGChar"/>
        </w:rPr>
        <w:t>do not meet the threshold of “most serious crimes”</w:t>
      </w:r>
      <w:r w:rsidR="007F59A0">
        <w:rPr>
          <w:rStyle w:val="SingleTxtGChar"/>
        </w:rPr>
        <w:t>.</w:t>
      </w:r>
      <w:r w:rsidRPr="00E1363B">
        <w:rPr>
          <w:rStyle w:val="FootnoteReference"/>
          <w:rFonts w:eastAsia="Calibri"/>
        </w:rPr>
        <w:footnoteReference w:id="91"/>
      </w:r>
      <w:r>
        <w:rPr>
          <w:lang w:val="en-US"/>
        </w:rPr>
        <w:t xml:space="preserve"> </w:t>
      </w:r>
    </w:p>
    <w:p w14:paraId="7B1CE816" w14:textId="77777777" w:rsidR="001C04A0" w:rsidRDefault="001C04A0" w:rsidP="001C04A0">
      <w:pPr>
        <w:pStyle w:val="H1G"/>
      </w:pPr>
      <w:r>
        <w:rPr>
          <w:rFonts w:eastAsia="Arial Unicode MS" w:hAnsi="Arial Unicode MS" w:cs="Arial Unicode MS"/>
        </w:rPr>
        <w:tab/>
        <w:t>B.</w:t>
      </w:r>
      <w:r>
        <w:rPr>
          <w:rFonts w:eastAsia="Arial Unicode MS" w:hAnsi="Arial Unicode MS" w:cs="Arial Unicode MS"/>
        </w:rPr>
        <w:tab/>
        <w:t xml:space="preserve">Prohibition of the mandatory use of the death penalty </w:t>
      </w:r>
    </w:p>
    <w:p w14:paraId="1F008835" w14:textId="19F08E8F" w:rsidR="001C04A0" w:rsidRDefault="001C04A0" w:rsidP="001C04A0">
      <w:pPr>
        <w:pStyle w:val="Text"/>
        <w:spacing w:after="120"/>
        <w:ind w:left="1134" w:right="1134"/>
        <w:jc w:val="both"/>
        <w:rPr>
          <w:lang w:val="en-US"/>
        </w:rPr>
      </w:pPr>
      <w:r>
        <w:rPr>
          <w:lang w:val="en-US"/>
        </w:rPr>
        <w:t>24.</w:t>
      </w:r>
      <w:r>
        <w:rPr>
          <w:lang w:val="en-US"/>
        </w:rPr>
        <w:tab/>
      </w:r>
      <w:r w:rsidRPr="005F0462">
        <w:rPr>
          <w:rStyle w:val="SingleTxtGChar"/>
        </w:rPr>
        <w:t xml:space="preserve">According to </w:t>
      </w:r>
      <w:r w:rsidR="002166D5">
        <w:rPr>
          <w:rStyle w:val="SingleTxtGChar"/>
        </w:rPr>
        <w:t>United Nations</w:t>
      </w:r>
      <w:r w:rsidR="002166D5" w:rsidRPr="005F0462">
        <w:rPr>
          <w:rStyle w:val="SingleTxtGChar"/>
        </w:rPr>
        <w:t xml:space="preserve"> </w:t>
      </w:r>
      <w:r w:rsidRPr="005F0462">
        <w:rPr>
          <w:rStyle w:val="SingleTxtGChar"/>
        </w:rPr>
        <w:t>human rights mechanisms, the mandatory use of the death penalty constitutes an arbitrary deprivation of life, in violation of article 6</w:t>
      </w:r>
      <w:r w:rsidR="002166D5">
        <w:rPr>
          <w:rStyle w:val="SingleTxtGChar"/>
        </w:rPr>
        <w:t xml:space="preserve"> </w:t>
      </w:r>
      <w:r w:rsidRPr="005F0462">
        <w:rPr>
          <w:rStyle w:val="SingleTxtGChar"/>
        </w:rPr>
        <w:t xml:space="preserve">(1) </w:t>
      </w:r>
      <w:r w:rsidR="002166D5">
        <w:rPr>
          <w:rStyle w:val="SingleTxtGChar"/>
        </w:rPr>
        <w:t>of the Covenant</w:t>
      </w:r>
      <w:r w:rsidRPr="005F0462">
        <w:rPr>
          <w:rStyle w:val="SingleTxtGChar"/>
        </w:rPr>
        <w:t>, in circumstances where it is imposed without any possibility of taking into account the defendant’s personal circumstances or the circumstances of the particular offence</w:t>
      </w:r>
      <w:r w:rsidR="002166D5">
        <w:rPr>
          <w:rStyle w:val="SingleTxtGChar"/>
        </w:rPr>
        <w:t>.</w:t>
      </w:r>
      <w:r w:rsidRPr="00E1363B">
        <w:rPr>
          <w:rStyle w:val="FootnoteReference"/>
          <w:rFonts w:eastAsia="Calibri"/>
        </w:rPr>
        <w:footnoteReference w:id="92"/>
      </w:r>
      <w:r w:rsidR="005F0462" w:rsidRPr="005F0462">
        <w:rPr>
          <w:rStyle w:val="SingleTxtGChar"/>
        </w:rPr>
        <w:t xml:space="preserve"> </w:t>
      </w:r>
      <w:r w:rsidRPr="005F0462">
        <w:rPr>
          <w:rStyle w:val="SingleTxtGChar"/>
        </w:rPr>
        <w:t>Mandatory death sentences do not permit distinctions to be made between degrees of seriousness and individual circumstances of the particular crime for which the penalty is imposed and</w:t>
      </w:r>
      <w:r w:rsidR="00BA5D2B">
        <w:rPr>
          <w:rStyle w:val="SingleTxtGChar"/>
        </w:rPr>
        <w:t>,</w:t>
      </w:r>
      <w:r w:rsidRPr="005F0462">
        <w:rPr>
          <w:rStyle w:val="SingleTxtGChar"/>
        </w:rPr>
        <w:t xml:space="preserve"> hence, are not compatible with the limitation of capital punishment to the “most serious crimes”</w:t>
      </w:r>
      <w:r w:rsidR="00BA5D2B">
        <w:rPr>
          <w:rStyle w:val="SingleTxtGChar"/>
        </w:rPr>
        <w:t>.</w:t>
      </w:r>
      <w:r w:rsidRPr="00E1363B">
        <w:rPr>
          <w:rStyle w:val="FootnoteReference"/>
          <w:rFonts w:eastAsia="Calibri"/>
        </w:rPr>
        <w:footnoteReference w:id="93"/>
      </w:r>
    </w:p>
    <w:p w14:paraId="7276289A" w14:textId="09F32ADC" w:rsidR="001C04A0" w:rsidRDefault="001C04A0" w:rsidP="001C04A0">
      <w:pPr>
        <w:pStyle w:val="Text"/>
        <w:spacing w:after="120"/>
        <w:ind w:left="1134" w:right="1134"/>
        <w:jc w:val="both"/>
        <w:rPr>
          <w:lang w:val="en-US"/>
        </w:rPr>
      </w:pPr>
      <w:r w:rsidRPr="009F0A95">
        <w:rPr>
          <w:lang w:val="en-US"/>
        </w:rPr>
        <w:t>2</w:t>
      </w:r>
      <w:r>
        <w:rPr>
          <w:lang w:val="en-US"/>
        </w:rPr>
        <w:t>5</w:t>
      </w:r>
      <w:r w:rsidR="005F0462">
        <w:rPr>
          <w:lang w:val="en-US"/>
        </w:rPr>
        <w:t>.</w:t>
      </w:r>
      <w:r w:rsidR="005F0462">
        <w:rPr>
          <w:lang w:val="en-US"/>
        </w:rPr>
        <w:tab/>
      </w:r>
      <w:r w:rsidRPr="005F0462">
        <w:rPr>
          <w:rStyle w:val="SingleTxtGChar"/>
        </w:rPr>
        <w:t xml:space="preserve">During the reporting period, mandatory death sentences reportedly continued to be imposed in Brunei, Ghana, </w:t>
      </w:r>
      <w:r w:rsidR="0067439C">
        <w:rPr>
          <w:rStyle w:val="SingleTxtGChar"/>
        </w:rPr>
        <w:t xml:space="preserve">the Islamic Republic of </w:t>
      </w:r>
      <w:r w:rsidRPr="005F0462">
        <w:rPr>
          <w:rStyle w:val="SingleTxtGChar"/>
        </w:rPr>
        <w:t>Ira</w:t>
      </w:r>
      <w:r w:rsidR="00B01566">
        <w:rPr>
          <w:rStyle w:val="SingleTxtGChar"/>
        </w:rPr>
        <w:t>n</w:t>
      </w:r>
      <w:r w:rsidRPr="005F0462">
        <w:rPr>
          <w:rStyle w:val="SingleTxtGChar"/>
        </w:rPr>
        <w:t xml:space="preserve">, Malaysia, Maldives, Myanmar, Nigeria, Pakistan, Saudi Arabia, Singapore </w:t>
      </w:r>
      <w:r w:rsidR="005F20BB">
        <w:rPr>
          <w:rStyle w:val="SingleTxtGChar"/>
        </w:rPr>
        <w:t xml:space="preserve">and </w:t>
      </w:r>
      <w:r w:rsidRPr="005F0462">
        <w:rPr>
          <w:rStyle w:val="SingleTxtGChar"/>
        </w:rPr>
        <w:t>Trinidad and Tobago</w:t>
      </w:r>
      <w:r w:rsidR="006822D3">
        <w:rPr>
          <w:rStyle w:val="SingleTxtGChar"/>
        </w:rPr>
        <w:t>,</w:t>
      </w:r>
      <w:r w:rsidRPr="00E1363B">
        <w:rPr>
          <w:rStyle w:val="FootnoteReference"/>
          <w:rFonts w:eastAsia="Calibri"/>
        </w:rPr>
        <w:footnoteReference w:id="94"/>
      </w:r>
      <w:r w:rsidRPr="005F0462">
        <w:rPr>
          <w:rStyle w:val="SingleTxtGChar"/>
        </w:rPr>
        <w:t xml:space="preserve"> with some positive trends seen in </w:t>
      </w:r>
      <w:r w:rsidR="00DD701F">
        <w:rPr>
          <w:rStyle w:val="SingleTxtGChar"/>
        </w:rPr>
        <w:t xml:space="preserve">the Islamic Republic of </w:t>
      </w:r>
      <w:r w:rsidRPr="005F0462">
        <w:rPr>
          <w:rStyle w:val="SingleTxtGChar"/>
        </w:rPr>
        <w:t xml:space="preserve">Iran and Malaysia </w:t>
      </w:r>
      <w:r w:rsidR="00DD701F">
        <w:rPr>
          <w:rStyle w:val="SingleTxtGChar"/>
        </w:rPr>
        <w:t>where</w:t>
      </w:r>
      <w:r w:rsidR="00DD701F" w:rsidRPr="005F0462">
        <w:rPr>
          <w:rStyle w:val="SingleTxtGChar"/>
        </w:rPr>
        <w:t xml:space="preserve"> </w:t>
      </w:r>
      <w:r w:rsidRPr="005F0462">
        <w:rPr>
          <w:rStyle w:val="SingleTxtGChar"/>
        </w:rPr>
        <w:t xml:space="preserve">the mandatory requirements </w:t>
      </w:r>
      <w:r w:rsidR="00DD701F">
        <w:rPr>
          <w:rStyle w:val="SingleTxtGChar"/>
        </w:rPr>
        <w:t>were</w:t>
      </w:r>
      <w:r w:rsidR="00DD701F" w:rsidRPr="005F0462">
        <w:rPr>
          <w:rStyle w:val="SingleTxtGChar"/>
        </w:rPr>
        <w:t xml:space="preserve"> </w:t>
      </w:r>
      <w:r w:rsidRPr="005F0462">
        <w:rPr>
          <w:rStyle w:val="SingleTxtGChar"/>
        </w:rPr>
        <w:t>removed for certain crimes</w:t>
      </w:r>
      <w:r w:rsidRPr="003552C9">
        <w:rPr>
          <w:lang w:val="en-US"/>
        </w:rPr>
        <w:t>.</w:t>
      </w:r>
      <w:r w:rsidRPr="00E1363B">
        <w:rPr>
          <w:rStyle w:val="FootnoteReference"/>
        </w:rPr>
        <w:footnoteReference w:id="95"/>
      </w:r>
      <w:r>
        <w:rPr>
          <w:lang w:val="en-US"/>
        </w:rPr>
        <w:t xml:space="preserve"> </w:t>
      </w:r>
    </w:p>
    <w:p w14:paraId="3A00837F" w14:textId="06AC2A2C" w:rsidR="001C04A0" w:rsidRDefault="001C04A0" w:rsidP="001C04A0">
      <w:pPr>
        <w:pStyle w:val="Text"/>
        <w:spacing w:after="120"/>
        <w:ind w:left="1134" w:right="1134"/>
        <w:jc w:val="both"/>
        <w:rPr>
          <w:sz w:val="16"/>
          <w:szCs w:val="16"/>
          <w:lang w:val="en-US"/>
        </w:rPr>
      </w:pPr>
      <w:r>
        <w:rPr>
          <w:lang w:val="en-US"/>
        </w:rPr>
        <w:t>26.</w:t>
      </w:r>
      <w:r>
        <w:rPr>
          <w:lang w:val="en-US"/>
        </w:rPr>
        <w:tab/>
      </w:r>
      <w:r w:rsidRPr="005F0462">
        <w:rPr>
          <w:rStyle w:val="SingleTxtGChar"/>
        </w:rPr>
        <w:t>In December 2017, the Kenya Supreme Court declared the mandatory nature of the death penalty for murder unconstitutional and tasked relevant authorities to set up a framework to deal with sentence rehearing cases</w:t>
      </w:r>
      <w:r w:rsidR="00B73AF8">
        <w:rPr>
          <w:rStyle w:val="SingleTxtGChar"/>
        </w:rPr>
        <w:t>.</w:t>
      </w:r>
      <w:r w:rsidRPr="00E1363B">
        <w:rPr>
          <w:rStyle w:val="FootnoteReference"/>
          <w:rFonts w:eastAsia="Calibri"/>
        </w:rPr>
        <w:footnoteReference w:id="96"/>
      </w:r>
      <w:r w:rsidRPr="005F0462">
        <w:rPr>
          <w:rStyle w:val="SingleTxtGChar"/>
        </w:rPr>
        <w:t xml:space="preserve"> Furthermore, the Kenya Attorney-General set up a </w:t>
      </w:r>
      <w:r w:rsidR="008B32B1">
        <w:rPr>
          <w:rStyle w:val="SingleTxtGChar"/>
        </w:rPr>
        <w:t>t</w:t>
      </w:r>
      <w:r w:rsidRPr="005F0462">
        <w:rPr>
          <w:rStyle w:val="SingleTxtGChar"/>
        </w:rPr>
        <w:t xml:space="preserve">ask </w:t>
      </w:r>
      <w:r w:rsidR="00DD6530">
        <w:rPr>
          <w:rStyle w:val="SingleTxtGChar"/>
        </w:rPr>
        <w:t>f</w:t>
      </w:r>
      <w:r w:rsidRPr="005F0462">
        <w:rPr>
          <w:rStyle w:val="SingleTxtGChar"/>
        </w:rPr>
        <w:t xml:space="preserve">orce to implement this judgment which will consider and prepare proposals </w:t>
      </w:r>
      <w:r w:rsidR="00D54C6E">
        <w:rPr>
          <w:rStyle w:val="SingleTxtGChar"/>
        </w:rPr>
        <w:t xml:space="preserve">based </w:t>
      </w:r>
      <w:r w:rsidRPr="005F0462">
        <w:rPr>
          <w:rStyle w:val="SingleTxtGChar"/>
        </w:rPr>
        <w:t>upon comparative studies with other jurisdictions</w:t>
      </w:r>
      <w:r w:rsidR="00A377F3">
        <w:rPr>
          <w:rStyle w:val="SingleTxtGChar"/>
        </w:rPr>
        <w:t xml:space="preserve"> and</w:t>
      </w:r>
      <w:r w:rsidRPr="005F0462">
        <w:rPr>
          <w:rStyle w:val="SingleTxtGChar"/>
        </w:rPr>
        <w:t xml:space="preserve"> consult with all key stakeholders, including the Kenya National Commission on Human Rights, religious leaders, relevant parliamentary committees and civil society organizations</w:t>
      </w:r>
      <w:r w:rsidR="00A377F3">
        <w:rPr>
          <w:rStyle w:val="SingleTxtGChar"/>
        </w:rPr>
        <w:t>.</w:t>
      </w:r>
      <w:r w:rsidRPr="00E1363B">
        <w:rPr>
          <w:rStyle w:val="FootnoteReference"/>
          <w:rFonts w:eastAsia="Calibri"/>
        </w:rPr>
        <w:footnoteReference w:id="97"/>
      </w:r>
      <w:r w:rsidRPr="005F0462">
        <w:rPr>
          <w:rStyle w:val="SingleTxtGChar"/>
        </w:rPr>
        <w:t xml:space="preserve"> The Kenya Law Reform Commission has also recommended that the death penalty be repealed in its entirety</w:t>
      </w:r>
      <w:r w:rsidR="00462BF3">
        <w:rPr>
          <w:rStyle w:val="SingleTxtGChar"/>
        </w:rPr>
        <w:t>.</w:t>
      </w:r>
      <w:r w:rsidRPr="00E1363B">
        <w:rPr>
          <w:rStyle w:val="FootnoteReference"/>
          <w:rFonts w:eastAsia="Calibri"/>
        </w:rPr>
        <w:footnoteReference w:id="98"/>
      </w:r>
      <w:r w:rsidRPr="005F0462">
        <w:rPr>
          <w:rStyle w:val="SingleTxtGChar"/>
        </w:rPr>
        <w:t xml:space="preserve"> Zambia announced that it was working on ways to amend the Penal Code “so that the death penalty could be handed down at the discretion of judges, rather than being mandatory”</w:t>
      </w:r>
      <w:r w:rsidR="00462BF3">
        <w:rPr>
          <w:rStyle w:val="SingleTxtGChar"/>
        </w:rPr>
        <w:t>.</w:t>
      </w:r>
      <w:r w:rsidRPr="00E1363B">
        <w:rPr>
          <w:rStyle w:val="FootnoteReference"/>
          <w:rFonts w:eastAsia="Calibri"/>
        </w:rPr>
        <w:footnoteReference w:id="99"/>
      </w:r>
      <w:r w:rsidRPr="005F0462">
        <w:rPr>
          <w:rStyle w:val="SingleTxtGChar"/>
        </w:rPr>
        <w:t xml:space="preserve"> In June 2018, the Caribbean Court of Justice struck down the mandatory death penalty for murder in Barbados on the grounds that it breached the right to protection of the law by depriving a court the opportunity to exercise the judicial function of tailoring the punishment to fit the crime</w:t>
      </w:r>
      <w:r w:rsidR="00682702">
        <w:rPr>
          <w:rStyle w:val="SingleTxtGChar"/>
        </w:rPr>
        <w:t>.</w:t>
      </w:r>
      <w:r w:rsidRPr="00E1363B">
        <w:rPr>
          <w:rStyle w:val="FootnoteReference"/>
          <w:rFonts w:eastAsia="Calibri"/>
        </w:rPr>
        <w:footnoteReference w:id="100"/>
      </w:r>
      <w:r w:rsidRPr="005F0462">
        <w:rPr>
          <w:rStyle w:val="SingleTxtGChar"/>
        </w:rPr>
        <w:t xml:space="preserve"> </w:t>
      </w:r>
    </w:p>
    <w:p w14:paraId="40C17A2D" w14:textId="70F44A7D" w:rsidR="001C04A0" w:rsidRDefault="001C04A0" w:rsidP="001C04A0">
      <w:pPr>
        <w:pStyle w:val="Text"/>
        <w:spacing w:after="120"/>
        <w:ind w:left="1134" w:right="1134"/>
        <w:jc w:val="both"/>
        <w:rPr>
          <w:lang w:val="en-US"/>
        </w:rPr>
      </w:pPr>
      <w:r>
        <w:rPr>
          <w:lang w:val="en-US"/>
        </w:rPr>
        <w:t>27.</w:t>
      </w:r>
      <w:r>
        <w:rPr>
          <w:lang w:val="en-US"/>
        </w:rPr>
        <w:tab/>
      </w:r>
      <w:r w:rsidRPr="005F0462">
        <w:rPr>
          <w:rStyle w:val="SingleTxtGChar"/>
        </w:rPr>
        <w:t>In Uganda, while the mandatory death penalty was declared unconstitutional in 2009</w:t>
      </w:r>
      <w:r w:rsidRPr="00E1363B">
        <w:rPr>
          <w:rStyle w:val="FootnoteReference"/>
          <w:rFonts w:eastAsia="Calibri"/>
        </w:rPr>
        <w:footnoteReference w:id="101"/>
      </w:r>
      <w:r w:rsidRPr="005F0462">
        <w:rPr>
          <w:rStyle w:val="SingleTxtGChar"/>
        </w:rPr>
        <w:t xml:space="preserve"> </w:t>
      </w:r>
      <w:r w:rsidR="00651AD7">
        <w:rPr>
          <w:rStyle w:val="SingleTxtGChar"/>
        </w:rPr>
        <w:t>⸻</w:t>
      </w:r>
      <w:r w:rsidRPr="005F0462">
        <w:rPr>
          <w:rStyle w:val="SingleTxtGChar"/>
        </w:rPr>
        <w:t xml:space="preserve"> </w:t>
      </w:r>
      <w:r w:rsidR="00B5418C">
        <w:rPr>
          <w:rStyle w:val="SingleTxtGChar"/>
        </w:rPr>
        <w:t xml:space="preserve">the court </w:t>
      </w:r>
      <w:r w:rsidRPr="005F0462">
        <w:rPr>
          <w:rStyle w:val="SingleTxtGChar"/>
        </w:rPr>
        <w:t xml:space="preserve">deeming that the mandatory nature of the sentence undermined the right to fair trial </w:t>
      </w:r>
      <w:r w:rsidR="00651AD7">
        <w:rPr>
          <w:rStyle w:val="SingleTxtGChar"/>
        </w:rPr>
        <w:t>⸻</w:t>
      </w:r>
      <w:r w:rsidRPr="005F0462">
        <w:rPr>
          <w:rStyle w:val="SingleTxtGChar"/>
        </w:rPr>
        <w:t xml:space="preserve"> the majority of prisoners convicted prior to the repeal of the mandatory sentence are reportedly still waiting for mitigation hearings. In its submission, the Uganda Human Rights Commission called for this situation to be addressed urgently through reinforcement of dedicated legal aid, systematic screening of the cases and a coherent strategy for addressing the outcomes of the mitigations.</w:t>
      </w:r>
    </w:p>
    <w:p w14:paraId="5978DE6C" w14:textId="24295D13" w:rsidR="001C04A0" w:rsidRDefault="001C04A0" w:rsidP="001C04A0">
      <w:pPr>
        <w:pStyle w:val="Text"/>
        <w:spacing w:after="120"/>
        <w:ind w:left="1134" w:right="1134"/>
        <w:jc w:val="both"/>
        <w:rPr>
          <w:lang w:val="en-US"/>
        </w:rPr>
      </w:pPr>
      <w:r>
        <w:rPr>
          <w:lang w:val="en-US"/>
        </w:rPr>
        <w:t>28.</w:t>
      </w:r>
      <w:r>
        <w:rPr>
          <w:lang w:val="en-US"/>
        </w:rPr>
        <w:tab/>
      </w:r>
      <w:r w:rsidRPr="00182663">
        <w:rPr>
          <w:rStyle w:val="SingleTxtGChar"/>
        </w:rPr>
        <w:t>During</w:t>
      </w:r>
      <w:r w:rsidRPr="005F0462">
        <w:rPr>
          <w:rStyle w:val="SingleTxtGChar"/>
        </w:rPr>
        <w:t xml:space="preserve"> the reporting period, Antigua </w:t>
      </w:r>
      <w:r w:rsidR="00DD6530">
        <w:rPr>
          <w:rStyle w:val="SingleTxtGChar"/>
        </w:rPr>
        <w:t>and</w:t>
      </w:r>
      <w:r w:rsidRPr="005F0462">
        <w:rPr>
          <w:rStyle w:val="SingleTxtGChar"/>
        </w:rPr>
        <w:t xml:space="preserve"> Barbuda resentenced all those who had been subject to mandatory death sentences</w:t>
      </w:r>
      <w:r w:rsidR="000E13CB">
        <w:rPr>
          <w:rStyle w:val="SingleTxtGChar"/>
        </w:rPr>
        <w:t>.</w:t>
      </w:r>
      <w:r w:rsidRPr="00E1363B">
        <w:rPr>
          <w:rStyle w:val="FootnoteReference"/>
          <w:rFonts w:eastAsia="Calibri"/>
        </w:rPr>
        <w:footnoteReference w:id="102"/>
      </w:r>
      <w:r w:rsidRPr="005F0462">
        <w:rPr>
          <w:rStyle w:val="SingleTxtGChar"/>
        </w:rPr>
        <w:t xml:space="preserve"> The Eastern Caribbean Supreme Court imposed fixed</w:t>
      </w:r>
      <w:r w:rsidR="004D7970">
        <w:rPr>
          <w:rStyle w:val="SingleTxtGChar"/>
        </w:rPr>
        <w:t>-</w:t>
      </w:r>
      <w:r w:rsidRPr="005F0462">
        <w:rPr>
          <w:rStyle w:val="SingleTxtGChar"/>
        </w:rPr>
        <w:t>term sentences, resulting in the immediate release of one individual</w:t>
      </w:r>
      <w:r w:rsidR="003A625E">
        <w:rPr>
          <w:rStyle w:val="SingleTxtGChar"/>
        </w:rPr>
        <w:t>.</w:t>
      </w:r>
      <w:r w:rsidRPr="00E1363B">
        <w:rPr>
          <w:rStyle w:val="FootnoteReference"/>
          <w:rFonts w:eastAsia="Calibri"/>
        </w:rPr>
        <w:footnoteReference w:id="103"/>
      </w:r>
      <w:r w:rsidRPr="005F0462">
        <w:rPr>
          <w:rStyle w:val="SingleTxtGChar"/>
        </w:rPr>
        <w:t xml:space="preserve"> Since 2015, courts in Malawi </w:t>
      </w:r>
      <w:r w:rsidR="003A625E">
        <w:rPr>
          <w:rStyle w:val="SingleTxtGChar"/>
        </w:rPr>
        <w:t xml:space="preserve">have </w:t>
      </w:r>
      <w:r w:rsidRPr="005F0462">
        <w:rPr>
          <w:rStyle w:val="SingleTxtGChar"/>
        </w:rPr>
        <w:t>conducted resentencing hearings for prisoners who had received mandatory death sentences prior to the striking down of the mandatory death penalty</w:t>
      </w:r>
      <w:r w:rsidR="00C63B30">
        <w:rPr>
          <w:rStyle w:val="SingleTxtGChar"/>
        </w:rPr>
        <w:t>,</w:t>
      </w:r>
      <w:r w:rsidRPr="00E1363B">
        <w:rPr>
          <w:rStyle w:val="FootnoteReference"/>
          <w:rFonts w:eastAsia="Calibri"/>
        </w:rPr>
        <w:footnoteReference w:id="104"/>
      </w:r>
      <w:r w:rsidRPr="005F0462">
        <w:rPr>
          <w:rStyle w:val="SingleTxtGChar"/>
        </w:rPr>
        <w:t xml:space="preserve"> and none were resentenced to death</w:t>
      </w:r>
      <w:r w:rsidR="003A625E">
        <w:rPr>
          <w:rStyle w:val="SingleTxtGChar"/>
        </w:rPr>
        <w:t>.</w:t>
      </w:r>
      <w:r w:rsidRPr="00E1363B">
        <w:rPr>
          <w:rStyle w:val="FootnoteReference"/>
          <w:rFonts w:eastAsia="Calibri"/>
        </w:rPr>
        <w:footnoteReference w:id="105"/>
      </w:r>
      <w:r w:rsidRPr="005F0462">
        <w:rPr>
          <w:rStyle w:val="SingleTxtGChar"/>
        </w:rPr>
        <w:t xml:space="preserve"> Furthermore, when resentencing prisoners who were children at the time of the offence, the Malawi High Court held that the imposition of the death penalty on such a child is a breach of constitutional rights so grave that the appropriate remedy is immediate release</w:t>
      </w:r>
      <w:r w:rsidR="003A625E">
        <w:rPr>
          <w:rStyle w:val="SingleTxtGChar"/>
        </w:rPr>
        <w:t>.</w:t>
      </w:r>
      <w:r w:rsidRPr="00E1363B">
        <w:rPr>
          <w:rStyle w:val="FootnoteReference"/>
          <w:rFonts w:eastAsia="Calibri"/>
        </w:rPr>
        <w:footnoteReference w:id="106"/>
      </w:r>
    </w:p>
    <w:p w14:paraId="0CF9B96B" w14:textId="77777777" w:rsidR="001C04A0" w:rsidRDefault="001C04A0" w:rsidP="001C04A0">
      <w:pPr>
        <w:pStyle w:val="H1G"/>
      </w:pPr>
      <w:r>
        <w:tab/>
        <w:t>C.</w:t>
      </w:r>
      <w:r>
        <w:tab/>
      </w:r>
      <w:r>
        <w:tab/>
        <w:t>Fair trial guarantees</w:t>
      </w:r>
    </w:p>
    <w:p w14:paraId="634AEBBA" w14:textId="7E818C8A" w:rsidR="001C04A0" w:rsidRPr="005F0462" w:rsidRDefault="001C04A0" w:rsidP="001C04A0">
      <w:pPr>
        <w:pStyle w:val="Text"/>
        <w:spacing w:after="120"/>
        <w:ind w:left="1134" w:right="1134"/>
        <w:jc w:val="both"/>
        <w:rPr>
          <w:rStyle w:val="SingleTxtGChar"/>
        </w:rPr>
      </w:pPr>
      <w:r>
        <w:rPr>
          <w:lang w:val="en-US"/>
        </w:rPr>
        <w:t>29.</w:t>
      </w:r>
      <w:r>
        <w:rPr>
          <w:lang w:val="en-US"/>
        </w:rPr>
        <w:tab/>
      </w:r>
      <w:r w:rsidRPr="005F0462">
        <w:rPr>
          <w:rStyle w:val="SingleTxtGChar"/>
        </w:rPr>
        <w:t xml:space="preserve">The imposition of a death sentence upon the conclusion of a trial in which the provisions of article 14 </w:t>
      </w:r>
      <w:r w:rsidR="003A625E">
        <w:rPr>
          <w:rStyle w:val="SingleTxtGChar"/>
        </w:rPr>
        <w:t xml:space="preserve">of the Covenant </w:t>
      </w:r>
      <w:r w:rsidRPr="005F0462">
        <w:rPr>
          <w:rStyle w:val="SingleTxtGChar"/>
        </w:rPr>
        <w:t>have not been respected constitutes a violation of the right to life.</w:t>
      </w:r>
      <w:r w:rsidRPr="00E1363B">
        <w:rPr>
          <w:rStyle w:val="FootnoteReference"/>
          <w:rFonts w:eastAsia="Calibri"/>
        </w:rPr>
        <w:footnoteReference w:id="107"/>
      </w:r>
      <w:r w:rsidRPr="005F0462">
        <w:rPr>
          <w:rStyle w:val="SingleTxtGChar"/>
        </w:rPr>
        <w:t xml:space="preserve"> This might involve the use of forced confessions</w:t>
      </w:r>
      <w:r w:rsidR="00060E63">
        <w:rPr>
          <w:rStyle w:val="SingleTxtGChar"/>
        </w:rPr>
        <w:t>,</w:t>
      </w:r>
      <w:r w:rsidRPr="00E1363B">
        <w:rPr>
          <w:rStyle w:val="FootnoteReference"/>
          <w:rFonts w:eastAsia="Calibri"/>
        </w:rPr>
        <w:footnoteReference w:id="108"/>
      </w:r>
      <w:r w:rsidRPr="005F0462">
        <w:rPr>
          <w:rStyle w:val="SingleTxtGChar"/>
        </w:rPr>
        <w:t xml:space="preserve"> lack of effective representation during all stages of the criminal proceedings</w:t>
      </w:r>
      <w:r w:rsidRPr="00E1363B">
        <w:rPr>
          <w:rStyle w:val="FootnoteReference"/>
          <w:rFonts w:eastAsia="Calibri"/>
        </w:rPr>
        <w:footnoteReference w:id="109"/>
      </w:r>
      <w:r w:rsidRPr="005F0462">
        <w:rPr>
          <w:rStyle w:val="SingleTxtGChar"/>
        </w:rPr>
        <w:t xml:space="preserve"> and failure to respect the presumption of innocence</w:t>
      </w:r>
      <w:r w:rsidR="00060E63">
        <w:rPr>
          <w:rStyle w:val="SingleTxtGChar"/>
        </w:rPr>
        <w:t>.</w:t>
      </w:r>
      <w:r w:rsidRPr="00E1363B">
        <w:rPr>
          <w:rStyle w:val="FootnoteReference"/>
          <w:rFonts w:eastAsia="Calibri"/>
        </w:rPr>
        <w:footnoteReference w:id="110"/>
      </w:r>
    </w:p>
    <w:p w14:paraId="4C421EB4" w14:textId="1DC2CF18" w:rsidR="001C04A0" w:rsidRDefault="001C04A0" w:rsidP="001C04A0">
      <w:pPr>
        <w:pStyle w:val="Text"/>
        <w:spacing w:after="120"/>
        <w:ind w:left="1134" w:right="1134"/>
        <w:jc w:val="both"/>
        <w:rPr>
          <w:lang w:val="en-US"/>
        </w:rPr>
      </w:pPr>
      <w:r>
        <w:rPr>
          <w:lang w:val="en-US"/>
        </w:rPr>
        <w:t>30.</w:t>
      </w:r>
      <w:r>
        <w:rPr>
          <w:lang w:val="en-US"/>
        </w:rPr>
        <w:tab/>
      </w:r>
      <w:r w:rsidRPr="005F0462">
        <w:rPr>
          <w:rStyle w:val="SingleTxtGChar"/>
        </w:rPr>
        <w:t>A number of States provided information regarding legal guarantees and safeguards in their respective jurisdictions which are particularly important in death penalty cases.</w:t>
      </w:r>
      <w:r w:rsidRPr="00E1363B">
        <w:rPr>
          <w:rStyle w:val="FootnoteReference"/>
          <w:rFonts w:eastAsia="Calibri"/>
        </w:rPr>
        <w:footnoteReference w:id="111"/>
      </w:r>
      <w:r w:rsidRPr="005F0462">
        <w:rPr>
          <w:rStyle w:val="SingleTxtGChar"/>
        </w:rPr>
        <w:t xml:space="preserve"> </w:t>
      </w:r>
      <w:r w:rsidR="002A3847">
        <w:rPr>
          <w:rStyle w:val="SingleTxtGChar"/>
        </w:rPr>
        <w:t>I</w:t>
      </w:r>
      <w:r w:rsidRPr="005F0462">
        <w:rPr>
          <w:rStyle w:val="SingleTxtGChar"/>
        </w:rPr>
        <w:t>n China, the Supreme People’s Court, the Supreme People’s Procuratorate and the Ministry of Public Security issued “</w:t>
      </w:r>
      <w:r w:rsidR="00170933">
        <w:rPr>
          <w:rStyle w:val="SingleTxtGChar"/>
        </w:rPr>
        <w:t>p</w:t>
      </w:r>
      <w:r w:rsidRPr="005F0462">
        <w:rPr>
          <w:rStyle w:val="SingleTxtGChar"/>
        </w:rPr>
        <w:t xml:space="preserve">rovisions on </w:t>
      </w:r>
      <w:r w:rsidR="00060E63" w:rsidRPr="005F0462">
        <w:rPr>
          <w:rStyle w:val="SingleTxtGChar"/>
        </w:rPr>
        <w:t>several issues concerning the strict exclusion of illegally obtained evidence in handling criminal cases</w:t>
      </w:r>
      <w:r w:rsidRPr="005F0462">
        <w:rPr>
          <w:rStyle w:val="SingleTxtGChar"/>
        </w:rPr>
        <w:t>”</w:t>
      </w:r>
      <w:r w:rsidR="00060E63">
        <w:rPr>
          <w:rStyle w:val="SingleTxtGChar"/>
        </w:rPr>
        <w:t>.</w:t>
      </w:r>
      <w:r w:rsidRPr="00E1363B">
        <w:rPr>
          <w:rStyle w:val="FootnoteReference"/>
          <w:rFonts w:eastAsia="Calibri"/>
        </w:rPr>
        <w:footnoteReference w:id="112"/>
      </w:r>
      <w:r w:rsidRPr="005F0462">
        <w:rPr>
          <w:rStyle w:val="SingleTxtGChar"/>
        </w:rPr>
        <w:t xml:space="preserve"> The</w:t>
      </w:r>
      <w:r w:rsidR="00D71D6E">
        <w:rPr>
          <w:rStyle w:val="SingleTxtGChar"/>
        </w:rPr>
        <w:t xml:space="preserve"> provisions</w:t>
      </w:r>
      <w:r w:rsidRPr="005F0462">
        <w:rPr>
          <w:rStyle w:val="SingleTxtGChar"/>
        </w:rPr>
        <w:t xml:space="preserve"> aim at clarifying criteria for exclusion of illegally obtained evidence in criminal proceedings and grant defence lawyers the possibility of challenging the legality of the evidence. Other developments were aimed at strengthening scrutiny and accountability </w:t>
      </w:r>
      <w:r w:rsidR="00D71D6E">
        <w:rPr>
          <w:rStyle w:val="SingleTxtGChar"/>
        </w:rPr>
        <w:t>of</w:t>
      </w:r>
      <w:r w:rsidR="00D71D6E" w:rsidRPr="005F0462">
        <w:rPr>
          <w:rStyle w:val="SingleTxtGChar"/>
        </w:rPr>
        <w:t xml:space="preserve"> </w:t>
      </w:r>
      <w:r w:rsidRPr="005F0462">
        <w:rPr>
          <w:rStyle w:val="SingleTxtGChar"/>
        </w:rPr>
        <w:t>actions by law enforcement, judges and prosecutors</w:t>
      </w:r>
      <w:r w:rsidR="00170933">
        <w:rPr>
          <w:rStyle w:val="SingleTxtGChar"/>
        </w:rPr>
        <w:t>.</w:t>
      </w:r>
      <w:r w:rsidRPr="00E1363B">
        <w:rPr>
          <w:rStyle w:val="FootnoteReference"/>
          <w:rFonts w:eastAsia="Calibri"/>
        </w:rPr>
        <w:footnoteReference w:id="113"/>
      </w:r>
      <w:r w:rsidRPr="005F0462">
        <w:rPr>
          <w:rStyle w:val="SingleTxtGChar"/>
        </w:rPr>
        <w:t xml:space="preserve"> The Judicial Committee of the Privy Council struck down a legal provision which excluded death row prisoners in St</w:t>
      </w:r>
      <w:r w:rsidR="00170933">
        <w:rPr>
          <w:rStyle w:val="SingleTxtGChar"/>
        </w:rPr>
        <w:t>.</w:t>
      </w:r>
      <w:r w:rsidRPr="005F0462">
        <w:rPr>
          <w:rStyle w:val="SingleTxtGChar"/>
        </w:rPr>
        <w:t xml:space="preserve"> Vincent </w:t>
      </w:r>
      <w:r w:rsidR="00170933">
        <w:rPr>
          <w:rStyle w:val="SingleTxtGChar"/>
        </w:rPr>
        <w:t>and</w:t>
      </w:r>
      <w:r w:rsidRPr="005F0462">
        <w:rPr>
          <w:rStyle w:val="SingleTxtGChar"/>
        </w:rPr>
        <w:t xml:space="preserve"> the Grenadines from applying for an extension of time to have their cases reviewed by a higher court, on the grounds that such a provision </w:t>
      </w:r>
      <w:r w:rsidR="00D71D6E">
        <w:rPr>
          <w:rStyle w:val="SingleTxtGChar"/>
        </w:rPr>
        <w:t>was</w:t>
      </w:r>
      <w:r w:rsidR="00D71D6E" w:rsidRPr="005F0462">
        <w:rPr>
          <w:rStyle w:val="SingleTxtGChar"/>
        </w:rPr>
        <w:t xml:space="preserve"> </w:t>
      </w:r>
      <w:r w:rsidRPr="005F0462">
        <w:rPr>
          <w:rStyle w:val="SingleTxtGChar"/>
        </w:rPr>
        <w:t>a denial of due process for death row prisoners and unconstitutional</w:t>
      </w:r>
      <w:r w:rsidR="00170933">
        <w:rPr>
          <w:rStyle w:val="SingleTxtGChar"/>
        </w:rPr>
        <w:t>.</w:t>
      </w:r>
      <w:r w:rsidRPr="00E1363B">
        <w:rPr>
          <w:rStyle w:val="FootnoteReference"/>
          <w:rFonts w:eastAsia="Calibri"/>
        </w:rPr>
        <w:footnoteReference w:id="114"/>
      </w:r>
    </w:p>
    <w:p w14:paraId="1FA0BAF5" w14:textId="2EDFE54F" w:rsidR="001C04A0" w:rsidRDefault="001C04A0" w:rsidP="001C04A0">
      <w:pPr>
        <w:pStyle w:val="Text"/>
        <w:spacing w:after="120"/>
        <w:ind w:left="1134" w:right="1134"/>
        <w:jc w:val="both"/>
        <w:rPr>
          <w:lang w:val="en-US"/>
        </w:rPr>
      </w:pPr>
      <w:r>
        <w:rPr>
          <w:lang w:val="en-US"/>
        </w:rPr>
        <w:t>31.</w:t>
      </w:r>
      <w:r>
        <w:rPr>
          <w:lang w:val="en-US"/>
        </w:rPr>
        <w:tab/>
      </w:r>
      <w:r w:rsidRPr="005F0462">
        <w:rPr>
          <w:rStyle w:val="SingleTxtGChar"/>
        </w:rPr>
        <w:t xml:space="preserve">During the reporting period, the High Commissioner and </w:t>
      </w:r>
      <w:r w:rsidR="00170933">
        <w:rPr>
          <w:rStyle w:val="SingleTxtGChar"/>
        </w:rPr>
        <w:t>s</w:t>
      </w:r>
      <w:r w:rsidRPr="005F0462">
        <w:rPr>
          <w:rStyle w:val="SingleTxtGChar"/>
        </w:rPr>
        <w:t>pecial procedure</w:t>
      </w:r>
      <w:r w:rsidR="003C0669">
        <w:rPr>
          <w:rStyle w:val="SingleTxtGChar"/>
        </w:rPr>
        <w:t xml:space="preserve"> mandate holders</w:t>
      </w:r>
      <w:r w:rsidRPr="005F0462">
        <w:rPr>
          <w:rStyle w:val="SingleTxtGChar"/>
        </w:rPr>
        <w:t xml:space="preserve"> expressed concern over the lack of fair trial in certain death penalty cases in Bangladesh</w:t>
      </w:r>
      <w:r w:rsidR="003C0669">
        <w:rPr>
          <w:rStyle w:val="SingleTxtGChar"/>
        </w:rPr>
        <w:t>,</w:t>
      </w:r>
      <w:r w:rsidRPr="00E1363B">
        <w:rPr>
          <w:rStyle w:val="FootnoteReference"/>
          <w:rFonts w:eastAsia="Calibri"/>
        </w:rPr>
        <w:footnoteReference w:id="115"/>
      </w:r>
      <w:r w:rsidRPr="005F0462">
        <w:rPr>
          <w:rStyle w:val="SingleTxtGChar"/>
        </w:rPr>
        <w:t xml:space="preserve"> Egypt</w:t>
      </w:r>
      <w:r w:rsidR="003C0669">
        <w:rPr>
          <w:rStyle w:val="SingleTxtGChar"/>
        </w:rPr>
        <w:t>,</w:t>
      </w:r>
      <w:r w:rsidRPr="00E1363B">
        <w:rPr>
          <w:rStyle w:val="FootnoteReference"/>
          <w:rFonts w:eastAsia="Calibri"/>
        </w:rPr>
        <w:footnoteReference w:id="116"/>
      </w:r>
      <w:r w:rsidRPr="005F0462">
        <w:rPr>
          <w:rStyle w:val="SingleTxtGChar"/>
        </w:rPr>
        <w:t xml:space="preserve"> </w:t>
      </w:r>
      <w:r w:rsidR="003C0669">
        <w:rPr>
          <w:rStyle w:val="SingleTxtGChar"/>
        </w:rPr>
        <w:t xml:space="preserve">the Islamic Republic of </w:t>
      </w:r>
      <w:r w:rsidRPr="005F0462">
        <w:rPr>
          <w:rStyle w:val="SingleTxtGChar"/>
        </w:rPr>
        <w:t>Iran</w:t>
      </w:r>
      <w:r w:rsidR="003C0669">
        <w:rPr>
          <w:rStyle w:val="SingleTxtGChar"/>
        </w:rPr>
        <w:t>,</w:t>
      </w:r>
      <w:r w:rsidRPr="00E1363B">
        <w:rPr>
          <w:rStyle w:val="FootnoteReference"/>
          <w:rFonts w:eastAsia="Calibri"/>
        </w:rPr>
        <w:footnoteReference w:id="117"/>
      </w:r>
      <w:r w:rsidRPr="005F0462">
        <w:rPr>
          <w:rStyle w:val="SingleTxtGChar"/>
        </w:rPr>
        <w:t xml:space="preserve"> Iraq</w:t>
      </w:r>
      <w:r w:rsidR="003C0669">
        <w:rPr>
          <w:rStyle w:val="SingleTxtGChar"/>
        </w:rPr>
        <w:t>,</w:t>
      </w:r>
      <w:r w:rsidRPr="00E1363B">
        <w:rPr>
          <w:rStyle w:val="FootnoteReference"/>
          <w:rFonts w:eastAsia="Calibri"/>
        </w:rPr>
        <w:footnoteReference w:id="118"/>
      </w:r>
      <w:r w:rsidRPr="005F0462">
        <w:rPr>
          <w:rStyle w:val="SingleTxtGChar"/>
        </w:rPr>
        <w:t xml:space="preserve"> </w:t>
      </w:r>
      <w:r w:rsidR="003C0669">
        <w:rPr>
          <w:rStyle w:val="SingleTxtGChar"/>
        </w:rPr>
        <w:t xml:space="preserve">the </w:t>
      </w:r>
      <w:r w:rsidRPr="005F0462">
        <w:rPr>
          <w:rStyle w:val="SingleTxtGChar"/>
        </w:rPr>
        <w:t>Sudan</w:t>
      </w:r>
      <w:r w:rsidR="003C0669">
        <w:rPr>
          <w:rStyle w:val="SingleTxtGChar"/>
        </w:rPr>
        <w:t>,</w:t>
      </w:r>
      <w:r w:rsidRPr="00E1363B">
        <w:rPr>
          <w:rStyle w:val="FootnoteReference"/>
          <w:rFonts w:eastAsia="Calibri"/>
        </w:rPr>
        <w:footnoteReference w:id="119"/>
      </w:r>
      <w:r w:rsidRPr="005F0462">
        <w:rPr>
          <w:rStyle w:val="SingleTxtGChar"/>
        </w:rPr>
        <w:t xml:space="preserve"> Saudi Arabia</w:t>
      </w:r>
      <w:r w:rsidRPr="00E1363B">
        <w:rPr>
          <w:rStyle w:val="FootnoteReference"/>
          <w:rFonts w:eastAsia="Calibri"/>
        </w:rPr>
        <w:footnoteReference w:id="120"/>
      </w:r>
      <w:r w:rsidRPr="005F0462">
        <w:rPr>
          <w:rStyle w:val="SingleTxtGChar"/>
        </w:rPr>
        <w:t xml:space="preserve"> and the </w:t>
      </w:r>
      <w:r w:rsidR="003C0669">
        <w:rPr>
          <w:rStyle w:val="SingleTxtGChar"/>
        </w:rPr>
        <w:t>United States.</w:t>
      </w:r>
      <w:r w:rsidRPr="00E1363B">
        <w:rPr>
          <w:rStyle w:val="FootnoteReference"/>
          <w:rFonts w:eastAsia="Calibri"/>
        </w:rPr>
        <w:footnoteReference w:id="121"/>
      </w:r>
    </w:p>
    <w:p w14:paraId="7430FB21" w14:textId="0F82FA6C" w:rsidR="001C04A0" w:rsidRDefault="001C04A0" w:rsidP="001C04A0">
      <w:pPr>
        <w:pStyle w:val="Text"/>
        <w:spacing w:after="120"/>
        <w:ind w:left="1134" w:right="1134"/>
        <w:jc w:val="both"/>
        <w:rPr>
          <w:lang w:val="en-US"/>
        </w:rPr>
      </w:pPr>
      <w:r>
        <w:rPr>
          <w:lang w:val="en-US"/>
        </w:rPr>
        <w:t>32.</w:t>
      </w:r>
      <w:r>
        <w:rPr>
          <w:lang w:val="en-US"/>
        </w:rPr>
        <w:tab/>
      </w:r>
      <w:r w:rsidRPr="005F0462">
        <w:rPr>
          <w:rStyle w:val="SingleTxtGChar"/>
        </w:rPr>
        <w:t>In 2016, the High Commissioner expressed serious concern at the creation of a committee in Iraq tasked with making recommendations to accelerate implementation of death sentences</w:t>
      </w:r>
      <w:r w:rsidR="003C0669">
        <w:rPr>
          <w:rStyle w:val="SingleTxtGChar"/>
        </w:rPr>
        <w:t>.</w:t>
      </w:r>
      <w:r w:rsidRPr="00E1363B">
        <w:rPr>
          <w:rStyle w:val="FootnoteReference"/>
          <w:rFonts w:eastAsia="Calibri"/>
        </w:rPr>
        <w:footnoteReference w:id="122"/>
      </w:r>
      <w:r w:rsidRPr="005F0462">
        <w:rPr>
          <w:rStyle w:val="SingleTxtGChar"/>
        </w:rPr>
        <w:t xml:space="preserve"> Given the current environment in Iraq, he noted that “innocent people have been and may continue to be convicted and executed, resulting in gross, irreversible miscarriages of justice”</w:t>
      </w:r>
      <w:r w:rsidR="00FD2126">
        <w:rPr>
          <w:rStyle w:val="SingleTxtGChar"/>
        </w:rPr>
        <w:t>.</w:t>
      </w:r>
      <w:r w:rsidRPr="00E1363B">
        <w:rPr>
          <w:rStyle w:val="FootnoteReference"/>
          <w:rFonts w:eastAsia="Calibri"/>
        </w:rPr>
        <w:footnoteReference w:id="123"/>
      </w:r>
      <w:r>
        <w:rPr>
          <w:lang w:val="en-US"/>
        </w:rPr>
        <w:t xml:space="preserve"> </w:t>
      </w:r>
    </w:p>
    <w:p w14:paraId="161F0EB0" w14:textId="77777777" w:rsidR="001C04A0" w:rsidRDefault="001C04A0" w:rsidP="001C04A0">
      <w:pPr>
        <w:pStyle w:val="H1G"/>
      </w:pPr>
      <w:r>
        <w:rPr>
          <w:rFonts w:eastAsia="Arial Unicode MS" w:hAnsi="Arial Unicode MS" w:cs="Arial Unicode MS"/>
        </w:rPr>
        <w:tab/>
        <w:t>D.</w:t>
      </w:r>
      <w:r>
        <w:rPr>
          <w:rFonts w:eastAsia="Arial Unicode MS" w:hAnsi="Arial Unicode MS" w:cs="Arial Unicode MS"/>
        </w:rPr>
        <w:tab/>
        <w:t>Right to seek pardon or commutation</w:t>
      </w:r>
    </w:p>
    <w:p w14:paraId="4083266B" w14:textId="2ECDCB44" w:rsidR="001C04A0" w:rsidRDefault="001C04A0" w:rsidP="005F0462">
      <w:pPr>
        <w:pStyle w:val="SingleTxtG"/>
        <w:rPr>
          <w:lang w:val="en-US"/>
        </w:rPr>
      </w:pPr>
      <w:r>
        <w:rPr>
          <w:lang w:val="en-US"/>
        </w:rPr>
        <w:t>33.</w:t>
      </w:r>
      <w:r>
        <w:rPr>
          <w:lang w:val="en-US"/>
        </w:rPr>
        <w:tab/>
        <w:t>According to article 6</w:t>
      </w:r>
      <w:r w:rsidR="00187372">
        <w:rPr>
          <w:lang w:val="en-US"/>
        </w:rPr>
        <w:t xml:space="preserve"> </w:t>
      </w:r>
      <w:r>
        <w:rPr>
          <w:lang w:val="en-US"/>
        </w:rPr>
        <w:t xml:space="preserve">(4) </w:t>
      </w:r>
      <w:r w:rsidR="00FD2126">
        <w:rPr>
          <w:lang w:val="en-US"/>
        </w:rPr>
        <w:t>of the Covenant</w:t>
      </w:r>
      <w:r>
        <w:rPr>
          <w:lang w:val="en-US"/>
        </w:rPr>
        <w:t>, States parties are required to allow individuals sentenced to death to seek pardon or commutation and to ensure that amnesties, pardons and commutations can be granted to them</w:t>
      </w:r>
      <w:r w:rsidR="00712621">
        <w:rPr>
          <w:lang w:val="en-US"/>
        </w:rPr>
        <w:t>, in appropriate circumstances.</w:t>
      </w:r>
    </w:p>
    <w:p w14:paraId="02659E5B" w14:textId="3BA52C87" w:rsidR="001C04A0" w:rsidRDefault="001C04A0" w:rsidP="005F0462">
      <w:pPr>
        <w:pStyle w:val="SingleTxtG"/>
        <w:rPr>
          <w:lang w:val="en-US"/>
        </w:rPr>
      </w:pPr>
      <w:r>
        <w:rPr>
          <w:lang w:val="en-US"/>
        </w:rPr>
        <w:t>34.</w:t>
      </w:r>
      <w:r>
        <w:rPr>
          <w:lang w:val="en-US"/>
        </w:rPr>
        <w:tab/>
        <w:t>During the reporting period, several courts clarified the process by which to seek pardon or commutation. The Privy Council held that individuals in St</w:t>
      </w:r>
      <w:r w:rsidR="00165792">
        <w:rPr>
          <w:lang w:val="en-US"/>
        </w:rPr>
        <w:t>.</w:t>
      </w:r>
      <w:r>
        <w:rPr>
          <w:lang w:val="en-US"/>
        </w:rPr>
        <w:t xml:space="preserve"> Vincent </w:t>
      </w:r>
      <w:r w:rsidR="00165792">
        <w:rPr>
          <w:lang w:val="en-US"/>
        </w:rPr>
        <w:t>and</w:t>
      </w:r>
      <w:r>
        <w:rPr>
          <w:lang w:val="en-US"/>
        </w:rPr>
        <w:t xml:space="preserve"> the Grenadines must have an opportunity to make individual representations when their sentences </w:t>
      </w:r>
      <w:r w:rsidR="00C97287">
        <w:rPr>
          <w:lang w:val="en-US"/>
        </w:rPr>
        <w:t xml:space="preserve">were </w:t>
      </w:r>
      <w:r>
        <w:rPr>
          <w:lang w:val="en-US"/>
        </w:rPr>
        <w:t xml:space="preserve">considered for a pardon or commutation and that they were entitled to a review in which the appropriate substitute sentences </w:t>
      </w:r>
      <w:r w:rsidR="00C97287">
        <w:rPr>
          <w:lang w:val="en-US"/>
        </w:rPr>
        <w:t>could</w:t>
      </w:r>
      <w:r w:rsidR="00165792">
        <w:rPr>
          <w:lang w:val="en-US"/>
        </w:rPr>
        <w:t xml:space="preserve"> be </w:t>
      </w:r>
      <w:r>
        <w:rPr>
          <w:lang w:val="en-US"/>
        </w:rPr>
        <w:t xml:space="preserve">considered in </w:t>
      </w:r>
      <w:r w:rsidR="00165792">
        <w:rPr>
          <w:lang w:val="en-US"/>
        </w:rPr>
        <w:t xml:space="preserve">the </w:t>
      </w:r>
      <w:r>
        <w:rPr>
          <w:lang w:val="en-US"/>
        </w:rPr>
        <w:t>light of their individual circumstances</w:t>
      </w:r>
      <w:r w:rsidR="00165792">
        <w:rPr>
          <w:lang w:val="en-US"/>
        </w:rPr>
        <w:t>.</w:t>
      </w:r>
      <w:r w:rsidRPr="00E1363B">
        <w:rPr>
          <w:rStyle w:val="FootnoteReference"/>
        </w:rPr>
        <w:footnoteReference w:id="124"/>
      </w:r>
      <w:r>
        <w:rPr>
          <w:lang w:val="en-US"/>
        </w:rPr>
        <w:t xml:space="preserve"> The Trinidad </w:t>
      </w:r>
      <w:r w:rsidR="00C97287">
        <w:rPr>
          <w:lang w:val="en-US"/>
        </w:rPr>
        <w:t>and</w:t>
      </w:r>
      <w:r>
        <w:rPr>
          <w:lang w:val="en-US"/>
        </w:rPr>
        <w:t xml:space="preserve"> Tobago Court of Appeal found that the court should impose whichever sentence it </w:t>
      </w:r>
      <w:r w:rsidR="006C3D71">
        <w:rPr>
          <w:lang w:val="en-US"/>
        </w:rPr>
        <w:t xml:space="preserve">found </w:t>
      </w:r>
      <w:r>
        <w:rPr>
          <w:lang w:val="en-US"/>
        </w:rPr>
        <w:t xml:space="preserve">appropriate in the circumstances and that the full range of sentencing options </w:t>
      </w:r>
      <w:r w:rsidR="006C3D71">
        <w:rPr>
          <w:lang w:val="en-US"/>
        </w:rPr>
        <w:t xml:space="preserve">were </w:t>
      </w:r>
      <w:r>
        <w:rPr>
          <w:lang w:val="en-US"/>
        </w:rPr>
        <w:t xml:space="preserve">available in resentencing in every case. It also held that “there is no logical reason why the sentence of life imprisonment should be imposed </w:t>
      </w:r>
      <w:r w:rsidRPr="00AE022A">
        <w:rPr>
          <w:iCs/>
          <w:lang w:val="en-US"/>
        </w:rPr>
        <w:t>carte blanche</w:t>
      </w:r>
      <w:r>
        <w:rPr>
          <w:i/>
          <w:iCs/>
          <w:lang w:val="en-US"/>
        </w:rPr>
        <w:t xml:space="preserve"> </w:t>
      </w:r>
      <w:r>
        <w:rPr>
          <w:lang w:val="en-US"/>
        </w:rPr>
        <w:t>upon every person who has their sentence [of death] commuted. That is inherently arbitrary and potentially disproportionate</w:t>
      </w:r>
      <w:r w:rsidR="00A11F99">
        <w:rPr>
          <w:lang w:val="en-US"/>
        </w:rPr>
        <w:t>.</w:t>
      </w:r>
      <w:r>
        <w:rPr>
          <w:lang w:val="en-US"/>
        </w:rPr>
        <w:t>”</w:t>
      </w:r>
      <w:r w:rsidRPr="00E1363B">
        <w:rPr>
          <w:rStyle w:val="FootnoteReference"/>
        </w:rPr>
        <w:footnoteReference w:id="125"/>
      </w:r>
    </w:p>
    <w:p w14:paraId="0F78C77A" w14:textId="23E38939" w:rsidR="001C04A0" w:rsidRDefault="001C04A0" w:rsidP="005F0462">
      <w:pPr>
        <w:pStyle w:val="SingleTxtG"/>
        <w:rPr>
          <w:lang w:val="en-US"/>
        </w:rPr>
      </w:pPr>
      <w:r>
        <w:rPr>
          <w:lang w:val="en-US"/>
        </w:rPr>
        <w:t>35.</w:t>
      </w:r>
      <w:r>
        <w:rPr>
          <w:lang w:val="en-US"/>
        </w:rPr>
        <w:tab/>
        <w:t xml:space="preserve">Commutations and pardons were granted during the reporting period, including in Antigua and Barbuda and </w:t>
      </w:r>
      <w:r w:rsidR="00290D76">
        <w:rPr>
          <w:lang w:val="en-US"/>
        </w:rPr>
        <w:t xml:space="preserve">the </w:t>
      </w:r>
      <w:r>
        <w:rPr>
          <w:lang w:val="en-US"/>
        </w:rPr>
        <w:t>Bahamas</w:t>
      </w:r>
      <w:r w:rsidR="00290D76">
        <w:rPr>
          <w:lang w:val="en-US"/>
        </w:rPr>
        <w:t>,</w:t>
      </w:r>
      <w:r>
        <w:rPr>
          <w:lang w:val="en-US"/>
        </w:rPr>
        <w:t xml:space="preserve"> where the death sentences of the last remaining people on death row were commuted</w:t>
      </w:r>
      <w:r w:rsidR="00290D76">
        <w:rPr>
          <w:lang w:val="en-US"/>
        </w:rPr>
        <w:t>.</w:t>
      </w:r>
      <w:r w:rsidRPr="00E1363B">
        <w:rPr>
          <w:rStyle w:val="FootnoteReference"/>
        </w:rPr>
        <w:footnoteReference w:id="126"/>
      </w:r>
      <w:r>
        <w:rPr>
          <w:lang w:val="en-US"/>
        </w:rPr>
        <w:t xml:space="preserve"> In October 2016</w:t>
      </w:r>
      <w:r w:rsidR="00290D76">
        <w:rPr>
          <w:lang w:val="en-US"/>
        </w:rPr>
        <w:t>,</w:t>
      </w:r>
      <w:r>
        <w:rPr>
          <w:lang w:val="en-US"/>
        </w:rPr>
        <w:t xml:space="preserve"> in Kenya, the President commuted all death sentences (2,747 inmates) to life sentences</w:t>
      </w:r>
      <w:r w:rsidR="00290D76">
        <w:rPr>
          <w:lang w:val="en-US"/>
        </w:rPr>
        <w:t>.</w:t>
      </w:r>
      <w:r w:rsidRPr="00E1363B">
        <w:rPr>
          <w:rStyle w:val="FootnoteReference"/>
        </w:rPr>
        <w:footnoteReference w:id="127"/>
      </w:r>
      <w:r>
        <w:rPr>
          <w:lang w:val="en-US"/>
        </w:rPr>
        <w:t xml:space="preserve"> In Malaysia, the Pardons Board commuted one death sentence to life imprisonment in January 2017</w:t>
      </w:r>
      <w:r w:rsidR="00290D76">
        <w:rPr>
          <w:lang w:val="en-US"/>
        </w:rPr>
        <w:t>.</w:t>
      </w:r>
      <w:r w:rsidRPr="00E1363B">
        <w:rPr>
          <w:rStyle w:val="FootnoteReference"/>
        </w:rPr>
        <w:footnoteReference w:id="128"/>
      </w:r>
      <w:r>
        <w:rPr>
          <w:lang w:val="en-US"/>
        </w:rPr>
        <w:t xml:space="preserve"> In February 2017, the President of Sri Lanka commuted the death sentences of 60 prisoners to life in prison</w:t>
      </w:r>
      <w:r w:rsidR="00290D76">
        <w:rPr>
          <w:lang w:val="en-US"/>
        </w:rPr>
        <w:t>.</w:t>
      </w:r>
      <w:r w:rsidRPr="00E1363B">
        <w:rPr>
          <w:rStyle w:val="FootnoteReference"/>
        </w:rPr>
        <w:footnoteReference w:id="129"/>
      </w:r>
      <w:r>
        <w:rPr>
          <w:lang w:val="en-US"/>
        </w:rPr>
        <w:t xml:space="preserve"> In December 2017, the President of </w:t>
      </w:r>
      <w:r w:rsidR="00290D76">
        <w:rPr>
          <w:lang w:val="en-US"/>
        </w:rPr>
        <w:t xml:space="preserve">the United Republic of </w:t>
      </w:r>
      <w:r>
        <w:rPr>
          <w:lang w:val="en-US"/>
        </w:rPr>
        <w:t>Tanzania reportedly pardoned 61 death row inmates</w:t>
      </w:r>
      <w:r w:rsidR="004400CF">
        <w:rPr>
          <w:lang w:val="en-US"/>
        </w:rPr>
        <w:t>.</w:t>
      </w:r>
      <w:r w:rsidRPr="00E1363B">
        <w:rPr>
          <w:rStyle w:val="FootnoteReference"/>
        </w:rPr>
        <w:footnoteReference w:id="130"/>
      </w:r>
      <w:r>
        <w:rPr>
          <w:lang w:val="en-US"/>
        </w:rPr>
        <w:t xml:space="preserve"> In February 2018, the President of Benin issued a decree commuting the death sentences of </w:t>
      </w:r>
      <w:r w:rsidR="004400CF">
        <w:rPr>
          <w:lang w:val="en-US"/>
        </w:rPr>
        <w:t xml:space="preserve">14 </w:t>
      </w:r>
      <w:r>
        <w:rPr>
          <w:lang w:val="en-US"/>
        </w:rPr>
        <w:t>death row prisoners to life imprisonment</w:t>
      </w:r>
      <w:r w:rsidR="004400CF">
        <w:rPr>
          <w:lang w:val="en-US"/>
        </w:rPr>
        <w:t>.</w:t>
      </w:r>
      <w:r w:rsidRPr="00E1363B">
        <w:rPr>
          <w:rStyle w:val="FootnoteReference"/>
        </w:rPr>
        <w:footnoteReference w:id="131"/>
      </w:r>
    </w:p>
    <w:p w14:paraId="27895290" w14:textId="71020425" w:rsidR="001C04A0" w:rsidRDefault="001C04A0" w:rsidP="005F0462">
      <w:pPr>
        <w:pStyle w:val="SingleTxtG"/>
        <w:rPr>
          <w:lang w:val="en-US"/>
        </w:rPr>
      </w:pPr>
      <w:r>
        <w:rPr>
          <w:lang w:val="en-US"/>
        </w:rPr>
        <w:t>36.</w:t>
      </w:r>
      <w:r>
        <w:rPr>
          <w:lang w:val="en-US"/>
        </w:rPr>
        <w:tab/>
        <w:t xml:space="preserve">Nevertheless, some individuals were denied their rights to seek pardon or commutation, including in </w:t>
      </w:r>
      <w:r w:rsidR="004400CF">
        <w:rPr>
          <w:lang w:val="en-US"/>
        </w:rPr>
        <w:t xml:space="preserve">the Islamic Republic of </w:t>
      </w:r>
      <w:r>
        <w:rPr>
          <w:lang w:val="en-US"/>
        </w:rPr>
        <w:t xml:space="preserve">Iran and Malaysia. In March 2017, OHCHR condemned executions </w:t>
      </w:r>
      <w:r w:rsidR="004400CF">
        <w:rPr>
          <w:lang w:val="en-US"/>
        </w:rPr>
        <w:t xml:space="preserve">of inmates </w:t>
      </w:r>
      <w:r>
        <w:rPr>
          <w:lang w:val="en-US"/>
        </w:rPr>
        <w:t xml:space="preserve">carried out in Malaysia despite the pending decision by the Pardons Board on their clemency petition and allegations that their trial </w:t>
      </w:r>
      <w:r w:rsidR="00A23917">
        <w:rPr>
          <w:lang w:val="en-US"/>
        </w:rPr>
        <w:t xml:space="preserve">had </w:t>
      </w:r>
      <w:r>
        <w:rPr>
          <w:lang w:val="en-US"/>
        </w:rPr>
        <w:t>not met international standards</w:t>
      </w:r>
      <w:r w:rsidR="00A23917">
        <w:rPr>
          <w:lang w:val="en-US"/>
        </w:rPr>
        <w:t>.</w:t>
      </w:r>
      <w:r w:rsidRPr="00E1363B">
        <w:rPr>
          <w:rStyle w:val="FootnoteReference"/>
        </w:rPr>
        <w:footnoteReference w:id="132"/>
      </w:r>
      <w:r w:rsidR="005F0462">
        <w:rPr>
          <w:lang w:val="en-US"/>
        </w:rPr>
        <w:t xml:space="preserve"> </w:t>
      </w:r>
      <w:r>
        <w:rPr>
          <w:lang w:val="en-US"/>
        </w:rPr>
        <w:t>In July 2017, the Indonesian Ombudsman concluded that the Attorney-General should not have carried out an execution because the person’s clemency request was still pending.</w:t>
      </w:r>
      <w:r w:rsidRPr="00E1363B">
        <w:rPr>
          <w:rStyle w:val="FootnoteReference"/>
        </w:rPr>
        <w:footnoteReference w:id="133"/>
      </w:r>
    </w:p>
    <w:p w14:paraId="5A31347B" w14:textId="0989D1D7" w:rsidR="001C04A0" w:rsidRDefault="001C04A0" w:rsidP="005F0462">
      <w:pPr>
        <w:pStyle w:val="SingleTxtG"/>
        <w:rPr>
          <w:lang w:val="en-US"/>
        </w:rPr>
      </w:pPr>
      <w:r>
        <w:rPr>
          <w:lang w:val="en-US"/>
        </w:rPr>
        <w:t>37.</w:t>
      </w:r>
      <w:r>
        <w:rPr>
          <w:lang w:val="en-US"/>
        </w:rPr>
        <w:tab/>
        <w:t>In Indonesia, the President reportedly continued to refuse clemency applications submitted by anyone charged with drug-related offences</w:t>
      </w:r>
      <w:r w:rsidRPr="00E1363B">
        <w:rPr>
          <w:rStyle w:val="FootnoteReference"/>
        </w:rPr>
        <w:footnoteReference w:id="134"/>
      </w:r>
      <w:r>
        <w:rPr>
          <w:lang w:val="en-US"/>
        </w:rPr>
        <w:t xml:space="preserve"> but</w:t>
      </w:r>
      <w:r w:rsidR="00A23917">
        <w:rPr>
          <w:lang w:val="en-US"/>
        </w:rPr>
        <w:t>,</w:t>
      </w:r>
      <w:r>
        <w:rPr>
          <w:lang w:val="en-US"/>
        </w:rPr>
        <w:t xml:space="preserve"> </w:t>
      </w:r>
      <w:r w:rsidR="009F13A3">
        <w:rPr>
          <w:lang w:val="en-US"/>
        </w:rPr>
        <w:t xml:space="preserve">in </w:t>
      </w:r>
      <w:r>
        <w:rPr>
          <w:lang w:val="en-US"/>
        </w:rPr>
        <w:t xml:space="preserve">a positive </w:t>
      </w:r>
      <w:r w:rsidR="009F13A3">
        <w:rPr>
          <w:lang w:val="en-US"/>
        </w:rPr>
        <w:t>step</w:t>
      </w:r>
      <w:r>
        <w:rPr>
          <w:lang w:val="en-US"/>
        </w:rPr>
        <w:t>, the Constitutional Court removed a one-year limit for prisoners to exercise their right to file for clemency</w:t>
      </w:r>
      <w:r w:rsidR="00A23917">
        <w:rPr>
          <w:lang w:val="en-US"/>
        </w:rPr>
        <w:t>.</w:t>
      </w:r>
      <w:r w:rsidRPr="00E1363B">
        <w:rPr>
          <w:rStyle w:val="FootnoteReference"/>
        </w:rPr>
        <w:footnoteReference w:id="135"/>
      </w:r>
      <w:r>
        <w:rPr>
          <w:lang w:val="en-US"/>
        </w:rPr>
        <w:t xml:space="preserve"> With regard to Pakistan, the Human Rights Committee was particularly concerned that “a policy of blanket refusal of clemency applications is allegedly in place and no clemency applications have been granted”</w:t>
      </w:r>
      <w:r w:rsidR="009F13A3">
        <w:rPr>
          <w:lang w:val="en-US"/>
        </w:rPr>
        <w:t>.</w:t>
      </w:r>
      <w:r w:rsidRPr="00E1363B">
        <w:rPr>
          <w:rStyle w:val="FootnoteReference"/>
        </w:rPr>
        <w:footnoteReference w:id="136"/>
      </w:r>
    </w:p>
    <w:p w14:paraId="2CB7282E" w14:textId="77777777" w:rsidR="001C04A0" w:rsidRDefault="001C04A0" w:rsidP="001C04A0">
      <w:pPr>
        <w:pStyle w:val="H1G"/>
      </w:pPr>
      <w:r>
        <w:tab/>
        <w:t>E.</w:t>
      </w:r>
      <w:r>
        <w:tab/>
        <w:t>Prohibition of public executions</w:t>
      </w:r>
    </w:p>
    <w:p w14:paraId="098D29DB" w14:textId="3EC9FDC8" w:rsidR="001C04A0" w:rsidRPr="00FE4F52" w:rsidRDefault="001C04A0" w:rsidP="001C04A0">
      <w:pPr>
        <w:pStyle w:val="Text"/>
        <w:spacing w:after="120"/>
        <w:ind w:left="1134" w:right="1134"/>
        <w:jc w:val="both"/>
        <w:rPr>
          <w:b/>
        </w:rPr>
      </w:pPr>
      <w:r>
        <w:tab/>
      </w:r>
      <w:r w:rsidRPr="00D8537E">
        <w:rPr>
          <w:lang w:val="en-US"/>
        </w:rPr>
        <w:t>38.</w:t>
      </w:r>
      <w:r w:rsidRPr="00D8537E">
        <w:rPr>
          <w:lang w:val="en-US"/>
        </w:rPr>
        <w:tab/>
      </w:r>
      <w:r w:rsidRPr="005F0462">
        <w:rPr>
          <w:rStyle w:val="SingleTxtGChar"/>
        </w:rPr>
        <w:t>In resolution 2005/59, the Commission on Human Rights urged all States that still maintain</w:t>
      </w:r>
      <w:r w:rsidR="009F13A3">
        <w:rPr>
          <w:rStyle w:val="SingleTxtGChar"/>
        </w:rPr>
        <w:t>ed</w:t>
      </w:r>
      <w:r w:rsidRPr="005F0462">
        <w:rPr>
          <w:rStyle w:val="SingleTxtGChar"/>
        </w:rPr>
        <w:t xml:space="preserve"> the death penalty “to ensure that, where capital punishment still occurs, it shall be carried out so as to inflict the minimum possible suffering and shall not be carried out in public or in any other degrading manner, and to ensure that any application of particularly cruel or inhuman means of execution, such as stoning, be stopped immediately”. According to the Human Rights Committee, when the death penalty is applied, “it must be carried out in such a way as to cause the least possible physical and mental suffering”</w:t>
      </w:r>
      <w:r w:rsidR="009F13A3">
        <w:rPr>
          <w:rStyle w:val="SingleTxtGChar"/>
        </w:rPr>
        <w:t>.</w:t>
      </w:r>
      <w:r w:rsidRPr="00E1363B">
        <w:rPr>
          <w:rStyle w:val="FootnoteReference"/>
          <w:rFonts w:eastAsia="Calibri"/>
        </w:rPr>
        <w:footnoteReference w:id="137"/>
      </w:r>
      <w:r w:rsidRPr="005F0462">
        <w:rPr>
          <w:rStyle w:val="SingleTxtGChar"/>
        </w:rPr>
        <w:t xml:space="preserve"> Despite its prohibition in international law, </w:t>
      </w:r>
      <w:r w:rsidR="00375AC5">
        <w:rPr>
          <w:rStyle w:val="SingleTxtGChar"/>
        </w:rPr>
        <w:t xml:space="preserve">the Islamic Republic of </w:t>
      </w:r>
      <w:r w:rsidRPr="005F0462">
        <w:rPr>
          <w:rStyle w:val="SingleTxtGChar"/>
        </w:rPr>
        <w:t>Iran</w:t>
      </w:r>
      <w:r w:rsidRPr="00E1363B">
        <w:rPr>
          <w:rStyle w:val="FootnoteReference"/>
          <w:rFonts w:eastAsia="Calibri"/>
        </w:rPr>
        <w:footnoteReference w:id="138"/>
      </w:r>
      <w:r w:rsidRPr="005F0462">
        <w:rPr>
          <w:rStyle w:val="SingleTxtGChar"/>
        </w:rPr>
        <w:t xml:space="preserve"> continued to conduct public executions during the reporting period</w:t>
      </w:r>
      <w:r w:rsidR="00375AC5">
        <w:rPr>
          <w:rStyle w:val="SingleTxtGChar"/>
        </w:rPr>
        <w:t>.</w:t>
      </w:r>
      <w:r w:rsidRPr="00E1363B">
        <w:rPr>
          <w:rStyle w:val="FootnoteReference"/>
          <w:rFonts w:eastAsia="Calibri"/>
        </w:rPr>
        <w:footnoteReference w:id="139"/>
      </w:r>
    </w:p>
    <w:p w14:paraId="078B726E" w14:textId="77777777" w:rsidR="001C04A0" w:rsidRDefault="001C04A0" w:rsidP="001C04A0">
      <w:pPr>
        <w:pStyle w:val="HChG"/>
      </w:pPr>
      <w:r>
        <w:rPr>
          <w:rFonts w:eastAsia="Arial Unicode MS" w:hAnsi="Arial Unicode MS" w:cs="Arial Unicode MS"/>
        </w:rPr>
        <w:tab/>
        <w:t>V.</w:t>
      </w:r>
      <w:r>
        <w:rPr>
          <w:rFonts w:eastAsia="Arial Unicode MS" w:hAnsi="Arial Unicode MS" w:cs="Arial Unicode MS"/>
        </w:rPr>
        <w:tab/>
      </w:r>
      <w:r>
        <w:rPr>
          <w:rFonts w:eastAsia="Arial Unicode MS" w:hAnsi="Arial Unicode MS" w:cs="Arial Unicode MS"/>
        </w:rPr>
        <w:tab/>
        <w:t xml:space="preserve">Use of the death penalty against children and persons </w:t>
      </w:r>
      <w:r>
        <w:br/>
      </w:r>
      <w:r>
        <w:rPr>
          <w:rFonts w:eastAsia="Arial Unicode MS" w:hAnsi="Arial Unicode MS" w:cs="Arial Unicode MS"/>
        </w:rPr>
        <w:t xml:space="preserve">with mental or intellectual disabilities </w:t>
      </w:r>
    </w:p>
    <w:p w14:paraId="0BB19E76" w14:textId="77777777" w:rsidR="001C04A0" w:rsidRDefault="001C04A0" w:rsidP="001C04A0">
      <w:pPr>
        <w:pStyle w:val="H1G"/>
      </w:pPr>
      <w:r>
        <w:tab/>
        <w:t>A.</w:t>
      </w:r>
      <w:r>
        <w:tab/>
        <w:t>Children</w:t>
      </w:r>
    </w:p>
    <w:p w14:paraId="3818C6B2" w14:textId="4CEC4D3B" w:rsidR="001C04A0" w:rsidRDefault="001C04A0" w:rsidP="005F0462">
      <w:pPr>
        <w:pStyle w:val="SingleTxtG"/>
        <w:rPr>
          <w:lang w:val="en-US"/>
        </w:rPr>
      </w:pPr>
      <w:r>
        <w:rPr>
          <w:lang w:val="en-US"/>
        </w:rPr>
        <w:t>39.</w:t>
      </w:r>
      <w:r>
        <w:rPr>
          <w:lang w:val="en-US"/>
        </w:rPr>
        <w:tab/>
        <w:t xml:space="preserve">Pursuant to article 6 </w:t>
      </w:r>
      <w:r w:rsidR="00375AC5">
        <w:rPr>
          <w:lang w:val="en-US"/>
        </w:rPr>
        <w:t xml:space="preserve">of the International Covenant on Civil and Political Rights </w:t>
      </w:r>
      <w:r>
        <w:rPr>
          <w:lang w:val="en-US"/>
        </w:rPr>
        <w:t>and article 37</w:t>
      </w:r>
      <w:r w:rsidR="00375AC5">
        <w:rPr>
          <w:lang w:val="en-US"/>
        </w:rPr>
        <w:t xml:space="preserve"> </w:t>
      </w:r>
      <w:r>
        <w:rPr>
          <w:lang w:val="en-US"/>
        </w:rPr>
        <w:t>(a) of the Convention on the Rights of the Child</w:t>
      </w:r>
      <w:r w:rsidR="00375AC5">
        <w:rPr>
          <w:lang w:val="en-US"/>
        </w:rPr>
        <w:t>,</w:t>
      </w:r>
      <w:r>
        <w:rPr>
          <w:lang w:val="en-US"/>
        </w:rPr>
        <w:t xml:space="preserve"> capital punishment cannot be imposed for offences committed by persons under 18. Nevertheless, capital punishment for offences committed by children reportedly remains lawful in some countries</w:t>
      </w:r>
      <w:r w:rsidR="00375AC5">
        <w:rPr>
          <w:lang w:val="en-US"/>
        </w:rPr>
        <w:t>,</w:t>
      </w:r>
      <w:r>
        <w:rPr>
          <w:lang w:val="en-US"/>
        </w:rPr>
        <w:t xml:space="preserve"> and during the reporting period juvenile offenders were reportedly believed to be on death row in Bangladesh</w:t>
      </w:r>
      <w:r w:rsidR="00616AA7">
        <w:rPr>
          <w:lang w:val="en-US"/>
        </w:rPr>
        <w:t>,</w:t>
      </w:r>
      <w:r w:rsidRPr="00E1363B">
        <w:rPr>
          <w:rStyle w:val="FootnoteReference"/>
        </w:rPr>
        <w:footnoteReference w:id="140"/>
      </w:r>
      <w:r>
        <w:rPr>
          <w:lang w:val="en-US"/>
        </w:rPr>
        <w:t xml:space="preserve"> </w:t>
      </w:r>
      <w:r w:rsidR="00375AC5">
        <w:rPr>
          <w:lang w:val="en-US"/>
        </w:rPr>
        <w:t xml:space="preserve">the Islamic Republic of </w:t>
      </w:r>
      <w:r>
        <w:rPr>
          <w:lang w:val="en-US"/>
        </w:rPr>
        <w:t>Iran</w:t>
      </w:r>
      <w:r w:rsidR="00375AC5">
        <w:rPr>
          <w:lang w:val="en-US"/>
        </w:rPr>
        <w:t>,</w:t>
      </w:r>
      <w:r w:rsidRPr="00E1363B">
        <w:rPr>
          <w:rStyle w:val="FootnoteReference"/>
        </w:rPr>
        <w:footnoteReference w:id="141"/>
      </w:r>
      <w:r>
        <w:rPr>
          <w:lang w:val="en-US"/>
        </w:rPr>
        <w:t xml:space="preserve"> Maldives</w:t>
      </w:r>
      <w:r w:rsidR="00375AC5">
        <w:rPr>
          <w:lang w:val="en-US"/>
        </w:rPr>
        <w:t>,</w:t>
      </w:r>
      <w:r w:rsidRPr="00E1363B">
        <w:rPr>
          <w:rStyle w:val="FootnoteReference"/>
        </w:rPr>
        <w:footnoteReference w:id="142"/>
      </w:r>
      <w:r>
        <w:rPr>
          <w:lang w:val="en-US"/>
        </w:rPr>
        <w:t xml:space="preserve"> Pakistan</w:t>
      </w:r>
      <w:r w:rsidRPr="00E1363B">
        <w:rPr>
          <w:rStyle w:val="FootnoteReference"/>
        </w:rPr>
        <w:footnoteReference w:id="143"/>
      </w:r>
      <w:r>
        <w:rPr>
          <w:lang w:val="en-US"/>
        </w:rPr>
        <w:t xml:space="preserve"> and Saudi Arabia</w:t>
      </w:r>
      <w:r w:rsidR="00375AC5">
        <w:rPr>
          <w:lang w:val="en-US"/>
        </w:rPr>
        <w:t>.</w:t>
      </w:r>
      <w:r w:rsidRPr="00E1363B">
        <w:rPr>
          <w:rStyle w:val="FootnoteReference"/>
        </w:rPr>
        <w:footnoteReference w:id="144"/>
      </w:r>
      <w:r>
        <w:rPr>
          <w:lang w:val="en-US"/>
        </w:rPr>
        <w:t xml:space="preserve"> In March 2017, Kuwait formally abolished the death penalty for all offenders under the age of 18</w:t>
      </w:r>
      <w:r w:rsidR="00375AC5">
        <w:rPr>
          <w:lang w:val="en-US"/>
        </w:rPr>
        <w:t>.</w:t>
      </w:r>
      <w:r w:rsidRPr="00E1363B">
        <w:rPr>
          <w:rStyle w:val="FootnoteReference"/>
        </w:rPr>
        <w:footnoteReference w:id="145"/>
      </w:r>
      <w:r w:rsidR="00375AC5">
        <w:rPr>
          <w:lang w:val="en-US"/>
        </w:rPr>
        <w:t xml:space="preserve"> </w:t>
      </w:r>
    </w:p>
    <w:p w14:paraId="298B6C7D" w14:textId="757DE9AC" w:rsidR="001C04A0" w:rsidRDefault="001C04A0" w:rsidP="005F0462">
      <w:pPr>
        <w:pStyle w:val="SingleTxtG"/>
        <w:rPr>
          <w:lang w:val="en-US"/>
        </w:rPr>
      </w:pPr>
      <w:r>
        <w:rPr>
          <w:lang w:val="en-US"/>
        </w:rPr>
        <w:t>40.</w:t>
      </w:r>
      <w:r>
        <w:rPr>
          <w:lang w:val="en-US"/>
        </w:rPr>
        <w:tab/>
        <w:t>The Special Rapporteur on the situation of human rights in the Islamic Republic of Iran reported that five juvenile offenders were executed</w:t>
      </w:r>
      <w:r w:rsidR="00375AC5">
        <w:rPr>
          <w:lang w:val="en-US"/>
        </w:rPr>
        <w:t xml:space="preserve"> in 2017.</w:t>
      </w:r>
      <w:r w:rsidRPr="00E1363B">
        <w:rPr>
          <w:rStyle w:val="FootnoteReference"/>
        </w:rPr>
        <w:footnoteReference w:id="146"/>
      </w:r>
      <w:r>
        <w:rPr>
          <w:lang w:val="en-US"/>
        </w:rPr>
        <w:t xml:space="preserve">. During the reporting period, the High Commissioner and </w:t>
      </w:r>
      <w:r w:rsidR="00586D47">
        <w:rPr>
          <w:lang w:val="en-US"/>
        </w:rPr>
        <w:t>s</w:t>
      </w:r>
      <w:r>
        <w:rPr>
          <w:lang w:val="en-US"/>
        </w:rPr>
        <w:t xml:space="preserve">pecial procedure mandate holders called on </w:t>
      </w:r>
      <w:r w:rsidR="00586D47">
        <w:rPr>
          <w:lang w:val="en-US"/>
        </w:rPr>
        <w:t xml:space="preserve">the Islamic Republic of </w:t>
      </w:r>
      <w:r>
        <w:rPr>
          <w:lang w:val="en-US"/>
        </w:rPr>
        <w:t>Iran to refrain from the execution of juvenile offenders and to undertake a special review of the cases of persons on death row for crimes committed when they were under the age of 18.</w:t>
      </w:r>
      <w:r w:rsidRPr="00E1363B">
        <w:rPr>
          <w:rStyle w:val="FootnoteReference"/>
        </w:rPr>
        <w:footnoteReference w:id="147"/>
      </w:r>
    </w:p>
    <w:p w14:paraId="64CDB85F" w14:textId="1978F2EC" w:rsidR="001C04A0" w:rsidRDefault="001C04A0" w:rsidP="005F0462">
      <w:pPr>
        <w:pStyle w:val="SingleTxtG"/>
        <w:rPr>
          <w:lang w:val="en-US"/>
        </w:rPr>
      </w:pPr>
      <w:r>
        <w:rPr>
          <w:lang w:val="en-US"/>
        </w:rPr>
        <w:t>41.</w:t>
      </w:r>
      <w:r>
        <w:rPr>
          <w:lang w:val="en-US"/>
        </w:rPr>
        <w:tab/>
        <w:t xml:space="preserve">With regard to Afghanistan, in 2016 the Committee </w:t>
      </w:r>
      <w:r w:rsidR="00586D47">
        <w:rPr>
          <w:lang w:val="en-US"/>
        </w:rPr>
        <w:t>a</w:t>
      </w:r>
      <w:r>
        <w:rPr>
          <w:lang w:val="en-US"/>
        </w:rPr>
        <w:t xml:space="preserve">gainst Torture welcomed the fact that a committee </w:t>
      </w:r>
      <w:r w:rsidR="00586D47">
        <w:rPr>
          <w:lang w:val="en-US"/>
        </w:rPr>
        <w:t xml:space="preserve">had been </w:t>
      </w:r>
      <w:r>
        <w:rPr>
          <w:lang w:val="en-US"/>
        </w:rPr>
        <w:t>established to review death penalty sentences and to discuss a plan to declare a moratorium on the death penalty</w:t>
      </w:r>
      <w:r w:rsidR="00586D47">
        <w:rPr>
          <w:lang w:val="en-US"/>
        </w:rPr>
        <w:t>.</w:t>
      </w:r>
      <w:r>
        <w:rPr>
          <w:lang w:val="en-US"/>
        </w:rPr>
        <w:t xml:space="preserve"> </w:t>
      </w:r>
      <w:r w:rsidR="00586D47">
        <w:rPr>
          <w:lang w:val="en-US"/>
        </w:rPr>
        <w:t>I</w:t>
      </w:r>
      <w:r>
        <w:rPr>
          <w:lang w:val="en-US"/>
        </w:rPr>
        <w:t xml:space="preserve">n the meantime, </w:t>
      </w:r>
      <w:r w:rsidR="00586D47">
        <w:rPr>
          <w:lang w:val="en-US"/>
        </w:rPr>
        <w:t xml:space="preserve">it </w:t>
      </w:r>
      <w:r>
        <w:rPr>
          <w:lang w:val="en-US"/>
        </w:rPr>
        <w:t>called for Afghanistan to immediately end the practice of execution of minors</w:t>
      </w:r>
      <w:r w:rsidR="00586D47">
        <w:rPr>
          <w:lang w:val="en-US"/>
        </w:rPr>
        <w:t>.</w:t>
      </w:r>
      <w:r w:rsidRPr="00E1363B">
        <w:rPr>
          <w:rStyle w:val="FootnoteReference"/>
        </w:rPr>
        <w:footnoteReference w:id="148"/>
      </w:r>
      <w:r>
        <w:rPr>
          <w:lang w:val="en-US"/>
        </w:rPr>
        <w:t xml:space="preserve"> Also in 2016, the Committee on the Rights of the Child urged Saudi Arabia to ensure that </w:t>
      </w:r>
      <w:r w:rsidR="00683F7D">
        <w:rPr>
          <w:lang w:val="en-US"/>
        </w:rPr>
        <w:t xml:space="preserve">the death sentences of </w:t>
      </w:r>
      <w:r>
        <w:rPr>
          <w:lang w:val="en-US"/>
        </w:rPr>
        <w:t xml:space="preserve">juveniles </w:t>
      </w:r>
      <w:r w:rsidR="00683F7D">
        <w:rPr>
          <w:lang w:val="en-US"/>
        </w:rPr>
        <w:t xml:space="preserve">were </w:t>
      </w:r>
      <w:r>
        <w:rPr>
          <w:lang w:val="en-US"/>
        </w:rPr>
        <w:t>commuted in line with international juvenile justice standards and to amend its legislation with a view to unambiguously prohibiting the imposition of the death sentence on children</w:t>
      </w:r>
      <w:r w:rsidR="00683F7D">
        <w:rPr>
          <w:lang w:val="en-US"/>
        </w:rPr>
        <w:t>.</w:t>
      </w:r>
      <w:r w:rsidRPr="00E1363B">
        <w:rPr>
          <w:rStyle w:val="FootnoteReference"/>
        </w:rPr>
        <w:footnoteReference w:id="149"/>
      </w:r>
      <w:r w:rsidR="00683F7D">
        <w:rPr>
          <w:lang w:val="en-US"/>
        </w:rPr>
        <w:t xml:space="preserve"> </w:t>
      </w:r>
      <w:r>
        <w:rPr>
          <w:lang w:val="en-US"/>
        </w:rPr>
        <w:t>In 2017, the Committee urged St</w:t>
      </w:r>
      <w:r w:rsidR="00683F7D">
        <w:rPr>
          <w:lang w:val="en-US"/>
        </w:rPr>
        <w:t>.</w:t>
      </w:r>
      <w:r>
        <w:rPr>
          <w:lang w:val="en-US"/>
        </w:rPr>
        <w:t xml:space="preserve"> Vincent </w:t>
      </w:r>
      <w:r w:rsidR="00683F7D">
        <w:rPr>
          <w:lang w:val="en-US"/>
        </w:rPr>
        <w:t>and</w:t>
      </w:r>
      <w:r>
        <w:rPr>
          <w:lang w:val="en-US"/>
        </w:rPr>
        <w:t xml:space="preserve"> the Grenadines to amend the Criminal Code to explicitly prohibit the sentencing of persons under 18 years of age to the death penalty</w:t>
      </w:r>
      <w:r w:rsidR="00683F7D">
        <w:rPr>
          <w:lang w:val="en-US"/>
        </w:rPr>
        <w:t>.</w:t>
      </w:r>
      <w:r w:rsidRPr="00E1363B">
        <w:rPr>
          <w:rStyle w:val="FootnoteReference"/>
        </w:rPr>
        <w:footnoteReference w:id="150"/>
      </w:r>
    </w:p>
    <w:p w14:paraId="432700DC" w14:textId="0B3A2D47" w:rsidR="001C04A0" w:rsidRDefault="001C04A0" w:rsidP="005F0462">
      <w:pPr>
        <w:pStyle w:val="SingleTxtG"/>
        <w:rPr>
          <w:lang w:val="en-US"/>
        </w:rPr>
      </w:pPr>
      <w:r>
        <w:rPr>
          <w:lang w:val="en-US"/>
        </w:rPr>
        <w:t>42.</w:t>
      </w:r>
      <w:r>
        <w:rPr>
          <w:lang w:val="en-US"/>
        </w:rPr>
        <w:tab/>
        <w:t xml:space="preserve">In its submission, Pakistan stated that the death penalty </w:t>
      </w:r>
      <w:r w:rsidR="00683F7D">
        <w:rPr>
          <w:lang w:val="en-US"/>
        </w:rPr>
        <w:t xml:space="preserve">could </w:t>
      </w:r>
      <w:r>
        <w:rPr>
          <w:lang w:val="en-US"/>
        </w:rPr>
        <w:t>not be imposed on individuals below the age of 18 and that no individual below the age of 18 ha</w:t>
      </w:r>
      <w:r w:rsidR="003C27A3">
        <w:rPr>
          <w:lang w:val="en-US"/>
        </w:rPr>
        <w:t>d</w:t>
      </w:r>
      <w:r>
        <w:rPr>
          <w:lang w:val="en-US"/>
        </w:rPr>
        <w:t xml:space="preserve"> been </w:t>
      </w:r>
      <w:r w:rsidR="003C27A3">
        <w:rPr>
          <w:lang w:val="en-US"/>
        </w:rPr>
        <w:t xml:space="preserve">sentenced to </w:t>
      </w:r>
      <w:r>
        <w:rPr>
          <w:lang w:val="en-US"/>
        </w:rPr>
        <w:t xml:space="preserve">death. Pakistan also reported that the Juvenile Justice System Bill, 2017, which </w:t>
      </w:r>
      <w:r w:rsidR="003C27A3">
        <w:rPr>
          <w:lang w:val="en-US"/>
        </w:rPr>
        <w:t xml:space="preserve">had been </w:t>
      </w:r>
      <w:r>
        <w:rPr>
          <w:lang w:val="en-US"/>
        </w:rPr>
        <w:t>passed by the National Assembly and referred to the Senate, “allows for self-determination of age, shifting the onus to prove otherwise on the prosecution”</w:t>
      </w:r>
      <w:r w:rsidR="003C27A3">
        <w:rPr>
          <w:lang w:val="en-US"/>
        </w:rPr>
        <w:t>.</w:t>
      </w:r>
      <w:r w:rsidRPr="00E1363B">
        <w:rPr>
          <w:rStyle w:val="FootnoteReference"/>
        </w:rPr>
        <w:footnoteReference w:id="151"/>
      </w:r>
      <w:r>
        <w:rPr>
          <w:lang w:val="en-US"/>
        </w:rPr>
        <w:t xml:space="preserve"> Also in 2017, the Human Rights Committee and the Committee on the Rights of the Child recommended that Pakistan should, as a matter of priority, take all measures necessary to ensure that those charged with a capital offence </w:t>
      </w:r>
      <w:r w:rsidR="003C27A3">
        <w:rPr>
          <w:lang w:val="en-US"/>
        </w:rPr>
        <w:t xml:space="preserve">had </w:t>
      </w:r>
      <w:r>
        <w:rPr>
          <w:lang w:val="en-US"/>
        </w:rPr>
        <w:t>access to an effective and independent age determination process in order to ensure that</w:t>
      </w:r>
      <w:r w:rsidR="008A795E">
        <w:rPr>
          <w:lang w:val="en-US"/>
        </w:rPr>
        <w:t>,</w:t>
      </w:r>
      <w:r>
        <w:rPr>
          <w:lang w:val="en-US"/>
        </w:rPr>
        <w:t xml:space="preserve"> in cases where there </w:t>
      </w:r>
      <w:r w:rsidR="00C64036">
        <w:rPr>
          <w:lang w:val="en-US"/>
        </w:rPr>
        <w:t xml:space="preserve">was </w:t>
      </w:r>
      <w:r>
        <w:rPr>
          <w:lang w:val="en-US"/>
        </w:rPr>
        <w:t>no proof of age</w:t>
      </w:r>
      <w:r w:rsidR="00E61CD3" w:rsidRPr="00E61CD3">
        <w:rPr>
          <w:lang w:val="en-US"/>
        </w:rPr>
        <w:t xml:space="preserve">, </w:t>
      </w:r>
      <w:r w:rsidR="00E61CD3" w:rsidRPr="00AE022A">
        <w:rPr>
          <w:lang w:val="en-US"/>
        </w:rPr>
        <w:t>the child is entitled to a proper investigation to establish his or her age and, in the case of conflicting or inconclusive evidence, has the right to the rule of the benefit of the doubt</w:t>
      </w:r>
      <w:r w:rsidR="00C64036">
        <w:rPr>
          <w:lang w:val="en-US"/>
        </w:rPr>
        <w:t>.</w:t>
      </w:r>
      <w:r w:rsidRPr="00E1363B">
        <w:rPr>
          <w:rStyle w:val="FootnoteReference"/>
        </w:rPr>
        <w:footnoteReference w:id="152"/>
      </w:r>
    </w:p>
    <w:p w14:paraId="4A58C46C" w14:textId="77777777" w:rsidR="001C04A0" w:rsidRDefault="001C04A0" w:rsidP="001C04A0">
      <w:pPr>
        <w:pStyle w:val="H1G"/>
      </w:pPr>
      <w:r>
        <w:tab/>
        <w:t>B.</w:t>
      </w:r>
      <w:r>
        <w:tab/>
        <w:t>Persons with mental or intellectual disabilities</w:t>
      </w:r>
    </w:p>
    <w:p w14:paraId="4A744E88" w14:textId="240641AD" w:rsidR="001C04A0" w:rsidRDefault="001C04A0" w:rsidP="005F0462">
      <w:pPr>
        <w:pStyle w:val="SingleTxtG"/>
        <w:rPr>
          <w:lang w:val="en-US"/>
        </w:rPr>
      </w:pPr>
      <w:r>
        <w:rPr>
          <w:lang w:val="en-US"/>
        </w:rPr>
        <w:t>43.</w:t>
      </w:r>
      <w:r>
        <w:rPr>
          <w:lang w:val="en-US"/>
        </w:rPr>
        <w:tab/>
        <w:t>In accordance with international human rights law, the death penalty should not be imposed on persons with mental or intellectual disabilities</w:t>
      </w:r>
      <w:r w:rsidR="00C64036">
        <w:rPr>
          <w:lang w:val="en-US"/>
        </w:rPr>
        <w:t>.</w:t>
      </w:r>
      <w:r w:rsidRPr="00E1363B">
        <w:rPr>
          <w:rStyle w:val="FootnoteReference"/>
        </w:rPr>
        <w:footnoteReference w:id="153"/>
      </w:r>
      <w:r>
        <w:rPr>
          <w:lang w:val="en-US"/>
        </w:rPr>
        <w:t xml:space="preserve"> In March 2017, the Judicial Committee of the Privy Council accepted that the execution of a person in Trinidad and Tobago with severe mental impairment was a cruel and unusual punishment</w:t>
      </w:r>
      <w:r w:rsidR="00B61198">
        <w:rPr>
          <w:lang w:val="en-US"/>
        </w:rPr>
        <w:t>.</w:t>
      </w:r>
      <w:r w:rsidRPr="00E1363B">
        <w:rPr>
          <w:rStyle w:val="FootnoteReference"/>
        </w:rPr>
        <w:footnoteReference w:id="154"/>
      </w:r>
      <w:r>
        <w:rPr>
          <w:lang w:val="en-US"/>
        </w:rPr>
        <w:t xml:space="preserve"> It stated that, in the absence of sentencing discretion in murder cases, the presidential power of mercy was a sufficient mechanism to ensure that those with such disabilities were not subjected to the death penalty</w:t>
      </w:r>
      <w:r w:rsidR="00B61198">
        <w:rPr>
          <w:lang w:val="en-US"/>
        </w:rPr>
        <w:t>.</w:t>
      </w:r>
      <w:r w:rsidRPr="00E1363B">
        <w:rPr>
          <w:rStyle w:val="FootnoteReference"/>
        </w:rPr>
        <w:footnoteReference w:id="155"/>
      </w:r>
      <w:r>
        <w:rPr>
          <w:lang w:val="en-US"/>
        </w:rPr>
        <w:t xml:space="preserve"> In 2017, the </w:t>
      </w:r>
      <w:r w:rsidR="00B61198">
        <w:rPr>
          <w:lang w:val="en-US"/>
        </w:rPr>
        <w:t xml:space="preserve">United States </w:t>
      </w:r>
      <w:r>
        <w:rPr>
          <w:lang w:val="en-US"/>
        </w:rPr>
        <w:t>Supreme Court granted prisoners the assistance of an independent mental health expert</w:t>
      </w:r>
      <w:r w:rsidRPr="00E1363B">
        <w:rPr>
          <w:rStyle w:val="FootnoteReference"/>
        </w:rPr>
        <w:footnoteReference w:id="156"/>
      </w:r>
      <w:r>
        <w:rPr>
          <w:lang w:val="en-US"/>
        </w:rPr>
        <w:t xml:space="preserve"> and declared the practice in Texas of evaluating intellectual disability unconstitutional</w:t>
      </w:r>
      <w:r w:rsidR="00B61198">
        <w:rPr>
          <w:lang w:val="en-US"/>
        </w:rPr>
        <w:t>.</w:t>
      </w:r>
      <w:r w:rsidRPr="00E1363B">
        <w:rPr>
          <w:rStyle w:val="FootnoteReference"/>
        </w:rPr>
        <w:footnoteReference w:id="157"/>
      </w:r>
      <w:r>
        <w:rPr>
          <w:lang w:val="en-US"/>
        </w:rPr>
        <w:t xml:space="preserve"> In June 2018, the Kentucky Supreme Court deemed unconstitutional the State’s use of a strict IQ cut-off as a prerequisite to finding a defendant intellectually disabled</w:t>
      </w:r>
      <w:r w:rsidR="00B61198">
        <w:rPr>
          <w:lang w:val="en-US"/>
        </w:rPr>
        <w:t>.</w:t>
      </w:r>
      <w:r w:rsidRPr="00E1363B">
        <w:rPr>
          <w:rStyle w:val="FootnoteReference"/>
        </w:rPr>
        <w:footnoteReference w:id="158"/>
      </w:r>
    </w:p>
    <w:p w14:paraId="6AF59570" w14:textId="4C22001B" w:rsidR="001C04A0" w:rsidRDefault="001C04A0" w:rsidP="005F0462">
      <w:pPr>
        <w:pStyle w:val="SingleTxtG"/>
        <w:rPr>
          <w:lang w:val="en-US"/>
        </w:rPr>
      </w:pPr>
      <w:r>
        <w:rPr>
          <w:lang w:val="en-US"/>
        </w:rPr>
        <w:t>44.</w:t>
      </w:r>
      <w:r>
        <w:rPr>
          <w:lang w:val="en-US"/>
        </w:rPr>
        <w:tab/>
      </w:r>
      <w:r w:rsidRPr="00292DA5">
        <w:rPr>
          <w:lang w:val="en-US"/>
        </w:rPr>
        <w:t xml:space="preserve">Nevertheless, persons with </w:t>
      </w:r>
      <w:r w:rsidRPr="001B1160">
        <w:rPr>
          <w:lang w:val="en-US"/>
        </w:rPr>
        <w:t>mental or intellectual disabilities</w:t>
      </w:r>
      <w:r w:rsidRPr="00EE04F9">
        <w:rPr>
          <w:w w:val="103"/>
        </w:rPr>
        <w:t xml:space="preserve"> </w:t>
      </w:r>
      <w:r w:rsidRPr="00EE04F9">
        <w:rPr>
          <w:lang w:val="en-US"/>
        </w:rPr>
        <w:t>reportedly were under sentence of death</w:t>
      </w:r>
      <w:r w:rsidR="000E4204">
        <w:rPr>
          <w:lang w:val="en-US"/>
        </w:rPr>
        <w:t>,</w:t>
      </w:r>
      <w:r w:rsidRPr="00B37211">
        <w:rPr>
          <w:lang w:val="en-US"/>
        </w:rPr>
        <w:t xml:space="preserve"> including in</w:t>
      </w:r>
      <w:r w:rsidRPr="003552C9">
        <w:rPr>
          <w:lang w:val="en-US"/>
        </w:rPr>
        <w:t xml:space="preserve"> Ghana, </w:t>
      </w:r>
      <w:r w:rsidR="000E4204">
        <w:rPr>
          <w:lang w:val="en-US"/>
        </w:rPr>
        <w:t xml:space="preserve">the Islamic Republic of </w:t>
      </w:r>
      <w:r w:rsidRPr="003552C9">
        <w:rPr>
          <w:lang w:val="en-US"/>
        </w:rPr>
        <w:t xml:space="preserve">Iran, </w:t>
      </w:r>
      <w:r w:rsidRPr="00E10E6D">
        <w:rPr>
          <w:lang w:val="en-US"/>
        </w:rPr>
        <w:t>Japan, Maldives,</w:t>
      </w:r>
      <w:r w:rsidRPr="00292DA5">
        <w:rPr>
          <w:lang w:val="en-US"/>
        </w:rPr>
        <w:t xml:space="preserve"> Pakistan, Singapore and the </w:t>
      </w:r>
      <w:r w:rsidR="000E4204">
        <w:rPr>
          <w:lang w:val="en-US"/>
        </w:rPr>
        <w:t>United States.</w:t>
      </w:r>
      <w:r w:rsidRPr="00E1363B">
        <w:rPr>
          <w:rStyle w:val="FootnoteReference"/>
        </w:rPr>
        <w:footnoteReference w:id="159"/>
      </w:r>
      <w:r w:rsidRPr="00292DA5">
        <w:rPr>
          <w:lang w:val="en-US"/>
        </w:rPr>
        <w:t xml:space="preserve"> </w:t>
      </w:r>
      <w:r>
        <w:rPr>
          <w:lang w:val="en-US"/>
        </w:rPr>
        <w:t>During the reporting period, the Human Rights Committee stated that Pakistan should take all measures necessary to ensure that no</w:t>
      </w:r>
      <w:r w:rsidR="000E4204">
        <w:rPr>
          <w:lang w:val="en-US"/>
        </w:rPr>
        <w:t xml:space="preserve"> </w:t>
      </w:r>
      <w:r>
        <w:rPr>
          <w:lang w:val="en-US"/>
        </w:rPr>
        <w:t xml:space="preserve">one with serious psychosocial or intellectual disabilities </w:t>
      </w:r>
      <w:r w:rsidR="000E4204">
        <w:rPr>
          <w:lang w:val="en-US"/>
        </w:rPr>
        <w:t xml:space="preserve">was </w:t>
      </w:r>
      <w:r>
        <w:rPr>
          <w:lang w:val="en-US"/>
        </w:rPr>
        <w:t xml:space="preserve">executed or sentenced to death, including by establishing an independent mechanism to review all cases where there </w:t>
      </w:r>
      <w:r w:rsidR="000E4204">
        <w:rPr>
          <w:lang w:val="en-US"/>
        </w:rPr>
        <w:t xml:space="preserve">was </w:t>
      </w:r>
      <w:r>
        <w:rPr>
          <w:lang w:val="en-US"/>
        </w:rPr>
        <w:t xml:space="preserve">credible evidence that prisoners facing the death penalty </w:t>
      </w:r>
      <w:r w:rsidR="000E4204">
        <w:rPr>
          <w:lang w:val="en-US"/>
        </w:rPr>
        <w:t xml:space="preserve">had </w:t>
      </w:r>
      <w:r>
        <w:rPr>
          <w:lang w:val="en-US"/>
        </w:rPr>
        <w:t>such disabilities</w:t>
      </w:r>
      <w:r w:rsidR="000E4204">
        <w:rPr>
          <w:lang w:val="en-US"/>
        </w:rPr>
        <w:t>.</w:t>
      </w:r>
      <w:r w:rsidRPr="00E1363B">
        <w:rPr>
          <w:rStyle w:val="FootnoteReference"/>
        </w:rPr>
        <w:footnoteReference w:id="160"/>
      </w:r>
      <w:r>
        <w:rPr>
          <w:lang w:val="en-US"/>
        </w:rPr>
        <w:t xml:space="preserve"> In 2016, </w:t>
      </w:r>
      <w:r w:rsidR="000E4204">
        <w:rPr>
          <w:lang w:val="en-US"/>
        </w:rPr>
        <w:t>s</w:t>
      </w:r>
      <w:r>
        <w:rPr>
          <w:lang w:val="en-US"/>
        </w:rPr>
        <w:t>pecial procedure mandate holders recalled that persons with mental disabilities frequently face</w:t>
      </w:r>
      <w:r w:rsidR="000E4204">
        <w:rPr>
          <w:lang w:val="en-US"/>
        </w:rPr>
        <w:t>d</w:t>
      </w:r>
      <w:r>
        <w:rPr>
          <w:lang w:val="en-US"/>
        </w:rPr>
        <w:t xml:space="preserve"> the risk of being sentenced to death and executed in breach of international standards, and that “States must do their utmost to address this risk, including by providing accommodation during all phases of legal proceedings, and by granting adequate protection from any form of discrimination against them because of their mental health condition”</w:t>
      </w:r>
      <w:r w:rsidR="00993D9E">
        <w:rPr>
          <w:lang w:val="en-US"/>
        </w:rPr>
        <w:t>.</w:t>
      </w:r>
      <w:r w:rsidRPr="00E1363B">
        <w:rPr>
          <w:rStyle w:val="FootnoteReference"/>
        </w:rPr>
        <w:footnoteReference w:id="161"/>
      </w:r>
      <w:r>
        <w:rPr>
          <w:lang w:val="en-US"/>
        </w:rPr>
        <w:t xml:space="preserve"> In July 2017, </w:t>
      </w:r>
      <w:r w:rsidR="00993D9E">
        <w:rPr>
          <w:lang w:val="en-US"/>
        </w:rPr>
        <w:t>s</w:t>
      </w:r>
      <w:r>
        <w:rPr>
          <w:lang w:val="en-US"/>
        </w:rPr>
        <w:t xml:space="preserve">pecial procedure mandate holders issued an urgent appeal for the State of Virginia </w:t>
      </w:r>
      <w:r w:rsidR="00993D9E">
        <w:rPr>
          <w:lang w:val="en-US"/>
        </w:rPr>
        <w:t xml:space="preserve">in the United States </w:t>
      </w:r>
      <w:r>
        <w:rPr>
          <w:lang w:val="en-US"/>
        </w:rPr>
        <w:t>to halt the planned execution of a man with psychosocial disability</w:t>
      </w:r>
      <w:r w:rsidR="00993D9E">
        <w:rPr>
          <w:lang w:val="en-US"/>
        </w:rPr>
        <w:t>.</w:t>
      </w:r>
      <w:r w:rsidRPr="00E1363B">
        <w:rPr>
          <w:rStyle w:val="FootnoteReference"/>
        </w:rPr>
        <w:footnoteReference w:id="162"/>
      </w:r>
    </w:p>
    <w:p w14:paraId="6A72E850" w14:textId="508F9416" w:rsidR="001C04A0" w:rsidRDefault="001C04A0" w:rsidP="005F0462">
      <w:pPr>
        <w:pStyle w:val="SingleTxtG"/>
        <w:rPr>
          <w:lang w:val="en-US"/>
        </w:rPr>
      </w:pPr>
      <w:r>
        <w:rPr>
          <w:lang w:val="en-US"/>
        </w:rPr>
        <w:t>45.</w:t>
      </w:r>
      <w:r>
        <w:rPr>
          <w:lang w:val="en-US"/>
        </w:rPr>
        <w:tab/>
        <w:t xml:space="preserve">In May 2017, the Committee on the Rights of Persons with Disabilities was concerned that in </w:t>
      </w:r>
      <w:r w:rsidR="00993D9E">
        <w:rPr>
          <w:lang w:val="en-US"/>
        </w:rPr>
        <w:t xml:space="preserve">the Islamic Republic of </w:t>
      </w:r>
      <w:r>
        <w:rPr>
          <w:lang w:val="en-US"/>
        </w:rPr>
        <w:t>Iran persons with disabilities, particularly persons with psychosocial or intellectual disabilities</w:t>
      </w:r>
      <w:r w:rsidR="00B85AC1">
        <w:rPr>
          <w:lang w:val="en-US"/>
        </w:rPr>
        <w:t>,</w:t>
      </w:r>
      <w:r>
        <w:rPr>
          <w:lang w:val="en-US"/>
        </w:rPr>
        <w:t xml:space="preserve"> </w:t>
      </w:r>
      <w:r w:rsidR="00B85AC1">
        <w:rPr>
          <w:lang w:val="en-US"/>
        </w:rPr>
        <w:t>could face</w:t>
      </w:r>
      <w:r>
        <w:rPr>
          <w:lang w:val="en-US"/>
        </w:rPr>
        <w:t xml:space="preserve"> a greater risk of </w:t>
      </w:r>
      <w:r w:rsidR="00B85AC1">
        <w:rPr>
          <w:lang w:val="en-US"/>
        </w:rPr>
        <w:t xml:space="preserve">the </w:t>
      </w:r>
      <w:r>
        <w:rPr>
          <w:lang w:val="en-US"/>
        </w:rPr>
        <w:t>death penalty due to lack of procedural accommodations in criminal proceedings</w:t>
      </w:r>
      <w:r w:rsidR="00B85AC1">
        <w:rPr>
          <w:lang w:val="en-US"/>
        </w:rPr>
        <w:t>.</w:t>
      </w:r>
      <w:r w:rsidRPr="00E1363B">
        <w:rPr>
          <w:rStyle w:val="FootnoteReference"/>
        </w:rPr>
        <w:footnoteReference w:id="163"/>
      </w:r>
    </w:p>
    <w:p w14:paraId="5547445D" w14:textId="77777777" w:rsidR="001C04A0" w:rsidRDefault="001C04A0" w:rsidP="001C04A0">
      <w:pPr>
        <w:pStyle w:val="HChG"/>
      </w:pPr>
      <w:r>
        <w:tab/>
        <w:t>VI.</w:t>
      </w:r>
      <w:r>
        <w:tab/>
        <w:t>Human rights of children of parents sentenced to the death penalty or executed</w:t>
      </w:r>
    </w:p>
    <w:p w14:paraId="2A1694EE" w14:textId="5E47AF20" w:rsidR="001C04A0" w:rsidRDefault="001C04A0" w:rsidP="005F0462">
      <w:pPr>
        <w:pStyle w:val="SingleTxtG"/>
        <w:rPr>
          <w:lang w:val="en-US"/>
        </w:rPr>
      </w:pPr>
      <w:r>
        <w:rPr>
          <w:lang w:val="en-US"/>
        </w:rPr>
        <w:t>46.</w:t>
      </w:r>
      <w:r>
        <w:rPr>
          <w:lang w:val="en-US"/>
        </w:rPr>
        <w:tab/>
        <w:t xml:space="preserve">Pursuant to </w:t>
      </w:r>
      <w:r w:rsidR="00B85AC1">
        <w:rPr>
          <w:lang w:val="en-US"/>
        </w:rPr>
        <w:t xml:space="preserve">Human Rights </w:t>
      </w:r>
      <w:r>
        <w:rPr>
          <w:lang w:val="en-US"/>
        </w:rPr>
        <w:t xml:space="preserve">Council resolution 22/11, </w:t>
      </w:r>
      <w:r w:rsidR="00B85AC1">
        <w:rPr>
          <w:lang w:val="en-US"/>
        </w:rPr>
        <w:t xml:space="preserve">the present </w:t>
      </w:r>
      <w:r>
        <w:rPr>
          <w:lang w:val="en-US"/>
        </w:rPr>
        <w:t xml:space="preserve">report includes information on the human rights of children of parents sentenced to the death penalty or executed. In its resolution 30/5 on the question of the death penalty, the </w:t>
      </w:r>
      <w:r w:rsidR="00D97EAB">
        <w:rPr>
          <w:lang w:val="en-US"/>
        </w:rPr>
        <w:t>Council</w:t>
      </w:r>
      <w:r>
        <w:rPr>
          <w:lang w:val="en-US"/>
        </w:rPr>
        <w:t xml:space="preserve"> acknowledged the rights of children of parents sentenced to death or executed. It called upon States to ensure that children whose parents or parental caregivers </w:t>
      </w:r>
      <w:r w:rsidR="0069543E">
        <w:rPr>
          <w:lang w:val="en-US"/>
        </w:rPr>
        <w:t>were</w:t>
      </w:r>
      <w:r w:rsidR="00246090">
        <w:rPr>
          <w:lang w:val="en-US"/>
        </w:rPr>
        <w:t xml:space="preserve"> </w:t>
      </w:r>
      <w:r>
        <w:rPr>
          <w:lang w:val="en-US"/>
        </w:rPr>
        <w:t xml:space="preserve">on death row, the inmates themselves, their families and their legal representatives </w:t>
      </w:r>
      <w:r w:rsidR="0069543E">
        <w:rPr>
          <w:lang w:val="en-US"/>
        </w:rPr>
        <w:t>were</w:t>
      </w:r>
      <w:r w:rsidR="00246090">
        <w:rPr>
          <w:lang w:val="en-US"/>
        </w:rPr>
        <w:t xml:space="preserve"> </w:t>
      </w:r>
      <w:r>
        <w:rPr>
          <w:lang w:val="en-US"/>
        </w:rPr>
        <w:t xml:space="preserve">provided, in advance, with adequate information about a pending execution, its date, time and location, </w:t>
      </w:r>
      <w:r w:rsidR="009B3DE0">
        <w:rPr>
          <w:lang w:val="en-US"/>
        </w:rPr>
        <w:t xml:space="preserve">and </w:t>
      </w:r>
      <w:r>
        <w:rPr>
          <w:lang w:val="en-US"/>
        </w:rPr>
        <w:t>to allow a last visit or communication with the convicted person</w:t>
      </w:r>
      <w:r w:rsidR="009B3DE0">
        <w:rPr>
          <w:lang w:val="en-US"/>
        </w:rPr>
        <w:t xml:space="preserve"> and the</w:t>
      </w:r>
      <w:r w:rsidR="00503A52">
        <w:rPr>
          <w:lang w:val="en-US"/>
        </w:rPr>
        <w:t xml:space="preserve"> </w:t>
      </w:r>
      <w:r>
        <w:rPr>
          <w:lang w:val="en-US"/>
        </w:rPr>
        <w:t xml:space="preserve">return </w:t>
      </w:r>
      <w:r w:rsidR="009B3DE0">
        <w:rPr>
          <w:lang w:val="en-US"/>
        </w:rPr>
        <w:t xml:space="preserve">of </w:t>
      </w:r>
      <w:r>
        <w:rPr>
          <w:lang w:val="en-US"/>
        </w:rPr>
        <w:t xml:space="preserve">the body to the family for burial or to inform </w:t>
      </w:r>
      <w:r w:rsidR="00503A52">
        <w:rPr>
          <w:lang w:val="en-US"/>
        </w:rPr>
        <w:t xml:space="preserve">them </w:t>
      </w:r>
      <w:r w:rsidR="00F54D9B">
        <w:rPr>
          <w:lang w:val="en-US"/>
        </w:rPr>
        <w:t>o</w:t>
      </w:r>
      <w:r w:rsidR="00503A52">
        <w:rPr>
          <w:lang w:val="en-US"/>
        </w:rPr>
        <w:t>f</w:t>
      </w:r>
      <w:r w:rsidR="00F54D9B">
        <w:rPr>
          <w:lang w:val="en-US"/>
        </w:rPr>
        <w:t xml:space="preserve"> </w:t>
      </w:r>
      <w:r>
        <w:rPr>
          <w:lang w:val="en-US"/>
        </w:rPr>
        <w:t xml:space="preserve">where the body </w:t>
      </w:r>
      <w:r w:rsidR="00503A52">
        <w:rPr>
          <w:lang w:val="en-US"/>
        </w:rPr>
        <w:t xml:space="preserve">was </w:t>
      </w:r>
      <w:r>
        <w:rPr>
          <w:lang w:val="en-US"/>
        </w:rPr>
        <w:t>located, unless that was not in the best interests of the child.</w:t>
      </w:r>
    </w:p>
    <w:p w14:paraId="3F5C2C94" w14:textId="12DA4C7B" w:rsidR="001C04A0" w:rsidRDefault="001C04A0" w:rsidP="005F0462">
      <w:pPr>
        <w:pStyle w:val="SingleTxtG"/>
        <w:rPr>
          <w:lang w:val="en-US"/>
        </w:rPr>
      </w:pPr>
      <w:r>
        <w:rPr>
          <w:lang w:val="en-US"/>
        </w:rPr>
        <w:t>47.</w:t>
      </w:r>
      <w:r>
        <w:rPr>
          <w:lang w:val="en-US"/>
        </w:rPr>
        <w:tab/>
        <w:t xml:space="preserve">In the context of a recent </w:t>
      </w:r>
      <w:r w:rsidR="001753D0">
        <w:rPr>
          <w:lang w:val="en-US"/>
        </w:rPr>
        <w:t>study by the Organization for Security and Cooperation in Europe,</w:t>
      </w:r>
      <w:r>
        <w:rPr>
          <w:lang w:val="en-US"/>
        </w:rPr>
        <w:t xml:space="preserve"> the Special Representative of the Secretary-General on Violence </w:t>
      </w:r>
      <w:r w:rsidR="007E13A1">
        <w:rPr>
          <w:lang w:val="en-US"/>
        </w:rPr>
        <w:t>a</w:t>
      </w:r>
      <w:r>
        <w:rPr>
          <w:lang w:val="en-US"/>
        </w:rPr>
        <w:t xml:space="preserve">gainst Children stated that while more research </w:t>
      </w:r>
      <w:r w:rsidR="007E13A1">
        <w:rPr>
          <w:lang w:val="en-US"/>
        </w:rPr>
        <w:t xml:space="preserve">was </w:t>
      </w:r>
      <w:r>
        <w:rPr>
          <w:lang w:val="en-US"/>
        </w:rPr>
        <w:t xml:space="preserve">urgently needed on </w:t>
      </w:r>
      <w:r w:rsidR="007E13A1">
        <w:rPr>
          <w:lang w:val="en-US"/>
        </w:rPr>
        <w:t xml:space="preserve">the </w:t>
      </w:r>
      <w:r>
        <w:rPr>
          <w:lang w:val="en-US"/>
        </w:rPr>
        <w:t xml:space="preserve">issue, the evidence available </w:t>
      </w:r>
      <w:r w:rsidR="007E13A1">
        <w:rPr>
          <w:lang w:val="en-US"/>
        </w:rPr>
        <w:t xml:space="preserve">was </w:t>
      </w:r>
      <w:r>
        <w:rPr>
          <w:lang w:val="en-US"/>
        </w:rPr>
        <w:t xml:space="preserve">sufficiently sound and convincing to recognize the urgency of ensuring a protective environment for </w:t>
      </w:r>
      <w:r w:rsidR="007E13A1">
        <w:rPr>
          <w:lang w:val="en-US"/>
        </w:rPr>
        <w:t xml:space="preserve">such </w:t>
      </w:r>
      <w:r>
        <w:rPr>
          <w:lang w:val="en-US"/>
        </w:rPr>
        <w:t>children</w:t>
      </w:r>
      <w:r w:rsidR="007E13A1">
        <w:rPr>
          <w:lang w:val="en-US"/>
        </w:rPr>
        <w:t>.</w:t>
      </w:r>
      <w:r w:rsidRPr="00E1363B">
        <w:rPr>
          <w:rStyle w:val="FootnoteReference"/>
        </w:rPr>
        <w:footnoteReference w:id="164"/>
      </w:r>
      <w:r>
        <w:rPr>
          <w:lang w:val="en-US"/>
        </w:rPr>
        <w:t xml:space="preserve"> States should therefore take appropriate steps in </w:t>
      </w:r>
      <w:r w:rsidR="007E13A1">
        <w:rPr>
          <w:lang w:val="en-US"/>
        </w:rPr>
        <w:t xml:space="preserve">that </w:t>
      </w:r>
      <w:r>
        <w:rPr>
          <w:lang w:val="en-US"/>
        </w:rPr>
        <w:t>regard so as to prevent discrimination against children and provide them with the services and the recovery and reintegration measures they urgently require</w:t>
      </w:r>
      <w:r w:rsidR="00504BAC">
        <w:rPr>
          <w:lang w:val="en-US"/>
        </w:rPr>
        <w:t>d</w:t>
      </w:r>
      <w:r>
        <w:rPr>
          <w:lang w:val="en-US"/>
        </w:rPr>
        <w:t>.</w:t>
      </w:r>
      <w:r w:rsidRPr="00E1363B">
        <w:rPr>
          <w:rStyle w:val="FootnoteReference"/>
        </w:rPr>
        <w:footnoteReference w:id="165"/>
      </w:r>
      <w:r>
        <w:rPr>
          <w:lang w:val="en-US"/>
        </w:rPr>
        <w:t xml:space="preserve"> </w:t>
      </w:r>
    </w:p>
    <w:p w14:paraId="4E26F37F" w14:textId="2635A12B" w:rsidR="001C04A0" w:rsidRDefault="001C04A0" w:rsidP="001C04A0">
      <w:pPr>
        <w:pStyle w:val="HChG"/>
      </w:pPr>
      <w:r>
        <w:tab/>
        <w:t>VII.</w:t>
      </w:r>
      <w:r>
        <w:tab/>
        <w:t>Conclusions</w:t>
      </w:r>
      <w:r w:rsidR="00B64706">
        <w:t xml:space="preserve"> and recommendations</w:t>
      </w:r>
    </w:p>
    <w:p w14:paraId="47581EC9" w14:textId="0260D276" w:rsidR="001C04A0" w:rsidRPr="00AE022A" w:rsidRDefault="001C04A0" w:rsidP="001C04A0">
      <w:pPr>
        <w:pStyle w:val="SingleTxtG"/>
        <w:rPr>
          <w:rFonts w:ascii="Times New Roman Bold" w:eastAsia="Times New Roman Bold" w:hAnsi="Times New Roman Bold" w:cs="Times New Roman Bold"/>
          <w:b/>
        </w:rPr>
      </w:pPr>
      <w:r>
        <w:rPr>
          <w:rFonts w:eastAsia="Arial Unicode MS" w:hAnsi="Arial Unicode MS" w:cs="Arial Unicode MS"/>
        </w:rPr>
        <w:t>48.</w:t>
      </w:r>
      <w:r>
        <w:rPr>
          <w:rFonts w:ascii="Times New Roman Bold" w:eastAsia="Times New Roman Bold" w:hAnsi="Times New Roman Bold" w:cs="Times New Roman Bold"/>
        </w:rPr>
        <w:tab/>
      </w:r>
      <w:r>
        <w:rPr>
          <w:rFonts w:ascii="Times New Roman Bold"/>
        </w:rPr>
        <w:t>T</w:t>
      </w:r>
      <w:r w:rsidRPr="00AE022A">
        <w:rPr>
          <w:rFonts w:ascii="Times New Roman Bold"/>
          <w:b/>
        </w:rPr>
        <w:t xml:space="preserve">he present report demonstrates that several countries have taken steps towards the abolition of the death penalty. </w:t>
      </w:r>
      <w:r w:rsidR="00504BAC" w:rsidRPr="00AE022A">
        <w:rPr>
          <w:rFonts w:ascii="Times New Roman Bold"/>
          <w:b/>
        </w:rPr>
        <w:t>The Secr</w:t>
      </w:r>
      <w:r w:rsidR="007D5249" w:rsidRPr="00AE022A">
        <w:rPr>
          <w:rFonts w:ascii="Times New Roman Bold"/>
          <w:b/>
        </w:rPr>
        <w:t>e</w:t>
      </w:r>
      <w:r w:rsidR="00504BAC" w:rsidRPr="00AE022A">
        <w:rPr>
          <w:rFonts w:ascii="Times New Roman Bold"/>
          <w:b/>
        </w:rPr>
        <w:t xml:space="preserve">tary-General </w:t>
      </w:r>
      <w:r w:rsidRPr="00AE022A">
        <w:rPr>
          <w:rFonts w:ascii="Times New Roman Bold"/>
          <w:b/>
        </w:rPr>
        <w:t>welcome</w:t>
      </w:r>
      <w:r w:rsidR="00B867EB">
        <w:rPr>
          <w:rFonts w:ascii="Times New Roman Bold"/>
          <w:b/>
        </w:rPr>
        <w:t>s</w:t>
      </w:r>
      <w:r w:rsidRPr="00AE022A">
        <w:rPr>
          <w:rFonts w:ascii="Times New Roman Bold"/>
          <w:b/>
        </w:rPr>
        <w:t xml:space="preserve"> all measures undertaken by States towards limiting the application of</w:t>
      </w:r>
      <w:r w:rsidR="007D5249" w:rsidRPr="00AE022A">
        <w:rPr>
          <w:rFonts w:ascii="Times New Roman Bold"/>
          <w:b/>
        </w:rPr>
        <w:t>,</w:t>
      </w:r>
      <w:r w:rsidRPr="00AE022A">
        <w:rPr>
          <w:rFonts w:ascii="Times New Roman Bold"/>
          <w:b/>
        </w:rPr>
        <w:t xml:space="preserve"> or abolishing</w:t>
      </w:r>
      <w:r w:rsidR="007D5249" w:rsidRPr="00AE022A">
        <w:rPr>
          <w:rFonts w:ascii="Times New Roman Bold"/>
          <w:b/>
        </w:rPr>
        <w:t>,</w:t>
      </w:r>
      <w:r w:rsidRPr="00AE022A">
        <w:rPr>
          <w:rFonts w:ascii="Times New Roman Bold"/>
          <w:b/>
        </w:rPr>
        <w:t xml:space="preserve"> the death penalty. These </w:t>
      </w:r>
      <w:r w:rsidR="007D5249" w:rsidRPr="00AE022A">
        <w:rPr>
          <w:rFonts w:ascii="Times New Roman Bold"/>
          <w:b/>
        </w:rPr>
        <w:t xml:space="preserve">measures </w:t>
      </w:r>
      <w:r w:rsidRPr="00AE022A">
        <w:rPr>
          <w:rFonts w:ascii="Times New Roman Bold"/>
          <w:b/>
        </w:rPr>
        <w:t>constitute progress in the protection of the right to life and are important steps towards the universal abolition of the death penalty</w:t>
      </w:r>
      <w:r w:rsidR="007D5249" w:rsidRPr="00AE022A">
        <w:rPr>
          <w:rFonts w:ascii="Times New Roman Bold"/>
          <w:b/>
        </w:rPr>
        <w:t>,</w:t>
      </w:r>
      <w:r w:rsidRPr="00AE022A">
        <w:rPr>
          <w:rFonts w:ascii="Times New Roman Bold"/>
          <w:b/>
        </w:rPr>
        <w:t xml:space="preserve"> reaffirming the growing trend towards the progressive abolition of this practice. States that continue to impose and implement death sentences should </w:t>
      </w:r>
      <w:r w:rsidR="007D5249" w:rsidRPr="00AE022A">
        <w:rPr>
          <w:rFonts w:ascii="Times New Roman Bold"/>
          <w:b/>
        </w:rPr>
        <w:t xml:space="preserve">declare </w:t>
      </w:r>
      <w:r w:rsidR="00696585">
        <w:rPr>
          <w:rFonts w:ascii="Times New Roman Bold"/>
          <w:b/>
        </w:rPr>
        <w:t xml:space="preserve">and implement </w:t>
      </w:r>
      <w:r w:rsidRPr="00AE022A">
        <w:rPr>
          <w:rFonts w:ascii="Times New Roman Bold"/>
          <w:b/>
        </w:rPr>
        <w:t xml:space="preserve">a moratorium on executions with a view to abolishing the death penalty. </w:t>
      </w:r>
      <w:r w:rsidR="00015353" w:rsidRPr="00AE022A">
        <w:rPr>
          <w:rFonts w:ascii="Times New Roman Bold"/>
          <w:b/>
        </w:rPr>
        <w:t xml:space="preserve">The Secretary-General </w:t>
      </w:r>
      <w:r w:rsidRPr="00AE022A">
        <w:rPr>
          <w:rFonts w:ascii="Times New Roman Bold"/>
          <w:b/>
        </w:rPr>
        <w:t>also remain</w:t>
      </w:r>
      <w:r w:rsidR="00015353" w:rsidRPr="00AE022A">
        <w:rPr>
          <w:rFonts w:ascii="Times New Roman Bold"/>
          <w:b/>
        </w:rPr>
        <w:t>s</w:t>
      </w:r>
      <w:r w:rsidRPr="00AE022A">
        <w:rPr>
          <w:rFonts w:ascii="Times New Roman Bold"/>
          <w:b/>
        </w:rPr>
        <w:t xml:space="preserve"> opposed to the cruel and dehumanizing practice of public executions and call</w:t>
      </w:r>
      <w:r w:rsidR="00015353" w:rsidRPr="00AE022A">
        <w:rPr>
          <w:rFonts w:ascii="Times New Roman Bold"/>
          <w:b/>
        </w:rPr>
        <w:t>s</w:t>
      </w:r>
      <w:r w:rsidRPr="00AE022A">
        <w:rPr>
          <w:rFonts w:ascii="Times New Roman Bold"/>
          <w:b/>
        </w:rPr>
        <w:t xml:space="preserve"> on the few States </w:t>
      </w:r>
      <w:r w:rsidR="00015353" w:rsidRPr="00AE022A">
        <w:rPr>
          <w:rFonts w:ascii="Times New Roman Bold"/>
          <w:b/>
        </w:rPr>
        <w:t xml:space="preserve">that </w:t>
      </w:r>
      <w:r w:rsidRPr="00AE022A">
        <w:rPr>
          <w:rFonts w:ascii="Times New Roman Bold"/>
          <w:b/>
        </w:rPr>
        <w:t>maintain this practice to refrain from it.</w:t>
      </w:r>
    </w:p>
    <w:p w14:paraId="1AA1E215" w14:textId="4C62C0CA" w:rsidR="001C04A0" w:rsidRPr="00AE022A" w:rsidRDefault="001C04A0" w:rsidP="001C04A0">
      <w:pPr>
        <w:pStyle w:val="SingleTxtG"/>
        <w:rPr>
          <w:rFonts w:ascii="Times New Roman Bold" w:eastAsia="Times New Roman Bold" w:hAnsi="Times New Roman Bold" w:cs="Times New Roman Bold"/>
          <w:b/>
        </w:rPr>
      </w:pPr>
      <w:r w:rsidRPr="00AE022A">
        <w:rPr>
          <w:bCs/>
        </w:rPr>
        <w:t>49.</w:t>
      </w:r>
      <w:r w:rsidRPr="00AE022A">
        <w:rPr>
          <w:rFonts w:ascii="Times New Roman Bold" w:eastAsia="Times New Roman Bold" w:hAnsi="Times New Roman Bold" w:cs="Times New Roman Bold"/>
          <w:b/>
        </w:rPr>
        <w:tab/>
      </w:r>
      <w:r w:rsidRPr="00AE022A">
        <w:rPr>
          <w:rFonts w:ascii="Times New Roman Bold"/>
          <w:b/>
        </w:rPr>
        <w:t>States that have not yet abolished the death penalty may only impose it for the</w:t>
      </w:r>
      <w:r w:rsidR="00252E02">
        <w:rPr>
          <w:rFonts w:hAnsi="Times New Roman Bold" w:hint="eastAsia"/>
          <w:b/>
        </w:rPr>
        <w:t xml:space="preserve"> </w:t>
      </w:r>
      <w:r w:rsidR="00252E02">
        <w:rPr>
          <w:rFonts w:hAnsi="Times New Roman Bold"/>
          <w:b/>
        </w:rPr>
        <w:t>“</w:t>
      </w:r>
      <w:r w:rsidRPr="00AE022A">
        <w:rPr>
          <w:rFonts w:ascii="Times New Roman Bold"/>
          <w:b/>
        </w:rPr>
        <w:t>most serious crimes</w:t>
      </w:r>
      <w:r w:rsidR="00252E02">
        <w:rPr>
          <w:rFonts w:ascii="Times New Roman Bold"/>
          <w:b/>
        </w:rPr>
        <w:t>”</w:t>
      </w:r>
      <w:r w:rsidR="00252E02">
        <w:rPr>
          <w:rFonts w:ascii="Times New Roman Bold"/>
          <w:b/>
        </w:rPr>
        <w:t>,</w:t>
      </w:r>
      <w:r w:rsidRPr="00AE022A">
        <w:rPr>
          <w:rFonts w:ascii="Times New Roman Bold"/>
          <w:b/>
        </w:rPr>
        <w:t xml:space="preserve"> which has been consistently interpreted as meaning intentional killing. </w:t>
      </w:r>
      <w:r w:rsidR="00015353" w:rsidRPr="00AE022A">
        <w:rPr>
          <w:rFonts w:ascii="Times New Roman Bold"/>
          <w:b/>
        </w:rPr>
        <w:t xml:space="preserve">He </w:t>
      </w:r>
      <w:r w:rsidRPr="00AE022A">
        <w:rPr>
          <w:rFonts w:ascii="Times New Roman Bold"/>
          <w:b/>
        </w:rPr>
        <w:t>recall</w:t>
      </w:r>
      <w:r w:rsidR="00015353" w:rsidRPr="00AE022A">
        <w:rPr>
          <w:rFonts w:ascii="Times New Roman Bold"/>
          <w:b/>
        </w:rPr>
        <w:t>s</w:t>
      </w:r>
      <w:r w:rsidRPr="00AE022A">
        <w:rPr>
          <w:rFonts w:ascii="Times New Roman Bold"/>
          <w:b/>
        </w:rPr>
        <w:t xml:space="preserve"> that the death penalty must never be imposed as a sanction for specific forms of non-violent conduct such as apostasy, blasphemy, adultery and consensual same-sex relations. States should also refrain from using the death penalty for crimes not involving intentional killing such as drug-related offences or overly broad terrorism-related crimes.</w:t>
      </w:r>
      <w:r w:rsidR="00252E02">
        <w:rPr>
          <w:rFonts w:ascii="Times New Roman Bold"/>
          <w:b/>
        </w:rPr>
        <w:t xml:space="preserve"> </w:t>
      </w:r>
      <w:r w:rsidRPr="00AE022A">
        <w:rPr>
          <w:rFonts w:ascii="Times New Roman Bold"/>
          <w:b/>
        </w:rPr>
        <w:t xml:space="preserve">States should also ensure that persons with mental or intellectual disabilities are not sentenced to death. Laws and sentencing guidelines must be developed or amended to prohibit the imposition of the death sentence </w:t>
      </w:r>
      <w:r w:rsidR="002A7F92">
        <w:rPr>
          <w:rFonts w:ascii="Times New Roman Bold"/>
          <w:b/>
        </w:rPr>
        <w:t xml:space="preserve">on such persons </w:t>
      </w:r>
      <w:r w:rsidRPr="00AE022A">
        <w:rPr>
          <w:rFonts w:ascii="Times New Roman Bold"/>
          <w:b/>
        </w:rPr>
        <w:t>and</w:t>
      </w:r>
      <w:r w:rsidR="005F0462" w:rsidRPr="00AE022A">
        <w:rPr>
          <w:rFonts w:ascii="Times New Roman Bold"/>
          <w:b/>
        </w:rPr>
        <w:t xml:space="preserve"> </w:t>
      </w:r>
      <w:r w:rsidR="002A7F92">
        <w:rPr>
          <w:rFonts w:ascii="Times New Roman Bold"/>
          <w:b/>
        </w:rPr>
        <w:t>their</w:t>
      </w:r>
      <w:r w:rsidR="002A7F92" w:rsidRPr="00AE022A">
        <w:rPr>
          <w:rFonts w:ascii="Times New Roman Bold"/>
          <w:b/>
        </w:rPr>
        <w:t xml:space="preserve"> </w:t>
      </w:r>
      <w:r w:rsidR="005F0462" w:rsidRPr="00AE022A">
        <w:rPr>
          <w:rFonts w:ascii="Times New Roman Bold"/>
          <w:b/>
        </w:rPr>
        <w:t>execution.</w:t>
      </w:r>
    </w:p>
    <w:p w14:paraId="4F6B0A08" w14:textId="67C4946E" w:rsidR="001C04A0" w:rsidRPr="00AE022A" w:rsidRDefault="001C04A0" w:rsidP="001C04A0">
      <w:pPr>
        <w:pStyle w:val="Text"/>
        <w:spacing w:after="120"/>
        <w:ind w:left="1134" w:right="1134"/>
        <w:jc w:val="both"/>
        <w:rPr>
          <w:rFonts w:ascii="Times New Roman Bold" w:eastAsia="Times New Roman Bold" w:hAnsi="Times New Roman Bold" w:cs="Times New Roman Bold"/>
          <w:b/>
          <w:lang w:val="en-US"/>
        </w:rPr>
      </w:pPr>
      <w:r w:rsidRPr="00AE022A">
        <w:rPr>
          <w:bCs/>
          <w:lang w:val="en-US"/>
        </w:rPr>
        <w:t>50.</w:t>
      </w:r>
      <w:r w:rsidRPr="00AE022A">
        <w:rPr>
          <w:rFonts w:ascii="Times New Roman Bold" w:eastAsia="Times New Roman Bold" w:hAnsi="Times New Roman Bold" w:cs="Times New Roman Bold"/>
          <w:b/>
        </w:rPr>
        <w:tab/>
      </w:r>
      <w:r w:rsidRPr="00AE022A">
        <w:rPr>
          <w:rFonts w:ascii="Times New Roman Bold"/>
          <w:b/>
          <w:lang w:val="en-US"/>
        </w:rPr>
        <w:t xml:space="preserve">International law clearly prohibits the imposition of the death penalty on juvenile offenders. </w:t>
      </w:r>
      <w:r w:rsidR="00D93353">
        <w:rPr>
          <w:rFonts w:ascii="Times New Roman Bold"/>
          <w:b/>
          <w:lang w:val="en-US"/>
        </w:rPr>
        <w:t>The Secretary-General</w:t>
      </w:r>
      <w:r w:rsidR="00D93353" w:rsidRPr="00AE022A">
        <w:rPr>
          <w:rFonts w:ascii="Times New Roman Bold"/>
          <w:b/>
          <w:lang w:val="en-US"/>
        </w:rPr>
        <w:t xml:space="preserve"> </w:t>
      </w:r>
      <w:r w:rsidRPr="00AE022A">
        <w:rPr>
          <w:rFonts w:ascii="Times New Roman Bold"/>
          <w:b/>
          <w:lang w:val="en-US"/>
        </w:rPr>
        <w:t>urge</w:t>
      </w:r>
      <w:r w:rsidR="00D93353">
        <w:rPr>
          <w:rFonts w:ascii="Times New Roman Bold"/>
          <w:b/>
          <w:lang w:val="en-US"/>
        </w:rPr>
        <w:t>s</w:t>
      </w:r>
      <w:r w:rsidRPr="00AE022A">
        <w:rPr>
          <w:rFonts w:ascii="Times New Roman Bold"/>
          <w:b/>
          <w:lang w:val="en-US"/>
        </w:rPr>
        <w:t xml:space="preserve"> States to review and amend legislation in line with the International Covenant on Civil and Political Rights and the Convention on the Rights of the Child, to ensure that legislation clearly prohibits the imposition of the death penalty on a person for a crime committed </w:t>
      </w:r>
      <w:r w:rsidR="002A7F92">
        <w:rPr>
          <w:rFonts w:ascii="Times New Roman Bold"/>
          <w:b/>
          <w:lang w:val="en-US"/>
        </w:rPr>
        <w:t>when he or she was</w:t>
      </w:r>
      <w:r w:rsidR="002A7F92" w:rsidRPr="00AE022A">
        <w:rPr>
          <w:rFonts w:ascii="Times New Roman Bold"/>
          <w:b/>
          <w:lang w:val="en-US"/>
        </w:rPr>
        <w:t xml:space="preserve"> </w:t>
      </w:r>
      <w:r w:rsidRPr="00AE022A">
        <w:rPr>
          <w:rFonts w:ascii="Times New Roman Bold"/>
          <w:b/>
          <w:lang w:val="en-US"/>
        </w:rPr>
        <w:t>under 18. States should immediately halt executions of juvenile offenders and resentence all juvenile offenders on death row, while ensuring that such individuals do not simply receive life s</w:t>
      </w:r>
      <w:r w:rsidR="005F0462" w:rsidRPr="00AE022A">
        <w:rPr>
          <w:rFonts w:ascii="Times New Roman Bold"/>
          <w:b/>
          <w:lang w:val="en-US"/>
        </w:rPr>
        <w:t>entences in place of execution.</w:t>
      </w:r>
    </w:p>
    <w:p w14:paraId="586CBCE8" w14:textId="5A746C73" w:rsidR="001C04A0" w:rsidRPr="00AE022A" w:rsidRDefault="001C04A0" w:rsidP="001C04A0">
      <w:pPr>
        <w:pStyle w:val="SingleTxtG"/>
        <w:rPr>
          <w:rFonts w:ascii="Times New Roman Bold" w:eastAsia="Times New Roman Bold" w:hAnsi="Times New Roman Bold" w:cs="Times New Roman Bold"/>
          <w:b/>
        </w:rPr>
      </w:pPr>
      <w:r w:rsidRPr="00AE022A">
        <w:rPr>
          <w:bCs/>
        </w:rPr>
        <w:t>51.</w:t>
      </w:r>
      <w:r w:rsidRPr="00AE022A">
        <w:rPr>
          <w:rFonts w:ascii="Times New Roman Bold"/>
          <w:b/>
        </w:rPr>
        <w:tab/>
        <w:t xml:space="preserve">States that still use the death penalty should recognize the urgency of ensuring a protective environment for the children of parents sentenced to death or executed, </w:t>
      </w:r>
      <w:r w:rsidR="00872D81">
        <w:rPr>
          <w:rFonts w:ascii="Times New Roman Bold"/>
          <w:b/>
        </w:rPr>
        <w:t xml:space="preserve">thereby </w:t>
      </w:r>
      <w:r w:rsidRPr="00AE022A">
        <w:rPr>
          <w:rFonts w:ascii="Times New Roman Bold"/>
          <w:b/>
        </w:rPr>
        <w:t xml:space="preserve">preventing discrimination and stigma, and </w:t>
      </w:r>
      <w:r w:rsidR="00866B3B">
        <w:rPr>
          <w:rFonts w:ascii="Times New Roman Bold"/>
          <w:b/>
        </w:rPr>
        <w:t xml:space="preserve">of </w:t>
      </w:r>
      <w:r w:rsidRPr="00AE022A">
        <w:rPr>
          <w:rFonts w:ascii="Times New Roman Bold"/>
          <w:b/>
        </w:rPr>
        <w:t xml:space="preserve">providing them with assistance for their recovery and reintegration. States should also take measures to assist children of their nationals who </w:t>
      </w:r>
      <w:r w:rsidR="004F73F1">
        <w:rPr>
          <w:rFonts w:ascii="Times New Roman Bold"/>
          <w:b/>
        </w:rPr>
        <w:t>may</w:t>
      </w:r>
      <w:r w:rsidR="004F73F1" w:rsidRPr="00AE022A">
        <w:rPr>
          <w:rFonts w:ascii="Times New Roman Bold"/>
          <w:b/>
        </w:rPr>
        <w:t xml:space="preserve"> </w:t>
      </w:r>
      <w:r w:rsidR="005F0462" w:rsidRPr="00AE022A">
        <w:rPr>
          <w:rFonts w:ascii="Times New Roman Bold"/>
          <w:b/>
        </w:rPr>
        <w:t>face the death penalty abroad.</w:t>
      </w:r>
    </w:p>
    <w:p w14:paraId="5E97EE9D" w14:textId="58002881" w:rsidR="001C04A0" w:rsidRPr="00AE022A" w:rsidRDefault="001C04A0" w:rsidP="001C04A0">
      <w:pPr>
        <w:pStyle w:val="Text"/>
        <w:spacing w:after="120"/>
        <w:ind w:left="1134" w:right="1134"/>
        <w:jc w:val="both"/>
        <w:rPr>
          <w:rFonts w:ascii="Times New Roman Bold" w:eastAsia="Times New Roman Bold" w:hAnsi="Times New Roman Bold" w:cs="Times New Roman Bold"/>
          <w:b/>
        </w:rPr>
      </w:pPr>
      <w:r w:rsidRPr="00AE022A">
        <w:rPr>
          <w:bCs/>
          <w:lang w:val="en-US"/>
        </w:rPr>
        <w:t>52.</w:t>
      </w:r>
      <w:r w:rsidRPr="00AE022A">
        <w:rPr>
          <w:rFonts w:ascii="Times New Roman Bold" w:eastAsia="Times New Roman Bold" w:hAnsi="Times New Roman Bold" w:cs="Times New Roman Bold"/>
          <w:b/>
        </w:rPr>
        <w:tab/>
      </w:r>
      <w:r w:rsidRPr="00AE022A">
        <w:rPr>
          <w:rFonts w:ascii="Times New Roman Bold"/>
          <w:b/>
          <w:lang w:val="en-US"/>
        </w:rPr>
        <w:t xml:space="preserve">The implementation of the death penalty without the requisite transparency makes it difficult, if not impossible, to assess whether it is being carried out in compliance with international human rights standards. Retentionist States should systematically and publicly provide full and accurate data on death sentences that are carried out. </w:t>
      </w:r>
      <w:r w:rsidR="004F73F1">
        <w:rPr>
          <w:rFonts w:ascii="Times New Roman Bold"/>
          <w:b/>
          <w:lang w:val="en-US"/>
        </w:rPr>
        <w:t>Those</w:t>
      </w:r>
      <w:r w:rsidR="004F73F1" w:rsidRPr="00AE022A">
        <w:rPr>
          <w:rFonts w:ascii="Times New Roman Bold"/>
          <w:b/>
          <w:lang w:val="en-US"/>
        </w:rPr>
        <w:t xml:space="preserve"> </w:t>
      </w:r>
      <w:r w:rsidRPr="00AE022A">
        <w:rPr>
          <w:rFonts w:ascii="Times New Roman Bold"/>
          <w:b/>
          <w:lang w:val="en-US"/>
        </w:rPr>
        <w:t>data should include information on charges and data</w:t>
      </w:r>
      <w:r w:rsidR="0019151F">
        <w:rPr>
          <w:rFonts w:ascii="Times New Roman Bold"/>
          <w:b/>
          <w:lang w:val="en-US"/>
        </w:rPr>
        <w:t xml:space="preserve"> </w:t>
      </w:r>
      <w:r w:rsidR="0019151F" w:rsidRPr="004C1ECE">
        <w:rPr>
          <w:rFonts w:ascii="Times New Roman Bold"/>
          <w:b/>
          <w:lang w:val="en-US"/>
        </w:rPr>
        <w:t>disaggregated</w:t>
      </w:r>
      <w:r w:rsidRPr="00AE022A">
        <w:rPr>
          <w:rFonts w:ascii="Times New Roman Bold"/>
          <w:b/>
          <w:lang w:val="en-US"/>
        </w:rPr>
        <w:t xml:space="preserve"> </w:t>
      </w:r>
      <w:r w:rsidR="004F73F1">
        <w:rPr>
          <w:rFonts w:ascii="Times New Roman Bold"/>
          <w:b/>
          <w:lang w:val="en-US"/>
        </w:rPr>
        <w:t>by</w:t>
      </w:r>
      <w:r w:rsidR="004F73F1" w:rsidRPr="00AE022A">
        <w:rPr>
          <w:rFonts w:ascii="Times New Roman Bold"/>
          <w:b/>
          <w:lang w:val="en-US"/>
        </w:rPr>
        <w:t xml:space="preserve"> </w:t>
      </w:r>
      <w:r w:rsidRPr="00AE022A">
        <w:rPr>
          <w:rFonts w:ascii="Times New Roman Bold"/>
          <w:b/>
          <w:lang w:val="en-US"/>
        </w:rPr>
        <w:t>gender, age, nationality, ethnic origin and other relevant demographics</w:t>
      </w:r>
      <w:r w:rsidR="006D7913">
        <w:rPr>
          <w:rFonts w:ascii="Times New Roman Bold"/>
          <w:b/>
          <w:lang w:val="en-US"/>
        </w:rPr>
        <w:t>,</w:t>
      </w:r>
      <w:r w:rsidRPr="00AE022A">
        <w:rPr>
          <w:rFonts w:ascii="Times New Roman Bold"/>
          <w:b/>
          <w:lang w:val="en-US"/>
        </w:rPr>
        <w:t xml:space="preserve"> o</w:t>
      </w:r>
      <w:r w:rsidR="00F923BD">
        <w:rPr>
          <w:rFonts w:ascii="Times New Roman Bold"/>
          <w:b/>
          <w:lang w:val="en-US"/>
        </w:rPr>
        <w:t>n</w:t>
      </w:r>
      <w:r w:rsidRPr="00AE022A">
        <w:rPr>
          <w:rFonts w:ascii="Times New Roman Bold"/>
          <w:b/>
          <w:lang w:val="en-US"/>
        </w:rPr>
        <w:t xml:space="preserve"> the persons affected. Such data </w:t>
      </w:r>
      <w:r w:rsidR="00F923BD">
        <w:rPr>
          <w:rFonts w:ascii="Times New Roman Bold"/>
          <w:b/>
          <w:lang w:val="en-US"/>
        </w:rPr>
        <w:t>are</w:t>
      </w:r>
      <w:r w:rsidR="00F923BD" w:rsidRPr="00AE022A">
        <w:rPr>
          <w:rFonts w:ascii="Times New Roman Bold"/>
          <w:b/>
          <w:lang w:val="en-US"/>
        </w:rPr>
        <w:t xml:space="preserve"> </w:t>
      </w:r>
      <w:r w:rsidRPr="00AE022A">
        <w:rPr>
          <w:rFonts w:ascii="Times New Roman Bold"/>
          <w:b/>
          <w:lang w:val="en-US"/>
        </w:rPr>
        <w:t>necessary to ensure compliance with international human rights standards.</w:t>
      </w:r>
      <w:r w:rsidR="0019151F">
        <w:rPr>
          <w:rFonts w:ascii="Times New Roman Bold"/>
          <w:b/>
          <w:lang w:val="en-US"/>
        </w:rPr>
        <w:t xml:space="preserve"> </w:t>
      </w:r>
    </w:p>
    <w:p w14:paraId="05A9F12E" w14:textId="4ACCA3A1" w:rsidR="001C04A0" w:rsidRPr="00AE022A" w:rsidRDefault="001C04A0" w:rsidP="001C04A0">
      <w:pPr>
        <w:pStyle w:val="Text"/>
        <w:spacing w:after="120"/>
        <w:ind w:left="1134" w:right="1134"/>
        <w:jc w:val="both"/>
        <w:rPr>
          <w:rFonts w:ascii="Times New Roman Bold" w:eastAsia="Times New Roman Bold" w:hAnsi="Times New Roman Bold" w:cs="Times New Roman Bold"/>
          <w:b/>
          <w:lang w:val="en-US"/>
        </w:rPr>
      </w:pPr>
      <w:r w:rsidRPr="00AE022A">
        <w:rPr>
          <w:bCs/>
          <w:lang w:val="en-US"/>
        </w:rPr>
        <w:t>53.</w:t>
      </w:r>
      <w:r w:rsidRPr="00AE022A">
        <w:rPr>
          <w:rFonts w:ascii="Times New Roman Bold" w:eastAsia="Times New Roman Bold" w:hAnsi="Times New Roman Bold" w:cs="Times New Roman Bold"/>
          <w:bCs/>
          <w:lang w:val="en-US"/>
        </w:rPr>
        <w:tab/>
      </w:r>
      <w:r w:rsidRPr="00AE022A">
        <w:rPr>
          <w:rFonts w:ascii="Times New Roman Bold" w:eastAsia="Times New Roman Bold" w:hAnsi="Times New Roman Bold" w:cs="Times New Roman Bold"/>
          <w:b/>
          <w:lang w:val="en-US"/>
        </w:rPr>
        <w:t xml:space="preserve">The imposition of a death sentence </w:t>
      </w:r>
      <w:r w:rsidR="00FE79E3">
        <w:rPr>
          <w:rFonts w:ascii="Times New Roman Bold" w:eastAsia="Times New Roman Bold" w:hAnsi="Times New Roman Bold" w:cs="Times New Roman Bold"/>
          <w:b/>
          <w:lang w:val="en-US"/>
        </w:rPr>
        <w:t>at</w:t>
      </w:r>
      <w:r w:rsidR="00FE79E3" w:rsidRPr="00AE022A">
        <w:rPr>
          <w:rFonts w:ascii="Times New Roman Bold" w:eastAsia="Times New Roman Bold" w:hAnsi="Times New Roman Bold" w:cs="Times New Roman Bold"/>
          <w:b/>
          <w:lang w:val="en-US"/>
        </w:rPr>
        <w:t xml:space="preserve"> </w:t>
      </w:r>
      <w:r w:rsidRPr="00AE022A">
        <w:rPr>
          <w:rFonts w:ascii="Times New Roman Bold" w:eastAsia="Times New Roman Bold" w:hAnsi="Times New Roman Bold" w:cs="Times New Roman Bold"/>
          <w:b/>
          <w:lang w:val="en-US"/>
        </w:rPr>
        <w:t xml:space="preserve">the conclusion of a trial in which due process and fair trial safeguards have not been respected constitutes a violation of the right to life. Pending abolition, </w:t>
      </w:r>
      <w:r w:rsidR="003B4333">
        <w:rPr>
          <w:rFonts w:ascii="Times New Roman Bold" w:eastAsia="Times New Roman Bold" w:hAnsi="Times New Roman Bold" w:cs="Times New Roman Bold"/>
          <w:b/>
          <w:lang w:val="en-US"/>
        </w:rPr>
        <w:t>the Secretary-General</w:t>
      </w:r>
      <w:r w:rsidR="003B4333" w:rsidRPr="00AE022A">
        <w:rPr>
          <w:rFonts w:ascii="Times New Roman Bold" w:eastAsia="Times New Roman Bold" w:hAnsi="Times New Roman Bold" w:cs="Times New Roman Bold"/>
          <w:b/>
          <w:lang w:val="en-US"/>
        </w:rPr>
        <w:t xml:space="preserve"> </w:t>
      </w:r>
      <w:r w:rsidRPr="00AE022A">
        <w:rPr>
          <w:rFonts w:ascii="Times New Roman Bold" w:eastAsia="Times New Roman Bold" w:hAnsi="Times New Roman Bold" w:cs="Times New Roman Bold"/>
          <w:b/>
          <w:lang w:val="en-US"/>
        </w:rPr>
        <w:t>urge</w:t>
      </w:r>
      <w:r w:rsidR="007940A0">
        <w:rPr>
          <w:rFonts w:ascii="Times New Roman Bold" w:eastAsia="Times New Roman Bold" w:hAnsi="Times New Roman Bold" w:cs="Times New Roman Bold"/>
          <w:b/>
          <w:lang w:val="en-US"/>
        </w:rPr>
        <w:t>s</w:t>
      </w:r>
      <w:r w:rsidRPr="00AE022A">
        <w:rPr>
          <w:rFonts w:ascii="Times New Roman Bold" w:eastAsia="Times New Roman Bold" w:hAnsi="Times New Roman Bold" w:cs="Times New Roman Bold"/>
          <w:b/>
          <w:lang w:val="en-US"/>
        </w:rPr>
        <w:t xml:space="preserve"> States to ensure that legal guarantees and safeguards are effectively put in place and implemented, in particular with regard to the right to seek pardon and commutation through procedures which offer certain essential guarantees.</w:t>
      </w:r>
    </w:p>
    <w:p w14:paraId="639613A7" w14:textId="0134E603" w:rsidR="001C04A0" w:rsidRPr="00AE022A" w:rsidRDefault="001C04A0" w:rsidP="001C04A0">
      <w:pPr>
        <w:pStyle w:val="Text"/>
        <w:spacing w:after="120"/>
        <w:ind w:left="1134" w:right="1134"/>
        <w:jc w:val="both"/>
        <w:rPr>
          <w:rFonts w:ascii="Times New Roman Bold" w:eastAsia="Times New Roman Bold" w:hAnsi="Times New Roman Bold" w:cs="Times New Roman Bold"/>
          <w:b/>
        </w:rPr>
      </w:pPr>
      <w:r w:rsidRPr="00AE022A">
        <w:rPr>
          <w:bCs/>
          <w:lang w:val="en-US"/>
        </w:rPr>
        <w:t>54.</w:t>
      </w:r>
      <w:r w:rsidRPr="00AE022A">
        <w:rPr>
          <w:rFonts w:ascii="Times New Roman Bold" w:eastAsia="Times New Roman Bold" w:hAnsi="Times New Roman Bold" w:cs="Times New Roman Bold"/>
          <w:b/>
          <w:lang w:val="en-US"/>
        </w:rPr>
        <w:tab/>
      </w:r>
      <w:r w:rsidRPr="00AE022A">
        <w:rPr>
          <w:rFonts w:ascii="Times New Roman Bold"/>
          <w:b/>
          <w:lang w:val="en-US"/>
        </w:rPr>
        <w:t xml:space="preserve">Even for </w:t>
      </w:r>
      <w:r w:rsidR="00FE79E3">
        <w:rPr>
          <w:rFonts w:ascii="Times New Roman Bold"/>
          <w:b/>
          <w:lang w:val="en-US"/>
        </w:rPr>
        <w:t xml:space="preserve">the </w:t>
      </w:r>
      <w:r w:rsidR="007940A0">
        <w:rPr>
          <w:rFonts w:hAnsi="Times New Roman Bold"/>
          <w:b/>
          <w:lang w:val="en-US"/>
        </w:rPr>
        <w:t>“</w:t>
      </w:r>
      <w:r w:rsidRPr="00AE022A">
        <w:rPr>
          <w:rFonts w:ascii="Times New Roman Bold"/>
          <w:b/>
          <w:lang w:val="en-US"/>
        </w:rPr>
        <w:t>most serious crimes</w:t>
      </w:r>
      <w:r w:rsidR="007940A0">
        <w:rPr>
          <w:rFonts w:hAnsi="Times New Roman Bold"/>
          <w:b/>
          <w:lang w:val="en-US"/>
        </w:rPr>
        <w:t>”</w:t>
      </w:r>
      <w:r w:rsidRPr="00AE022A">
        <w:rPr>
          <w:rFonts w:ascii="Times New Roman Bold"/>
          <w:b/>
          <w:lang w:val="en-US"/>
        </w:rPr>
        <w:t xml:space="preserve">, the death penalty should never be mandatory. </w:t>
      </w:r>
      <w:r w:rsidR="007940A0">
        <w:rPr>
          <w:rFonts w:ascii="Times New Roman Bold"/>
          <w:b/>
          <w:lang w:val="en-US"/>
        </w:rPr>
        <w:t>The Secretary-General</w:t>
      </w:r>
      <w:r w:rsidR="007940A0" w:rsidRPr="00AE022A">
        <w:rPr>
          <w:rFonts w:ascii="Times New Roman Bold"/>
          <w:b/>
          <w:lang w:val="en-US"/>
        </w:rPr>
        <w:t xml:space="preserve"> </w:t>
      </w:r>
      <w:r w:rsidRPr="00AE022A">
        <w:rPr>
          <w:rFonts w:ascii="Times New Roman Bold"/>
          <w:b/>
          <w:lang w:val="en-US"/>
        </w:rPr>
        <w:t>welcome</w:t>
      </w:r>
      <w:r w:rsidR="007940A0">
        <w:rPr>
          <w:rFonts w:ascii="Times New Roman Bold"/>
          <w:b/>
          <w:lang w:val="en-US"/>
        </w:rPr>
        <w:t>s</w:t>
      </w:r>
      <w:r w:rsidRPr="00AE022A">
        <w:rPr>
          <w:rFonts w:ascii="Times New Roman Bold"/>
          <w:b/>
          <w:lang w:val="en-US"/>
        </w:rPr>
        <w:t xml:space="preserve"> developments which have led to the removal of the mandatory death penalty in many countries and, in particular, the procedures undertaken to resentence those who </w:t>
      </w:r>
      <w:r w:rsidR="00FE79E3">
        <w:rPr>
          <w:rFonts w:ascii="Times New Roman Bold"/>
          <w:b/>
          <w:lang w:val="en-US"/>
        </w:rPr>
        <w:t>were</w:t>
      </w:r>
      <w:r w:rsidRPr="00AE022A">
        <w:rPr>
          <w:rFonts w:ascii="Times New Roman Bold"/>
          <w:b/>
          <w:lang w:val="en-US"/>
        </w:rPr>
        <w:t xml:space="preserve"> subject to </w:t>
      </w:r>
      <w:r w:rsidR="00636B1F">
        <w:rPr>
          <w:rFonts w:ascii="Times New Roman Bold"/>
          <w:b/>
          <w:lang w:val="en-US"/>
        </w:rPr>
        <w:t>a</w:t>
      </w:r>
      <w:r w:rsidR="00636B1F" w:rsidRPr="00AE022A">
        <w:rPr>
          <w:rFonts w:ascii="Times New Roman Bold"/>
          <w:b/>
          <w:lang w:val="en-US"/>
        </w:rPr>
        <w:t xml:space="preserve"> </w:t>
      </w:r>
      <w:r w:rsidRPr="00AE022A">
        <w:rPr>
          <w:rFonts w:ascii="Times New Roman Bold"/>
          <w:b/>
          <w:lang w:val="en-US"/>
        </w:rPr>
        <w:t xml:space="preserve">mandatory death penalty. Courts should be provided with the discretion to consider the circumstances of each individual case, including any mitigating factors. States </w:t>
      </w:r>
      <w:r w:rsidR="00636B1F">
        <w:rPr>
          <w:rFonts w:ascii="Times New Roman Bold"/>
          <w:b/>
          <w:lang w:val="en-US"/>
        </w:rPr>
        <w:t>that</w:t>
      </w:r>
      <w:r w:rsidR="00636B1F" w:rsidRPr="00AE022A">
        <w:rPr>
          <w:rFonts w:ascii="Times New Roman Bold"/>
          <w:b/>
          <w:lang w:val="en-US"/>
        </w:rPr>
        <w:t xml:space="preserve"> </w:t>
      </w:r>
      <w:r w:rsidRPr="00AE022A">
        <w:rPr>
          <w:rFonts w:ascii="Times New Roman Bold"/>
          <w:b/>
          <w:lang w:val="en-US"/>
        </w:rPr>
        <w:t xml:space="preserve">maintain the mandatory death penalty should abolish it immediately, and a process that takes into account the personal circumstances of the offender and the particular circumstances of the offence, including its specific aggravating or attenuating elements, should be </w:t>
      </w:r>
      <w:r w:rsidR="00636B1F">
        <w:rPr>
          <w:rFonts w:ascii="Times New Roman Bold"/>
          <w:b/>
          <w:lang w:val="en-US"/>
        </w:rPr>
        <w:t>put in place</w:t>
      </w:r>
      <w:r w:rsidR="00636B1F" w:rsidRPr="00AE022A">
        <w:rPr>
          <w:rFonts w:ascii="Times New Roman Bold"/>
          <w:b/>
          <w:lang w:val="en-US"/>
        </w:rPr>
        <w:t xml:space="preserve"> </w:t>
      </w:r>
      <w:r w:rsidRPr="00AE022A">
        <w:rPr>
          <w:rFonts w:ascii="Times New Roman Bold"/>
          <w:b/>
          <w:lang w:val="en-US"/>
        </w:rPr>
        <w:t xml:space="preserve">for all those who </w:t>
      </w:r>
      <w:r w:rsidR="00CD4E6E">
        <w:rPr>
          <w:rFonts w:ascii="Times New Roman Bold"/>
          <w:b/>
          <w:lang w:val="en-US"/>
        </w:rPr>
        <w:t>were</w:t>
      </w:r>
      <w:r w:rsidRPr="00AE022A">
        <w:rPr>
          <w:rFonts w:ascii="Times New Roman Bold"/>
          <w:b/>
          <w:lang w:val="en-US"/>
        </w:rPr>
        <w:t xml:space="preserve"> mandatorily sentenced to death.</w:t>
      </w:r>
    </w:p>
    <w:p w14:paraId="0F7CD260" w14:textId="551958E2" w:rsidR="001C04A0" w:rsidRPr="007822FD" w:rsidRDefault="001C04A0" w:rsidP="001C04A0">
      <w:pPr>
        <w:pStyle w:val="Text"/>
        <w:spacing w:after="120"/>
        <w:ind w:left="1134" w:right="1134"/>
        <w:jc w:val="both"/>
        <w:rPr>
          <w:rFonts w:ascii="Times New Roman Bold" w:eastAsia="Times New Roman Bold" w:hAnsi="Times New Roman Bold" w:cs="Times New Roman Bold"/>
          <w:b/>
        </w:rPr>
      </w:pPr>
      <w:r w:rsidRPr="00AE022A">
        <w:rPr>
          <w:bCs/>
          <w:lang w:val="en-US"/>
        </w:rPr>
        <w:t>55.</w:t>
      </w:r>
      <w:r w:rsidRPr="00B64706">
        <w:rPr>
          <w:rFonts w:ascii="Times New Roman Bold" w:eastAsia="Times New Roman Bold" w:hAnsi="Times New Roman Bold" w:cs="Times New Roman Bold"/>
          <w:b/>
        </w:rPr>
        <w:tab/>
      </w:r>
      <w:r w:rsidRPr="00B64706">
        <w:rPr>
          <w:rFonts w:ascii="Times New Roman Bold"/>
          <w:b/>
          <w:lang w:val="en-US"/>
        </w:rPr>
        <w:t xml:space="preserve">Countries continuing to implement the death penalty should take heed of </w:t>
      </w:r>
      <w:r w:rsidR="00616D8B">
        <w:rPr>
          <w:rFonts w:ascii="Times New Roman Bold"/>
          <w:b/>
          <w:lang w:val="en-US"/>
        </w:rPr>
        <w:t xml:space="preserve">the </w:t>
      </w:r>
      <w:r w:rsidRPr="007822FD">
        <w:rPr>
          <w:rFonts w:ascii="Times New Roman Bold"/>
          <w:b/>
          <w:lang w:val="en-US"/>
        </w:rPr>
        <w:t xml:space="preserve">recommendations </w:t>
      </w:r>
      <w:r w:rsidR="00CD4E6E">
        <w:rPr>
          <w:rFonts w:ascii="Times New Roman Bold"/>
          <w:b/>
          <w:lang w:val="en-US"/>
        </w:rPr>
        <w:t>made by</w:t>
      </w:r>
      <w:r w:rsidR="00CD4E6E" w:rsidRPr="007822FD">
        <w:rPr>
          <w:rFonts w:ascii="Times New Roman Bold"/>
          <w:b/>
          <w:lang w:val="en-US"/>
        </w:rPr>
        <w:t xml:space="preserve"> </w:t>
      </w:r>
      <w:r w:rsidRPr="007822FD">
        <w:rPr>
          <w:rFonts w:ascii="Times New Roman Bold"/>
          <w:b/>
          <w:lang w:val="en-US"/>
        </w:rPr>
        <w:t xml:space="preserve">other States </w:t>
      </w:r>
      <w:r w:rsidR="00CD4E6E">
        <w:rPr>
          <w:rFonts w:ascii="Times New Roman Bold"/>
          <w:b/>
          <w:lang w:val="en-US"/>
        </w:rPr>
        <w:t>during</w:t>
      </w:r>
      <w:r w:rsidR="00CD4E6E" w:rsidRPr="007822FD">
        <w:rPr>
          <w:rFonts w:ascii="Times New Roman Bold"/>
          <w:b/>
          <w:lang w:val="en-US"/>
        </w:rPr>
        <w:t xml:space="preserve"> </w:t>
      </w:r>
      <w:r w:rsidRPr="007822FD">
        <w:rPr>
          <w:rFonts w:ascii="Times New Roman Bold"/>
          <w:b/>
          <w:lang w:val="en-US"/>
        </w:rPr>
        <w:t xml:space="preserve">the universal periodic review process and </w:t>
      </w:r>
      <w:r w:rsidR="00CD4E6E">
        <w:rPr>
          <w:rFonts w:ascii="Times New Roman Bold"/>
          <w:b/>
          <w:lang w:val="en-US"/>
        </w:rPr>
        <w:t xml:space="preserve">the </w:t>
      </w:r>
      <w:r w:rsidRPr="007822FD">
        <w:rPr>
          <w:rFonts w:ascii="Times New Roman Bold"/>
          <w:b/>
          <w:lang w:val="en-US"/>
        </w:rPr>
        <w:t xml:space="preserve">concluding observations, general comments and jurisprudence </w:t>
      </w:r>
      <w:r w:rsidR="00CD4E6E">
        <w:rPr>
          <w:rFonts w:ascii="Times New Roman Bold"/>
          <w:b/>
          <w:lang w:val="en-US"/>
        </w:rPr>
        <w:t>of</w:t>
      </w:r>
      <w:r w:rsidR="00CD4E6E" w:rsidRPr="007822FD">
        <w:rPr>
          <w:rFonts w:ascii="Times New Roman Bold"/>
          <w:b/>
          <w:lang w:val="en-US"/>
        </w:rPr>
        <w:t xml:space="preserve"> </w:t>
      </w:r>
      <w:r w:rsidRPr="007822FD">
        <w:rPr>
          <w:rFonts w:ascii="Times New Roman Bold"/>
          <w:b/>
          <w:lang w:val="en-US"/>
        </w:rPr>
        <w:t>human rights treaty bodies</w:t>
      </w:r>
      <w:r w:rsidR="000262C7">
        <w:rPr>
          <w:rFonts w:ascii="Times New Roman Bold"/>
          <w:b/>
          <w:lang w:val="en-US"/>
        </w:rPr>
        <w:t>,</w:t>
      </w:r>
      <w:r w:rsidRPr="007822FD">
        <w:rPr>
          <w:rFonts w:ascii="Times New Roman Bold"/>
          <w:b/>
          <w:lang w:val="en-US"/>
        </w:rPr>
        <w:t xml:space="preserve"> not only to ensure conformity with international standards but also to work towards universal abolition.</w:t>
      </w:r>
    </w:p>
    <w:p w14:paraId="429F6525" w14:textId="77777777" w:rsidR="001C04A0" w:rsidRPr="0038039D" w:rsidRDefault="001C04A0" w:rsidP="001C04A0">
      <w:pPr>
        <w:pStyle w:val="Text"/>
        <w:spacing w:before="240"/>
        <w:ind w:left="1134" w:right="1134"/>
        <w:jc w:val="center"/>
        <w:rPr>
          <w:rFonts w:ascii="Times New Roman Bold" w:eastAsia="Times New Roman Bold" w:hAnsi="Times New Roman Bold" w:cs="Times New Roman Bold"/>
          <w:b/>
          <w:u w:val="single"/>
        </w:rPr>
      </w:pPr>
      <w:r>
        <w:rPr>
          <w:u w:val="single"/>
          <w:lang w:val="en-US"/>
        </w:rPr>
        <w:tab/>
      </w:r>
      <w:r>
        <w:rPr>
          <w:u w:val="single"/>
          <w:lang w:val="en-US"/>
        </w:rPr>
        <w:tab/>
      </w:r>
      <w:r>
        <w:rPr>
          <w:u w:val="single"/>
          <w:lang w:val="en-US"/>
        </w:rPr>
        <w:tab/>
      </w:r>
      <w:r w:rsidR="00C07F24">
        <w:rPr>
          <w:u w:val="single"/>
          <w:lang w:val="en-US"/>
        </w:rPr>
        <w:tab/>
      </w:r>
    </w:p>
    <w:sectPr w:rsidR="001C04A0" w:rsidRPr="0038039D" w:rsidSect="00AE40D0">
      <w:headerReference w:type="even" r:id="rId8"/>
      <w:headerReference w:type="default" r:id="rId9"/>
      <w:footerReference w:type="even" r:id="rId10"/>
      <w:footerReference w:type="default" r:id="rId11"/>
      <w:endnotePr>
        <w:numFmt w:val="decimal"/>
      </w:endnotePr>
      <w:type w:val="continuous"/>
      <w:pgSz w:w="12240" w:h="15840" w:code="1"/>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AA12F" w16cid:durableId="1F44C1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19A52" w14:textId="77777777" w:rsidR="00435DC0" w:rsidRPr="00C47B2E" w:rsidRDefault="00435DC0" w:rsidP="00C47B2E">
      <w:pPr>
        <w:pStyle w:val="Footer"/>
      </w:pPr>
    </w:p>
  </w:endnote>
  <w:endnote w:type="continuationSeparator" w:id="0">
    <w:p w14:paraId="3D2E7A46" w14:textId="77777777" w:rsidR="00435DC0" w:rsidRPr="00C47B2E" w:rsidRDefault="00435DC0" w:rsidP="00C47B2E">
      <w:pPr>
        <w:pStyle w:val="Footer"/>
      </w:pPr>
    </w:p>
  </w:endnote>
  <w:endnote w:type="continuationNotice" w:id="1">
    <w:p w14:paraId="48733498" w14:textId="77777777" w:rsidR="00435DC0" w:rsidRPr="00C47B2E" w:rsidRDefault="00435DC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w:altName w:val="MS Gothic"/>
    <w:charset w:val="80"/>
    <w:family w:val="swiss"/>
    <w:pitch w:val="variable"/>
    <w:sig w:usb0="00000000"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A43D0" w14:textId="01B75FBC" w:rsidR="006D7913" w:rsidRPr="001E3925" w:rsidRDefault="006D7913" w:rsidP="006A24FC">
    <w:pPr>
      <w:pStyle w:val="Footer"/>
      <w:tabs>
        <w:tab w:val="right" w:pos="9598"/>
      </w:tabs>
    </w:pPr>
    <w:r w:rsidRPr="001E3925">
      <w:rPr>
        <w:b/>
        <w:sz w:val="18"/>
      </w:rPr>
      <w:fldChar w:fldCharType="begin"/>
    </w:r>
    <w:r w:rsidRPr="001E3925">
      <w:rPr>
        <w:b/>
        <w:sz w:val="18"/>
      </w:rPr>
      <w:instrText xml:space="preserve"> PAGE  \* MERGEFORMAT </w:instrText>
    </w:r>
    <w:r w:rsidRPr="001E3925">
      <w:rPr>
        <w:b/>
        <w:sz w:val="18"/>
      </w:rPr>
      <w:fldChar w:fldCharType="separate"/>
    </w:r>
    <w:r w:rsidR="00395592">
      <w:rPr>
        <w:b/>
        <w:noProof/>
        <w:sz w:val="18"/>
      </w:rPr>
      <w:t>2</w:t>
    </w:r>
    <w:r w:rsidRPr="001E392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CD9C4" w14:textId="17B94AE1" w:rsidR="006D7913" w:rsidRPr="001E3925" w:rsidRDefault="006D7913" w:rsidP="001E3925">
    <w:pPr>
      <w:pStyle w:val="Footer"/>
      <w:tabs>
        <w:tab w:val="right" w:pos="9598"/>
      </w:tabs>
      <w:rPr>
        <w:b/>
        <w:sz w:val="18"/>
      </w:rPr>
    </w:pPr>
    <w:r>
      <w:tab/>
    </w:r>
    <w:r w:rsidRPr="001E3925">
      <w:rPr>
        <w:b/>
        <w:sz w:val="18"/>
      </w:rPr>
      <w:fldChar w:fldCharType="begin"/>
    </w:r>
    <w:r w:rsidRPr="001E3925">
      <w:rPr>
        <w:b/>
        <w:sz w:val="18"/>
      </w:rPr>
      <w:instrText xml:space="preserve"> PAGE  \* MERGEFORMAT </w:instrText>
    </w:r>
    <w:r w:rsidRPr="001E3925">
      <w:rPr>
        <w:b/>
        <w:sz w:val="18"/>
      </w:rPr>
      <w:fldChar w:fldCharType="separate"/>
    </w:r>
    <w:r w:rsidR="005B2370">
      <w:rPr>
        <w:b/>
        <w:noProof/>
        <w:sz w:val="18"/>
      </w:rPr>
      <w:t>17</w:t>
    </w:r>
    <w:r w:rsidRPr="001E392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ED6C" w14:textId="77777777" w:rsidR="00435DC0" w:rsidRPr="00C47B2E" w:rsidRDefault="00435DC0" w:rsidP="00C47B2E">
      <w:pPr>
        <w:tabs>
          <w:tab w:val="right" w:pos="2155"/>
        </w:tabs>
        <w:spacing w:after="80" w:line="240" w:lineRule="auto"/>
        <w:ind w:left="680"/>
      </w:pPr>
      <w:r>
        <w:rPr>
          <w:u w:val="single"/>
        </w:rPr>
        <w:tab/>
      </w:r>
    </w:p>
  </w:footnote>
  <w:footnote w:type="continuationSeparator" w:id="0">
    <w:p w14:paraId="3097A00D" w14:textId="77777777" w:rsidR="00435DC0" w:rsidRPr="00C47B2E" w:rsidRDefault="00435DC0" w:rsidP="005E716E">
      <w:pPr>
        <w:tabs>
          <w:tab w:val="right" w:pos="2155"/>
        </w:tabs>
        <w:spacing w:after="80" w:line="240" w:lineRule="auto"/>
        <w:ind w:left="680"/>
      </w:pPr>
      <w:r>
        <w:rPr>
          <w:u w:val="single"/>
        </w:rPr>
        <w:tab/>
      </w:r>
    </w:p>
  </w:footnote>
  <w:footnote w:type="continuationNotice" w:id="1">
    <w:p w14:paraId="1587B512" w14:textId="77777777" w:rsidR="00435DC0" w:rsidRPr="00C47B2E" w:rsidRDefault="00435DC0" w:rsidP="00C47B2E">
      <w:pPr>
        <w:pStyle w:val="Footer"/>
      </w:pPr>
    </w:p>
  </w:footnote>
  <w:footnote w:id="2">
    <w:p w14:paraId="3FA61B3B" w14:textId="77777777" w:rsidR="006D7913" w:rsidRDefault="006D7913">
      <w:pPr>
        <w:pStyle w:val="FootnoteText"/>
      </w:pPr>
      <w:r>
        <w:tab/>
      </w:r>
      <w:r w:rsidRPr="00AE022A">
        <w:rPr>
          <w:rStyle w:val="FootnoteReference"/>
          <w:sz w:val="20"/>
          <w:vertAlign w:val="baseline"/>
        </w:rPr>
        <w:sym w:font="Symbol" w:char="F02A"/>
      </w:r>
      <w:r>
        <w:tab/>
      </w:r>
      <w:r>
        <w:tab/>
      </w:r>
      <w:r w:rsidRPr="00580FA8">
        <w:rPr>
          <w:szCs w:val="18"/>
        </w:rPr>
        <w:t>The present report was submitted after the deadline in order to reflect the most recent developments.</w:t>
      </w:r>
    </w:p>
  </w:footnote>
  <w:footnote w:id="3">
    <w:p w14:paraId="6A8A86C0"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Submissions are available for consultation from the Secretariat.</w:t>
      </w:r>
    </w:p>
  </w:footnote>
  <w:footnote w:id="4">
    <w:p w14:paraId="0E36D864"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Law 2018-15.</w:t>
      </w:r>
    </w:p>
  </w:footnote>
  <w:footnote w:id="5">
    <w:p w14:paraId="69182B40" w14:textId="1C1CE09A"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r>
      <w:r>
        <w:t xml:space="preserve">See </w:t>
      </w:r>
      <w:r w:rsidRPr="000B4E5B">
        <w:rPr>
          <w:rStyle w:val="FootnoteReference"/>
          <w:vertAlign w:val="baseline"/>
        </w:rPr>
        <w:t>www.assembleenationale.bf/</w:t>
      </w:r>
      <w:r>
        <w:t>.</w:t>
      </w:r>
    </w:p>
  </w:footnote>
  <w:footnote w:id="6">
    <w:p w14:paraId="5F40158F"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Criminal Code, in force 1 July 2017.</w:t>
      </w:r>
    </w:p>
  </w:footnote>
  <w:footnote w:id="7">
    <w:p w14:paraId="3887EA96"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Military Justice Code, adopted March 2017.</w:t>
      </w:r>
    </w:p>
  </w:footnote>
  <w:footnote w:id="8">
    <w:p w14:paraId="513F5BF3"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Military Justice Code, in force 28 December 2017.</w:t>
      </w:r>
    </w:p>
  </w:footnote>
  <w:footnote w:id="9">
    <w:p w14:paraId="06B762DB"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Law No.</w:t>
      </w:r>
      <w:r>
        <w:t xml:space="preserve"> </w:t>
      </w:r>
      <w:r w:rsidRPr="000B4E5B">
        <w:rPr>
          <w:rStyle w:val="FootnoteReference"/>
          <w:vertAlign w:val="baseline"/>
        </w:rPr>
        <w:t>2017-01, 8 May 2017.</w:t>
      </w:r>
    </w:p>
  </w:footnote>
  <w:footnote w:id="10">
    <w:p w14:paraId="44581C69" w14:textId="77777777" w:rsidR="006D7913" w:rsidRPr="000B4E5B" w:rsidRDefault="006D7913" w:rsidP="000B4E5B">
      <w:pPr>
        <w:pStyle w:val="FootnoteText"/>
        <w:rPr>
          <w:rStyle w:val="FootnoteReference"/>
          <w:vertAlign w:val="baseline"/>
        </w:rPr>
      </w:pPr>
      <w:r w:rsidRPr="000B4E5B">
        <w:rPr>
          <w:rStyle w:val="FootnoteReference"/>
          <w:vertAlign w:val="baseline"/>
        </w:rPr>
        <w:tab/>
      </w:r>
      <w:r w:rsidRPr="00E1363B">
        <w:rPr>
          <w:rStyle w:val="FootnoteReference"/>
        </w:rPr>
        <w:footnoteRef/>
      </w:r>
      <w:r w:rsidRPr="000B4E5B">
        <w:rPr>
          <w:rStyle w:val="FootnoteReference"/>
          <w:vertAlign w:val="baseline"/>
        </w:rPr>
        <w:tab/>
        <w:t>Decision 5986-2016, 24 October 2017.</w:t>
      </w:r>
    </w:p>
  </w:footnote>
  <w:footnote w:id="11">
    <w:p w14:paraId="0346D279" w14:textId="1AE129AC" w:rsidR="006D7913" w:rsidRPr="000B4E5B" w:rsidRDefault="006D7913" w:rsidP="000B4E5B">
      <w:pPr>
        <w:pStyle w:val="FootnoteText"/>
      </w:pPr>
      <w:r>
        <w:tab/>
      </w:r>
      <w:r w:rsidRPr="00E1363B">
        <w:rPr>
          <w:rStyle w:val="FootnoteReference"/>
        </w:rPr>
        <w:footnoteRef/>
      </w:r>
      <w:r w:rsidRPr="000B4E5B">
        <w:tab/>
      </w:r>
      <w:r>
        <w:t xml:space="preserve">See </w:t>
      </w:r>
      <w:hyperlink r:id="rId1" w:history="1">
        <w:r w:rsidRPr="00BE63DC">
          <w:rPr>
            <w:rStyle w:val="Hyperlink"/>
          </w:rPr>
          <w:t>https://treaties.un.org/Pages/ViewDetails.aspx?src=TREATY&amp;mtdsg_no=IV-12&amp;chapter=4&amp;clang=_en</w:t>
        </w:r>
      </w:hyperlink>
      <w:r w:rsidRPr="000B4E5B">
        <w:rPr>
          <w:rStyle w:val="Hyperlink0"/>
          <w:color w:val="auto"/>
          <w:szCs w:val="20"/>
          <w:lang w:val="en-GB"/>
        </w:rPr>
        <w:t xml:space="preserve">; </w:t>
      </w:r>
      <w:r>
        <w:rPr>
          <w:rStyle w:val="Hyperlink0"/>
          <w:color w:val="auto"/>
          <w:szCs w:val="20"/>
          <w:lang w:val="en-GB"/>
        </w:rPr>
        <w:t xml:space="preserve">and </w:t>
      </w:r>
      <w:r w:rsidRPr="000B4E5B">
        <w:t>S/2018/614, para 52. The President of the Gambia also announced a moratorium on the use of the death penalty in February 2018 “as a first step towards abolition”</w:t>
      </w:r>
      <w:r>
        <w:t>.</w:t>
      </w:r>
      <w:r w:rsidRPr="000B4E5B">
        <w:t xml:space="preserve"> See https://statehouse.gov.gm/statement-53rd-independence-anniversary-celebration.</w:t>
      </w:r>
    </w:p>
  </w:footnote>
  <w:footnote w:id="12">
    <w:p w14:paraId="4F0515C4" w14:textId="77777777" w:rsidR="006D7913" w:rsidRPr="000B4E5B" w:rsidRDefault="006D7913" w:rsidP="000B4E5B">
      <w:pPr>
        <w:pStyle w:val="FootnoteText"/>
      </w:pPr>
      <w:r w:rsidRPr="000B4E5B">
        <w:tab/>
      </w:r>
      <w:r w:rsidRPr="00E1363B">
        <w:rPr>
          <w:rStyle w:val="FootnoteReference"/>
        </w:rPr>
        <w:footnoteRef/>
      </w:r>
      <w:r w:rsidRPr="000B4E5B">
        <w:tab/>
      </w:r>
      <w:r w:rsidRPr="00AE022A">
        <w:rPr>
          <w:i/>
        </w:rPr>
        <w:t>Rauf v. State of Delaware</w:t>
      </w:r>
      <w:r w:rsidRPr="000B4E5B">
        <w:t>, No.</w:t>
      </w:r>
      <w:r>
        <w:t xml:space="preserve"> </w:t>
      </w:r>
      <w:r w:rsidRPr="000B4E5B">
        <w:t>39, 2016. The decision applies retroactively (</w:t>
      </w:r>
      <w:r w:rsidRPr="00AE022A">
        <w:rPr>
          <w:i/>
        </w:rPr>
        <w:t>Powell v. State of Delaware</w:t>
      </w:r>
      <w:r w:rsidRPr="000B4E5B">
        <w:t>, No.</w:t>
      </w:r>
      <w:r>
        <w:t xml:space="preserve"> </w:t>
      </w:r>
      <w:r w:rsidRPr="000B4E5B">
        <w:t>310, 2016).</w:t>
      </w:r>
    </w:p>
  </w:footnote>
  <w:footnote w:id="13">
    <w:p w14:paraId="1120E7AF" w14:textId="4B086807" w:rsidR="006D7913" w:rsidRPr="000B4E5B" w:rsidRDefault="006D7913" w:rsidP="000B4E5B">
      <w:pPr>
        <w:pStyle w:val="FootnoteText"/>
      </w:pPr>
      <w:r w:rsidRPr="000B4E5B">
        <w:tab/>
      </w:r>
      <w:r w:rsidRPr="00E1363B">
        <w:rPr>
          <w:rStyle w:val="FootnoteReference"/>
        </w:rPr>
        <w:footnoteRef/>
      </w:r>
      <w:r w:rsidRPr="000B4E5B">
        <w:tab/>
        <w:t xml:space="preserve">Submission by </w:t>
      </w:r>
      <w:r>
        <w:t>International Federation of Action by Christians for the Abolition of Torture (FIACAT)</w:t>
      </w:r>
      <w:r w:rsidRPr="000B4E5B">
        <w:t>.</w:t>
      </w:r>
    </w:p>
  </w:footnote>
  <w:footnote w:id="14">
    <w:p w14:paraId="3664E922" w14:textId="77777777" w:rsidR="006D7913" w:rsidRPr="000B4E5B" w:rsidRDefault="006D7913" w:rsidP="000B4E5B">
      <w:pPr>
        <w:pStyle w:val="FootnoteText"/>
      </w:pPr>
      <w:r w:rsidRPr="000B4E5B">
        <w:tab/>
      </w:r>
      <w:r w:rsidRPr="00E1363B">
        <w:rPr>
          <w:rStyle w:val="FootnoteReference"/>
        </w:rPr>
        <w:footnoteRef/>
      </w:r>
      <w:r w:rsidRPr="000B4E5B">
        <w:tab/>
        <w:t>Initiative No.</w:t>
      </w:r>
      <w:r>
        <w:t xml:space="preserve"> </w:t>
      </w:r>
      <w:r w:rsidRPr="000B4E5B">
        <w:t>5100.</w:t>
      </w:r>
    </w:p>
  </w:footnote>
  <w:footnote w:id="15">
    <w:p w14:paraId="58509EE8" w14:textId="1C8BA565" w:rsidR="006D7913" w:rsidRPr="000B4E5B" w:rsidRDefault="006D7913" w:rsidP="000B4E5B">
      <w:pPr>
        <w:pStyle w:val="FootnoteText"/>
      </w:pPr>
      <w:r w:rsidRPr="000B4E5B">
        <w:tab/>
      </w:r>
      <w:r w:rsidRPr="00E1363B">
        <w:rPr>
          <w:rStyle w:val="FootnoteReference"/>
        </w:rPr>
        <w:footnoteRef/>
      </w:r>
      <w:r w:rsidRPr="000B4E5B">
        <w:tab/>
      </w:r>
      <w:r w:rsidRPr="00AE022A">
        <w:rPr>
          <w:i/>
        </w:rPr>
        <w:t>Johnson v. Ghana</w:t>
      </w:r>
      <w:r w:rsidRPr="000B4E5B">
        <w:t xml:space="preserve">, </w:t>
      </w:r>
      <w:r>
        <w:t>a</w:t>
      </w:r>
      <w:r w:rsidRPr="000B4E5B">
        <w:t>pplication No.</w:t>
      </w:r>
      <w:r>
        <w:t xml:space="preserve"> </w:t>
      </w:r>
      <w:r w:rsidRPr="000B4E5B">
        <w:t>016/2017.</w:t>
      </w:r>
    </w:p>
  </w:footnote>
  <w:footnote w:id="16">
    <w:p w14:paraId="27ED1727" w14:textId="3454C6CB" w:rsidR="006D7913" w:rsidRPr="000B4E5B" w:rsidRDefault="006D7913" w:rsidP="000B4E5B">
      <w:pPr>
        <w:pStyle w:val="FootnoteText"/>
      </w:pPr>
      <w:r w:rsidRPr="000B4E5B">
        <w:tab/>
      </w:r>
      <w:r w:rsidRPr="00E1363B">
        <w:rPr>
          <w:rStyle w:val="FootnoteReference"/>
        </w:rPr>
        <w:footnoteRef/>
      </w:r>
      <w:r w:rsidRPr="000B4E5B">
        <w:tab/>
        <w:t>See www.ohchr.org/EN/HRBodies/UPR/Pages/Documentation.aspx</w:t>
      </w:r>
      <w:r>
        <w:t>.</w:t>
      </w:r>
    </w:p>
  </w:footnote>
  <w:footnote w:id="17">
    <w:p w14:paraId="4D9E0A16" w14:textId="588AD18D" w:rsidR="006D7913" w:rsidRPr="000B4E5B" w:rsidRDefault="006D7913" w:rsidP="000B4E5B">
      <w:pPr>
        <w:pStyle w:val="FootnoteText"/>
      </w:pPr>
      <w:r w:rsidRPr="000B4E5B">
        <w:tab/>
      </w:r>
      <w:r w:rsidRPr="00E1363B">
        <w:rPr>
          <w:rStyle w:val="FootnoteReference"/>
        </w:rPr>
        <w:footnoteRef/>
      </w:r>
      <w:r w:rsidRPr="000B4E5B">
        <w:tab/>
      </w:r>
      <w:r>
        <w:t xml:space="preserve">For example, recommendations by </w:t>
      </w:r>
      <w:r w:rsidRPr="000B4E5B">
        <w:t>Montenegro, Rwanda and Uruguay to South Sudan (</w:t>
      </w:r>
      <w:r>
        <w:t xml:space="preserve">see </w:t>
      </w:r>
      <w:r w:rsidRPr="000B4E5B">
        <w:t>A/HRC/34/13</w:t>
      </w:r>
      <w:r>
        <w:t>, paras.</w:t>
      </w:r>
      <w:r w:rsidRPr="000B4E5B">
        <w:t xml:space="preserve"> 129.7</w:t>
      </w:r>
      <w:r>
        <w:t>−129.</w:t>
      </w:r>
      <w:r w:rsidRPr="000B4E5B">
        <w:t xml:space="preserve">8) and to </w:t>
      </w:r>
      <w:r>
        <w:t xml:space="preserve">the </w:t>
      </w:r>
      <w:r w:rsidRPr="000B4E5B">
        <w:t>Syrian Arab Republic (</w:t>
      </w:r>
      <w:r>
        <w:t xml:space="preserve">see </w:t>
      </w:r>
      <w:r w:rsidRPr="000B4E5B">
        <w:t xml:space="preserve">A/HRC/34/5, </w:t>
      </w:r>
      <w:r>
        <w:t xml:space="preserve">para. </w:t>
      </w:r>
      <w:r w:rsidRPr="000B4E5B">
        <w:t xml:space="preserve">109.2); </w:t>
      </w:r>
      <w:r>
        <w:t xml:space="preserve">by </w:t>
      </w:r>
      <w:r w:rsidRPr="000B4E5B">
        <w:t>Montenegro, Rwanda, Turkey and Uruguay to Zimbabwe (</w:t>
      </w:r>
      <w:r>
        <w:t xml:space="preserve">see </w:t>
      </w:r>
      <w:r w:rsidRPr="000B4E5B">
        <w:t xml:space="preserve">A/HRC/34/8, </w:t>
      </w:r>
      <w:r>
        <w:t>paras.</w:t>
      </w:r>
      <w:r w:rsidRPr="000B4E5B">
        <w:t>132.28</w:t>
      </w:r>
      <w:r>
        <w:t>,</w:t>
      </w:r>
      <w:r w:rsidRPr="000B4E5B">
        <w:t xml:space="preserve"> 132.47</w:t>
      </w:r>
      <w:r>
        <w:t xml:space="preserve"> and</w:t>
      </w:r>
      <w:r w:rsidRPr="000B4E5B">
        <w:t xml:space="preserve"> 132.49</w:t>
      </w:r>
      <w:r>
        <w:t>−132.</w:t>
      </w:r>
      <w:r w:rsidRPr="000B4E5B">
        <w:t xml:space="preserve">50); </w:t>
      </w:r>
      <w:r>
        <w:t xml:space="preserve">by </w:t>
      </w:r>
      <w:r w:rsidRPr="000B4E5B">
        <w:t>Uruguay to Uganda (</w:t>
      </w:r>
      <w:r>
        <w:t xml:space="preserve">see </w:t>
      </w:r>
      <w:r w:rsidRPr="000B4E5B">
        <w:t xml:space="preserve">A/HRC/34/10, </w:t>
      </w:r>
      <w:r>
        <w:t xml:space="preserve">para. </w:t>
      </w:r>
      <w:r w:rsidRPr="000B4E5B">
        <w:t>117.5</w:t>
      </w:r>
      <w:r>
        <w:t>6</w:t>
      </w:r>
      <w:r w:rsidRPr="000B4E5B">
        <w:t xml:space="preserve">); </w:t>
      </w:r>
      <w:r>
        <w:t xml:space="preserve">and by </w:t>
      </w:r>
      <w:r w:rsidRPr="000B4E5B">
        <w:t>Australia, Croatia, Montenegro, Namibia and Rwanda to Haiti (</w:t>
      </w:r>
      <w:r>
        <w:t xml:space="preserve">see </w:t>
      </w:r>
      <w:r w:rsidRPr="000B4E5B">
        <w:t xml:space="preserve">A/HRC/34/14, </w:t>
      </w:r>
      <w:r>
        <w:t xml:space="preserve">paras. </w:t>
      </w:r>
      <w:r w:rsidRPr="000B4E5B">
        <w:t>117.2</w:t>
      </w:r>
      <w:r>
        <w:t>−117.</w:t>
      </w:r>
      <w:r w:rsidRPr="000B4E5B">
        <w:t>6)</w:t>
      </w:r>
      <w:r>
        <w:t>.</w:t>
      </w:r>
    </w:p>
  </w:footnote>
  <w:footnote w:id="18">
    <w:p w14:paraId="42F5BC71" w14:textId="1746A538" w:rsidR="006D7913" w:rsidRPr="000B4E5B" w:rsidRDefault="006D7913" w:rsidP="000B4E5B">
      <w:pPr>
        <w:pStyle w:val="FootnoteText"/>
      </w:pPr>
      <w:r w:rsidRPr="000B4E5B">
        <w:tab/>
      </w:r>
      <w:r w:rsidRPr="00E1363B">
        <w:rPr>
          <w:rStyle w:val="FootnoteReference"/>
        </w:rPr>
        <w:footnoteRef/>
      </w:r>
      <w:r w:rsidRPr="000B4E5B">
        <w:tab/>
      </w:r>
      <w:r>
        <w:t xml:space="preserve">For example, recommendations by </w:t>
      </w:r>
      <w:r w:rsidRPr="000B4E5B">
        <w:t xml:space="preserve">Portugal to </w:t>
      </w:r>
      <w:r>
        <w:t xml:space="preserve">the </w:t>
      </w:r>
      <w:r w:rsidRPr="000B4E5B">
        <w:t>Syrian Arab Republic (</w:t>
      </w:r>
      <w:r>
        <w:t xml:space="preserve">see </w:t>
      </w:r>
      <w:r w:rsidRPr="000B4E5B">
        <w:t xml:space="preserve">A/HRC/34/5, </w:t>
      </w:r>
      <w:r>
        <w:t xml:space="preserve">para. </w:t>
      </w:r>
      <w:r w:rsidRPr="000B4E5B">
        <w:t xml:space="preserve">109.151); </w:t>
      </w:r>
      <w:r>
        <w:t xml:space="preserve">by </w:t>
      </w:r>
      <w:r w:rsidRPr="000B4E5B">
        <w:t>Australia and Georgia to South Sudan (</w:t>
      </w:r>
      <w:r>
        <w:t xml:space="preserve">see </w:t>
      </w:r>
      <w:r w:rsidRPr="000B4E5B">
        <w:t xml:space="preserve">A/HRC/34/13, </w:t>
      </w:r>
      <w:r>
        <w:t xml:space="preserve">paras. </w:t>
      </w:r>
      <w:r w:rsidRPr="000B4E5B">
        <w:t>129.9</w:t>
      </w:r>
      <w:r>
        <w:t xml:space="preserve"> and</w:t>
      </w:r>
      <w:r w:rsidRPr="000B4E5B">
        <w:t xml:space="preserve"> 129.14); </w:t>
      </w:r>
      <w:r>
        <w:t xml:space="preserve">by </w:t>
      </w:r>
      <w:r w:rsidRPr="000B4E5B">
        <w:t>Australia, France, Portugal, Slovenia and Spain to Zimbabwe (</w:t>
      </w:r>
      <w:r>
        <w:t xml:space="preserve">see </w:t>
      </w:r>
      <w:r w:rsidRPr="000B4E5B">
        <w:t xml:space="preserve">A/HRC/34/8, </w:t>
      </w:r>
      <w:r>
        <w:t xml:space="preserve">paras. </w:t>
      </w:r>
      <w:r w:rsidRPr="000B4E5B">
        <w:t>132.84</w:t>
      </w:r>
      <w:r>
        <w:t>−132.</w:t>
      </w:r>
      <w:r w:rsidRPr="000B4E5B">
        <w:t xml:space="preserve">88); </w:t>
      </w:r>
      <w:r>
        <w:t xml:space="preserve">and by </w:t>
      </w:r>
      <w:r w:rsidRPr="000B4E5B">
        <w:t>Australia, Italy and Portugal to Uganda (</w:t>
      </w:r>
      <w:r>
        <w:t xml:space="preserve">see </w:t>
      </w:r>
      <w:r w:rsidRPr="000B4E5B">
        <w:t xml:space="preserve">A/HRC/34/10, </w:t>
      </w:r>
      <w:r>
        <w:t xml:space="preserve">paras. </w:t>
      </w:r>
      <w:r w:rsidRPr="000B4E5B">
        <w:t>117.29</w:t>
      </w:r>
      <w:r>
        <w:t>,</w:t>
      </w:r>
      <w:r w:rsidRPr="000B4E5B">
        <w:t xml:space="preserve"> 117.43</w:t>
      </w:r>
      <w:r>
        <w:t xml:space="preserve"> and</w:t>
      </w:r>
      <w:r w:rsidRPr="000B4E5B">
        <w:t xml:space="preserve"> 117.60)</w:t>
      </w:r>
      <w:r>
        <w:t>.</w:t>
      </w:r>
    </w:p>
  </w:footnote>
  <w:footnote w:id="19">
    <w:p w14:paraId="684B1BB5" w14:textId="1FEC4AE8" w:rsidR="006D7913" w:rsidRPr="000B4E5B" w:rsidRDefault="006D7913" w:rsidP="000B4E5B">
      <w:pPr>
        <w:pStyle w:val="FootnoteText"/>
      </w:pPr>
      <w:r w:rsidRPr="000B4E5B">
        <w:tab/>
      </w:r>
      <w:r w:rsidRPr="00E1363B">
        <w:rPr>
          <w:rStyle w:val="FootnoteReference"/>
        </w:rPr>
        <w:footnoteRef/>
      </w:r>
      <w:r w:rsidRPr="000B4E5B">
        <w:tab/>
      </w:r>
      <w:r>
        <w:t xml:space="preserve">For example, recommendations by the </w:t>
      </w:r>
      <w:r w:rsidRPr="000B4E5B">
        <w:t>Holy See to South Sudan (</w:t>
      </w:r>
      <w:r>
        <w:t xml:space="preserve">see </w:t>
      </w:r>
      <w:r w:rsidRPr="000B4E5B">
        <w:t xml:space="preserve">A/HRC/34/13, </w:t>
      </w:r>
      <w:r>
        <w:t xml:space="preserve">para. </w:t>
      </w:r>
      <w:r w:rsidRPr="000B4E5B">
        <w:t xml:space="preserve">128.39); </w:t>
      </w:r>
      <w:r>
        <w:t xml:space="preserve">by </w:t>
      </w:r>
      <w:r w:rsidRPr="000B4E5B">
        <w:t>Ukraine to South Sudan (</w:t>
      </w:r>
      <w:r>
        <w:t xml:space="preserve">see </w:t>
      </w:r>
      <w:r w:rsidRPr="000B4E5B">
        <w:t xml:space="preserve">A/HRC/34/13, </w:t>
      </w:r>
      <w:r>
        <w:t xml:space="preserve">para. </w:t>
      </w:r>
      <w:r w:rsidRPr="000B4E5B">
        <w:t xml:space="preserve">129.15); </w:t>
      </w:r>
      <w:r>
        <w:t xml:space="preserve">and by </w:t>
      </w:r>
      <w:r w:rsidRPr="000B4E5B">
        <w:t>France and Namibia to Uganda (</w:t>
      </w:r>
      <w:r>
        <w:t xml:space="preserve">see </w:t>
      </w:r>
      <w:r w:rsidRPr="000B4E5B">
        <w:t xml:space="preserve">A/HRC/34/10, </w:t>
      </w:r>
      <w:r>
        <w:t xml:space="preserve">paras. </w:t>
      </w:r>
      <w:r w:rsidRPr="000B4E5B">
        <w:t>117.11</w:t>
      </w:r>
      <w:r>
        <w:t xml:space="preserve"> and</w:t>
      </w:r>
      <w:r w:rsidRPr="000B4E5B">
        <w:t xml:space="preserve"> 117.34)</w:t>
      </w:r>
      <w:r>
        <w:t>.</w:t>
      </w:r>
    </w:p>
  </w:footnote>
  <w:footnote w:id="20">
    <w:p w14:paraId="2472D4BC" w14:textId="14883367" w:rsidR="006D7913" w:rsidRPr="000B4E5B" w:rsidRDefault="006D7913" w:rsidP="000B4E5B">
      <w:pPr>
        <w:pStyle w:val="FootnoteText"/>
      </w:pPr>
      <w:r w:rsidRPr="000B4E5B">
        <w:tab/>
      </w:r>
      <w:r w:rsidRPr="00E1363B">
        <w:rPr>
          <w:rStyle w:val="FootnoteReference"/>
        </w:rPr>
        <w:footnoteRef/>
      </w:r>
      <w:r w:rsidRPr="000B4E5B">
        <w:tab/>
      </w:r>
      <w:r>
        <w:t xml:space="preserve">For example, recommendations by </w:t>
      </w:r>
      <w:r w:rsidRPr="000B4E5B">
        <w:t>Belgium and Uruguay to Zimbabwe (</w:t>
      </w:r>
      <w:r>
        <w:t xml:space="preserve">see </w:t>
      </w:r>
      <w:r w:rsidRPr="000B4E5B">
        <w:t xml:space="preserve">A/HRC/34/8, </w:t>
      </w:r>
      <w:r>
        <w:t xml:space="preserve">paras. </w:t>
      </w:r>
      <w:r w:rsidRPr="000B4E5B">
        <w:t>132.82</w:t>
      </w:r>
      <w:r>
        <w:t>−132.8</w:t>
      </w:r>
      <w:r w:rsidRPr="000B4E5B">
        <w:t xml:space="preserve">3); </w:t>
      </w:r>
      <w:r>
        <w:t xml:space="preserve">and by </w:t>
      </w:r>
      <w:r w:rsidRPr="000B4E5B">
        <w:t>Iceland, Panama, Paraguay and Uruguay to Uganda (</w:t>
      </w:r>
      <w:r>
        <w:t xml:space="preserve">see </w:t>
      </w:r>
      <w:r w:rsidRPr="000B4E5B">
        <w:t xml:space="preserve">A/HRC/34/10, </w:t>
      </w:r>
      <w:r>
        <w:t xml:space="preserve">paras. </w:t>
      </w:r>
      <w:r w:rsidRPr="000B4E5B">
        <w:t>117.26</w:t>
      </w:r>
      <w:r>
        <w:t>,</w:t>
      </w:r>
      <w:r w:rsidRPr="000B4E5B">
        <w:t xml:space="preserve"> 117.41</w:t>
      </w:r>
      <w:r>
        <w:t>−117.4</w:t>
      </w:r>
      <w:r w:rsidRPr="000B4E5B">
        <w:t>2</w:t>
      </w:r>
      <w:r>
        <w:t xml:space="preserve"> and</w:t>
      </w:r>
      <w:r w:rsidRPr="000B4E5B">
        <w:t xml:space="preserve"> 117.55)</w:t>
      </w:r>
      <w:r>
        <w:t>.</w:t>
      </w:r>
    </w:p>
  </w:footnote>
  <w:footnote w:id="21">
    <w:p w14:paraId="6457EBF0" w14:textId="72F98AC9" w:rsidR="006D7913" w:rsidRPr="000B4E5B" w:rsidRDefault="006D7913" w:rsidP="000B4E5B">
      <w:pPr>
        <w:pStyle w:val="FootnoteText"/>
      </w:pPr>
      <w:r w:rsidRPr="000B4E5B">
        <w:tab/>
      </w:r>
      <w:r w:rsidRPr="00E1363B">
        <w:rPr>
          <w:rStyle w:val="FootnoteReference"/>
        </w:rPr>
        <w:footnoteRef/>
      </w:r>
      <w:r w:rsidRPr="000B4E5B">
        <w:tab/>
      </w:r>
      <w:r>
        <w:t xml:space="preserve">For example, by </w:t>
      </w:r>
      <w:r w:rsidRPr="000B4E5B">
        <w:t>Zimbabwe (</w:t>
      </w:r>
      <w:r>
        <w:t xml:space="preserve">see </w:t>
      </w:r>
      <w:r w:rsidRPr="000B4E5B">
        <w:t>A/HRC/34/8/Add.1, paras</w:t>
      </w:r>
      <w:r>
        <w:t>.</w:t>
      </w:r>
      <w:r w:rsidRPr="000B4E5B">
        <w:t xml:space="preserve"> 15</w:t>
      </w:r>
      <w:r>
        <w:t>−</w:t>
      </w:r>
      <w:r w:rsidRPr="000B4E5B">
        <w:t>16); South Sudan (</w:t>
      </w:r>
      <w:r>
        <w:t xml:space="preserve">see </w:t>
      </w:r>
      <w:r w:rsidRPr="000B4E5B">
        <w:t>A/HRC/34/13/Add.1, para</w:t>
      </w:r>
      <w:r>
        <w:t>.</w:t>
      </w:r>
      <w:r w:rsidRPr="000B4E5B">
        <w:t xml:space="preserve"> 7); </w:t>
      </w:r>
      <w:r>
        <w:t xml:space="preserve">and </w:t>
      </w:r>
      <w:r w:rsidRPr="000B4E5B">
        <w:t>Haiti (</w:t>
      </w:r>
      <w:r>
        <w:t xml:space="preserve">see </w:t>
      </w:r>
      <w:r w:rsidRPr="000B4E5B">
        <w:t xml:space="preserve">A/HRC/34/14, </w:t>
      </w:r>
      <w:r>
        <w:t xml:space="preserve">paras. </w:t>
      </w:r>
      <w:r w:rsidRPr="000B4E5B">
        <w:t>117.2</w:t>
      </w:r>
      <w:r>
        <w:t>−117.</w:t>
      </w:r>
      <w:r w:rsidRPr="000B4E5B">
        <w:t>6)</w:t>
      </w:r>
      <w:r>
        <w:t>.</w:t>
      </w:r>
    </w:p>
  </w:footnote>
  <w:footnote w:id="22">
    <w:p w14:paraId="1C034682" w14:textId="11297B00" w:rsidR="006D7913" w:rsidRPr="000B4E5B" w:rsidRDefault="006D7913" w:rsidP="000B4E5B">
      <w:pPr>
        <w:pStyle w:val="FootnoteText"/>
      </w:pPr>
      <w:r w:rsidRPr="000B4E5B">
        <w:tab/>
      </w:r>
      <w:r w:rsidRPr="00E1363B">
        <w:rPr>
          <w:rStyle w:val="FootnoteReference"/>
        </w:rPr>
        <w:footnoteRef/>
      </w:r>
      <w:r w:rsidRPr="000B4E5B">
        <w:tab/>
      </w:r>
      <w:r>
        <w:t>See</w:t>
      </w:r>
      <w:r w:rsidRPr="000B4E5B">
        <w:t xml:space="preserve"> A/HRC/37/17.</w:t>
      </w:r>
    </w:p>
  </w:footnote>
  <w:footnote w:id="23">
    <w:p w14:paraId="44B4A76B" w14:textId="7F606D1D" w:rsidR="006D7913" w:rsidRPr="000B4E5B" w:rsidRDefault="006D7913" w:rsidP="000B4E5B">
      <w:pPr>
        <w:pStyle w:val="FootnoteText"/>
      </w:pPr>
      <w:r w:rsidRPr="000B4E5B">
        <w:tab/>
      </w:r>
      <w:r w:rsidRPr="00E1363B">
        <w:rPr>
          <w:rStyle w:val="FootnoteReference"/>
        </w:rPr>
        <w:footnoteRef/>
      </w:r>
      <w:r w:rsidRPr="000B4E5B">
        <w:tab/>
      </w:r>
      <w:r>
        <w:t xml:space="preserve">See </w:t>
      </w:r>
      <w:r w:rsidRPr="000B4E5B">
        <w:t xml:space="preserve">A/HRC/37/17, </w:t>
      </w:r>
      <w:r>
        <w:t xml:space="preserve">paras. </w:t>
      </w:r>
      <w:r w:rsidRPr="000B4E5B">
        <w:t>116.53</w:t>
      </w:r>
      <w:r>
        <w:t>−116.5</w:t>
      </w:r>
      <w:r w:rsidRPr="000B4E5B">
        <w:t>4.</w:t>
      </w:r>
    </w:p>
  </w:footnote>
  <w:footnote w:id="24">
    <w:p w14:paraId="61878491" w14:textId="77777777" w:rsidR="006D7913" w:rsidRPr="000B4E5B" w:rsidRDefault="006D7913" w:rsidP="000B4E5B">
      <w:pPr>
        <w:pStyle w:val="FootnoteText"/>
      </w:pPr>
      <w:r w:rsidRPr="000B4E5B">
        <w:tab/>
      </w:r>
      <w:r w:rsidRPr="00E1363B">
        <w:rPr>
          <w:rStyle w:val="FootnoteReference"/>
        </w:rPr>
        <w:footnoteRef/>
      </w:r>
      <w:r w:rsidRPr="000B4E5B">
        <w:tab/>
      </w:r>
      <w:r>
        <w:t xml:space="preserve">See </w:t>
      </w:r>
      <w:r w:rsidRPr="000B4E5B">
        <w:t>A/HRC/36/3/Add.1, para</w:t>
      </w:r>
      <w:r>
        <w:t>.</w:t>
      </w:r>
      <w:r w:rsidRPr="000B4E5B">
        <w:t xml:space="preserve"> 35.</w:t>
      </w:r>
    </w:p>
  </w:footnote>
  <w:footnote w:id="25">
    <w:p w14:paraId="26F5A092" w14:textId="3146E1A1" w:rsidR="006D7913" w:rsidRPr="000B4E5B" w:rsidRDefault="006D7913" w:rsidP="000B4E5B">
      <w:pPr>
        <w:pStyle w:val="FootnoteText"/>
      </w:pPr>
      <w:r w:rsidRPr="000B4E5B">
        <w:tab/>
      </w:r>
      <w:r w:rsidRPr="00E1363B">
        <w:rPr>
          <w:rStyle w:val="FootnoteReference"/>
        </w:rPr>
        <w:footnoteRef/>
      </w:r>
      <w:r w:rsidRPr="000B4E5B">
        <w:tab/>
      </w:r>
      <w:r>
        <w:t xml:space="preserve">See </w:t>
      </w:r>
      <w:r w:rsidRPr="000B4E5B">
        <w:t xml:space="preserve">A/HRC/36/5, </w:t>
      </w:r>
      <w:r>
        <w:t xml:space="preserve">paras. </w:t>
      </w:r>
      <w:r w:rsidRPr="000B4E5B">
        <w:t>125.64</w:t>
      </w:r>
      <w:r>
        <w:t>−124.6</w:t>
      </w:r>
      <w:r w:rsidRPr="000B4E5B">
        <w:t>7.</w:t>
      </w:r>
    </w:p>
  </w:footnote>
  <w:footnote w:id="26">
    <w:p w14:paraId="381DB81D" w14:textId="56E0F4C6" w:rsidR="006D7913" w:rsidRPr="002457AE" w:rsidRDefault="006D7913" w:rsidP="002457AE">
      <w:pPr>
        <w:pStyle w:val="FootnoteText"/>
      </w:pPr>
      <w:r w:rsidRPr="00256810">
        <w:tab/>
      </w:r>
      <w:r w:rsidRPr="00E1363B">
        <w:rPr>
          <w:rStyle w:val="FootnoteReference"/>
        </w:rPr>
        <w:footnoteRef/>
      </w:r>
      <w:r w:rsidRPr="002457AE">
        <w:tab/>
      </w:r>
      <w:r>
        <w:t xml:space="preserve">See </w:t>
      </w:r>
      <w:r w:rsidRPr="002457AE">
        <w:t>https://unama.unmissions.org</w:t>
      </w:r>
      <w:r>
        <w:t>.</w:t>
      </w:r>
    </w:p>
  </w:footnote>
  <w:footnote w:id="27">
    <w:p w14:paraId="672CF76A" w14:textId="38BEAD7F" w:rsidR="006D7913" w:rsidRPr="002457AE" w:rsidRDefault="006D7913" w:rsidP="002457AE">
      <w:pPr>
        <w:pStyle w:val="FootnoteText"/>
      </w:pPr>
      <w:r w:rsidRPr="002457AE">
        <w:tab/>
      </w:r>
      <w:r w:rsidRPr="00E1363B">
        <w:rPr>
          <w:rStyle w:val="FootnoteReference"/>
        </w:rPr>
        <w:footnoteRef/>
      </w:r>
      <w:r w:rsidRPr="002457AE">
        <w:tab/>
      </w:r>
      <w:r>
        <w:t xml:space="preserve">See </w:t>
      </w:r>
      <w:r w:rsidRPr="002457AE">
        <w:t>CAT/C/AFG/CO/2, para</w:t>
      </w:r>
      <w:r>
        <w:t>,</w:t>
      </w:r>
      <w:r w:rsidRPr="002457AE">
        <w:t xml:space="preserve"> 33; </w:t>
      </w:r>
      <w:r>
        <w:t xml:space="preserve">and </w:t>
      </w:r>
      <w:r w:rsidRPr="002457AE">
        <w:t>UA AFG 1/2017 (</w:t>
      </w:r>
      <w:hyperlink r:id="rId2" w:history="1">
        <w:r w:rsidRPr="002457AE">
          <w:rPr>
            <w:rStyle w:val="Hyperlink1"/>
            <w:color w:val="auto"/>
            <w:szCs w:val="20"/>
          </w:rPr>
          <w:t>https://spcommreports.ohchr.org/TMResultsBase/DownLoadPublicCommunicationFile?gId=23154</w:t>
        </w:r>
      </w:hyperlink>
      <w:r w:rsidRPr="002457AE">
        <w:t>).</w:t>
      </w:r>
    </w:p>
  </w:footnote>
  <w:footnote w:id="28">
    <w:p w14:paraId="431C9744" w14:textId="77777777" w:rsidR="006D7913" w:rsidRPr="002457AE" w:rsidRDefault="006D7913" w:rsidP="002457AE">
      <w:pPr>
        <w:pStyle w:val="FootnoteText"/>
      </w:pPr>
      <w:r w:rsidRPr="002457AE">
        <w:tab/>
      </w:r>
      <w:r w:rsidRPr="00E1363B">
        <w:rPr>
          <w:rStyle w:val="FootnoteReference"/>
        </w:rPr>
        <w:footnoteRef/>
      </w:r>
      <w:r w:rsidRPr="002457AE">
        <w:tab/>
        <w:t>Submission by Afghanistan Independent Human Rights Commission.</w:t>
      </w:r>
    </w:p>
  </w:footnote>
  <w:footnote w:id="29">
    <w:p w14:paraId="3AE3EBE9" w14:textId="77777777" w:rsidR="006D7913" w:rsidRPr="002457AE" w:rsidRDefault="006D7913" w:rsidP="002457AE">
      <w:pPr>
        <w:pStyle w:val="FootnoteText"/>
      </w:pPr>
      <w:r w:rsidRPr="002457AE">
        <w:tab/>
      </w:r>
      <w:r w:rsidRPr="00E1363B">
        <w:rPr>
          <w:rStyle w:val="FootnoteReference"/>
        </w:rPr>
        <w:footnoteRef/>
      </w:r>
      <w:r w:rsidRPr="002457AE">
        <w:tab/>
        <w:t>Submission by Kenya.</w:t>
      </w:r>
    </w:p>
  </w:footnote>
  <w:footnote w:id="30">
    <w:p w14:paraId="54DE2C2D" w14:textId="238DD4AB" w:rsidR="006D7913" w:rsidRPr="002457AE" w:rsidRDefault="006D7913" w:rsidP="002457AE">
      <w:pPr>
        <w:pStyle w:val="FootnoteText"/>
      </w:pPr>
      <w:r w:rsidRPr="002457AE">
        <w:tab/>
      </w:r>
      <w:r w:rsidRPr="00E1363B">
        <w:rPr>
          <w:rStyle w:val="FootnoteReference"/>
        </w:rPr>
        <w:footnoteRef/>
      </w:r>
      <w:r w:rsidRPr="002457AE">
        <w:tab/>
      </w:r>
      <w:r>
        <w:t xml:space="preserve">See </w:t>
      </w:r>
      <w:r w:rsidRPr="002457AE">
        <w:t xml:space="preserve">www.fidh.org/IMG/pdf/asie682apdmweb.pdf, </w:t>
      </w:r>
      <w:r>
        <w:t>p.</w:t>
      </w:r>
      <w:r w:rsidRPr="002457AE">
        <w:t xml:space="preserve"> 5.</w:t>
      </w:r>
    </w:p>
  </w:footnote>
  <w:footnote w:id="31">
    <w:p w14:paraId="6A518EB7" w14:textId="77777777" w:rsidR="006D7913" w:rsidRPr="002457AE" w:rsidRDefault="006D7913" w:rsidP="002457AE">
      <w:pPr>
        <w:pStyle w:val="FootnoteText"/>
      </w:pPr>
      <w:r w:rsidRPr="002457AE">
        <w:tab/>
      </w:r>
      <w:r w:rsidRPr="00E1363B">
        <w:rPr>
          <w:rStyle w:val="FootnoteReference"/>
        </w:rPr>
        <w:footnoteRef/>
      </w:r>
      <w:r w:rsidRPr="002457AE">
        <w:tab/>
        <w:t>Narcotic Act (Vol. 6) 2016.</w:t>
      </w:r>
    </w:p>
  </w:footnote>
  <w:footnote w:id="32">
    <w:p w14:paraId="55DCF08D" w14:textId="385CBDA0" w:rsidR="006D7913" w:rsidRPr="002457AE" w:rsidRDefault="006D7913" w:rsidP="002457AE">
      <w:pPr>
        <w:pStyle w:val="FootnoteText"/>
      </w:pPr>
      <w:r w:rsidRPr="002457AE">
        <w:tab/>
      </w:r>
      <w:r w:rsidRPr="00E1363B">
        <w:rPr>
          <w:rStyle w:val="FootnoteReference"/>
        </w:rPr>
        <w:footnoteRef/>
      </w:r>
      <w:r w:rsidRPr="002457AE">
        <w:tab/>
      </w:r>
      <w:r>
        <w:t xml:space="preserve">See </w:t>
      </w:r>
      <w:r w:rsidRPr="002457AE">
        <w:t>CCPR/C/VNM/3, para</w:t>
      </w:r>
      <w:r>
        <w:t>.</w:t>
      </w:r>
      <w:r w:rsidRPr="002457AE">
        <w:t xml:space="preserve"> 67.</w:t>
      </w:r>
    </w:p>
  </w:footnote>
  <w:footnote w:id="33">
    <w:p w14:paraId="1805248C" w14:textId="3F5045D4" w:rsidR="006D7913" w:rsidRPr="002457AE" w:rsidRDefault="006D7913" w:rsidP="002457AE">
      <w:pPr>
        <w:pStyle w:val="FootnoteText"/>
      </w:pPr>
      <w:r w:rsidRPr="002457AE">
        <w:tab/>
      </w:r>
      <w:r w:rsidRPr="00E1363B">
        <w:rPr>
          <w:rStyle w:val="FootnoteReference"/>
        </w:rPr>
        <w:footnoteRef/>
      </w:r>
      <w:r w:rsidRPr="002457AE">
        <w:tab/>
      </w:r>
      <w:r>
        <w:t xml:space="preserve">See </w:t>
      </w:r>
      <w:r w:rsidRPr="002457AE">
        <w:t>A/HRC/37/24, para</w:t>
      </w:r>
      <w:r>
        <w:t>s.</w:t>
      </w:r>
      <w:r w:rsidRPr="002457AE">
        <w:t xml:space="preserve"> 10</w:t>
      </w:r>
      <w:r>
        <w:t>−</w:t>
      </w:r>
      <w:r w:rsidRPr="002457AE">
        <w:t>14</w:t>
      </w:r>
      <w:r>
        <w:t xml:space="preserve">; and </w:t>
      </w:r>
      <w:hyperlink r:id="rId3" w:history="1">
        <w:r w:rsidRPr="00951333">
          <w:rPr>
            <w:rStyle w:val="Hyperlink"/>
          </w:rPr>
          <w:t>http://fileserver.idpc.net/library/ECPM-IHR-%20Iran%20report%202017.pdf</w:t>
        </w:r>
      </w:hyperlink>
      <w:r>
        <w:t xml:space="preserve">, containing a translation of the text of the </w:t>
      </w:r>
      <w:r w:rsidRPr="002457AE">
        <w:t>Circular by the Head of the Judiciary on the Implementation of the New Amendment to the Anti-Narcotics Law</w:t>
      </w:r>
      <w:r>
        <w:t xml:space="preserve"> of</w:t>
      </w:r>
      <w:r w:rsidRPr="002457AE">
        <w:t xml:space="preserve"> 6 January 2018.</w:t>
      </w:r>
    </w:p>
  </w:footnote>
  <w:footnote w:id="34">
    <w:p w14:paraId="1857C1BD" w14:textId="33A2089D" w:rsidR="006D7913" w:rsidRPr="002457AE" w:rsidRDefault="006D7913" w:rsidP="002457AE">
      <w:pPr>
        <w:pStyle w:val="FootnoteText"/>
      </w:pPr>
      <w:r w:rsidRPr="002457AE">
        <w:tab/>
      </w:r>
      <w:r w:rsidRPr="00E1363B">
        <w:rPr>
          <w:rStyle w:val="FootnoteReference"/>
        </w:rPr>
        <w:footnoteRef/>
      </w:r>
      <w:r w:rsidRPr="002457AE">
        <w:tab/>
      </w:r>
      <w:r>
        <w:t xml:space="preserve">See </w:t>
      </w:r>
      <w:r w:rsidRPr="002457AE">
        <w:t>https://iranhr.net/en/articles/3325/</w:t>
      </w:r>
      <w:r>
        <w:t>.</w:t>
      </w:r>
    </w:p>
  </w:footnote>
  <w:footnote w:id="35">
    <w:p w14:paraId="79B02FF2" w14:textId="5C323FA8" w:rsidR="006D7913" w:rsidRPr="002457AE" w:rsidRDefault="006D7913" w:rsidP="002457AE">
      <w:pPr>
        <w:pStyle w:val="FootnoteText"/>
      </w:pPr>
      <w:r w:rsidRPr="002457AE">
        <w:tab/>
      </w:r>
      <w:r w:rsidRPr="00E1363B">
        <w:rPr>
          <w:rStyle w:val="FootnoteReference"/>
        </w:rPr>
        <w:footnoteRef/>
      </w:r>
      <w:r w:rsidRPr="002457AE">
        <w:tab/>
        <w:t xml:space="preserve">Submission by Malaysia, referring to the Dangerous Drugs Act (Amendment) 2017 Bill passed by the Upper House on 14 December 2017. See also </w:t>
      </w:r>
      <w:hyperlink r:id="rId4" w:history="1">
        <w:r w:rsidRPr="00BE63DC">
          <w:rPr>
            <w:rStyle w:val="Hyperlink"/>
          </w:rPr>
          <w:t>www.amnesty.org/download/Documents/ACT5079552018ENGLISH.PDF</w:t>
        </w:r>
      </w:hyperlink>
      <w:r w:rsidRPr="002457AE">
        <w:t xml:space="preserve">, </w:t>
      </w:r>
      <w:r>
        <w:t>p.</w:t>
      </w:r>
      <w:r w:rsidRPr="002457AE">
        <w:t xml:space="preserve"> 11.</w:t>
      </w:r>
    </w:p>
  </w:footnote>
  <w:footnote w:id="36">
    <w:p w14:paraId="772C5145" w14:textId="0EC0F2B7" w:rsidR="006D7913" w:rsidRPr="002457AE" w:rsidRDefault="006D7913" w:rsidP="002457AE">
      <w:pPr>
        <w:pStyle w:val="FootnoteText"/>
      </w:pPr>
      <w:r w:rsidRPr="002457AE">
        <w:tab/>
      </w:r>
      <w:r w:rsidRPr="00E1363B">
        <w:rPr>
          <w:rStyle w:val="FootnoteReference"/>
        </w:rPr>
        <w:footnoteRef/>
      </w:r>
      <w:r w:rsidRPr="002457AE">
        <w:tab/>
        <w:t>S</w:t>
      </w:r>
      <w:r>
        <w:t xml:space="preserve">enate Bill </w:t>
      </w:r>
      <w:r w:rsidRPr="002457AE">
        <w:t>16, signed into law on 11 April 2017.</w:t>
      </w:r>
    </w:p>
  </w:footnote>
  <w:footnote w:id="37">
    <w:p w14:paraId="7A36B5BB" w14:textId="1B2C126D" w:rsidR="006D7913" w:rsidRPr="002457AE" w:rsidRDefault="006D7913" w:rsidP="002457AE">
      <w:pPr>
        <w:pStyle w:val="FootnoteText"/>
      </w:pPr>
      <w:r w:rsidRPr="002457AE">
        <w:tab/>
      </w:r>
      <w:r w:rsidRPr="00E1363B">
        <w:rPr>
          <w:rStyle w:val="FootnoteReference"/>
        </w:rPr>
        <w:footnoteRef/>
      </w:r>
      <w:r w:rsidRPr="002457AE">
        <w:tab/>
        <w:t>S</w:t>
      </w:r>
      <w:r>
        <w:t xml:space="preserve">enate Bill </w:t>
      </w:r>
      <w:r w:rsidRPr="002457AE">
        <w:t xml:space="preserve">280, signed into law on 13 March 2017. </w:t>
      </w:r>
    </w:p>
  </w:footnote>
  <w:footnote w:id="38">
    <w:p w14:paraId="1FE6B5E8" w14:textId="47F6807F" w:rsidR="006D7913" w:rsidRPr="00256810" w:rsidRDefault="006D7913" w:rsidP="002457AE">
      <w:pPr>
        <w:pStyle w:val="FootnoteText"/>
      </w:pPr>
      <w:r w:rsidRPr="002457AE">
        <w:tab/>
      </w:r>
      <w:r w:rsidRPr="00E1363B">
        <w:rPr>
          <w:rStyle w:val="FootnoteReference"/>
        </w:rPr>
        <w:footnoteRef/>
      </w:r>
      <w:r w:rsidRPr="002457AE">
        <w:tab/>
      </w:r>
      <w:r w:rsidRPr="00AE022A">
        <w:rPr>
          <w:i/>
        </w:rPr>
        <w:t>Kentucky v. Bredhold</w:t>
      </w:r>
      <w:r w:rsidRPr="002457AE">
        <w:t xml:space="preserve">, </w:t>
      </w:r>
      <w:r>
        <w:t xml:space="preserve">case </w:t>
      </w:r>
      <w:r w:rsidRPr="002457AE">
        <w:t>No. 14</w:t>
      </w:r>
      <w:r>
        <w:t>-</w:t>
      </w:r>
      <w:r w:rsidRPr="002457AE">
        <w:t>CR</w:t>
      </w:r>
      <w:r>
        <w:t>-</w:t>
      </w:r>
      <w:r w:rsidRPr="002457AE">
        <w:t xml:space="preserve">161, </w:t>
      </w:r>
      <w:r>
        <w:t xml:space="preserve">ruling of 1 August 2017, p. </w:t>
      </w:r>
      <w:r w:rsidRPr="002457AE">
        <w:t xml:space="preserve">11. See also </w:t>
      </w:r>
      <w:hyperlink r:id="rId5" w:history="1">
        <w:r w:rsidRPr="00DA5560">
          <w:rPr>
            <w:rStyle w:val="Hyperlink"/>
          </w:rPr>
          <w:t>www.americanbar.org/content/dam/aba/images/abanews/mym2018res/111.pdf</w:t>
        </w:r>
      </w:hyperlink>
      <w:r w:rsidRPr="00256810">
        <w:t xml:space="preserve">. </w:t>
      </w:r>
    </w:p>
  </w:footnote>
  <w:footnote w:id="39">
    <w:p w14:paraId="70DD3934" w14:textId="29493905" w:rsidR="006D7913" w:rsidRPr="002457AE"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457AE">
        <w:t>CCPR/C/BGD/CO/1, para</w:t>
      </w:r>
      <w:r>
        <w:t>.</w:t>
      </w:r>
      <w:r w:rsidRPr="002457AE">
        <w:t xml:space="preserve"> </w:t>
      </w:r>
      <w:r w:rsidRPr="00AE022A">
        <w:rPr>
          <w:lang w:val="es-ES"/>
        </w:rPr>
        <w:t>24; CRC/C/BRB/CO/2, para. 63 (f); CCPR/C/BFA/CO/1, para. 22 (also</w:t>
      </w:r>
      <w:r w:rsidR="00137958">
        <w:rPr>
          <w:lang w:val="es-ES"/>
        </w:rPr>
        <w:t> </w:t>
      </w:r>
      <w:r w:rsidRPr="00AE022A">
        <w:rPr>
          <w:lang w:val="es-ES"/>
        </w:rPr>
        <w:t xml:space="preserve">CEDAW/C/BFA/CO/7, para. 58); CCPR/C/CMR/CO/5, para. 24; CCPR/C/COD/CO/4, para. 24; CCPR/C/GHA/CO/1, para. 20; CRPD/C/GTM/CO/1, para. 8; CRC/C/HTI/CO/2-3, para. 74; CCPR/C/JAM/CO/4, para. 36; CCPR/C/JOR/CO/5, para. 15; CCPR/C/KAZ/CO/2, para. 16; CCPR/C/KWT/CO/3, para. 23; CCPR/C/LBN/CO/3, para. 22; CRC/C/MWI/CO/3-5, para. 45 (d); CCPR/C/MUS/CO/5, para. 18; CCPR/C/MAR/CO/6, para. 20; CEDAW/C/NER/CO/3-4, para. 49; CEDAW/C/NGA/CO/7-8, para. 52 (also CMW/C/NGA/CO/1, para. 14); CCPR/C/PAK/CO/1, para. 18; CAT/C/KOR/CO/3-5, para. 30; CERD/C/LKA/CO/10-17, para. </w:t>
      </w:r>
      <w:r w:rsidRPr="002457AE">
        <w:t>31; CCPR/C/SWZ/CO/1, para</w:t>
      </w:r>
      <w:r>
        <w:t>.</w:t>
      </w:r>
      <w:r w:rsidRPr="002457AE">
        <w:t xml:space="preserve"> 31; </w:t>
      </w:r>
      <w:r>
        <w:t xml:space="preserve">and </w:t>
      </w:r>
      <w:r w:rsidRPr="002457AE">
        <w:t>CCPR/C/THA/CO/2, para</w:t>
      </w:r>
      <w:r>
        <w:t>.</w:t>
      </w:r>
      <w:r w:rsidRPr="002457AE">
        <w:t xml:space="preserve"> 18. </w:t>
      </w:r>
    </w:p>
  </w:footnote>
  <w:footnote w:id="40">
    <w:p w14:paraId="71E87B5F" w14:textId="4CDAAA1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457AE">
        <w:t>A/HRC/37/17.</w:t>
      </w:r>
    </w:p>
  </w:footnote>
  <w:footnote w:id="41">
    <w:p w14:paraId="5286C8AE" w14:textId="735120DB"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Jadhav Case (India v. Pakistan)</w:t>
      </w:r>
      <w:r w:rsidRPr="00256810">
        <w:rPr>
          <w:rFonts w:eastAsia="Arial Unicode MS" w:hAnsi="Arial Unicode MS" w:cs="Arial Unicode MS"/>
        </w:rPr>
        <w:t xml:space="preserve">, </w:t>
      </w:r>
      <w:r>
        <w:rPr>
          <w:rFonts w:eastAsia="Arial Unicode MS" w:hAnsi="Arial Unicode MS" w:cs="Arial Unicode MS"/>
        </w:rPr>
        <w:t>p</w:t>
      </w:r>
      <w:r w:rsidRPr="00256810">
        <w:rPr>
          <w:rFonts w:eastAsia="Arial Unicode MS" w:hAnsi="Arial Unicode MS" w:cs="Arial Unicode MS"/>
        </w:rPr>
        <w:t xml:space="preserve">ress </w:t>
      </w:r>
      <w:r>
        <w:rPr>
          <w:rFonts w:eastAsia="Arial Unicode MS" w:hAnsi="Arial Unicode MS" w:cs="Arial Unicode MS"/>
        </w:rPr>
        <w:t>r</w:t>
      </w:r>
      <w:r w:rsidRPr="00256810">
        <w:rPr>
          <w:rFonts w:eastAsia="Arial Unicode MS" w:hAnsi="Arial Unicode MS" w:cs="Arial Unicode MS"/>
        </w:rPr>
        <w:t>elease No.</w:t>
      </w:r>
      <w:r>
        <w:rPr>
          <w:rFonts w:eastAsia="Arial Unicode MS" w:hAnsi="Arial Unicode MS" w:cs="Arial Unicode MS"/>
        </w:rPr>
        <w:t xml:space="preserve"> </w:t>
      </w:r>
      <w:r w:rsidRPr="00256810">
        <w:rPr>
          <w:rFonts w:eastAsia="Arial Unicode MS" w:hAnsi="Arial Unicode MS" w:cs="Arial Unicode MS"/>
        </w:rPr>
        <w:t>2017/22, 18 May 2017.</w:t>
      </w:r>
    </w:p>
  </w:footnote>
  <w:footnote w:id="42">
    <w:p w14:paraId="17CD9F3E" w14:textId="17A591E6" w:rsidR="006D7913" w:rsidRPr="00256810" w:rsidRDefault="006D7913" w:rsidP="001C04A0">
      <w:pPr>
        <w:pStyle w:val="FootnoteText"/>
      </w:pPr>
      <w:r w:rsidRPr="00256810">
        <w:tab/>
      </w:r>
      <w:r w:rsidRPr="00E1363B">
        <w:rPr>
          <w:rStyle w:val="FootnoteReference"/>
        </w:rPr>
        <w:footnoteRef/>
      </w:r>
      <w:r w:rsidRPr="00256810">
        <w:tab/>
      </w:r>
      <w:r w:rsidRPr="00AE022A">
        <w:rPr>
          <w:i/>
        </w:rPr>
        <w:t>Application of the Convention on the Prevention and Punishment of the Crime of Genocide (Bosnia and Herzegovina v. Serbia and Montenegro)</w:t>
      </w:r>
      <w:r>
        <w:rPr>
          <w:i/>
        </w:rPr>
        <w:t>,</w:t>
      </w:r>
      <w:r w:rsidRPr="00AE022A">
        <w:rPr>
          <w:i/>
        </w:rPr>
        <w:t>Provisional measures, Order of 13 September 1993, I</w:t>
      </w:r>
      <w:r>
        <w:rPr>
          <w:i/>
        </w:rPr>
        <w:t>.</w:t>
      </w:r>
      <w:r w:rsidRPr="00AE022A">
        <w:rPr>
          <w:i/>
        </w:rPr>
        <w:t>C</w:t>
      </w:r>
      <w:r>
        <w:rPr>
          <w:i/>
        </w:rPr>
        <w:t>.</w:t>
      </w:r>
      <w:r w:rsidRPr="00AE022A">
        <w:rPr>
          <w:i/>
        </w:rPr>
        <w:t>J</w:t>
      </w:r>
      <w:r>
        <w:rPr>
          <w:i/>
        </w:rPr>
        <w:t>.</w:t>
      </w:r>
      <w:r w:rsidRPr="00AE022A">
        <w:rPr>
          <w:i/>
        </w:rPr>
        <w:t xml:space="preserve"> Reports 1993</w:t>
      </w:r>
      <w:r w:rsidRPr="00256810">
        <w:t xml:space="preserve">, </w:t>
      </w:r>
      <w:r>
        <w:t xml:space="preserve">p. </w:t>
      </w:r>
      <w:r w:rsidRPr="00256810">
        <w:t>325.</w:t>
      </w:r>
    </w:p>
  </w:footnote>
  <w:footnote w:id="43">
    <w:p w14:paraId="4662D3CE" w14:textId="45DAE90A" w:rsidR="006D7913" w:rsidRPr="002457AE"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General comment No. 4 (2017) on the implementation of article 3 in the context of article 22.</w:t>
      </w:r>
    </w:p>
  </w:footnote>
  <w:footnote w:id="44">
    <w:p w14:paraId="58646E36" w14:textId="3F7E4C91"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CAT/C/BLR/CO/5, para</w:t>
      </w:r>
      <w:r>
        <w:rPr>
          <w:rFonts w:eastAsia="Arial Unicode MS" w:hAnsi="Arial Unicode MS" w:cs="Arial Unicode MS"/>
        </w:rPr>
        <w:t>.</w:t>
      </w:r>
      <w:r w:rsidRPr="00256810">
        <w:rPr>
          <w:rFonts w:eastAsia="Arial Unicode MS" w:hAnsi="Arial Unicode MS" w:cs="Arial Unicode MS"/>
        </w:rPr>
        <w:t xml:space="preserve"> 55.</w:t>
      </w:r>
    </w:p>
  </w:footnote>
  <w:footnote w:id="45">
    <w:p w14:paraId="1FE4E86F" w14:textId="5E8DF856"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www.oas.org/es/cidh/decisiones/pdf/2017/9-17MC156-17-US.pdf</w:t>
      </w:r>
      <w:r>
        <w:rPr>
          <w:rFonts w:eastAsia="Arial Unicode MS" w:hAnsi="Arial Unicode MS" w:cs="Arial Unicode MS"/>
        </w:rPr>
        <w:t>.</w:t>
      </w:r>
    </w:p>
  </w:footnote>
  <w:footnote w:id="46">
    <w:p w14:paraId="2BB5A37F" w14:textId="74655BAD" w:rsidR="006D7913" w:rsidRPr="00256810" w:rsidRDefault="006D7913" w:rsidP="001C04A0">
      <w:pPr>
        <w:pStyle w:val="FootnoteText"/>
      </w:pPr>
      <w:r w:rsidRPr="00256810">
        <w:rPr>
          <w:rFonts w:eastAsia="Arial Unicode MS" w:hAnsi="Arial Unicode MS" w:cs="Arial Unicode MS"/>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6" w:history="1">
        <w:r w:rsidRPr="00BE63DC">
          <w:rPr>
            <w:rStyle w:val="Hyperlink"/>
          </w:rPr>
          <w:t>https://president.mn/en/2018/04/02/president-battulga-to-present-to-parliament-draft-bill-on-reinstating-capital-punishment-for-child-sexual-abuse-offenses/</w:t>
        </w:r>
      </w:hyperlink>
      <w:r w:rsidRPr="002457AE">
        <w:t xml:space="preserve">; </w:t>
      </w:r>
      <w:r>
        <w:t xml:space="preserve">and </w:t>
      </w:r>
      <w:hyperlink r:id="rId7" w:history="1">
        <w:r w:rsidRPr="002457AE">
          <w:t>https://president.mn/en/2018/04/05/president-battulga-gives-speech-at-opening-of-parliaments-spring-session/</w:t>
        </w:r>
      </w:hyperlink>
      <w:r>
        <w:t>.</w:t>
      </w:r>
    </w:p>
  </w:footnote>
  <w:footnote w:id="47">
    <w:p w14:paraId="724E0950" w14:textId="5A88DDFD" w:rsidR="006D7913" w:rsidRPr="00AE022A" w:rsidRDefault="006D7913" w:rsidP="001C04A0">
      <w:pPr>
        <w:pStyle w:val="FootnoteText"/>
        <w:rPr>
          <w:lang w:val="en-GB"/>
        </w:rPr>
      </w:pPr>
      <w:r w:rsidRPr="00D222E0">
        <w:rPr>
          <w:rFonts w:eastAsia="Arial Unicode MS" w:hAnsi="Arial Unicode MS" w:cs="Arial Unicode MS"/>
        </w:rPr>
        <w:tab/>
      </w:r>
      <w:r w:rsidRPr="00E1363B">
        <w:rPr>
          <w:rStyle w:val="FootnoteReference"/>
        </w:rPr>
        <w:footnoteRef/>
      </w:r>
      <w:r w:rsidRPr="00AE022A">
        <w:rPr>
          <w:rFonts w:eastAsia="Arial Unicode MS" w:hAnsi="Arial Unicode MS" w:cs="Arial Unicode MS"/>
          <w:lang w:val="en-GB"/>
        </w:rPr>
        <w:tab/>
        <w:t>See www.penalreform.org/wp-content/uploads/2018/04/PRI_Global-Prison-Trends-2018_EN_WEB.pdf, p. 13.</w:t>
      </w:r>
    </w:p>
  </w:footnote>
  <w:footnote w:id="48">
    <w:p w14:paraId="36C83B86" w14:textId="0D470418" w:rsidR="006D7913" w:rsidRPr="00AE022A" w:rsidRDefault="006D7913" w:rsidP="001C04A0">
      <w:pPr>
        <w:pStyle w:val="FootnoteText"/>
        <w:rPr>
          <w:lang w:val="en-GB"/>
        </w:rPr>
      </w:pPr>
      <w:r w:rsidRPr="00AE022A">
        <w:rPr>
          <w:rFonts w:eastAsia="Arial Unicode MS" w:hAnsi="Arial Unicode MS" w:cs="Arial Unicode MS"/>
          <w:lang w:val="en-GB"/>
        </w:rPr>
        <w:tab/>
      </w:r>
      <w:r w:rsidRPr="00E1363B">
        <w:rPr>
          <w:rStyle w:val="FootnoteReference"/>
        </w:rPr>
        <w:footnoteRef/>
      </w:r>
      <w:r w:rsidRPr="00AE022A">
        <w:rPr>
          <w:rFonts w:eastAsia="Arial Unicode MS" w:hAnsi="Arial Unicode MS" w:cs="Arial Unicode MS"/>
          <w:lang w:val="en-GB"/>
        </w:rPr>
        <w:tab/>
        <w:t xml:space="preserve">See </w:t>
      </w:r>
      <w:hyperlink r:id="rId8" w:history="1">
        <w:r w:rsidRPr="00AE022A">
          <w:rPr>
            <w:rStyle w:val="Hyperlink"/>
            <w:lang w:val="en-GB"/>
          </w:rPr>
          <w:t>www.trtworld.com/turkey/turkey-will-reinstate-death-penalty-soon-erdogan-217431</w:t>
        </w:r>
      </w:hyperlink>
      <w:r w:rsidRPr="00AE022A">
        <w:rPr>
          <w:lang w:val="en-GB"/>
        </w:rPr>
        <w:t>.</w:t>
      </w:r>
    </w:p>
  </w:footnote>
  <w:footnote w:id="49">
    <w:p w14:paraId="3AA04817" w14:textId="4502E1CA" w:rsidR="006D7913" w:rsidRPr="00AE022A" w:rsidRDefault="006D7913" w:rsidP="001C04A0">
      <w:pPr>
        <w:pStyle w:val="FootnoteText"/>
        <w:rPr>
          <w:lang w:val="en-GB"/>
        </w:rPr>
      </w:pPr>
      <w:r w:rsidRPr="00AE022A">
        <w:rPr>
          <w:rFonts w:eastAsia="Arial Unicode MS" w:hAnsi="Arial Unicode MS" w:cs="Arial Unicode MS"/>
          <w:lang w:val="en-GB"/>
        </w:rPr>
        <w:tab/>
      </w:r>
      <w:r w:rsidRPr="00E1363B">
        <w:rPr>
          <w:rStyle w:val="FootnoteReference"/>
        </w:rPr>
        <w:footnoteRef/>
      </w:r>
      <w:r w:rsidRPr="00AE022A">
        <w:rPr>
          <w:rFonts w:eastAsia="Arial Unicode MS" w:hAnsi="Arial Unicode MS" w:cs="Arial Unicode MS"/>
          <w:lang w:val="en-GB"/>
        </w:rPr>
        <w:tab/>
        <w:t xml:space="preserve">See </w:t>
      </w:r>
      <w:hyperlink r:id="rId9" w:history="1">
        <w:r w:rsidRPr="00AE022A">
          <w:rPr>
            <w:rStyle w:val="Hyperlink"/>
            <w:rFonts w:eastAsia="Arial Unicode MS" w:hAnsi="Arial Unicode MS" w:cs="Arial Unicode MS"/>
            <w:szCs w:val="18"/>
            <w:lang w:val="en-GB"/>
          </w:rPr>
          <w:t>www.ohchr.org/Documents/Countries/PH/OpenLetterHC_DeathPenalty.pdf</w:t>
        </w:r>
      </w:hyperlink>
      <w:r w:rsidRPr="00AE022A">
        <w:rPr>
          <w:rFonts w:eastAsia="Arial Unicode MS" w:hAnsi="Arial Unicode MS" w:cs="Arial Unicode MS"/>
          <w:lang w:val="en-GB"/>
        </w:rPr>
        <w:t xml:space="preserve">; </w:t>
      </w:r>
      <w:hyperlink r:id="rId10" w:history="1">
        <w:r w:rsidRPr="00AE022A">
          <w:rPr>
            <w:rStyle w:val="Hyperlink"/>
            <w:rFonts w:eastAsia="Arial Unicode MS" w:hAnsi="Arial Unicode MS" w:cs="Arial Unicode MS"/>
            <w:szCs w:val="18"/>
            <w:lang w:val="en-GB"/>
          </w:rPr>
          <w:t>www.ohchr.org/Documents/HRBodies/CCPR/NV_from_HRC_ThePhilippines_28March2017.pdf</w:t>
        </w:r>
      </w:hyperlink>
      <w:r w:rsidRPr="00AE022A">
        <w:rPr>
          <w:rFonts w:eastAsia="Arial Unicode MS" w:hAnsi="Arial Unicode MS" w:cs="Arial Unicode MS"/>
          <w:lang w:val="en-GB"/>
        </w:rPr>
        <w:t xml:space="preserve">; </w:t>
      </w:r>
      <w:hyperlink r:id="rId11" w:history="1">
        <w:r w:rsidRPr="00AE022A">
          <w:rPr>
            <w:rStyle w:val="Hyperlink"/>
            <w:rFonts w:eastAsia="Arial Unicode MS" w:hAnsi="Arial Unicode MS" w:cs="Arial Unicode MS"/>
            <w:szCs w:val="18"/>
            <w:u w:color="000000"/>
            <w:lang w:val="en-GB"/>
          </w:rPr>
          <w:t>https://spcommreports.ohchr.org/TMResultsBase/DownLoadPublic</w:t>
        </w:r>
        <w:r w:rsidRPr="00AE022A">
          <w:rPr>
            <w:rStyle w:val="Hyperlink"/>
            <w:rFonts w:eastAsia="Arial Unicode MS" w:hAnsi="Arial Unicode MS" w:cs="Arial Unicode MS"/>
            <w:szCs w:val="18"/>
            <w:u w:color="000000"/>
            <w:lang w:val="en-GB"/>
          </w:rPr>
          <w:br/>
          <w:t>CommunicationFile?gId=22903</w:t>
        </w:r>
      </w:hyperlink>
      <w:r w:rsidRPr="00AE022A">
        <w:rPr>
          <w:rStyle w:val="Hyperlink2"/>
          <w:rFonts w:eastAsia="Arial Unicode MS" w:hAnsi="Arial Unicode MS" w:cs="Arial Unicode MS"/>
          <w:lang w:val="en-GB"/>
        </w:rPr>
        <w:t xml:space="preserve">; and </w:t>
      </w:r>
      <w:hyperlink r:id="rId12" w:history="1">
        <w:r w:rsidRPr="00AE022A">
          <w:rPr>
            <w:rStyle w:val="Hyperlink"/>
            <w:rFonts w:eastAsia="Arial Unicode MS" w:hAnsi="Arial Unicode MS" w:cs="Arial Unicode MS"/>
            <w:szCs w:val="18"/>
            <w:lang w:val="en-GB"/>
          </w:rPr>
          <w:t>www.ohchr.org/EN/NewsEvents/Pages/DisplayNews.aspx?</w:t>
        </w:r>
        <w:r w:rsidRPr="00AE022A">
          <w:rPr>
            <w:rStyle w:val="Hyperlink"/>
            <w:rFonts w:eastAsia="Arial Unicode MS" w:hAnsi="Arial Unicode MS" w:cs="Arial Unicode MS"/>
            <w:szCs w:val="18"/>
            <w:lang w:val="en-GB"/>
          </w:rPr>
          <w:br/>
          <w:t>NewsID=21388&amp;LangID=E</w:t>
        </w:r>
      </w:hyperlink>
      <w:r w:rsidRPr="00AE022A">
        <w:rPr>
          <w:rStyle w:val="Hyperlink2"/>
          <w:rFonts w:eastAsia="Arial Unicode MS" w:hAnsi="Arial Unicode MS" w:cs="Arial Unicode MS"/>
          <w:lang w:val="en-GB"/>
        </w:rPr>
        <w:t>.</w:t>
      </w:r>
    </w:p>
  </w:footnote>
  <w:footnote w:id="50">
    <w:p w14:paraId="31FA6DFA" w14:textId="4697E035" w:rsidR="006D7913" w:rsidRPr="00256810" w:rsidRDefault="006D7913" w:rsidP="001C04A0">
      <w:pPr>
        <w:pStyle w:val="FootnoteText"/>
      </w:pPr>
      <w:r w:rsidRPr="00AE022A">
        <w:rPr>
          <w:rFonts w:eastAsia="Arial Unicode MS" w:hAnsi="Arial Unicode MS" w:cs="Arial Unicode MS"/>
          <w:lang w:val="en-GB"/>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A/HRC/36/12</w:t>
      </w:r>
      <w:r>
        <w:rPr>
          <w:rFonts w:eastAsia="Arial Unicode MS" w:hAnsi="Arial Unicode MS" w:cs="Arial Unicode MS"/>
        </w:rPr>
        <w:t>.</w:t>
      </w:r>
    </w:p>
  </w:footnote>
  <w:footnote w:id="51">
    <w:p w14:paraId="6F59DE91"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Anti-Hijacking Act 2016.</w:t>
      </w:r>
    </w:p>
  </w:footnote>
  <w:footnote w:id="52">
    <w:p w14:paraId="65BC5D34" w14:textId="20EEC922"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 xml:space="preserve">Reportedly in Benue, Bauchi and Lagos </w:t>
      </w:r>
      <w:r>
        <w:rPr>
          <w:rFonts w:eastAsia="Arial Unicode MS" w:hAnsi="Arial Unicode MS" w:cs="Arial Unicode MS"/>
        </w:rPr>
        <w:t>S</w:t>
      </w:r>
      <w:r w:rsidRPr="00256810">
        <w:rPr>
          <w:rFonts w:eastAsia="Arial Unicode MS" w:hAnsi="Arial Unicode MS" w:cs="Arial Unicode MS"/>
        </w:rPr>
        <w:t>tates</w:t>
      </w:r>
      <w:r>
        <w:rPr>
          <w:rFonts w:eastAsia="Arial Unicode MS" w:hAnsi="Arial Unicode MS" w:cs="Arial Unicode MS"/>
        </w:rPr>
        <w:t>. See</w:t>
      </w:r>
      <w:r w:rsidR="004F0E22">
        <w:rPr>
          <w:rFonts w:eastAsia="Arial Unicode MS" w:hAnsi="Arial Unicode MS" w:cs="Arial Unicode MS"/>
        </w:rPr>
        <w:t xml:space="preserve"> </w:t>
      </w:r>
      <w:r w:rsidRPr="00256810">
        <w:rPr>
          <w:rFonts w:eastAsia="Arial Unicode MS" w:hAnsi="Arial Unicode MS" w:cs="Arial Unicode MS"/>
        </w:rPr>
        <w:t xml:space="preserve">www.amnesty.org/download/Documents/ACT5079552018ENGLISH.PDF, </w:t>
      </w:r>
      <w:r>
        <w:rPr>
          <w:rFonts w:eastAsia="Arial Unicode MS" w:hAnsi="Arial Unicode MS" w:cs="Arial Unicode MS"/>
        </w:rPr>
        <w:t>p.</w:t>
      </w:r>
      <w:r w:rsidRPr="00256810">
        <w:rPr>
          <w:rFonts w:eastAsia="Arial Unicode MS" w:hAnsi="Arial Unicode MS" w:cs="Arial Unicode MS"/>
        </w:rPr>
        <w:t xml:space="preserve"> 37. </w:t>
      </w:r>
    </w:p>
  </w:footnote>
  <w:footnote w:id="53">
    <w:p w14:paraId="06508FE7"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Terrorism (Suppression of Misuse of Radioactive Material) Act.</w:t>
      </w:r>
    </w:p>
  </w:footnote>
  <w:footnote w:id="54">
    <w:p w14:paraId="5BAD35A2"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Anti-Corruption Law 2017.</w:t>
      </w:r>
    </w:p>
  </w:footnote>
  <w:footnote w:id="55">
    <w:p w14:paraId="1EEF61D8" w14:textId="03A6E16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 xml:space="preserve">Submission by Abdorrahman Boroumand Center-Human Rights </w:t>
      </w:r>
      <w:r>
        <w:rPr>
          <w:rFonts w:eastAsia="Arial Unicode MS" w:hAnsi="Arial Unicode MS" w:cs="Arial Unicode MS"/>
        </w:rPr>
        <w:t>and Democracy for Iran</w:t>
      </w:r>
      <w:r w:rsidRPr="00256810">
        <w:rPr>
          <w:rFonts w:eastAsia="Arial Unicode MS" w:hAnsi="Arial Unicode MS" w:cs="Arial Unicode MS"/>
        </w:rPr>
        <w:t>.</w:t>
      </w:r>
    </w:p>
  </w:footnote>
  <w:footnote w:id="56">
    <w:p w14:paraId="608954B6" w14:textId="34216A1C"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www.ohchr.org/EN/NewsEvents/Pages/DisplayNews.aspx?NewsID=23186&amp;LangID=E</w:t>
      </w:r>
      <w:r>
        <w:rPr>
          <w:rFonts w:eastAsia="Arial Unicode MS" w:hAnsi="Arial Unicode MS" w:cs="Arial Unicode MS"/>
        </w:rPr>
        <w:t>.</w:t>
      </w:r>
    </w:p>
  </w:footnote>
  <w:footnote w:id="57">
    <w:p w14:paraId="0F83C1A2" w14:textId="2D1EFB4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Decree Law</w:t>
      </w:r>
      <w:r>
        <w:rPr>
          <w:rFonts w:ascii="Arial Unicode MS" w:eastAsia="Arial Unicode MS" w:cs="Arial Unicode MS"/>
        </w:rPr>
        <w:t xml:space="preserve"> </w:t>
      </w:r>
      <w:hyperlink r:id="rId13" w:history="1">
        <w:r w:rsidRPr="00256810">
          <w:rPr>
            <w:rStyle w:val="Hyperlink0"/>
            <w:rFonts w:eastAsia="Arial Unicode MS" w:hAnsi="Arial Unicode MS" w:cs="Arial Unicode MS"/>
          </w:rPr>
          <w:t>No.</w:t>
        </w:r>
        <w:r>
          <w:rPr>
            <w:rStyle w:val="Hyperlink0"/>
            <w:rFonts w:eastAsia="Arial Unicode MS" w:hAnsi="Arial Unicode MS" w:cs="Arial Unicode MS"/>
          </w:rPr>
          <w:t xml:space="preserve"> </w:t>
        </w:r>
        <w:r w:rsidRPr="00256810">
          <w:rPr>
            <w:rStyle w:val="Hyperlink0"/>
            <w:rFonts w:eastAsia="Arial Unicode MS" w:hAnsi="Arial Unicode MS" w:cs="Arial Unicode MS"/>
          </w:rPr>
          <w:t>7(2016</w:t>
        </w:r>
      </w:hyperlink>
      <w:r w:rsidRPr="00256810">
        <w:rPr>
          <w:rFonts w:eastAsia="Arial Unicode MS" w:hAnsi="Arial Unicode MS" w:cs="Arial Unicode MS"/>
        </w:rPr>
        <w:t>), 18 September 2016.</w:t>
      </w:r>
    </w:p>
  </w:footnote>
  <w:footnote w:id="58">
    <w:p w14:paraId="4CA80C76" w14:textId="6E3AEB7D"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Law No.</w:t>
      </w:r>
      <w:r>
        <w:rPr>
          <w:rFonts w:eastAsia="Arial Unicode MS" w:hAnsi="Arial Unicode MS" w:cs="Arial Unicode MS"/>
        </w:rPr>
        <w:t xml:space="preserve"> </w:t>
      </w:r>
      <w:r w:rsidRPr="00256810">
        <w:rPr>
          <w:rFonts w:eastAsia="Arial Unicode MS" w:hAnsi="Arial Unicode MS" w:cs="Arial Unicode MS"/>
        </w:rPr>
        <w:t>5 of 2018.</w:t>
      </w:r>
    </w:p>
  </w:footnote>
  <w:footnote w:id="59">
    <w:p w14:paraId="65F2F5F0" w14:textId="00F0712B"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Criminal Law (Amendment) Ordinance, 2018.</w:t>
      </w:r>
    </w:p>
  </w:footnote>
  <w:footnote w:id="60">
    <w:p w14:paraId="34D1E7AF" w14:textId="56E40453"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lang w:val="en-GB"/>
        </w:rPr>
        <w:tab/>
        <w:t>See www.achpr.org/files/sessions/59th/inter-act-reps/267/59os_inter_session_dp_comm_kayitesi_eng.pdf, para. 15.</w:t>
      </w:r>
    </w:p>
  </w:footnote>
  <w:footnote w:id="61">
    <w:p w14:paraId="73B1E2D6" w14:textId="0486C719"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www.amnesty.org/download/Documents/ACT5057402017ENGLISH.PDF.</w:t>
      </w:r>
    </w:p>
  </w:footnote>
  <w:footnote w:id="62">
    <w:p w14:paraId="0A5829C6" w14:textId="3972A725"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www.ohchr.org/EN/NewsEvents/Pages/DisplayNews.aspx?NewsID=21092&amp;LangID=E; and www.ohchr.org/EN/NewsEvents/Pages/DisplayNews.aspx?NewsID=21118&amp;LangID=E.</w:t>
      </w:r>
    </w:p>
  </w:footnote>
  <w:footnote w:id="63">
    <w:p w14:paraId="7347587C" w14:textId="021D8DF9"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www.kuna.net.kw/.</w:t>
      </w:r>
    </w:p>
  </w:footnote>
  <w:footnote w:id="64">
    <w:p w14:paraId="131A78CC" w14:textId="189062DA"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hAnsi="Arial Unicode MS" w:cs="Arial Unicode MS"/>
          <w:lang w:val="en-GB"/>
        </w:rPr>
        <w:tab/>
        <w:t>See www.petra.gov.jo</w:t>
      </w:r>
      <w:r w:rsidRPr="00AE022A">
        <w:rPr>
          <w:rFonts w:eastAsia="Arial Unicode MS" w:hAnsi="Arial Unicode MS" w:cs="Arial Unicode MS"/>
          <w:lang w:val="en-GB"/>
        </w:rPr>
        <w:t>.</w:t>
      </w:r>
    </w:p>
  </w:footnote>
  <w:footnote w:id="65">
    <w:p w14:paraId="7998E560" w14:textId="762D010F"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www.amnesty.org/download/Documents/ACT5079552018ENGLISH.PDF.</w:t>
      </w:r>
    </w:p>
  </w:footnote>
  <w:footnote w:id="66">
    <w:p w14:paraId="79A487B6" w14:textId="6F3E4A08"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http://bangkok.ohchr.org/news/press/Thaiexecution.aspx.</w:t>
      </w:r>
    </w:p>
  </w:footnote>
  <w:footnote w:id="67">
    <w:p w14:paraId="42F97970" w14:textId="378EA1AC"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vertAlign w:val="superscript"/>
          <w:lang w:val="en-GB"/>
        </w:rPr>
        <w:t xml:space="preserve"> </w:t>
      </w:r>
      <w:r w:rsidRPr="00AE022A">
        <w:rPr>
          <w:vertAlign w:val="superscript"/>
          <w:lang w:val="en-GB"/>
        </w:rPr>
        <w:tab/>
      </w:r>
      <w:r w:rsidRPr="00AE022A">
        <w:rPr>
          <w:rFonts w:eastAsia="Arial Unicode MS" w:hAnsi="Arial Unicode MS" w:cs="Arial Unicode MS"/>
          <w:lang w:val="en-GB"/>
        </w:rPr>
        <w:t>See www.un.org/sg/en/content/sg/statement/2017-10-10/secretary-generals-remarks-panel-%E2%80%9Ctransparency-and-death-penalty%E2%80%9D.</w:t>
      </w:r>
    </w:p>
  </w:footnote>
  <w:footnote w:id="68">
    <w:p w14:paraId="77B49AE6" w14:textId="410E4995"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lang w:val="en-GB"/>
        </w:rPr>
        <w:tab/>
        <w:t xml:space="preserve">See </w:t>
      </w:r>
      <w:r w:rsidRPr="00AE022A">
        <w:rPr>
          <w:rFonts w:eastAsia="Arial Unicode MS" w:hAnsi="Arial Unicode MS" w:cs="Arial Unicode MS"/>
          <w:lang w:val="en-GB"/>
        </w:rPr>
        <w:t xml:space="preserve">www.amnesty.org/download/Documents/ACT5079552018ENGLISH.PDF, p. 4; www.amnesty.org/download/Documents/ASA1758492017ENGLISH.PDF; and </w:t>
      </w:r>
      <w:hyperlink r:id="rId14" w:history="1">
        <w:r w:rsidRPr="00AE022A">
          <w:rPr>
            <w:rStyle w:val="Hyperlink"/>
            <w:rFonts w:eastAsia="Arial Unicode MS" w:hAnsi="Arial Unicode MS" w:cs="Arial Unicode MS"/>
            <w:szCs w:val="18"/>
            <w:lang w:val="en-GB"/>
          </w:rPr>
          <w:t>www.hri.global/files/2018/03/06/HRI-Death-Penalty-Report-2018.pdf</w:t>
        </w:r>
      </w:hyperlink>
      <w:r w:rsidRPr="00AE022A">
        <w:rPr>
          <w:rFonts w:eastAsia="Arial Unicode MS" w:hAnsi="Arial Unicode MS" w:cs="Arial Unicode MS"/>
          <w:lang w:val="en-GB"/>
        </w:rPr>
        <w:t>, pp. 25 and 29.</w:t>
      </w:r>
    </w:p>
  </w:footnote>
  <w:footnote w:id="69">
    <w:p w14:paraId="66A758E5" w14:textId="40DBA243" w:rsidR="006D7913" w:rsidRPr="00256810" w:rsidRDefault="006D7913" w:rsidP="001C04A0">
      <w:pPr>
        <w:pStyle w:val="FootnoteText"/>
      </w:pPr>
      <w:r w:rsidRPr="00AE022A">
        <w:rPr>
          <w:lang w:val="en-GB"/>
        </w:rPr>
        <w:tab/>
      </w:r>
      <w:r w:rsidRPr="00E1363B">
        <w:rPr>
          <w:rStyle w:val="FootnoteReference"/>
        </w:rPr>
        <w:footnoteRef/>
      </w:r>
      <w:r w:rsidRPr="00D222E0">
        <w:t xml:space="preserve"> </w:t>
      </w:r>
      <w:r w:rsidRPr="00D222E0">
        <w:tab/>
      </w:r>
      <w:r>
        <w:t xml:space="preserve">See </w:t>
      </w:r>
      <w:r w:rsidRPr="00256810">
        <w:rPr>
          <w:rFonts w:eastAsia="Arial Unicode MS" w:hAnsi="Arial Unicode MS" w:cs="Arial Unicode MS"/>
        </w:rPr>
        <w:t>CAT/C/BLR/CO/5, para</w:t>
      </w:r>
      <w:r>
        <w:rPr>
          <w:rFonts w:eastAsia="Arial Unicode MS" w:hAnsi="Arial Unicode MS" w:cs="Arial Unicode MS"/>
        </w:rPr>
        <w:t>.</w:t>
      </w:r>
      <w:r w:rsidRPr="00256810">
        <w:rPr>
          <w:rFonts w:eastAsia="Arial Unicode MS" w:hAnsi="Arial Unicode MS" w:cs="Arial Unicode MS"/>
        </w:rPr>
        <w:t xml:space="preserve"> 55. </w:t>
      </w:r>
      <w:r>
        <w:rPr>
          <w:rFonts w:eastAsia="Arial Unicode MS" w:hAnsi="Arial Unicode MS" w:cs="Arial Unicode MS"/>
        </w:rPr>
        <w:t xml:space="preserve">See also </w:t>
      </w:r>
      <w:r w:rsidRPr="00256810">
        <w:rPr>
          <w:rFonts w:eastAsia="Arial Unicode MS" w:hAnsi="Arial Unicode MS" w:cs="Arial Unicode MS"/>
        </w:rPr>
        <w:t>A/HRC/38/51, para</w:t>
      </w:r>
      <w:r>
        <w:rPr>
          <w:rFonts w:eastAsia="Arial Unicode MS" w:hAnsi="Arial Unicode MS" w:cs="Arial Unicode MS"/>
        </w:rPr>
        <w:t>.</w:t>
      </w:r>
      <w:r w:rsidRPr="00256810">
        <w:rPr>
          <w:rFonts w:eastAsia="Arial Unicode MS" w:hAnsi="Arial Unicode MS" w:cs="Arial Unicode MS"/>
        </w:rPr>
        <w:t xml:space="preserve"> 78</w:t>
      </w:r>
      <w:r>
        <w:rPr>
          <w:rFonts w:eastAsia="Arial Unicode MS" w:hAnsi="Arial Unicode MS" w:cs="Arial Unicode MS"/>
        </w:rPr>
        <w:t xml:space="preserve">: </w:t>
      </w:r>
      <w:r>
        <w:rPr>
          <w:rFonts w:eastAsia="Arial Unicode MS" w:hAnsi="Arial Unicode MS" w:cs="Arial Unicode MS"/>
        </w:rPr>
        <w:t>“</w:t>
      </w:r>
      <w:r w:rsidRPr="00256810">
        <w:rPr>
          <w:rFonts w:eastAsia="Arial Unicode MS" w:hAnsi="Arial Unicode MS" w:cs="Arial Unicode MS"/>
        </w:rPr>
        <w:t>The secrecy surrounding executions, and the fact that no details of executions or of places of burial are given to the families also amount to tortur</w:t>
      </w:r>
      <w:r>
        <w:rPr>
          <w:rFonts w:eastAsia="Arial Unicode MS" w:hAnsi="Arial Unicode MS" w:cs="Arial Unicode MS"/>
        </w:rPr>
        <w:t>e.</w:t>
      </w:r>
      <w:r w:rsidRPr="00256810">
        <w:rPr>
          <w:rFonts w:ascii="Arial Unicode MS" w:eastAsia="Arial Unicode MS" w:cs="Arial Unicode MS"/>
        </w:rPr>
        <w:t>”</w:t>
      </w:r>
    </w:p>
  </w:footnote>
  <w:footnote w:id="70">
    <w:p w14:paraId="3D0A4666" w14:textId="4A59D019"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 xml:space="preserve"> </w:t>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CCPR/C/JPN/CO/6</w:t>
      </w:r>
      <w:r>
        <w:rPr>
          <w:rFonts w:eastAsia="Arial Unicode MS" w:hAnsi="Arial Unicode MS" w:cs="Arial Unicode MS"/>
        </w:rPr>
        <w:t>,</w:t>
      </w:r>
      <w:r w:rsidRPr="00256810">
        <w:rPr>
          <w:rFonts w:eastAsia="Arial Unicode MS" w:hAnsi="Arial Unicode MS" w:cs="Arial Unicode MS"/>
        </w:rPr>
        <w:t xml:space="preserve"> </w:t>
      </w:r>
      <w:r>
        <w:rPr>
          <w:rFonts w:eastAsia="Arial Unicode MS" w:hAnsi="Arial Unicode MS" w:cs="Arial Unicode MS"/>
        </w:rPr>
        <w:t>p</w:t>
      </w:r>
      <w:r w:rsidRPr="00256810">
        <w:rPr>
          <w:rFonts w:eastAsia="Arial Unicode MS" w:hAnsi="Arial Unicode MS" w:cs="Arial Unicode MS"/>
        </w:rPr>
        <w:t xml:space="preserve">ara. 13; </w:t>
      </w:r>
      <w:r>
        <w:rPr>
          <w:rFonts w:eastAsia="Arial Unicode MS" w:hAnsi="Arial Unicode MS" w:cs="Arial Unicode MS"/>
        </w:rPr>
        <w:t xml:space="preserve">and </w:t>
      </w:r>
      <w:r w:rsidRPr="00256810">
        <w:rPr>
          <w:rFonts w:eastAsia="Arial Unicode MS" w:hAnsi="Arial Unicode MS" w:cs="Arial Unicode MS"/>
        </w:rPr>
        <w:t>CCPR/C/JPN/CO/5</w:t>
      </w:r>
      <w:r>
        <w:rPr>
          <w:rFonts w:eastAsia="Arial Unicode MS" w:hAnsi="Arial Unicode MS" w:cs="Arial Unicode MS"/>
        </w:rPr>
        <w:t>,</w:t>
      </w:r>
      <w:r w:rsidRPr="00256810">
        <w:rPr>
          <w:rFonts w:eastAsia="Arial Unicode MS" w:hAnsi="Arial Unicode MS" w:cs="Arial Unicode MS"/>
        </w:rPr>
        <w:t xml:space="preserve"> </w:t>
      </w:r>
      <w:r>
        <w:rPr>
          <w:rFonts w:eastAsia="Arial Unicode MS" w:hAnsi="Arial Unicode MS" w:cs="Arial Unicode MS"/>
        </w:rPr>
        <w:t>p</w:t>
      </w:r>
      <w:r w:rsidRPr="00256810">
        <w:rPr>
          <w:rFonts w:eastAsia="Arial Unicode MS" w:hAnsi="Arial Unicode MS" w:cs="Arial Unicode MS"/>
        </w:rPr>
        <w:t>ara</w:t>
      </w:r>
      <w:r>
        <w:rPr>
          <w:rFonts w:eastAsia="Arial Unicode MS" w:hAnsi="Arial Unicode MS" w:cs="Arial Unicode MS"/>
        </w:rPr>
        <w:t>.</w:t>
      </w:r>
      <w:r w:rsidRPr="00256810">
        <w:rPr>
          <w:rFonts w:eastAsia="Arial Unicode MS" w:hAnsi="Arial Unicode MS" w:cs="Arial Unicode MS"/>
        </w:rPr>
        <w:t xml:space="preserve"> 16. </w:t>
      </w:r>
    </w:p>
  </w:footnote>
  <w:footnote w:id="71">
    <w:p w14:paraId="4E3B7E89" w14:textId="449CA5C3" w:rsidR="006D7913" w:rsidRPr="00256810" w:rsidRDefault="006D7913" w:rsidP="001C04A0">
      <w:pPr>
        <w:pStyle w:val="FootnoteText"/>
        <w:spacing w:line="240" w:lineRule="auto"/>
      </w:pPr>
      <w:r w:rsidRPr="00256810">
        <w:tab/>
      </w:r>
      <w:r w:rsidRPr="00E1363B">
        <w:rPr>
          <w:rStyle w:val="FootnoteReference"/>
        </w:rPr>
        <w:footnoteRef/>
      </w:r>
      <w:r w:rsidRPr="00256810">
        <w:t xml:space="preserve"> </w:t>
      </w:r>
      <w:r w:rsidRPr="00256810">
        <w:tab/>
      </w:r>
      <w:r>
        <w:t xml:space="preserve">See </w:t>
      </w:r>
      <w:hyperlink r:id="rId15" w:history="1">
        <w:r w:rsidRPr="00BE63DC">
          <w:rPr>
            <w:rStyle w:val="Hyperlink"/>
            <w:szCs w:val="18"/>
          </w:rPr>
          <w:t>www.ohchr.org/EN/NewsEvents/Pages/DisplayNews.aspx</w:t>
        </w:r>
      </w:hyperlink>
      <w:r w:rsidRPr="00256810">
        <w:t xml:space="preserve">?NewsID=22166&amp;LangID=E. </w:t>
      </w:r>
    </w:p>
  </w:footnote>
  <w:footnote w:id="72">
    <w:p w14:paraId="5B72328C" w14:textId="48900062"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 xml:space="preserve"> </w:t>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www.ohchr.org/EN/HRBodies/CCPR/Pages/GC36-Article6Righttolife.aspx</w:t>
      </w:r>
      <w:r>
        <w:rPr>
          <w:rFonts w:eastAsia="Arial Unicode MS" w:hAnsi="Arial Unicode MS" w:cs="Arial Unicode MS"/>
        </w:rPr>
        <w:t>.</w:t>
      </w:r>
    </w:p>
  </w:footnote>
  <w:footnote w:id="73">
    <w:p w14:paraId="470A0A76" w14:textId="576B8192"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 xml:space="preserve"> </w:t>
      </w:r>
      <w:r w:rsidRPr="00256810">
        <w:rPr>
          <w:rFonts w:eastAsia="Arial Unicode MS" w:hAnsi="Arial Unicode MS" w:cs="Arial Unicode MS"/>
        </w:rPr>
        <w:tab/>
        <w:t>No countries appear to allow the execution of pregnant women, and there are no reports of any such executions in modern times (</w:t>
      </w:r>
      <w:r>
        <w:rPr>
          <w:rFonts w:eastAsia="Arial Unicode MS" w:hAnsi="Arial Unicode MS" w:cs="Arial Unicode MS"/>
        </w:rPr>
        <w:t xml:space="preserve">see </w:t>
      </w:r>
      <w:r w:rsidRPr="00256810">
        <w:rPr>
          <w:rFonts w:eastAsia="Arial Unicode MS" w:hAnsi="Arial Unicode MS" w:cs="Arial Unicode MS"/>
        </w:rPr>
        <w:t>E/2015/49, para</w:t>
      </w:r>
      <w:r>
        <w:rPr>
          <w:rFonts w:eastAsia="Arial Unicode MS" w:hAnsi="Arial Unicode MS" w:cs="Arial Unicode MS"/>
        </w:rPr>
        <w:t>.</w:t>
      </w:r>
      <w:r w:rsidRPr="00256810">
        <w:rPr>
          <w:rFonts w:eastAsia="Arial Unicode MS" w:hAnsi="Arial Unicode MS" w:cs="Arial Unicode MS"/>
        </w:rPr>
        <w:t xml:space="preserve"> 80). State submissions highlighted additional provisions in place with regard to women (e.g.</w:t>
      </w:r>
      <w:r>
        <w:rPr>
          <w:rFonts w:eastAsia="Arial Unicode MS" w:hAnsi="Arial Unicode MS" w:cs="Arial Unicode MS"/>
        </w:rPr>
        <w:t>,</w:t>
      </w:r>
      <w:r w:rsidRPr="00256810">
        <w:rPr>
          <w:rFonts w:eastAsia="Arial Unicode MS" w:hAnsi="Arial Unicode MS" w:cs="Arial Unicode MS"/>
        </w:rPr>
        <w:t xml:space="preserve"> Kazakhstan</w:t>
      </w:r>
      <w:r>
        <w:rPr>
          <w:rFonts w:eastAsia="Arial Unicode MS" w:hAnsi="Arial Unicode MS" w:cs="Arial Unicode MS"/>
        </w:rPr>
        <w:t xml:space="preserve"> and</w:t>
      </w:r>
      <w:r w:rsidRPr="00256810">
        <w:rPr>
          <w:rFonts w:eastAsia="Arial Unicode MS" w:hAnsi="Arial Unicode MS" w:cs="Arial Unicode MS"/>
        </w:rPr>
        <w:t xml:space="preserve"> Morocco).</w:t>
      </w:r>
    </w:p>
  </w:footnote>
  <w:footnote w:id="74">
    <w:p w14:paraId="67403665" w14:textId="5256B34D"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 xml:space="preserve"> </w:t>
      </w:r>
      <w:r w:rsidRPr="00256810">
        <w:rPr>
          <w:rFonts w:eastAsia="Arial Unicode MS" w:hAnsi="Arial Unicode MS" w:cs="Arial Unicode MS"/>
        </w:rPr>
        <w:tab/>
      </w:r>
      <w:r>
        <w:rPr>
          <w:rFonts w:eastAsia="Arial Unicode MS" w:hAnsi="Arial Unicode MS" w:cs="Arial Unicode MS"/>
        </w:rPr>
        <w:t xml:space="preserve">Economic and Social Council resolution </w:t>
      </w:r>
      <w:r w:rsidRPr="00256810">
        <w:rPr>
          <w:rFonts w:eastAsia="Arial Unicode MS" w:hAnsi="Arial Unicode MS" w:cs="Arial Unicode MS"/>
        </w:rPr>
        <w:t xml:space="preserve">1984/50; </w:t>
      </w:r>
      <w:r>
        <w:rPr>
          <w:rFonts w:eastAsia="Arial Unicode MS" w:hAnsi="Arial Unicode MS" w:cs="Arial Unicode MS"/>
        </w:rPr>
        <w:t xml:space="preserve">see also </w:t>
      </w:r>
      <w:r w:rsidRPr="00256810">
        <w:rPr>
          <w:rFonts w:eastAsia="Arial Unicode MS" w:hAnsi="Arial Unicode MS" w:cs="Arial Unicode MS"/>
        </w:rPr>
        <w:t>E/2015/49, para</w:t>
      </w:r>
      <w:r>
        <w:rPr>
          <w:rFonts w:eastAsia="Arial Unicode MS" w:hAnsi="Arial Unicode MS" w:cs="Arial Unicode MS"/>
        </w:rPr>
        <w:t>.</w:t>
      </w:r>
      <w:r w:rsidRPr="00256810">
        <w:rPr>
          <w:rFonts w:eastAsia="Arial Unicode MS" w:hAnsi="Arial Unicode MS" w:cs="Arial Unicode MS"/>
        </w:rPr>
        <w:t xml:space="preserve"> 60.</w:t>
      </w:r>
    </w:p>
  </w:footnote>
  <w:footnote w:id="75">
    <w:p w14:paraId="25739F41" w14:textId="02D6730A"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CCPR/C/LBN/CO/3, para</w:t>
      </w:r>
      <w:r>
        <w:rPr>
          <w:rFonts w:eastAsia="Arial Unicode MS" w:hAnsi="Arial Unicode MS" w:cs="Arial Unicode MS"/>
        </w:rPr>
        <w:t>.</w:t>
      </w:r>
      <w:r w:rsidRPr="00256810">
        <w:rPr>
          <w:rFonts w:eastAsia="Arial Unicode MS" w:hAnsi="Arial Unicode MS" w:cs="Arial Unicode MS"/>
        </w:rPr>
        <w:t xml:space="preserve"> 22; CCPR/C/48/D/470/1991; </w:t>
      </w:r>
      <w:r>
        <w:rPr>
          <w:rFonts w:eastAsia="Arial Unicode MS" w:hAnsi="Arial Unicode MS" w:cs="Arial Unicode MS"/>
        </w:rPr>
        <w:t xml:space="preserve">and </w:t>
      </w:r>
      <w:r w:rsidRPr="00256810">
        <w:rPr>
          <w:rFonts w:eastAsia="Arial Unicode MS" w:hAnsi="Arial Unicode MS" w:cs="Arial Unicode MS"/>
        </w:rPr>
        <w:t>A/67/275, para</w:t>
      </w:r>
      <w:r>
        <w:rPr>
          <w:rFonts w:eastAsia="Arial Unicode MS" w:hAnsi="Arial Unicode MS" w:cs="Arial Unicode MS"/>
        </w:rPr>
        <w:t>.</w:t>
      </w:r>
      <w:r w:rsidRPr="00256810">
        <w:rPr>
          <w:rFonts w:eastAsia="Arial Unicode MS" w:hAnsi="Arial Unicode MS" w:cs="Arial Unicode MS"/>
        </w:rPr>
        <w:t xml:space="preserve"> 66.</w:t>
      </w:r>
    </w:p>
  </w:footnote>
  <w:footnote w:id="76">
    <w:p w14:paraId="5FB13CEE" w14:textId="63297513"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 xml:space="preserve">See A/73/260 </w:t>
      </w:r>
      <w:r>
        <w:rPr>
          <w:rFonts w:eastAsia="Arial Unicode MS" w:hAnsi="Arial Unicode MS" w:cs="Arial Unicode MS"/>
        </w:rPr>
        <w:t xml:space="preserve">and </w:t>
      </w:r>
      <w:r w:rsidRPr="00256810">
        <w:rPr>
          <w:rFonts w:eastAsia="Arial Unicode MS" w:hAnsi="Arial Unicode MS" w:cs="Arial Unicode MS"/>
        </w:rPr>
        <w:t>A/HRC/39/39.</w:t>
      </w:r>
    </w:p>
  </w:footnote>
  <w:footnote w:id="77">
    <w:p w14:paraId="2D7B58C5" w14:textId="2EB5BD71"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For example, </w:t>
      </w:r>
      <w:r w:rsidRPr="00256810">
        <w:rPr>
          <w:rFonts w:eastAsia="Arial Unicode MS" w:hAnsi="Arial Unicode MS" w:cs="Arial Unicode MS"/>
        </w:rPr>
        <w:t>Saudi Arabia</w:t>
      </w:r>
      <w:r>
        <w:rPr>
          <w:rFonts w:eastAsia="Arial Unicode MS" w:hAnsi="Arial Unicode MS" w:cs="Arial Unicode MS"/>
        </w:rPr>
        <w:t xml:space="preserve"> (</w:t>
      </w:r>
      <w:r w:rsidRPr="00256810">
        <w:rPr>
          <w:rFonts w:eastAsia="Arial Unicode MS" w:hAnsi="Arial Unicode MS" w:cs="Arial Unicode MS"/>
        </w:rPr>
        <w:t>www.ohchr.org/EN/NewsEvents/Pages/DisplayNews.aspx?NewsID=22829&amp;LangID=E</w:t>
      </w:r>
      <w:r>
        <w:rPr>
          <w:rFonts w:eastAsia="Arial Unicode MS" w:hAnsi="Arial Unicode MS" w:cs="Arial Unicode MS"/>
        </w:rPr>
        <w:t>).</w:t>
      </w:r>
    </w:p>
  </w:footnote>
  <w:footnote w:id="78">
    <w:p w14:paraId="70093D07" w14:textId="6EFE2BFD"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For example, </w:t>
      </w:r>
      <w:r w:rsidRPr="00256810">
        <w:rPr>
          <w:rFonts w:eastAsia="Arial Unicode MS" w:hAnsi="Arial Unicode MS" w:cs="Arial Unicode MS"/>
        </w:rPr>
        <w:t>China</w:t>
      </w:r>
      <w:r>
        <w:rPr>
          <w:rFonts w:eastAsia="Arial Unicode MS" w:hAnsi="Arial Unicode MS" w:cs="Arial Unicode MS"/>
        </w:rPr>
        <w:t xml:space="preserve"> (</w:t>
      </w:r>
      <w:hyperlink r:id="rId16" w:history="1">
        <w:r w:rsidRPr="00BE63DC">
          <w:rPr>
            <w:rStyle w:val="Hyperlink"/>
            <w:rFonts w:eastAsia="Arial Unicode MS" w:hAnsi="Arial Unicode MS" w:cs="Arial Unicode MS"/>
            <w:szCs w:val="18"/>
            <w:lang w:val="en-US"/>
          </w:rPr>
          <w:t>www.amnesty.org/download/Documents/ACT5079552018</w:t>
        </w:r>
      </w:hyperlink>
      <w:r w:rsidRPr="00256810">
        <w:rPr>
          <w:rStyle w:val="Hyperlink0"/>
          <w:rFonts w:eastAsia="Arial Unicode MS" w:hAnsi="Arial Unicode MS" w:cs="Arial Unicode MS"/>
        </w:rPr>
        <w:t xml:space="preserve"> </w:t>
      </w:r>
      <w:r w:rsidRPr="00256810">
        <w:rPr>
          <w:rFonts w:eastAsia="Arial Unicode MS" w:hAnsi="Arial Unicode MS" w:cs="Arial Unicode MS"/>
        </w:rPr>
        <w:t xml:space="preserve">ENGLISH.PDF, </w:t>
      </w:r>
      <w:r>
        <w:rPr>
          <w:rFonts w:eastAsia="Arial Unicode MS" w:hAnsi="Arial Unicode MS" w:cs="Arial Unicode MS"/>
        </w:rPr>
        <w:t>p.</w:t>
      </w:r>
      <w:r w:rsidRPr="00256810">
        <w:rPr>
          <w:rFonts w:eastAsia="Arial Unicode MS" w:hAnsi="Arial Unicode MS" w:cs="Arial Unicode MS"/>
        </w:rPr>
        <w:t xml:space="preserve"> 10)</w:t>
      </w:r>
      <w:r>
        <w:rPr>
          <w:rFonts w:eastAsia="Arial Unicode MS" w:hAnsi="Arial Unicode MS" w:cs="Arial Unicode MS"/>
        </w:rPr>
        <w:t>;</w:t>
      </w:r>
      <w:r w:rsidRPr="00256810">
        <w:rPr>
          <w:rFonts w:eastAsia="Arial Unicode MS" w:hAnsi="Arial Unicode MS" w:cs="Arial Unicode MS"/>
        </w:rPr>
        <w:t xml:space="preserve"> Viet Nam (</w:t>
      </w:r>
      <w:r>
        <w:rPr>
          <w:rFonts w:eastAsia="Arial Unicode MS" w:hAnsi="Arial Unicode MS" w:cs="Arial Unicode MS"/>
        </w:rPr>
        <w:t xml:space="preserve">see </w:t>
      </w:r>
      <w:r w:rsidRPr="00256810">
        <w:rPr>
          <w:rFonts w:eastAsia="Arial Unicode MS" w:hAnsi="Arial Unicode MS" w:cs="Arial Unicode MS"/>
        </w:rPr>
        <w:t>CCPR/C/VNM/3, para</w:t>
      </w:r>
      <w:r>
        <w:rPr>
          <w:rFonts w:eastAsia="Arial Unicode MS" w:hAnsi="Arial Unicode MS" w:cs="Arial Unicode MS"/>
        </w:rPr>
        <w:t>.</w:t>
      </w:r>
      <w:r w:rsidRPr="00256810">
        <w:rPr>
          <w:rFonts w:eastAsia="Arial Unicode MS" w:hAnsi="Arial Unicode MS" w:cs="Arial Unicode MS"/>
        </w:rPr>
        <w:t xml:space="preserve"> 67)</w:t>
      </w:r>
      <w:r>
        <w:rPr>
          <w:rFonts w:eastAsia="Arial Unicode MS" w:hAnsi="Arial Unicode MS" w:cs="Arial Unicode MS"/>
        </w:rPr>
        <w:t>; and</w:t>
      </w:r>
      <w:r w:rsidRPr="00256810">
        <w:rPr>
          <w:rFonts w:eastAsia="Arial Unicode MS" w:hAnsi="Arial Unicode MS" w:cs="Arial Unicode MS"/>
        </w:rPr>
        <w:t xml:space="preserve"> Thailand (</w:t>
      </w:r>
      <w:r>
        <w:rPr>
          <w:rFonts w:eastAsia="Arial Unicode MS" w:hAnsi="Arial Unicode MS" w:cs="Arial Unicode MS"/>
        </w:rPr>
        <w:t xml:space="preserve">see </w:t>
      </w:r>
      <w:r w:rsidRPr="00256810">
        <w:rPr>
          <w:rFonts w:eastAsia="Arial Unicode MS" w:hAnsi="Arial Unicode MS" w:cs="Arial Unicode MS"/>
        </w:rPr>
        <w:t>CCPR/C/THA/CO/2, para</w:t>
      </w:r>
      <w:r>
        <w:rPr>
          <w:rFonts w:eastAsia="Arial Unicode MS" w:hAnsi="Arial Unicode MS" w:cs="Arial Unicode MS"/>
        </w:rPr>
        <w:t>.</w:t>
      </w:r>
      <w:r w:rsidRPr="00256810">
        <w:rPr>
          <w:rFonts w:eastAsia="Arial Unicode MS" w:hAnsi="Arial Unicode MS" w:cs="Arial Unicode MS"/>
        </w:rPr>
        <w:t xml:space="preserve"> 17).</w:t>
      </w:r>
    </w:p>
  </w:footnote>
  <w:footnote w:id="79">
    <w:p w14:paraId="2D772FFA" w14:textId="27EA77E1"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For example, </w:t>
      </w:r>
      <w:r w:rsidRPr="00256810">
        <w:rPr>
          <w:rFonts w:eastAsia="Arial Unicode MS" w:hAnsi="Arial Unicode MS" w:cs="Arial Unicode MS"/>
        </w:rPr>
        <w:t>Thailand (</w:t>
      </w:r>
      <w:r>
        <w:rPr>
          <w:rFonts w:eastAsia="Arial Unicode MS" w:hAnsi="Arial Unicode MS" w:cs="Arial Unicode MS"/>
        </w:rPr>
        <w:t xml:space="preserve">see </w:t>
      </w:r>
      <w:r w:rsidRPr="00256810">
        <w:rPr>
          <w:rFonts w:eastAsia="Arial Unicode MS" w:hAnsi="Arial Unicode MS" w:cs="Arial Unicode MS"/>
        </w:rPr>
        <w:t>CCPR/C/THA/CO/2, para</w:t>
      </w:r>
      <w:r>
        <w:rPr>
          <w:rFonts w:eastAsia="Arial Unicode MS" w:hAnsi="Arial Unicode MS" w:cs="Arial Unicode MS"/>
        </w:rPr>
        <w:t>.</w:t>
      </w:r>
      <w:r w:rsidRPr="00256810">
        <w:rPr>
          <w:rFonts w:eastAsia="Arial Unicode MS" w:hAnsi="Arial Unicode MS" w:cs="Arial Unicode MS"/>
        </w:rPr>
        <w:t xml:space="preserve"> 17).</w:t>
      </w:r>
    </w:p>
  </w:footnote>
  <w:footnote w:id="80">
    <w:p w14:paraId="50785C2A" w14:textId="2F7DEC6C"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For example, </w:t>
      </w:r>
      <w:r w:rsidRPr="00256810">
        <w:rPr>
          <w:rFonts w:eastAsia="Arial Unicode MS" w:hAnsi="Arial Unicode MS" w:cs="Arial Unicode MS"/>
        </w:rPr>
        <w:t xml:space="preserve">China (www.amnesty.org/download/Documents/ACT5079552018ENGLISH.PDF, </w:t>
      </w:r>
      <w:r>
        <w:rPr>
          <w:rFonts w:eastAsia="Arial Unicode MS" w:hAnsi="Arial Unicode MS" w:cs="Arial Unicode MS"/>
        </w:rPr>
        <w:t>p.</w:t>
      </w:r>
      <w:r w:rsidRPr="00256810">
        <w:rPr>
          <w:rFonts w:eastAsia="Arial Unicode MS" w:hAnsi="Arial Unicode MS" w:cs="Arial Unicode MS"/>
        </w:rPr>
        <w:t xml:space="preserve"> 10).</w:t>
      </w:r>
    </w:p>
  </w:footnote>
  <w:footnote w:id="81">
    <w:p w14:paraId="3474A900" w14:textId="0CE3BBB6"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For example, </w:t>
      </w:r>
      <w:r w:rsidRPr="00256810">
        <w:rPr>
          <w:rFonts w:eastAsia="Arial Unicode MS" w:hAnsi="Arial Unicode MS" w:cs="Arial Unicode MS"/>
        </w:rPr>
        <w:t>Bangladesh (</w:t>
      </w:r>
      <w:r>
        <w:rPr>
          <w:rFonts w:eastAsia="Arial Unicode MS" w:hAnsi="Arial Unicode MS" w:cs="Arial Unicode MS"/>
        </w:rPr>
        <w:t xml:space="preserve">see </w:t>
      </w:r>
      <w:r w:rsidRPr="00256810">
        <w:rPr>
          <w:rFonts w:eastAsia="Arial Unicode MS" w:hAnsi="Arial Unicode MS" w:cs="Arial Unicode MS"/>
        </w:rPr>
        <w:t>CCPR/C/BGD/CO/1, para</w:t>
      </w:r>
      <w:r>
        <w:rPr>
          <w:rFonts w:eastAsia="Arial Unicode MS" w:hAnsi="Arial Unicode MS" w:cs="Arial Unicode MS"/>
        </w:rPr>
        <w:t>.</w:t>
      </w:r>
      <w:r w:rsidRPr="00256810">
        <w:rPr>
          <w:rFonts w:eastAsia="Arial Unicode MS" w:hAnsi="Arial Unicode MS" w:cs="Arial Unicode MS"/>
        </w:rPr>
        <w:t xml:space="preserve"> 23).</w:t>
      </w:r>
    </w:p>
  </w:footnote>
  <w:footnote w:id="82">
    <w:p w14:paraId="3CDEE1A0" w14:textId="3EFCC3A0" w:rsidR="006D7913" w:rsidRPr="00AE022A" w:rsidRDefault="006D7913" w:rsidP="001C04A0">
      <w:pPr>
        <w:pStyle w:val="FootnoteText"/>
        <w:rPr>
          <w:lang w:val="en-GB"/>
        </w:rPr>
      </w:pPr>
      <w:r w:rsidRPr="00256810">
        <w:tab/>
      </w:r>
      <w:r w:rsidRPr="00E1363B">
        <w:rPr>
          <w:rStyle w:val="FootnoteReference"/>
        </w:rPr>
        <w:footnoteRef/>
      </w:r>
      <w:r w:rsidRPr="00AE022A">
        <w:rPr>
          <w:rFonts w:eastAsia="Arial Unicode MS" w:hAnsi="Arial Unicode MS" w:cs="Arial Unicode MS"/>
          <w:lang w:val="en-GB"/>
        </w:rPr>
        <w:tab/>
        <w:t>For example, Iraq (www.amnesty.org/download/Documents/ACT5079552018ENGLISH.PDF, p. 10).</w:t>
      </w:r>
    </w:p>
  </w:footnote>
  <w:footnote w:id="83">
    <w:p w14:paraId="4D8289C5" w14:textId="2645E0E4" w:rsidR="006D7913" w:rsidRPr="00256810" w:rsidRDefault="006D7913" w:rsidP="001C04A0">
      <w:pPr>
        <w:pStyle w:val="FootnoteText"/>
      </w:pPr>
      <w:r w:rsidRPr="00AE022A">
        <w:rPr>
          <w:lang w:val="en-GB"/>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For example, </w:t>
      </w:r>
      <w:r w:rsidRPr="00256810">
        <w:rPr>
          <w:rFonts w:eastAsia="Arial Unicode MS" w:hAnsi="Arial Unicode MS" w:cs="Arial Unicode MS"/>
        </w:rPr>
        <w:t>Pakistan (</w:t>
      </w:r>
      <w:r>
        <w:rPr>
          <w:rFonts w:eastAsia="Arial Unicode MS" w:hAnsi="Arial Unicode MS" w:cs="Arial Unicode MS"/>
        </w:rPr>
        <w:t xml:space="preserve">see </w:t>
      </w:r>
      <w:r w:rsidRPr="00256810">
        <w:rPr>
          <w:rFonts w:eastAsia="Arial Unicode MS" w:hAnsi="Arial Unicode MS" w:cs="Arial Unicode MS"/>
        </w:rPr>
        <w:t>CCPR/C/PAK/CO/1</w:t>
      </w:r>
      <w:r>
        <w:rPr>
          <w:rFonts w:eastAsia="Arial Unicode MS" w:hAnsi="Arial Unicode MS" w:cs="Arial Unicode MS"/>
        </w:rPr>
        <w:t>,</w:t>
      </w:r>
      <w:r w:rsidRPr="00256810">
        <w:rPr>
          <w:rFonts w:eastAsia="Arial Unicode MS" w:hAnsi="Arial Unicode MS" w:cs="Arial Unicode MS"/>
        </w:rPr>
        <w:t xml:space="preserve"> para</w:t>
      </w:r>
      <w:r>
        <w:rPr>
          <w:rFonts w:eastAsia="Arial Unicode MS" w:hAnsi="Arial Unicode MS" w:cs="Arial Unicode MS"/>
        </w:rPr>
        <w:t>.</w:t>
      </w:r>
      <w:r w:rsidRPr="00256810">
        <w:rPr>
          <w:rFonts w:eastAsia="Arial Unicode MS" w:hAnsi="Arial Unicode MS" w:cs="Arial Unicode MS"/>
        </w:rPr>
        <w:t xml:space="preserve"> 17</w:t>
      </w:r>
      <w:r>
        <w:rPr>
          <w:rFonts w:eastAsia="Arial Unicode MS" w:hAnsi="Arial Unicode MS" w:cs="Arial Unicode MS"/>
        </w:rPr>
        <w:t xml:space="preserve"> and</w:t>
      </w:r>
      <w:r w:rsidRPr="00256810">
        <w:rPr>
          <w:rFonts w:eastAsia="Arial Unicode MS" w:hAnsi="Arial Unicode MS" w:cs="Arial Unicode MS"/>
        </w:rPr>
        <w:t xml:space="preserve"> CRC/C/PAK/CO/5, para</w:t>
      </w:r>
      <w:r>
        <w:rPr>
          <w:rFonts w:eastAsia="Arial Unicode MS" w:hAnsi="Arial Unicode MS" w:cs="Arial Unicode MS"/>
        </w:rPr>
        <w:t>.</w:t>
      </w:r>
      <w:r w:rsidRPr="00256810">
        <w:rPr>
          <w:rFonts w:eastAsia="Arial Unicode MS" w:hAnsi="Arial Unicode MS" w:cs="Arial Unicode MS"/>
        </w:rPr>
        <w:t xml:space="preserve"> 30</w:t>
      </w:r>
      <w:r>
        <w:rPr>
          <w:rFonts w:eastAsia="Arial Unicode MS" w:hAnsi="Arial Unicode MS" w:cs="Arial Unicode MS"/>
        </w:rPr>
        <w:t>, and</w:t>
      </w:r>
      <w:r w:rsidRPr="00256810">
        <w:rPr>
          <w:rFonts w:eastAsia="Arial Unicode MS" w:hAnsi="Arial Unicode MS" w:cs="Arial Unicode MS"/>
        </w:rPr>
        <w:t xml:space="preserve"> </w:t>
      </w:r>
      <w:r>
        <w:rPr>
          <w:rFonts w:eastAsia="Arial Unicode MS" w:hAnsi="Arial Unicode MS" w:cs="Arial Unicode MS"/>
        </w:rPr>
        <w:t>s</w:t>
      </w:r>
      <w:r w:rsidRPr="00256810">
        <w:rPr>
          <w:rFonts w:eastAsia="Arial Unicode MS" w:hAnsi="Arial Unicode MS" w:cs="Arial Unicode MS"/>
        </w:rPr>
        <w:t>ubmission from Justice Project Pakistan.</w:t>
      </w:r>
    </w:p>
  </w:footnote>
  <w:footnote w:id="84">
    <w:p w14:paraId="23EC31D2" w14:textId="61D145B8"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17" w:history="1">
        <w:r w:rsidRPr="00BE63DC">
          <w:rPr>
            <w:rStyle w:val="Hyperlink"/>
            <w:rFonts w:eastAsia="Arial Unicode MS" w:hAnsi="Arial Unicode MS" w:cs="Arial Unicode MS"/>
            <w:szCs w:val="18"/>
            <w:lang w:val="en-US"/>
          </w:rPr>
          <w:t>www.ohchr.org/EN/NewsEvents/Pages/DisplayNews.aspx?NewsID=20435&amp;LangID=E</w:t>
        </w:r>
      </w:hyperlink>
      <w:r w:rsidRPr="00256810">
        <w:rPr>
          <w:rFonts w:eastAsia="Arial Unicode MS" w:hAnsi="Arial Unicode MS" w:cs="Arial Unicode MS"/>
        </w:rPr>
        <w:t xml:space="preserve">; </w:t>
      </w:r>
      <w:r>
        <w:rPr>
          <w:rFonts w:eastAsia="Arial Unicode MS" w:hAnsi="Arial Unicode MS" w:cs="Arial Unicode MS"/>
        </w:rPr>
        <w:t xml:space="preserve">and </w:t>
      </w:r>
      <w:r w:rsidRPr="00256810">
        <w:rPr>
          <w:rFonts w:eastAsia="Arial Unicode MS" w:hAnsi="Arial Unicode MS" w:cs="Arial Unicode MS"/>
        </w:rPr>
        <w:t>UA SDN 6/2016 (https://spcommreports.ohchr.org/TMResultsBase/DownLoadPublicCommunicationFile?gId=3326).</w:t>
      </w:r>
    </w:p>
  </w:footnote>
  <w:footnote w:id="85">
    <w:p w14:paraId="3740044E" w14:textId="462F708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CCPR/C/BGD/CO/1, para</w:t>
      </w:r>
      <w:r>
        <w:rPr>
          <w:rFonts w:eastAsia="Arial Unicode MS" w:hAnsi="Arial Unicode MS" w:cs="Arial Unicode MS"/>
        </w:rPr>
        <w:t>.</w:t>
      </w:r>
      <w:r w:rsidRPr="00256810">
        <w:rPr>
          <w:rFonts w:eastAsia="Arial Unicode MS" w:hAnsi="Arial Unicode MS" w:cs="Arial Unicode MS"/>
        </w:rPr>
        <w:t xml:space="preserve"> 10.</w:t>
      </w:r>
    </w:p>
  </w:footnote>
  <w:footnote w:id="86">
    <w:p w14:paraId="2DF1F4F6" w14:textId="346C9B35"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18" w:history="1">
        <w:r w:rsidRPr="00BE63DC">
          <w:rPr>
            <w:rStyle w:val="Hyperlink"/>
            <w:rFonts w:eastAsia="Arial Unicode MS" w:hAnsi="Arial Unicode MS" w:cs="Arial Unicode MS"/>
            <w:szCs w:val="18"/>
            <w:lang w:val="en-US"/>
          </w:rPr>
          <w:t>www.ohchr.org/EN/NewsEvents/Pages/DisplayNews.aspx?NewsID=20344&amp;LangID=E</w:t>
        </w:r>
      </w:hyperlink>
      <w:r w:rsidRPr="00256810">
        <w:rPr>
          <w:rFonts w:eastAsia="Arial Unicode MS" w:hAnsi="Arial Unicode MS" w:cs="Arial Unicode MS"/>
        </w:rPr>
        <w:t xml:space="preserve">; </w:t>
      </w:r>
      <w:r>
        <w:rPr>
          <w:rFonts w:eastAsia="Arial Unicode MS" w:hAnsi="Arial Unicode MS" w:cs="Arial Unicode MS"/>
        </w:rPr>
        <w:t xml:space="preserve">and </w:t>
      </w:r>
      <w:r w:rsidRPr="00256810">
        <w:rPr>
          <w:rFonts w:eastAsia="Arial Unicode MS" w:hAnsi="Arial Unicode MS" w:cs="Arial Unicode MS"/>
        </w:rPr>
        <w:t>A/HRC/34/40, para</w:t>
      </w:r>
      <w:r>
        <w:rPr>
          <w:rFonts w:eastAsia="Arial Unicode MS" w:hAnsi="Arial Unicode MS" w:cs="Arial Unicode MS"/>
        </w:rPr>
        <w:t>.</w:t>
      </w:r>
      <w:r w:rsidRPr="00256810">
        <w:rPr>
          <w:rFonts w:eastAsia="Arial Unicode MS" w:hAnsi="Arial Unicode MS" w:cs="Arial Unicode MS"/>
        </w:rPr>
        <w:t xml:space="preserve"> 11.</w:t>
      </w:r>
    </w:p>
  </w:footnote>
  <w:footnote w:id="87">
    <w:p w14:paraId="364F45ED" w14:textId="4B6DA836"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A/HRC/38/44/Add.1, para. 47.</w:t>
      </w:r>
    </w:p>
  </w:footnote>
  <w:footnote w:id="88">
    <w:p w14:paraId="1A3A76A8" w14:textId="458B014B"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www.ohchr.org/en/NewsEvents/Pages/DisplayNews.aspx?NewsID=20800&amp;LangID=E</w:t>
      </w:r>
      <w:r>
        <w:rPr>
          <w:rFonts w:eastAsia="Arial Unicode MS" w:hAnsi="Arial Unicode MS" w:cs="Arial Unicode MS"/>
        </w:rPr>
        <w:t>.</w:t>
      </w:r>
    </w:p>
  </w:footnote>
  <w:footnote w:id="89">
    <w:p w14:paraId="4FE6D18A" w14:textId="00BD673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www.ohchr.org/EN/NewsEvents/Pages/DisplayNews.aspx?NewsID=20659&amp;</w:t>
      </w:r>
      <w:r>
        <w:rPr>
          <w:rFonts w:eastAsia="Arial Unicode MS" w:hAnsi="Arial Unicode MS" w:cs="Arial Unicode MS"/>
        </w:rPr>
        <w:t>.</w:t>
      </w:r>
    </w:p>
  </w:footnote>
  <w:footnote w:id="90">
    <w:p w14:paraId="6501720C" w14:textId="1F6F9C5F" w:rsidR="006D7913" w:rsidRPr="00AE022A" w:rsidRDefault="006D7913" w:rsidP="001C04A0">
      <w:pPr>
        <w:pStyle w:val="FootnoteText"/>
        <w:rPr>
          <w:lang w:val="es-ES"/>
        </w:rPr>
      </w:pPr>
      <w:r w:rsidRPr="00256810">
        <w:tab/>
      </w:r>
      <w:r w:rsidRPr="00E1363B">
        <w:rPr>
          <w:rStyle w:val="FootnoteReference"/>
        </w:rPr>
        <w:footnoteRef/>
      </w:r>
      <w:r w:rsidRPr="00AE022A">
        <w:rPr>
          <w:rFonts w:eastAsia="Arial Unicode MS" w:hAnsi="Arial Unicode MS" w:cs="Arial Unicode MS"/>
          <w:lang w:val="es-ES"/>
        </w:rPr>
        <w:tab/>
        <w:t>See A/HRC/38/43, para. 51.</w:t>
      </w:r>
    </w:p>
  </w:footnote>
  <w:footnote w:id="91">
    <w:p w14:paraId="03812B2D" w14:textId="31A62494" w:rsidR="006D7913" w:rsidRPr="00AE022A" w:rsidRDefault="006D7913" w:rsidP="001C04A0">
      <w:pPr>
        <w:pStyle w:val="FootnoteText"/>
        <w:rPr>
          <w:lang w:val="es-ES"/>
        </w:rPr>
      </w:pPr>
      <w:r w:rsidRPr="00AE022A">
        <w:rPr>
          <w:lang w:val="es-ES"/>
        </w:rPr>
        <w:tab/>
      </w:r>
      <w:r w:rsidRPr="00E1363B">
        <w:rPr>
          <w:rStyle w:val="FootnoteReference"/>
        </w:rPr>
        <w:footnoteRef/>
      </w:r>
      <w:r w:rsidRPr="00AE022A">
        <w:rPr>
          <w:rFonts w:eastAsia="Arial Unicode MS" w:hAnsi="Arial Unicode MS" w:cs="Arial Unicode MS"/>
          <w:lang w:val="es-ES"/>
        </w:rPr>
        <w:tab/>
        <w:t>See A/72/172, para. 32.</w:t>
      </w:r>
    </w:p>
  </w:footnote>
  <w:footnote w:id="92">
    <w:p w14:paraId="0D6217A5" w14:textId="7D2CD7E8" w:rsidR="006D7913" w:rsidRPr="00256810" w:rsidRDefault="006D7913" w:rsidP="001C04A0">
      <w:pPr>
        <w:pStyle w:val="FootnoteText"/>
        <w:rPr>
          <w:lang w:val="fr-FR"/>
        </w:rPr>
      </w:pPr>
      <w:r w:rsidRPr="00AE022A">
        <w:rPr>
          <w:lang w:val="es-ES"/>
        </w:rPr>
        <w:tab/>
      </w:r>
      <w:r w:rsidRPr="00E1363B">
        <w:rPr>
          <w:rStyle w:val="FootnoteReference"/>
        </w:rPr>
        <w:footnoteRef/>
      </w:r>
      <w:r w:rsidRPr="00256810">
        <w:rPr>
          <w:rFonts w:eastAsia="Arial Unicode MS" w:hAnsi="Arial Unicode MS" w:cs="Arial Unicode MS"/>
          <w:lang w:val="es-ES_tradnl"/>
        </w:rPr>
        <w:tab/>
      </w:r>
      <w:r>
        <w:rPr>
          <w:rFonts w:eastAsia="Arial Unicode MS" w:hAnsi="Arial Unicode MS" w:cs="Arial Unicode MS"/>
          <w:lang w:val="es-ES_tradnl"/>
        </w:rPr>
        <w:t xml:space="preserve">Se </w:t>
      </w:r>
      <w:r w:rsidRPr="00256810">
        <w:rPr>
          <w:rFonts w:eastAsia="Arial Unicode MS" w:hAnsi="Arial Unicode MS" w:cs="Arial Unicode MS"/>
          <w:lang w:val="es-ES_tradnl"/>
        </w:rPr>
        <w:t>E/2015/49, para</w:t>
      </w:r>
      <w:r>
        <w:rPr>
          <w:rFonts w:eastAsia="Arial Unicode MS" w:hAnsi="Arial Unicode MS" w:cs="Arial Unicode MS"/>
          <w:lang w:val="es-ES_tradnl"/>
        </w:rPr>
        <w:t>.</w:t>
      </w:r>
      <w:r w:rsidRPr="00256810">
        <w:rPr>
          <w:rFonts w:eastAsia="Arial Unicode MS" w:hAnsi="Arial Unicode MS" w:cs="Arial Unicode MS"/>
          <w:lang w:val="es-ES_tradnl"/>
        </w:rPr>
        <w:t xml:space="preserve"> 63; </w:t>
      </w:r>
      <w:r w:rsidRPr="00AE022A">
        <w:rPr>
          <w:rFonts w:eastAsia="Arial Unicode MS" w:hAnsi="Arial Unicode MS" w:cs="Arial Unicode MS"/>
          <w:lang w:val="es-ES"/>
        </w:rPr>
        <w:t xml:space="preserve">A/67/275, para. 67; </w:t>
      </w:r>
      <w:r w:rsidRPr="00256810">
        <w:rPr>
          <w:rFonts w:eastAsia="Arial Unicode MS" w:hAnsi="Arial Unicode MS" w:cs="Arial Unicode MS"/>
          <w:lang w:val="es-ES_tradnl"/>
        </w:rPr>
        <w:t>CCPR/C/GHA/CO/1, para</w:t>
      </w:r>
      <w:r>
        <w:rPr>
          <w:rFonts w:eastAsia="Arial Unicode MS" w:hAnsi="Arial Unicode MS" w:cs="Arial Unicode MS"/>
          <w:lang w:val="es-ES_tradnl"/>
        </w:rPr>
        <w:t>s.</w:t>
      </w:r>
      <w:r w:rsidRPr="00256810">
        <w:rPr>
          <w:rFonts w:eastAsia="Arial Unicode MS" w:hAnsi="Arial Unicode MS" w:cs="Arial Unicode MS"/>
          <w:lang w:val="es-ES_tradnl"/>
        </w:rPr>
        <w:t xml:space="preserve"> 19</w:t>
      </w:r>
      <w:r>
        <w:rPr>
          <w:rFonts w:ascii="Yu Gothic" w:eastAsia="Yu Gothic" w:hAnsi="Yu Gothic" w:cs="Arial Unicode MS" w:hint="eastAsia"/>
          <w:lang w:val="es-ES_tradnl"/>
        </w:rPr>
        <w:t>−</w:t>
      </w:r>
      <w:r w:rsidRPr="00256810">
        <w:rPr>
          <w:rFonts w:eastAsia="Arial Unicode MS" w:hAnsi="Arial Unicode MS" w:cs="Arial Unicode MS"/>
          <w:lang w:val="es-ES_tradnl"/>
        </w:rPr>
        <w:t xml:space="preserve">20; </w:t>
      </w:r>
      <w:r>
        <w:rPr>
          <w:rFonts w:eastAsia="Arial Unicode MS" w:hAnsi="Arial Unicode MS" w:cs="Arial Unicode MS"/>
          <w:lang w:val="es-ES_tradnl"/>
        </w:rPr>
        <w:t xml:space="preserve">and </w:t>
      </w:r>
      <w:r w:rsidRPr="00256810">
        <w:rPr>
          <w:rFonts w:eastAsia="Arial Unicode MS" w:hAnsi="Arial Unicode MS" w:cs="Arial Unicode MS"/>
          <w:lang w:val="es-ES_tradnl"/>
        </w:rPr>
        <w:t>CCPR/C/98/D/1520/2006, para</w:t>
      </w:r>
      <w:r>
        <w:rPr>
          <w:rFonts w:eastAsia="Arial Unicode MS" w:hAnsi="Arial Unicode MS" w:cs="Arial Unicode MS"/>
          <w:lang w:val="es-ES_tradnl"/>
        </w:rPr>
        <w:t>.</w:t>
      </w:r>
      <w:r w:rsidRPr="00256810">
        <w:rPr>
          <w:rFonts w:eastAsia="Arial Unicode MS" w:hAnsi="Arial Unicode MS" w:cs="Arial Unicode MS"/>
          <w:lang w:val="es-ES_tradnl"/>
        </w:rPr>
        <w:t xml:space="preserve"> 6.3.</w:t>
      </w:r>
    </w:p>
  </w:footnote>
  <w:footnote w:id="93">
    <w:p w14:paraId="0731D48F" w14:textId="44709ECA" w:rsidR="006D7913" w:rsidRPr="00256810" w:rsidRDefault="006D7913" w:rsidP="001C04A0">
      <w:pPr>
        <w:pStyle w:val="FootnoteText"/>
        <w:rPr>
          <w:lang w:val="fr-FR"/>
        </w:rPr>
      </w:pPr>
      <w:r w:rsidRPr="00256810">
        <w:rPr>
          <w:rFonts w:eastAsia="Arial Unicode MS" w:hAnsi="Arial Unicode MS" w:cs="Arial Unicode MS"/>
          <w:lang w:val="fr-FR"/>
        </w:rPr>
        <w:tab/>
      </w:r>
      <w:r w:rsidRPr="00E1363B">
        <w:rPr>
          <w:rStyle w:val="FootnoteReference"/>
        </w:rPr>
        <w:footnoteRef/>
      </w:r>
      <w:r w:rsidRPr="00256810">
        <w:rPr>
          <w:rFonts w:eastAsia="Arial Unicode MS" w:hAnsi="Arial Unicode MS" w:cs="Arial Unicode MS"/>
          <w:lang w:val="fr-FR"/>
        </w:rPr>
        <w:tab/>
      </w:r>
      <w:r>
        <w:rPr>
          <w:rFonts w:eastAsia="Arial Unicode MS" w:hAnsi="Arial Unicode MS" w:cs="Arial Unicode MS"/>
          <w:lang w:val="fr-FR"/>
        </w:rPr>
        <w:t xml:space="preserve">See </w:t>
      </w:r>
      <w:r w:rsidRPr="00256810">
        <w:rPr>
          <w:rFonts w:eastAsia="Arial Unicode MS" w:hAnsi="Arial Unicode MS" w:cs="Arial Unicode MS"/>
          <w:lang w:val="fr-FR"/>
        </w:rPr>
        <w:t>E/2015/49, para</w:t>
      </w:r>
      <w:r>
        <w:rPr>
          <w:rFonts w:eastAsia="Arial Unicode MS" w:hAnsi="Arial Unicode MS" w:cs="Arial Unicode MS"/>
          <w:lang w:val="fr-FR"/>
        </w:rPr>
        <w:t>.</w:t>
      </w:r>
      <w:r w:rsidRPr="00256810">
        <w:rPr>
          <w:rFonts w:eastAsia="Arial Unicode MS" w:hAnsi="Arial Unicode MS" w:cs="Arial Unicode MS"/>
          <w:lang w:val="fr-FR"/>
        </w:rPr>
        <w:t xml:space="preserve"> 63</w:t>
      </w:r>
      <w:r>
        <w:rPr>
          <w:rFonts w:eastAsia="Arial Unicode MS" w:hAnsi="Arial Unicode MS" w:cs="Arial Unicode MS"/>
          <w:lang w:val="fr-FR"/>
        </w:rPr>
        <w:t>.</w:t>
      </w:r>
    </w:p>
  </w:footnote>
  <w:footnote w:id="94">
    <w:p w14:paraId="1DB42D98" w14:textId="3C497388" w:rsidR="006D7913" w:rsidRPr="00256810" w:rsidRDefault="006D7913" w:rsidP="001C04A0">
      <w:pPr>
        <w:pStyle w:val="FootnoteText"/>
      </w:pPr>
      <w:r w:rsidRPr="00D222E0">
        <w:rPr>
          <w:rFonts w:eastAsia="Arial Unicode MS" w:hAnsi="Arial Unicode MS" w:cs="Arial Unicode MS"/>
          <w:lang w:val="fr-FR"/>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19" w:history="1">
        <w:r w:rsidRPr="00C02AD6">
          <w:rPr>
            <w:rStyle w:val="Hyperlink"/>
            <w:rFonts w:eastAsia="Arial Unicode MS" w:hAnsi="Arial Unicode MS" w:cs="Arial Unicode MS"/>
            <w:szCs w:val="18"/>
            <w:lang w:val="en-US"/>
          </w:rPr>
          <w:t>www.amnesty.org/download/Documents/ACT5079552018ENGLISH.PDF</w:t>
        </w:r>
      </w:hyperlink>
      <w:r w:rsidRPr="00256810">
        <w:rPr>
          <w:rFonts w:eastAsia="Arial Unicode MS" w:hAnsi="Arial Unicode MS" w:cs="Arial Unicode MS"/>
        </w:rPr>
        <w:t xml:space="preserve">, </w:t>
      </w:r>
      <w:r>
        <w:rPr>
          <w:rFonts w:eastAsia="Arial Unicode MS" w:hAnsi="Arial Unicode MS" w:cs="Arial Unicode MS"/>
        </w:rPr>
        <w:t>p.</w:t>
      </w:r>
      <w:r w:rsidRPr="00256810">
        <w:rPr>
          <w:rFonts w:eastAsia="Arial Unicode MS" w:hAnsi="Arial Unicode MS" w:cs="Arial Unicode MS"/>
        </w:rPr>
        <w:t xml:space="preserve"> 8.</w:t>
      </w:r>
    </w:p>
  </w:footnote>
  <w:footnote w:id="95">
    <w:p w14:paraId="2445EA2D" w14:textId="68E20996"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hyperlink r:id="rId20" w:history="1"/>
      <w:r w:rsidRPr="00256810">
        <w:rPr>
          <w:rFonts w:eastAsia="Arial Unicode MS" w:hAnsi="Arial Unicode MS" w:cs="Arial Unicode MS"/>
        </w:rPr>
        <w:t>See also para</w:t>
      </w:r>
      <w:r>
        <w:rPr>
          <w:rFonts w:eastAsia="Arial Unicode MS" w:hAnsi="Arial Unicode MS" w:cs="Arial Unicode MS"/>
        </w:rPr>
        <w:t>graph</w:t>
      </w:r>
      <w:r w:rsidRPr="00256810">
        <w:rPr>
          <w:rFonts w:eastAsia="Arial Unicode MS" w:hAnsi="Arial Unicode MS" w:cs="Arial Unicode MS"/>
        </w:rPr>
        <w:t xml:space="preserve"> 8</w:t>
      </w:r>
      <w:r>
        <w:rPr>
          <w:rFonts w:eastAsia="Arial Unicode MS" w:hAnsi="Arial Unicode MS" w:cs="Arial Unicode MS"/>
        </w:rPr>
        <w:t xml:space="preserve"> above</w:t>
      </w:r>
      <w:r w:rsidRPr="00256810">
        <w:rPr>
          <w:rFonts w:eastAsia="Arial Unicode MS" w:hAnsi="Arial Unicode MS" w:cs="Arial Unicode MS"/>
        </w:rPr>
        <w:t>.</w:t>
      </w:r>
    </w:p>
  </w:footnote>
  <w:footnote w:id="96">
    <w:p w14:paraId="29357E8A" w14:textId="057C32B5" w:rsidR="006D7913" w:rsidRPr="00256810" w:rsidRDefault="006D7913" w:rsidP="001C04A0">
      <w:pPr>
        <w:pStyle w:val="FootnoteText"/>
      </w:pPr>
      <w:r w:rsidRPr="00AE022A">
        <w:rPr>
          <w:lang w:val="en-GB"/>
        </w:rPr>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 xml:space="preserve">Francis Karioko Muruatetu &amp; </w:t>
      </w:r>
      <w:r>
        <w:rPr>
          <w:rFonts w:eastAsia="Arial Unicode MS" w:hAnsi="Arial Unicode MS" w:cs="Arial Unicode MS"/>
          <w:i/>
          <w:iCs/>
        </w:rPr>
        <w:t>a</w:t>
      </w:r>
      <w:r w:rsidRPr="00256810">
        <w:rPr>
          <w:rFonts w:eastAsia="Arial Unicode MS" w:hAnsi="Arial Unicode MS" w:cs="Arial Unicode MS"/>
          <w:i/>
          <w:iCs/>
        </w:rPr>
        <w:t>nother v. R</w:t>
      </w:r>
      <w:r>
        <w:rPr>
          <w:rFonts w:eastAsia="Arial Unicode MS" w:hAnsi="Arial Unicode MS" w:cs="Arial Unicode MS"/>
          <w:i/>
          <w:iCs/>
        </w:rPr>
        <w:t>epublic</w:t>
      </w:r>
      <w:r w:rsidRPr="00256810">
        <w:rPr>
          <w:rFonts w:eastAsia="Arial Unicode MS" w:hAnsi="Arial Unicode MS" w:cs="Arial Unicode MS"/>
          <w:i/>
          <w:iCs/>
        </w:rPr>
        <w:t xml:space="preserve"> &amp; 5 </w:t>
      </w:r>
      <w:r>
        <w:rPr>
          <w:rFonts w:eastAsia="Arial Unicode MS" w:hAnsi="Arial Unicode MS" w:cs="Arial Unicode MS"/>
          <w:i/>
          <w:iCs/>
        </w:rPr>
        <w:t>o</w:t>
      </w:r>
      <w:r w:rsidRPr="00256810">
        <w:rPr>
          <w:rFonts w:eastAsia="Arial Unicode MS" w:hAnsi="Arial Unicode MS" w:cs="Arial Unicode MS"/>
          <w:i/>
          <w:iCs/>
        </w:rPr>
        <w:t>thers</w:t>
      </w:r>
      <w:r w:rsidRPr="00256810">
        <w:rPr>
          <w:rFonts w:eastAsia="Arial Unicode MS" w:hAnsi="Arial Unicode MS" w:cs="Arial Unicode MS"/>
        </w:rPr>
        <w:t xml:space="preserve"> (2017).</w:t>
      </w:r>
    </w:p>
  </w:footnote>
  <w:footnote w:id="97">
    <w:p w14:paraId="044444D6" w14:textId="08B1EF4C"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Gazette Notice No. 2610, Vol. CXX</w:t>
      </w:r>
      <w:r w:rsidRPr="00256810">
        <w:rPr>
          <w:rFonts w:ascii="Arial Unicode MS" w:eastAsia="Arial Unicode MS" w:cs="Arial Unicode MS"/>
        </w:rPr>
        <w:t>—</w:t>
      </w:r>
      <w:r w:rsidRPr="00256810">
        <w:rPr>
          <w:rFonts w:eastAsia="Arial Unicode MS" w:hAnsi="Arial Unicode MS" w:cs="Arial Unicode MS"/>
        </w:rPr>
        <w:t>No. 37, 23 March 2018.</w:t>
      </w:r>
    </w:p>
  </w:footnote>
  <w:footnote w:id="98">
    <w:p w14:paraId="4A116AE8" w14:textId="2D35EA29"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www.statelaw.go.ke/wp-content/uploads/2018/03/KLRC-Opinion-on-Death-Penalty-and-Life-Imprisonment.pdf</w:t>
      </w:r>
      <w:r>
        <w:rPr>
          <w:rFonts w:eastAsia="Arial Unicode MS" w:hAnsi="Arial Unicode MS" w:cs="Arial Unicode MS"/>
        </w:rPr>
        <w:t>.</w:t>
      </w:r>
    </w:p>
  </w:footnote>
  <w:footnote w:id="99">
    <w:p w14:paraId="193F23B8" w14:textId="0F96A2CA"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A/HRC/37/14, para</w:t>
      </w:r>
      <w:r>
        <w:rPr>
          <w:rFonts w:eastAsia="Arial Unicode MS" w:hAnsi="Arial Unicode MS" w:cs="Arial Unicode MS"/>
        </w:rPr>
        <w:t>.</w:t>
      </w:r>
      <w:r w:rsidRPr="00256810">
        <w:rPr>
          <w:rFonts w:eastAsia="Arial Unicode MS" w:hAnsi="Arial Unicode MS" w:cs="Arial Unicode MS"/>
        </w:rPr>
        <w:t xml:space="preserve"> 123.</w:t>
      </w:r>
    </w:p>
  </w:footnote>
  <w:footnote w:id="100">
    <w:p w14:paraId="264A10BA" w14:textId="5560CE4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i/>
          <w:iCs/>
        </w:rPr>
        <w:t xml:space="preserve">Nervais </w:t>
      </w:r>
      <w:r>
        <w:rPr>
          <w:rFonts w:eastAsia="Arial Unicode MS" w:hAnsi="Arial Unicode MS" w:cs="Arial Unicode MS"/>
          <w:i/>
          <w:iCs/>
        </w:rPr>
        <w:t xml:space="preserve">v. The Queen and </w:t>
      </w:r>
      <w:r w:rsidRPr="00256810">
        <w:rPr>
          <w:rFonts w:eastAsia="Arial Unicode MS" w:hAnsi="Arial Unicode MS" w:cs="Arial Unicode MS"/>
          <w:i/>
          <w:iCs/>
        </w:rPr>
        <w:t>Severin v. The Queen</w:t>
      </w:r>
      <w:r w:rsidRPr="00256810">
        <w:rPr>
          <w:rFonts w:eastAsia="Arial Unicode MS" w:hAnsi="Arial Unicode MS" w:cs="Arial Unicode MS"/>
        </w:rPr>
        <w:t xml:space="preserve"> </w:t>
      </w:r>
      <w:r>
        <w:rPr>
          <w:rFonts w:eastAsia="Arial Unicode MS" w:hAnsi="Arial Unicode MS" w:cs="Arial Unicode MS"/>
        </w:rPr>
        <w:t>(</w:t>
      </w:r>
      <w:r w:rsidRPr="00256810">
        <w:rPr>
          <w:rFonts w:eastAsia="Arial Unicode MS" w:hAnsi="Arial Unicode MS" w:cs="Arial Unicode MS"/>
        </w:rPr>
        <w:t>2018</w:t>
      </w:r>
      <w:r>
        <w:rPr>
          <w:rFonts w:eastAsia="Arial Unicode MS" w:hAnsi="Arial Unicode MS" w:cs="Arial Unicode MS"/>
        </w:rPr>
        <w:t>)</w:t>
      </w:r>
      <w:r w:rsidRPr="00256810">
        <w:rPr>
          <w:rFonts w:eastAsia="Arial Unicode MS" w:hAnsi="Arial Unicode MS" w:cs="Arial Unicode MS"/>
        </w:rPr>
        <w:t xml:space="preserve">; </w:t>
      </w:r>
      <w:r>
        <w:rPr>
          <w:rFonts w:eastAsia="Arial Unicode MS" w:hAnsi="Arial Unicode MS" w:cs="Arial Unicode MS"/>
        </w:rPr>
        <w:t xml:space="preserve">and </w:t>
      </w:r>
      <w:r w:rsidRPr="00256810">
        <w:rPr>
          <w:rFonts w:eastAsia="Arial Unicode MS" w:hAnsi="Arial Unicode MS" w:cs="Arial Unicode MS"/>
        </w:rPr>
        <w:t>www.ccj.org/news/ccj-strikes-down-mandatory-death-penalty-in-barbados.</w:t>
      </w:r>
    </w:p>
  </w:footnote>
  <w:footnote w:id="101">
    <w:p w14:paraId="027082F8" w14:textId="04CB848D"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 xml:space="preserve">Kigula &amp; 419 </w:t>
      </w:r>
      <w:r>
        <w:rPr>
          <w:rFonts w:eastAsia="Arial Unicode MS" w:hAnsi="Arial Unicode MS" w:cs="Arial Unicode MS"/>
          <w:i/>
          <w:iCs/>
        </w:rPr>
        <w:t>o</w:t>
      </w:r>
      <w:r w:rsidRPr="00256810">
        <w:rPr>
          <w:rFonts w:eastAsia="Arial Unicode MS" w:hAnsi="Arial Unicode MS" w:cs="Arial Unicode MS"/>
          <w:i/>
          <w:iCs/>
        </w:rPr>
        <w:t>thers v. Attorney-General</w:t>
      </w:r>
      <w:r w:rsidRPr="00256810">
        <w:rPr>
          <w:rFonts w:eastAsia="Arial Unicode MS" w:hAnsi="Arial Unicode MS" w:cs="Arial Unicode MS"/>
        </w:rPr>
        <w:t xml:space="preserve"> (Constitutional Petition No.</w:t>
      </w:r>
      <w:r>
        <w:rPr>
          <w:rFonts w:eastAsia="Arial Unicode MS" w:hAnsi="Arial Unicode MS" w:cs="Arial Unicode MS"/>
        </w:rPr>
        <w:t xml:space="preserve"> </w:t>
      </w:r>
      <w:r w:rsidRPr="00256810">
        <w:rPr>
          <w:rFonts w:eastAsia="Arial Unicode MS" w:hAnsi="Arial Unicode MS" w:cs="Arial Unicode MS"/>
        </w:rPr>
        <w:t>6 of 2003).</w:t>
      </w:r>
    </w:p>
  </w:footnote>
  <w:footnote w:id="102">
    <w:p w14:paraId="315D1DF1" w14:textId="7E78720E"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21" w:history="1">
        <w:r w:rsidRPr="00DD6530">
          <w:rPr>
            <w:rStyle w:val="Hyperlink"/>
            <w:rFonts w:eastAsia="Arial Unicode MS" w:hAnsi="Arial Unicode MS" w:cs="Arial Unicode MS"/>
            <w:szCs w:val="18"/>
            <w:lang w:val="en-US"/>
          </w:rPr>
          <w:t>www.deathpenaltyproject.org/2016/11/23/antigua-prisoner-released-after-20-years-on-death-row/</w:t>
        </w:r>
      </w:hyperlink>
      <w:r w:rsidRPr="00256810">
        <w:rPr>
          <w:rStyle w:val="Hyperlink0"/>
          <w:rFonts w:eastAsia="Arial Unicode MS" w:hAnsi="Arial Unicode MS" w:cs="Arial Unicode MS"/>
        </w:rPr>
        <w:t xml:space="preserve">; </w:t>
      </w:r>
      <w:r>
        <w:rPr>
          <w:rStyle w:val="Hyperlink0"/>
          <w:rFonts w:eastAsia="Arial Unicode MS" w:hAnsi="Arial Unicode MS" w:cs="Arial Unicode MS"/>
        </w:rPr>
        <w:t xml:space="preserve">and </w:t>
      </w:r>
      <w:hyperlink r:id="rId22" w:history="1">
        <w:r w:rsidRPr="00DD6530">
          <w:rPr>
            <w:rStyle w:val="Hyperlink"/>
            <w:rFonts w:eastAsia="Arial Unicode MS" w:hAnsi="Arial Unicode MS" w:cs="Arial Unicode MS"/>
            <w:szCs w:val="18"/>
            <w:lang w:val="en-US"/>
          </w:rPr>
          <w:t>www.deathpenaltyproject.org/2016/12/01/antigua-empties-death-row/</w:t>
        </w:r>
      </w:hyperlink>
      <w:r>
        <w:rPr>
          <w:rStyle w:val="Hyperlink0"/>
          <w:rFonts w:eastAsia="Arial Unicode MS" w:hAnsi="Arial Unicode MS" w:cs="Arial Unicode MS"/>
        </w:rPr>
        <w:t>.</w:t>
      </w:r>
    </w:p>
  </w:footnote>
  <w:footnote w:id="103">
    <w:p w14:paraId="5C5262B8" w14:textId="6DBC7DE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The Queen v. Cornwall</w:t>
      </w:r>
      <w:r>
        <w:rPr>
          <w:rFonts w:eastAsia="Arial Unicode MS" w:hAnsi="Arial Unicode MS" w:cs="Arial Unicode MS"/>
          <w:iCs/>
        </w:rPr>
        <w:t>,</w:t>
      </w:r>
      <w:r w:rsidRPr="00256810">
        <w:rPr>
          <w:rFonts w:eastAsia="Arial Unicode MS" w:hAnsi="Arial Unicode MS" w:cs="Arial Unicode MS"/>
        </w:rPr>
        <w:t xml:space="preserve"> </w:t>
      </w:r>
      <w:r>
        <w:rPr>
          <w:rFonts w:eastAsia="Arial Unicode MS" w:hAnsi="Arial Unicode MS" w:cs="Arial Unicode MS"/>
        </w:rPr>
        <w:t>c</w:t>
      </w:r>
      <w:r w:rsidRPr="00256810">
        <w:rPr>
          <w:rFonts w:eastAsia="Arial Unicode MS" w:hAnsi="Arial Unicode MS" w:cs="Arial Unicode MS"/>
        </w:rPr>
        <w:t>ase No.</w:t>
      </w:r>
      <w:r>
        <w:rPr>
          <w:rFonts w:eastAsia="Arial Unicode MS" w:hAnsi="Arial Unicode MS" w:cs="Arial Unicode MS"/>
        </w:rPr>
        <w:t xml:space="preserve"> </w:t>
      </w:r>
      <w:r w:rsidRPr="00256810">
        <w:rPr>
          <w:rFonts w:eastAsia="Arial Unicode MS" w:hAnsi="Arial Unicode MS" w:cs="Arial Unicode MS"/>
        </w:rPr>
        <w:t>50 of 1995, September 2016.</w:t>
      </w:r>
    </w:p>
  </w:footnote>
  <w:footnote w:id="104">
    <w:p w14:paraId="5FA21837" w14:textId="733688F0"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Kafantayeni and others v. The Attorney General of Malawi</w:t>
      </w:r>
      <w:r w:rsidRPr="00256810">
        <w:rPr>
          <w:rFonts w:eastAsia="Arial Unicode MS" w:hAnsi="Arial Unicode MS" w:cs="Arial Unicode MS"/>
        </w:rPr>
        <w:t xml:space="preserve"> (2007)</w:t>
      </w:r>
      <w:r>
        <w:rPr>
          <w:rFonts w:eastAsia="Arial Unicode MS" w:hAnsi="Arial Unicode MS" w:cs="Arial Unicode MS"/>
        </w:rPr>
        <w:t>.</w:t>
      </w:r>
    </w:p>
  </w:footnote>
  <w:footnote w:id="105">
    <w:p w14:paraId="6887DAFB" w14:textId="0E305BCC"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Submissions by Cornell Law School-Reprieve</w:t>
      </w:r>
      <w:r>
        <w:rPr>
          <w:rFonts w:eastAsia="Arial Unicode MS" w:hAnsi="Arial Unicode MS" w:cs="Arial Unicode MS"/>
        </w:rPr>
        <w:t xml:space="preserve"> and</w:t>
      </w:r>
      <w:r w:rsidRPr="00256810">
        <w:rPr>
          <w:rFonts w:eastAsia="Arial Unicode MS" w:hAnsi="Arial Unicode MS" w:cs="Arial Unicode MS"/>
        </w:rPr>
        <w:t xml:space="preserve"> Death Penalty Project.</w:t>
      </w:r>
    </w:p>
  </w:footnote>
  <w:footnote w:id="106">
    <w:p w14:paraId="3EE8C9B1" w14:textId="1A038979"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 xml:space="preserve">Submission from Reprieve, referring to </w:t>
      </w:r>
      <w:r w:rsidRPr="00256810">
        <w:rPr>
          <w:rFonts w:eastAsia="Arial Unicode MS" w:hAnsi="Arial Unicode MS" w:cs="Arial Unicode MS"/>
          <w:i/>
          <w:iCs/>
        </w:rPr>
        <w:t>Republic v. Limbikani Wilson Mtambo</w:t>
      </w:r>
      <w:r w:rsidRPr="00256810">
        <w:rPr>
          <w:rFonts w:eastAsia="Arial Unicode MS" w:hAnsi="Arial Unicode MS" w:cs="Arial Unicode MS"/>
        </w:rPr>
        <w:t xml:space="preserve"> (Sentence Rehearing Cause No. 20 of 2015) (unreported).</w:t>
      </w:r>
    </w:p>
  </w:footnote>
  <w:footnote w:id="107">
    <w:p w14:paraId="038E6478" w14:textId="22A74B83"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Human Rights Committee</w:t>
      </w:r>
      <w:r>
        <w:rPr>
          <w:rFonts w:eastAsia="Arial Unicode MS" w:hAnsi="Arial Unicode MS" w:cs="Arial Unicode MS"/>
        </w:rPr>
        <w:t>,</w:t>
      </w:r>
      <w:r w:rsidRPr="00256810">
        <w:rPr>
          <w:rFonts w:eastAsia="Arial Unicode MS" w:hAnsi="Arial Unicode MS" w:cs="Arial Unicode MS"/>
        </w:rPr>
        <w:t xml:space="preserve"> </w:t>
      </w:r>
      <w:r>
        <w:rPr>
          <w:rFonts w:eastAsia="Arial Unicode MS" w:hAnsi="Arial Unicode MS" w:cs="Arial Unicode MS"/>
        </w:rPr>
        <w:t>g</w:t>
      </w:r>
      <w:r w:rsidRPr="00256810">
        <w:rPr>
          <w:rFonts w:eastAsia="Arial Unicode MS" w:hAnsi="Arial Unicode MS" w:cs="Arial Unicode MS"/>
        </w:rPr>
        <w:t xml:space="preserve">eneral </w:t>
      </w:r>
      <w:r>
        <w:rPr>
          <w:rFonts w:eastAsia="Arial Unicode MS" w:hAnsi="Arial Unicode MS" w:cs="Arial Unicode MS"/>
        </w:rPr>
        <w:t>c</w:t>
      </w:r>
      <w:r w:rsidRPr="00256810">
        <w:rPr>
          <w:rFonts w:eastAsia="Arial Unicode MS" w:hAnsi="Arial Unicode MS" w:cs="Arial Unicode MS"/>
        </w:rPr>
        <w:t>omment No.</w:t>
      </w:r>
      <w:r>
        <w:rPr>
          <w:rFonts w:eastAsia="Arial Unicode MS" w:hAnsi="Arial Unicode MS" w:cs="Arial Unicode MS"/>
        </w:rPr>
        <w:t xml:space="preserve"> </w:t>
      </w:r>
      <w:r w:rsidRPr="00256810">
        <w:rPr>
          <w:rFonts w:eastAsia="Arial Unicode MS" w:hAnsi="Arial Unicode MS" w:cs="Arial Unicode MS"/>
        </w:rPr>
        <w:t>32</w:t>
      </w:r>
      <w:r>
        <w:rPr>
          <w:rFonts w:eastAsia="Arial Unicode MS" w:hAnsi="Arial Unicode MS" w:cs="Arial Unicode MS"/>
        </w:rPr>
        <w:t xml:space="preserve"> (2007) on the right to equality before courts and tribunals and to a fair trial</w:t>
      </w:r>
      <w:r w:rsidRPr="00256810">
        <w:rPr>
          <w:rFonts w:eastAsia="Arial Unicode MS" w:hAnsi="Arial Unicode MS" w:cs="Arial Unicode MS"/>
        </w:rPr>
        <w:t>, para</w:t>
      </w:r>
      <w:r>
        <w:rPr>
          <w:rFonts w:eastAsia="Arial Unicode MS" w:hAnsi="Arial Unicode MS" w:cs="Arial Unicode MS"/>
        </w:rPr>
        <w:t>.</w:t>
      </w:r>
      <w:r w:rsidRPr="00256810">
        <w:rPr>
          <w:rFonts w:eastAsia="Arial Unicode MS" w:hAnsi="Arial Unicode MS" w:cs="Arial Unicode MS"/>
        </w:rPr>
        <w:t xml:space="preserve"> 59; </w:t>
      </w:r>
      <w:r>
        <w:rPr>
          <w:rFonts w:eastAsia="Arial Unicode MS" w:hAnsi="Arial Unicode MS" w:cs="Arial Unicode MS"/>
        </w:rPr>
        <w:t xml:space="preserve">and </w:t>
      </w:r>
      <w:r w:rsidRPr="00256810">
        <w:rPr>
          <w:rFonts w:eastAsia="Arial Unicode MS" w:hAnsi="Arial Unicode MS" w:cs="Arial Unicode MS"/>
        </w:rPr>
        <w:t>CCPR/C/86/D/1044/2002.</w:t>
      </w:r>
    </w:p>
  </w:footnote>
  <w:footnote w:id="108">
    <w:p w14:paraId="08B108EB" w14:textId="1223C7EE" w:rsidR="006D7913" w:rsidRPr="00AE022A" w:rsidRDefault="006D7913" w:rsidP="001C04A0">
      <w:pPr>
        <w:pStyle w:val="FootnoteText"/>
        <w:rPr>
          <w:lang w:val="en-GB"/>
        </w:rPr>
      </w:pPr>
      <w:r w:rsidRPr="00256810">
        <w:tab/>
      </w:r>
      <w:r w:rsidRPr="00E1363B">
        <w:rPr>
          <w:rStyle w:val="FootnoteReference"/>
        </w:rPr>
        <w:footnoteRef/>
      </w:r>
      <w:r w:rsidRPr="00AE022A">
        <w:rPr>
          <w:rFonts w:eastAsia="Arial Unicode MS" w:hAnsi="Arial Unicode MS" w:cs="Arial Unicode MS"/>
          <w:lang w:val="en-GB"/>
        </w:rPr>
        <w:tab/>
        <w:t>See CCPR/C/102/D/1545/2007, para. 6.2.</w:t>
      </w:r>
    </w:p>
  </w:footnote>
  <w:footnote w:id="109">
    <w:p w14:paraId="0AAFD121" w14:textId="070898DD"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CCPR/C/89/D/1043/2002, paras. 7.4</w:t>
      </w:r>
      <w:r w:rsidRPr="00AE022A">
        <w:rPr>
          <w:rFonts w:ascii="Yu Gothic" w:eastAsia="Yu Gothic" w:hAnsi="Yu Gothic" w:cs="Arial Unicode MS"/>
          <w:lang w:val="en-GB"/>
        </w:rPr>
        <w:t>−</w:t>
      </w:r>
      <w:r w:rsidRPr="00AE022A">
        <w:rPr>
          <w:rFonts w:eastAsia="Arial Unicode MS" w:hAnsi="Arial Unicode MS" w:cs="Arial Unicode MS"/>
          <w:lang w:val="en-GB"/>
        </w:rPr>
        <w:t>7.5.</w:t>
      </w:r>
    </w:p>
  </w:footnote>
  <w:footnote w:id="110">
    <w:p w14:paraId="15F6837B" w14:textId="36A199ED" w:rsidR="006D7913" w:rsidRPr="00ED7E65" w:rsidRDefault="006D7913" w:rsidP="001C04A0">
      <w:pPr>
        <w:pStyle w:val="FootnoteText"/>
        <w:ind w:left="0" w:firstLine="0"/>
      </w:pPr>
      <w:r w:rsidRPr="00AE022A">
        <w:rPr>
          <w:lang w:val="en-GB"/>
        </w:rPr>
        <w:tab/>
      </w:r>
      <w:r w:rsidRPr="00E1363B">
        <w:rPr>
          <w:rStyle w:val="FootnoteReference"/>
        </w:rPr>
        <w:footnoteRef/>
      </w:r>
      <w:r w:rsidRPr="00AE022A">
        <w:rPr>
          <w:lang w:val="en-GB"/>
        </w:rPr>
        <w:tab/>
        <w:t xml:space="preserve">See CCPR/C/106/D/2120/2011, para. </w:t>
      </w:r>
      <w:r w:rsidRPr="00ED7E65">
        <w:t>11.4.</w:t>
      </w:r>
    </w:p>
  </w:footnote>
  <w:footnote w:id="111">
    <w:p w14:paraId="2D1ECAC5" w14:textId="6FDD1991" w:rsidR="006D7913" w:rsidRPr="00ED7E65" w:rsidRDefault="006D7913" w:rsidP="001C04A0">
      <w:pPr>
        <w:pStyle w:val="FootnoteText"/>
      </w:pPr>
      <w:r w:rsidRPr="00ED7E65">
        <w:tab/>
      </w:r>
      <w:r w:rsidRPr="00E1363B">
        <w:rPr>
          <w:rStyle w:val="FootnoteReference"/>
        </w:rPr>
        <w:footnoteRef/>
      </w:r>
      <w:r w:rsidRPr="00ED7E65">
        <w:rPr>
          <w:rFonts w:eastAsia="Arial Unicode MS" w:hAnsi="Arial Unicode MS" w:cs="Arial Unicode MS"/>
        </w:rPr>
        <w:tab/>
        <w:t>Cuba, Egypt, Iraq, Jordan, Kenya, Malaysia, Morocco</w:t>
      </w:r>
      <w:r>
        <w:rPr>
          <w:rFonts w:eastAsia="Arial Unicode MS" w:hAnsi="Arial Unicode MS" w:cs="Arial Unicode MS"/>
        </w:rPr>
        <w:t xml:space="preserve"> and</w:t>
      </w:r>
      <w:r w:rsidRPr="00ED7E65">
        <w:rPr>
          <w:rFonts w:eastAsia="Arial Unicode MS" w:hAnsi="Arial Unicode MS" w:cs="Arial Unicode MS"/>
        </w:rPr>
        <w:t xml:space="preserve"> Pakistan.</w:t>
      </w:r>
    </w:p>
  </w:footnote>
  <w:footnote w:id="112">
    <w:p w14:paraId="1155AD2E" w14:textId="2030F021" w:rsidR="006D7913" w:rsidRPr="00ED7E65" w:rsidRDefault="006D7913" w:rsidP="001C04A0">
      <w:pPr>
        <w:pStyle w:val="FootnoteText"/>
      </w:pPr>
      <w:r w:rsidRPr="00ED7E65">
        <w:tab/>
      </w:r>
      <w:r w:rsidRPr="00E1363B">
        <w:rPr>
          <w:rStyle w:val="FootnoteReference"/>
        </w:rPr>
        <w:footnoteRef/>
      </w:r>
      <w:r w:rsidRPr="00ED7E65">
        <w:rPr>
          <w:rFonts w:eastAsia="Arial Unicode MS" w:hAnsi="Arial Unicode MS" w:cs="Arial Unicode MS"/>
        </w:rPr>
        <w:tab/>
      </w:r>
      <w:r>
        <w:rPr>
          <w:rFonts w:eastAsia="Arial Unicode MS" w:hAnsi="Arial Unicode MS" w:cs="Arial Unicode MS"/>
        </w:rPr>
        <w:t xml:space="preserve">See </w:t>
      </w:r>
      <w:r w:rsidRPr="00ED7E65">
        <w:rPr>
          <w:rFonts w:eastAsia="Arial Unicode MS" w:hAnsi="Arial Unicode MS" w:cs="Arial Unicode MS"/>
        </w:rPr>
        <w:t>http://en.pkulaw.cn/display.aspx?cgid=297059&amp;lib=law.</w:t>
      </w:r>
    </w:p>
  </w:footnote>
  <w:footnote w:id="113">
    <w:p w14:paraId="1EE16760" w14:textId="561C74FC" w:rsidR="006D7913" w:rsidRPr="00AE022A" w:rsidRDefault="006D7913" w:rsidP="001C04A0">
      <w:pPr>
        <w:pStyle w:val="FootnoteText"/>
        <w:rPr>
          <w:lang w:val="en-GB"/>
        </w:rPr>
      </w:pPr>
      <w:r w:rsidRPr="00ED7E65">
        <w:tab/>
      </w:r>
      <w:r w:rsidRPr="00E1363B">
        <w:rPr>
          <w:rStyle w:val="FootnoteReference"/>
        </w:rPr>
        <w:footnoteRef/>
      </w:r>
      <w:r w:rsidRPr="00AE022A">
        <w:rPr>
          <w:rFonts w:eastAsia="Arial Unicode MS" w:hAnsi="Arial Unicode MS" w:cs="Arial Unicode MS"/>
          <w:lang w:val="en-GB"/>
        </w:rPr>
        <w:tab/>
        <w:t>See www.amnesty.org/download/Documents/ACT5079552018ENGLISH.PDF, p. 21.</w:t>
      </w:r>
    </w:p>
  </w:footnote>
  <w:footnote w:id="114">
    <w:p w14:paraId="4847810D" w14:textId="296EA8A6" w:rsidR="006D7913" w:rsidRPr="00256810" w:rsidRDefault="006D7913" w:rsidP="001C04A0">
      <w:pPr>
        <w:pStyle w:val="FootnoteText"/>
      </w:pPr>
      <w:r w:rsidRPr="00AE022A">
        <w:rPr>
          <w:lang w:val="en-GB"/>
        </w:rPr>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Lovelace v. The Queen</w:t>
      </w:r>
      <w:r w:rsidRPr="00256810">
        <w:rPr>
          <w:rFonts w:eastAsia="Arial Unicode MS" w:hAnsi="Arial Unicode MS" w:cs="Arial Unicode MS"/>
        </w:rPr>
        <w:t xml:space="preserve"> </w:t>
      </w:r>
      <w:r>
        <w:rPr>
          <w:rFonts w:eastAsia="Arial Unicode MS" w:hAnsi="Arial Unicode MS" w:cs="Arial Unicode MS"/>
        </w:rPr>
        <w:t>(</w:t>
      </w:r>
      <w:r w:rsidRPr="00256810">
        <w:rPr>
          <w:rFonts w:eastAsia="Arial Unicode MS" w:hAnsi="Arial Unicode MS" w:cs="Arial Unicode MS"/>
        </w:rPr>
        <w:t>2017</w:t>
      </w:r>
      <w:r>
        <w:rPr>
          <w:rFonts w:eastAsia="Arial Unicode MS" w:hAnsi="Arial Unicode MS" w:cs="Arial Unicode MS"/>
        </w:rPr>
        <w:t>)</w:t>
      </w:r>
      <w:r w:rsidRPr="00256810">
        <w:rPr>
          <w:rFonts w:eastAsia="Arial Unicode MS" w:hAnsi="Arial Unicode MS" w:cs="Arial Unicode MS"/>
        </w:rPr>
        <w:t>.</w:t>
      </w:r>
    </w:p>
  </w:footnote>
  <w:footnote w:id="115">
    <w:p w14:paraId="7A2EABE2" w14:textId="1F61A440"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23" w:history="1">
        <w:r w:rsidRPr="00182663">
          <w:rPr>
            <w:rStyle w:val="Hyperlink"/>
            <w:rFonts w:eastAsia="Arial Unicode MS" w:hAnsi="Arial Unicode MS" w:cs="Arial Unicode MS"/>
            <w:szCs w:val="18"/>
            <w:lang w:val="en-US"/>
          </w:rPr>
          <w:t>www.ohchr.org/EN/NewsEvents/Pages/DisplayNews.aspx</w:t>
        </w:r>
      </w:hyperlink>
      <w:r w:rsidRPr="00256810">
        <w:rPr>
          <w:rFonts w:eastAsia="Arial Unicode MS" w:hAnsi="Arial Unicode MS" w:cs="Arial Unicode MS"/>
        </w:rPr>
        <w:t xml:space="preserve">?NewsID=20403&amp;LangID=E; </w:t>
      </w:r>
      <w:r>
        <w:rPr>
          <w:rFonts w:eastAsia="Arial Unicode MS" w:hAnsi="Arial Unicode MS" w:cs="Arial Unicode MS"/>
        </w:rPr>
        <w:t xml:space="preserve">and </w:t>
      </w:r>
      <w:r w:rsidRPr="00256810">
        <w:rPr>
          <w:rFonts w:eastAsia="Arial Unicode MS" w:hAnsi="Arial Unicode MS" w:cs="Arial Unicode MS"/>
        </w:rPr>
        <w:t>www.ohchr.org/EN/NewsEvents/Pages/DisplayNews.aspx?NewsID=19796&amp;LangID=E</w:t>
      </w:r>
      <w:r>
        <w:rPr>
          <w:rFonts w:eastAsia="Arial Unicode MS" w:hAnsi="Arial Unicode MS" w:cs="Arial Unicode MS"/>
        </w:rPr>
        <w:t>.</w:t>
      </w:r>
    </w:p>
  </w:footnote>
  <w:footnote w:id="116">
    <w:p w14:paraId="6B84E6F9" w14:textId="7FE6F11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24" w:history="1">
        <w:r w:rsidRPr="00182663">
          <w:rPr>
            <w:rStyle w:val="Hyperlink"/>
            <w:rFonts w:eastAsia="Arial Unicode MS" w:hAnsi="Arial Unicode MS" w:cs="Arial Unicode MS"/>
            <w:szCs w:val="18"/>
            <w:lang w:val="en-US"/>
          </w:rPr>
          <w:t>www.ohchr.org/EN/NewsEvents/Pages/DisplayNews.aspx?NewsID=22613</w:t>
        </w:r>
      </w:hyperlink>
      <w:hyperlink r:id="rId25" w:history="1"/>
      <w:hyperlink r:id="rId26" w:history="1"/>
      <w:r w:rsidRPr="00AE022A">
        <w:rPr>
          <w:rFonts w:eastAsia="Arial Unicode MS" w:hAnsi="Arial Unicode MS" w:cs="Arial Unicode MS"/>
          <w:lang w:val="en-GB"/>
        </w:rPr>
        <w:t>.</w:t>
      </w:r>
    </w:p>
  </w:footnote>
  <w:footnote w:id="117">
    <w:p w14:paraId="649DD19F" w14:textId="0CB2163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27" w:history="1">
        <w:r w:rsidRPr="00182663">
          <w:rPr>
            <w:rStyle w:val="Hyperlink"/>
            <w:rFonts w:eastAsia="Arial Unicode MS" w:hAnsi="Arial Unicode MS" w:cs="Arial Unicode MS"/>
            <w:szCs w:val="18"/>
            <w:lang w:val="en-US"/>
          </w:rPr>
          <w:t>www.ohchr.org/en/NewsEvents/Pages/DisplayNews.aspx?NewsID=23208&amp;LangID=E</w:t>
        </w:r>
      </w:hyperlink>
      <w:r w:rsidRPr="00256810">
        <w:rPr>
          <w:rFonts w:eastAsia="Arial Unicode MS" w:hAnsi="Arial Unicode MS" w:cs="Arial Unicode MS"/>
        </w:rPr>
        <w:t xml:space="preserve">; </w:t>
      </w:r>
      <w:r>
        <w:rPr>
          <w:rFonts w:eastAsia="Arial Unicode MS" w:hAnsi="Arial Unicode MS" w:cs="Arial Unicode MS"/>
        </w:rPr>
        <w:t xml:space="preserve">and </w:t>
      </w:r>
      <w:r w:rsidRPr="00256810">
        <w:rPr>
          <w:rFonts w:eastAsia="Arial Unicode MS" w:hAnsi="Arial Unicode MS" w:cs="Arial Unicode MS"/>
        </w:rPr>
        <w:t>www.ohchr.org/EN/NewsEvents/Pages/DisplayNews.aspx?NewsID=22556&amp;LangID=E</w:t>
      </w:r>
      <w:r>
        <w:rPr>
          <w:rFonts w:eastAsia="Arial Unicode MS" w:hAnsi="Arial Unicode MS" w:cs="Arial Unicode MS"/>
        </w:rPr>
        <w:t>.</w:t>
      </w:r>
    </w:p>
  </w:footnote>
  <w:footnote w:id="118">
    <w:p w14:paraId="157FA1A6" w14:textId="270A86C9"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www.ohchr.org/EN/NewsEvents/Pages/DisplayNews.aspx?NewsID=22452&amp;LangID=E.</w:t>
      </w:r>
    </w:p>
  </w:footnote>
  <w:footnote w:id="119">
    <w:p w14:paraId="5C690B76" w14:textId="59E181D8"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www.ohchr.org/EN/NewsEvents/Pages/DisplayNews.aspx?NewsID=23101&amp;LangID=E.</w:t>
      </w:r>
    </w:p>
  </w:footnote>
  <w:footnote w:id="120">
    <w:p w14:paraId="44E98383" w14:textId="3B3F177B" w:rsidR="006D7913" w:rsidRPr="00256810" w:rsidRDefault="006D7913" w:rsidP="001C04A0">
      <w:pPr>
        <w:pStyle w:val="FootnoteText"/>
        <w:rPr>
          <w:lang w:val="fr-FR"/>
        </w:rPr>
      </w:pPr>
      <w:r w:rsidRPr="00AE022A">
        <w:rPr>
          <w:lang w:val="en-GB"/>
        </w:rPr>
        <w:tab/>
      </w:r>
      <w:r w:rsidRPr="00E1363B">
        <w:rPr>
          <w:rStyle w:val="FootnoteReference"/>
        </w:rPr>
        <w:footnoteRef/>
      </w:r>
      <w:r w:rsidRPr="00256810">
        <w:rPr>
          <w:rFonts w:eastAsia="Arial Unicode MS" w:hAnsi="Arial Unicode MS" w:cs="Arial Unicode MS"/>
          <w:lang w:val="fr-FR"/>
        </w:rPr>
        <w:tab/>
        <w:t>UA SAU 1/2018 (</w:t>
      </w:r>
      <w:hyperlink r:id="rId28" w:history="1">
        <w:r w:rsidRPr="00256810">
          <w:rPr>
            <w:rStyle w:val="Hyperlink2"/>
            <w:rFonts w:eastAsia="Arial Unicode MS" w:hAnsi="Arial Unicode MS" w:cs="Arial Unicode MS"/>
          </w:rPr>
          <w:t>https://spcommreports.ohchr.org/TMResultsBase/DownLoadPublicCommunicationFile?gId=23639</w:t>
        </w:r>
      </w:hyperlink>
      <w:r w:rsidRPr="00256810">
        <w:rPr>
          <w:rFonts w:eastAsia="Arial Unicode MS" w:hAnsi="Arial Unicode MS" w:cs="Arial Unicode MS"/>
          <w:lang w:val="fr-FR"/>
        </w:rPr>
        <w:t>)</w:t>
      </w:r>
      <w:r>
        <w:rPr>
          <w:rFonts w:eastAsia="Arial Unicode MS" w:hAnsi="Arial Unicode MS" w:cs="Arial Unicode MS"/>
          <w:lang w:val="fr-FR"/>
        </w:rPr>
        <w:t>.</w:t>
      </w:r>
      <w:r w:rsidRPr="00256810">
        <w:rPr>
          <w:rFonts w:eastAsia="Arial Unicode MS" w:hAnsi="Arial Unicode MS" w:cs="Arial Unicode MS"/>
          <w:lang w:val="fr-FR"/>
        </w:rPr>
        <w:t xml:space="preserve"> </w:t>
      </w:r>
    </w:p>
  </w:footnote>
  <w:footnote w:id="121">
    <w:p w14:paraId="4D6703AB" w14:textId="7E74A59E" w:rsidR="006D7913" w:rsidRPr="00AE022A" w:rsidRDefault="006D7913" w:rsidP="001C04A0">
      <w:pPr>
        <w:pStyle w:val="FootnoteText"/>
        <w:rPr>
          <w:lang w:val="en-GB"/>
        </w:rPr>
      </w:pPr>
      <w:r w:rsidRPr="00256810">
        <w:rPr>
          <w:lang w:val="fr-FR"/>
        </w:rPr>
        <w:tab/>
      </w:r>
      <w:r w:rsidRPr="00E1363B">
        <w:rPr>
          <w:rStyle w:val="FootnoteReference"/>
        </w:rPr>
        <w:footnoteRef/>
      </w:r>
      <w:r w:rsidRPr="00AE022A">
        <w:rPr>
          <w:rFonts w:eastAsia="Arial Unicode MS" w:hAnsi="Arial Unicode MS" w:cs="Arial Unicode MS"/>
          <w:lang w:val="en-GB"/>
        </w:rPr>
        <w:tab/>
        <w:t xml:space="preserve">See </w:t>
      </w:r>
      <w:r w:rsidRPr="00AE022A">
        <w:rPr>
          <w:lang w:val="en-GB"/>
        </w:rPr>
        <w:t>www.ohchr.org/EN/NewsEvents/Pages/DisplayNews.aspx?NewsID=20865&amp;LangID=E.</w:t>
      </w:r>
    </w:p>
  </w:footnote>
  <w:footnote w:id="122">
    <w:p w14:paraId="0404911D" w14:textId="5C0299BB"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www.ohchr.org/EN/NewsEvents/Pages/DisplayNews.aspx?NewsID=20324&amp;LangID=E.</w:t>
      </w:r>
    </w:p>
  </w:footnote>
  <w:footnote w:id="123">
    <w:p w14:paraId="3E3FBEC8" w14:textId="77777777" w:rsidR="006D7913" w:rsidRPr="00256810" w:rsidRDefault="006D7913" w:rsidP="001C04A0">
      <w:pPr>
        <w:pStyle w:val="FootnoteText"/>
      </w:pPr>
      <w:r w:rsidRPr="00AE022A">
        <w:rPr>
          <w:lang w:val="en-GB"/>
        </w:rPr>
        <w:tab/>
      </w:r>
      <w:r w:rsidRPr="00E1363B">
        <w:rPr>
          <w:rStyle w:val="FootnoteReference"/>
        </w:rPr>
        <w:footnoteRef/>
      </w:r>
      <w:r w:rsidRPr="00256810">
        <w:rPr>
          <w:rFonts w:eastAsia="Arial Unicode MS" w:hAnsi="Arial Unicode MS" w:cs="Arial Unicode MS"/>
        </w:rPr>
        <w:tab/>
        <w:t>Ibid.</w:t>
      </w:r>
    </w:p>
  </w:footnote>
  <w:footnote w:id="124">
    <w:p w14:paraId="2E86CFCE" w14:textId="253D1B5C"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 xml:space="preserve">Lendore &amp; </w:t>
      </w:r>
      <w:r>
        <w:rPr>
          <w:rFonts w:eastAsia="Arial Unicode MS" w:hAnsi="Arial Unicode MS" w:cs="Arial Unicode MS"/>
          <w:i/>
          <w:iCs/>
        </w:rPr>
        <w:t>othe</w:t>
      </w:r>
      <w:r w:rsidRPr="00256810">
        <w:rPr>
          <w:rFonts w:eastAsia="Arial Unicode MS" w:hAnsi="Arial Unicode MS" w:cs="Arial Unicode MS"/>
          <w:i/>
          <w:iCs/>
        </w:rPr>
        <w:t>rs v. The State</w:t>
      </w:r>
      <w:r w:rsidRPr="00256810">
        <w:rPr>
          <w:rFonts w:eastAsia="Arial Unicode MS" w:hAnsi="Arial Unicode MS" w:cs="Arial Unicode MS"/>
        </w:rPr>
        <w:t xml:space="preserve"> </w:t>
      </w:r>
      <w:r>
        <w:rPr>
          <w:rFonts w:eastAsia="Arial Unicode MS" w:hAnsi="Arial Unicode MS" w:cs="Arial Unicode MS"/>
        </w:rPr>
        <w:t>(</w:t>
      </w:r>
      <w:r w:rsidRPr="00256810">
        <w:rPr>
          <w:rFonts w:eastAsia="Arial Unicode MS" w:hAnsi="Arial Unicode MS" w:cs="Arial Unicode MS"/>
        </w:rPr>
        <w:t>2017</w:t>
      </w:r>
      <w:r>
        <w:rPr>
          <w:rFonts w:eastAsia="Arial Unicode MS" w:hAnsi="Arial Unicode MS" w:cs="Arial Unicode MS"/>
        </w:rPr>
        <w:t>)</w:t>
      </w:r>
      <w:r w:rsidRPr="00256810">
        <w:rPr>
          <w:rFonts w:eastAsia="Arial Unicode MS" w:hAnsi="Arial Unicode MS" w:cs="Arial Unicode MS"/>
        </w:rPr>
        <w:t>.</w:t>
      </w:r>
    </w:p>
  </w:footnote>
  <w:footnote w:id="125">
    <w:p w14:paraId="04DEE0D0"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 xml:space="preserve">Civil Appeal No.177 of 2010, </w:t>
      </w:r>
      <w:r w:rsidRPr="00256810">
        <w:rPr>
          <w:rFonts w:eastAsia="Arial Unicode MS" w:hAnsi="Arial Unicode MS" w:cs="Arial Unicode MS"/>
          <w:i/>
          <w:iCs/>
        </w:rPr>
        <w:t>Boodram v. Attorney-General of Trinidad and Tobago</w:t>
      </w:r>
      <w:r w:rsidRPr="00256810">
        <w:rPr>
          <w:rFonts w:eastAsia="Arial Unicode MS" w:hAnsi="Arial Unicode MS" w:cs="Arial Unicode MS"/>
        </w:rPr>
        <w:t>, 8 March 2018.</w:t>
      </w:r>
    </w:p>
  </w:footnote>
  <w:footnote w:id="126">
    <w:p w14:paraId="75635045" w14:textId="66C5672C" w:rsidR="006D7913" w:rsidRPr="00AE022A" w:rsidRDefault="006D7913" w:rsidP="001C04A0">
      <w:pPr>
        <w:pStyle w:val="FootnoteText"/>
        <w:rPr>
          <w:lang w:val="en-GB"/>
        </w:rPr>
      </w:pPr>
      <w:r w:rsidRPr="00256810">
        <w:tab/>
      </w:r>
      <w:r w:rsidRPr="00E1363B">
        <w:rPr>
          <w:rStyle w:val="FootnoteReference"/>
        </w:rPr>
        <w:footnoteRef/>
      </w:r>
      <w:r w:rsidRPr="00AE022A">
        <w:rPr>
          <w:rFonts w:eastAsia="Arial Unicode MS" w:hAnsi="Arial Unicode MS" w:cs="Arial Unicode MS"/>
          <w:lang w:val="en-GB"/>
        </w:rPr>
        <w:tab/>
        <w:t>See www.amnesty.org/download/Documents/ACT5057402017ENGLISH.PDF, p. 9.</w:t>
      </w:r>
    </w:p>
  </w:footnote>
  <w:footnote w:id="127">
    <w:p w14:paraId="7E0B568E" w14:textId="3E140177"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www.president.go.ke/2016/10/24/death-row-convicts-get-a-reprieve/.</w:t>
      </w:r>
    </w:p>
  </w:footnote>
  <w:footnote w:id="128">
    <w:p w14:paraId="14049095" w14:textId="77777777" w:rsidR="006D7913" w:rsidRPr="00256810" w:rsidRDefault="006D7913" w:rsidP="001C04A0">
      <w:pPr>
        <w:pStyle w:val="FootnoteText"/>
      </w:pPr>
      <w:r w:rsidRPr="00AE022A">
        <w:rPr>
          <w:lang w:val="en-GB"/>
        </w:rPr>
        <w:tab/>
      </w:r>
      <w:r w:rsidRPr="00E1363B">
        <w:rPr>
          <w:rStyle w:val="FootnoteReference"/>
        </w:rPr>
        <w:footnoteRef/>
      </w:r>
      <w:r w:rsidRPr="00256810">
        <w:rPr>
          <w:rFonts w:eastAsia="Arial Unicode MS" w:hAnsi="Arial Unicode MS" w:cs="Arial Unicode MS"/>
        </w:rPr>
        <w:tab/>
        <w:t>Submission by Death Penalty Project.</w:t>
      </w:r>
    </w:p>
  </w:footnote>
  <w:footnote w:id="129">
    <w:p w14:paraId="0E2B5583" w14:textId="4261FA1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 xml:space="preserve"> </w:t>
      </w:r>
      <w:r w:rsidRPr="00256810">
        <w:rPr>
          <w:rFonts w:eastAsia="Arial Unicode MS" w:hAnsi="Arial Unicode MS" w:cs="Arial Unicode MS"/>
        </w:rPr>
        <w:tab/>
        <w:t xml:space="preserve">Submission by Human Rights Commission of Sri Lanka; </w:t>
      </w:r>
      <w:r>
        <w:rPr>
          <w:rFonts w:eastAsia="Arial Unicode MS" w:hAnsi="Arial Unicode MS" w:cs="Arial Unicode MS"/>
        </w:rPr>
        <w:t xml:space="preserve">see also </w:t>
      </w:r>
      <w:hyperlink r:id="rId29" w:history="1">
        <w:r w:rsidRPr="00182663">
          <w:rPr>
            <w:rStyle w:val="Hyperlink"/>
            <w:rFonts w:eastAsia="Arial Unicode MS" w:hAnsi="Arial Unicode MS" w:cs="Arial Unicode MS"/>
          </w:rPr>
          <w:t>www.amnesty.org/download/Documents/ACT5079552018ENGLISH.PDF</w:t>
        </w:r>
      </w:hyperlink>
      <w:r w:rsidRPr="00256810">
        <w:rPr>
          <w:rFonts w:eastAsia="Arial Unicode MS" w:hAnsi="Arial Unicode MS" w:cs="Arial Unicode MS"/>
        </w:rPr>
        <w:t xml:space="preserve">, </w:t>
      </w:r>
      <w:r>
        <w:rPr>
          <w:rFonts w:eastAsia="Arial Unicode MS" w:hAnsi="Arial Unicode MS" w:cs="Arial Unicode MS"/>
        </w:rPr>
        <w:t>p.</w:t>
      </w:r>
      <w:r w:rsidRPr="00256810">
        <w:rPr>
          <w:rFonts w:eastAsia="Arial Unicode MS" w:hAnsi="Arial Unicode MS" w:cs="Arial Unicode MS"/>
        </w:rPr>
        <w:t xml:space="preserve"> 26.</w:t>
      </w:r>
    </w:p>
  </w:footnote>
  <w:footnote w:id="130">
    <w:p w14:paraId="2F7C2A9A" w14:textId="61AA2598" w:rsidR="006D7913" w:rsidRPr="00AE022A" w:rsidRDefault="006D7913" w:rsidP="001C04A0">
      <w:pPr>
        <w:pStyle w:val="FootnoteText"/>
        <w:rPr>
          <w:lang w:val="en-GB"/>
        </w:rPr>
      </w:pPr>
      <w:r w:rsidRPr="00D222E0">
        <w:rPr>
          <w:rFonts w:eastAsia="Arial Unicode MS" w:hAnsi="Arial Unicode MS" w:cs="Arial Unicode MS"/>
        </w:rPr>
        <w:tab/>
      </w:r>
      <w:r w:rsidRPr="00E1363B">
        <w:rPr>
          <w:rStyle w:val="FootnoteReference"/>
        </w:rPr>
        <w:footnoteRef/>
      </w:r>
      <w:r w:rsidRPr="00AE022A">
        <w:rPr>
          <w:rFonts w:eastAsia="Arial Unicode MS" w:hAnsi="Arial Unicode MS" w:cs="Arial Unicode MS"/>
          <w:lang w:val="en-GB"/>
        </w:rPr>
        <w:tab/>
        <w:t xml:space="preserve">See www.humanrights.or.tz/assets/images/upload/files/LHRC%20THRR%202017(2).pdf, p. 26; and </w:t>
      </w:r>
      <w:hyperlink r:id="rId30" w:history="1">
        <w:r w:rsidRPr="00AE022A">
          <w:rPr>
            <w:rStyle w:val="Hyperlink"/>
            <w:rFonts w:eastAsia="Arial Unicode MS" w:hAnsi="Arial Unicode MS" w:cs="Arial Unicode MS"/>
            <w:szCs w:val="18"/>
            <w:lang w:val="en-GB"/>
          </w:rPr>
          <w:t>www.thecitizen.co.tz/News/Magufuli-grants-presidential-amnesty-to-61-death-row-inmates-/1840340-4221150-x6ea2c/index.html</w:t>
        </w:r>
      </w:hyperlink>
      <w:r w:rsidRPr="00AE022A">
        <w:rPr>
          <w:rStyle w:val="Hyperlink1"/>
          <w:rFonts w:eastAsia="Arial Unicode MS" w:hAnsi="Arial Unicode MS" w:cs="Arial Unicode MS"/>
          <w:lang w:val="en-GB"/>
        </w:rPr>
        <w:t>.</w:t>
      </w:r>
    </w:p>
  </w:footnote>
  <w:footnote w:id="131">
    <w:p w14:paraId="497B2FA2" w14:textId="3B05BA12"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Decree N</w:t>
      </w:r>
      <w:r w:rsidRPr="00AE022A">
        <w:rPr>
          <w:rFonts w:ascii="Arial Unicode MS" w:eastAsia="Arial Unicode MS" w:cs="Arial Unicode MS"/>
          <w:lang w:val="en-GB"/>
        </w:rPr>
        <w:t xml:space="preserve"> </w:t>
      </w:r>
      <w:r w:rsidRPr="00AE022A">
        <w:rPr>
          <w:rFonts w:eastAsia="Arial Unicode MS" w:hAnsi="Arial Unicode MS" w:cs="Arial Unicode MS"/>
          <w:lang w:val="en-GB"/>
        </w:rPr>
        <w:t>08/2018/PR/SGG/CM/OJ/ORD.</w:t>
      </w:r>
    </w:p>
  </w:footnote>
  <w:footnote w:id="132">
    <w:p w14:paraId="15DF43F4" w14:textId="3E407990"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http://bangkok.ohchr.org/news/press/Malaybrothers.aspx.</w:t>
      </w:r>
    </w:p>
  </w:footnote>
  <w:footnote w:id="133">
    <w:p w14:paraId="313EA2E9" w14:textId="16A8A044" w:rsidR="006D7913" w:rsidRPr="00256810" w:rsidRDefault="006D7913" w:rsidP="001C04A0">
      <w:pPr>
        <w:pStyle w:val="FootnoteText"/>
      </w:pPr>
      <w:r w:rsidRPr="00AE022A">
        <w:rPr>
          <w:lang w:val="en-GB"/>
        </w:rPr>
        <w:tab/>
      </w:r>
      <w:r w:rsidRPr="00E1363B">
        <w:rPr>
          <w:rStyle w:val="FootnoteReference"/>
        </w:rPr>
        <w:footnoteRef/>
      </w:r>
      <w:r w:rsidRPr="00256810">
        <w:tab/>
      </w:r>
      <w:r w:rsidRPr="00256810">
        <w:tab/>
        <w:t xml:space="preserve">Submission by LBH Masyarakat-Reprieve; </w:t>
      </w:r>
      <w:r>
        <w:t xml:space="preserve">see also </w:t>
      </w:r>
      <w:r w:rsidRPr="00AD091D">
        <w:t>www.amnesty.org/en/documents/asa21/6861/2017/en/</w:t>
      </w:r>
      <w:r>
        <w:t>.</w:t>
      </w:r>
    </w:p>
  </w:footnote>
  <w:footnote w:id="134">
    <w:p w14:paraId="4AFC921F" w14:textId="00C22A63"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Submission</w:t>
      </w:r>
      <w:r>
        <w:rPr>
          <w:rFonts w:eastAsia="Arial Unicode MS" w:hAnsi="Arial Unicode MS" w:cs="Arial Unicode MS"/>
        </w:rPr>
        <w:t>s</w:t>
      </w:r>
      <w:r w:rsidRPr="00256810">
        <w:rPr>
          <w:rFonts w:eastAsia="Arial Unicode MS" w:hAnsi="Arial Unicode MS" w:cs="Arial Unicode MS"/>
        </w:rPr>
        <w:t xml:space="preserve"> by LBH M</w:t>
      </w:r>
      <w:r>
        <w:rPr>
          <w:rFonts w:eastAsia="Arial Unicode MS" w:hAnsi="Arial Unicode MS" w:cs="Arial Unicode MS"/>
        </w:rPr>
        <w:t>a</w:t>
      </w:r>
      <w:r w:rsidRPr="00256810">
        <w:rPr>
          <w:rFonts w:eastAsia="Arial Unicode MS" w:hAnsi="Arial Unicode MS" w:cs="Arial Unicode MS"/>
        </w:rPr>
        <w:t>syarakat-Reprieve</w:t>
      </w:r>
      <w:r>
        <w:rPr>
          <w:rFonts w:eastAsia="Arial Unicode MS" w:hAnsi="Arial Unicode MS" w:cs="Arial Unicode MS"/>
        </w:rPr>
        <w:t xml:space="preserve"> and</w:t>
      </w:r>
      <w:r w:rsidRPr="00256810">
        <w:rPr>
          <w:rFonts w:eastAsia="Arial Unicode MS" w:hAnsi="Arial Unicode MS" w:cs="Arial Unicode MS"/>
        </w:rPr>
        <w:t xml:space="preserve"> Harm Reduction International.</w:t>
      </w:r>
    </w:p>
  </w:footnote>
  <w:footnote w:id="135">
    <w:p w14:paraId="567E820E"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Decision No. 107/PUU-XIII/2015</w:t>
      </w:r>
      <w:r>
        <w:rPr>
          <w:rFonts w:eastAsia="Arial Unicode MS" w:hAnsi="Arial Unicode MS" w:cs="Arial Unicode MS"/>
        </w:rPr>
        <w:t>.</w:t>
      </w:r>
    </w:p>
  </w:footnote>
  <w:footnote w:id="136">
    <w:p w14:paraId="4E504846" w14:textId="2377911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CCPR/C/PAK/CO/1</w:t>
      </w:r>
      <w:r>
        <w:rPr>
          <w:rFonts w:eastAsia="Arial Unicode MS" w:hAnsi="Arial Unicode MS" w:cs="Arial Unicode MS"/>
        </w:rPr>
        <w:t>,</w:t>
      </w:r>
      <w:r w:rsidRPr="00256810">
        <w:rPr>
          <w:rFonts w:eastAsia="Arial Unicode MS" w:hAnsi="Arial Unicode MS" w:cs="Arial Unicode MS"/>
        </w:rPr>
        <w:t xml:space="preserve"> para</w:t>
      </w:r>
      <w:r>
        <w:rPr>
          <w:rFonts w:eastAsia="Arial Unicode MS" w:hAnsi="Arial Unicode MS" w:cs="Arial Unicode MS"/>
        </w:rPr>
        <w:t>.</w:t>
      </w:r>
      <w:r w:rsidRPr="00256810">
        <w:rPr>
          <w:rFonts w:eastAsia="Arial Unicode MS" w:hAnsi="Arial Unicode MS" w:cs="Arial Unicode MS"/>
        </w:rPr>
        <w:t xml:space="preserve"> 17. </w:t>
      </w:r>
    </w:p>
  </w:footnote>
  <w:footnote w:id="137">
    <w:p w14:paraId="78F18290" w14:textId="6093D7C6"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Human Rights Committee</w:t>
      </w:r>
      <w:r>
        <w:rPr>
          <w:rFonts w:eastAsia="Arial Unicode MS" w:hAnsi="Arial Unicode MS" w:cs="Arial Unicode MS"/>
        </w:rPr>
        <w:t>,</w:t>
      </w:r>
      <w:r w:rsidRPr="00256810">
        <w:rPr>
          <w:rFonts w:eastAsia="Arial Unicode MS" w:hAnsi="Arial Unicode MS" w:cs="Arial Unicode MS"/>
        </w:rPr>
        <w:t xml:space="preserve"> </w:t>
      </w:r>
      <w:r>
        <w:rPr>
          <w:rFonts w:eastAsia="Arial Unicode MS" w:hAnsi="Arial Unicode MS" w:cs="Arial Unicode MS"/>
        </w:rPr>
        <w:t>g</w:t>
      </w:r>
      <w:r w:rsidRPr="00256810">
        <w:rPr>
          <w:rFonts w:eastAsia="Arial Unicode MS" w:hAnsi="Arial Unicode MS" w:cs="Arial Unicode MS"/>
        </w:rPr>
        <w:t xml:space="preserve">eneral </w:t>
      </w:r>
      <w:r>
        <w:rPr>
          <w:rFonts w:eastAsia="Arial Unicode MS" w:hAnsi="Arial Unicode MS" w:cs="Arial Unicode MS"/>
        </w:rPr>
        <w:t>c</w:t>
      </w:r>
      <w:r w:rsidRPr="00256810">
        <w:rPr>
          <w:rFonts w:eastAsia="Arial Unicode MS" w:hAnsi="Arial Unicode MS" w:cs="Arial Unicode MS"/>
        </w:rPr>
        <w:t>omment No. 20</w:t>
      </w:r>
      <w:r>
        <w:rPr>
          <w:rFonts w:eastAsia="Arial Unicode MS" w:hAnsi="Arial Unicode MS" w:cs="Arial Unicode MS"/>
        </w:rPr>
        <w:t xml:space="preserve"> (1992) on the prohibition of torture or other cruel, inhuman or degrading treatment or punishment</w:t>
      </w:r>
      <w:r w:rsidRPr="00256810">
        <w:rPr>
          <w:rFonts w:eastAsia="Arial Unicode MS" w:hAnsi="Arial Unicode MS" w:cs="Arial Unicode MS"/>
        </w:rPr>
        <w:t>, para 6; A/HRC/24/18, paras</w:t>
      </w:r>
      <w:r>
        <w:rPr>
          <w:rFonts w:eastAsia="Arial Unicode MS" w:hAnsi="Arial Unicode MS" w:cs="Arial Unicode MS"/>
        </w:rPr>
        <w:t>.</w:t>
      </w:r>
      <w:r w:rsidRPr="00256810">
        <w:rPr>
          <w:rFonts w:eastAsia="Arial Unicode MS" w:hAnsi="Arial Unicode MS" w:cs="Arial Unicode MS"/>
        </w:rPr>
        <w:t xml:space="preserve"> 59</w:t>
      </w:r>
      <w:r>
        <w:rPr>
          <w:rFonts w:ascii="Yu Gothic" w:eastAsia="Yu Gothic" w:hAnsi="Yu Gothic" w:cs="Arial Unicode MS" w:hint="eastAsia"/>
        </w:rPr>
        <w:t>−</w:t>
      </w:r>
      <w:r w:rsidRPr="00256810">
        <w:rPr>
          <w:rFonts w:eastAsia="Arial Unicode MS" w:hAnsi="Arial Unicode MS" w:cs="Arial Unicode MS"/>
        </w:rPr>
        <w:t xml:space="preserve">61; </w:t>
      </w:r>
      <w:r>
        <w:rPr>
          <w:rFonts w:eastAsia="Arial Unicode MS" w:hAnsi="Arial Unicode MS" w:cs="Arial Unicode MS"/>
        </w:rPr>
        <w:t xml:space="preserve">and </w:t>
      </w:r>
      <w:r w:rsidRPr="00256810">
        <w:rPr>
          <w:rFonts w:eastAsia="Arial Unicode MS" w:hAnsi="Arial Unicode MS" w:cs="Arial Unicode MS"/>
        </w:rPr>
        <w:t>A/HRC/30/18, paras</w:t>
      </w:r>
      <w:r>
        <w:rPr>
          <w:rFonts w:eastAsia="Arial Unicode MS" w:hAnsi="Arial Unicode MS" w:cs="Arial Unicode MS"/>
        </w:rPr>
        <w:t>.</w:t>
      </w:r>
      <w:r w:rsidRPr="00256810">
        <w:rPr>
          <w:rFonts w:eastAsia="Arial Unicode MS" w:hAnsi="Arial Unicode MS" w:cs="Arial Unicode MS"/>
        </w:rPr>
        <w:t xml:space="preserve"> 30</w:t>
      </w:r>
      <w:r>
        <w:rPr>
          <w:rFonts w:ascii="Yu Gothic" w:eastAsia="Yu Gothic" w:hAnsi="Yu Gothic" w:cs="Arial Unicode MS" w:hint="eastAsia"/>
        </w:rPr>
        <w:t>−</w:t>
      </w:r>
      <w:r w:rsidRPr="00256810">
        <w:rPr>
          <w:rFonts w:eastAsia="Arial Unicode MS" w:hAnsi="Arial Unicode MS" w:cs="Arial Unicode MS"/>
        </w:rPr>
        <w:t>32</w:t>
      </w:r>
      <w:r>
        <w:rPr>
          <w:rFonts w:eastAsia="Arial Unicode MS" w:hAnsi="Arial Unicode MS" w:cs="Arial Unicode MS"/>
        </w:rPr>
        <w:t>.</w:t>
      </w:r>
    </w:p>
  </w:footnote>
  <w:footnote w:id="138">
    <w:p w14:paraId="642AC60C" w14:textId="30B2C2FE" w:rsidR="006D7913" w:rsidRPr="00AE022A" w:rsidRDefault="006D7913" w:rsidP="001C04A0">
      <w:pPr>
        <w:pStyle w:val="FootnoteText"/>
        <w:rPr>
          <w:lang w:val="en-GB"/>
        </w:rPr>
      </w:pPr>
      <w:r w:rsidRPr="00D222E0">
        <w:rPr>
          <w:rFonts w:eastAsia="Arial Unicode MS" w:hAnsi="Arial Unicode MS" w:cs="Arial Unicode MS"/>
        </w:rPr>
        <w:tab/>
      </w:r>
      <w:r w:rsidRPr="00E1363B">
        <w:rPr>
          <w:rStyle w:val="FootnoteReference"/>
        </w:rPr>
        <w:footnoteRef/>
      </w:r>
      <w:r w:rsidRPr="00AE022A">
        <w:rPr>
          <w:rFonts w:eastAsia="Arial Unicode MS" w:hAnsi="Arial Unicode MS" w:cs="Arial Unicode MS"/>
          <w:lang w:val="en-GB"/>
        </w:rPr>
        <w:tab/>
        <w:t xml:space="preserve">See </w:t>
      </w:r>
      <w:hyperlink r:id="rId31" w:history="1">
        <w:r w:rsidRPr="00AE022A">
          <w:rPr>
            <w:rStyle w:val="Hyperlink"/>
            <w:rFonts w:eastAsia="Arial Unicode MS" w:hAnsi="Arial Unicode MS" w:cs="Arial Unicode MS"/>
            <w:szCs w:val="18"/>
            <w:lang w:val="en-GB"/>
          </w:rPr>
          <w:t>www.amnesty.org/download/Documents/ACT5079552018ENGLISH.PDF</w:t>
        </w:r>
      </w:hyperlink>
      <w:r w:rsidRPr="00AE022A">
        <w:rPr>
          <w:rFonts w:eastAsia="Arial Unicode MS" w:hAnsi="Arial Unicode MS" w:cs="Arial Unicode MS"/>
          <w:lang w:val="en-GB"/>
        </w:rPr>
        <w:t>, p. 8.</w:t>
      </w:r>
    </w:p>
  </w:footnote>
  <w:footnote w:id="139">
    <w:p w14:paraId="57FC9E63" w14:textId="56643D6A"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A/HRC/37/24, para. 6.</w:t>
      </w:r>
    </w:p>
  </w:footnote>
  <w:footnote w:id="140">
    <w:p w14:paraId="1155289D" w14:textId="54EF5460" w:rsidR="006D7913" w:rsidRPr="00AE022A" w:rsidRDefault="006D7913" w:rsidP="001C04A0">
      <w:pPr>
        <w:pStyle w:val="FootnoteText"/>
        <w:rPr>
          <w:lang w:val="en-GB"/>
        </w:rPr>
      </w:pPr>
      <w:r w:rsidRPr="00AE022A">
        <w:rPr>
          <w:rFonts w:eastAsia="Arial Unicode MS" w:hAnsi="Arial Unicode MS" w:cs="Arial Unicode MS"/>
          <w:lang w:val="en-GB"/>
        </w:rPr>
        <w:tab/>
      </w:r>
      <w:r w:rsidRPr="00E1363B">
        <w:rPr>
          <w:rStyle w:val="FootnoteReference"/>
        </w:rPr>
        <w:footnoteRef/>
      </w:r>
      <w:r w:rsidRPr="00AE022A">
        <w:rPr>
          <w:rFonts w:eastAsia="Arial Unicode MS" w:hAnsi="Arial Unicode MS" w:cs="Arial Unicode MS"/>
          <w:lang w:val="en-GB"/>
        </w:rPr>
        <w:tab/>
        <w:t>See www.amnesty.org/download/Documents/ACT5083102018ENGLISH.PDF.</w:t>
      </w:r>
    </w:p>
  </w:footnote>
  <w:footnote w:id="141">
    <w:p w14:paraId="0B03D10D" w14:textId="7C84D95D"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A/HRC/37/68, para. 19; and www.amnesty.org/download/Documents/ACT5083102018ENGLISH.PDF.</w:t>
      </w:r>
    </w:p>
  </w:footnote>
  <w:footnote w:id="142">
    <w:p w14:paraId="2C77942D" w14:textId="0F93B39B"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www.ohchr.org/EN/NewsEvents/Pages/DisplayNews.aspx?NewsID=21936&amp;LangID=E.</w:t>
      </w:r>
    </w:p>
  </w:footnote>
  <w:footnote w:id="143">
    <w:p w14:paraId="027C3B86" w14:textId="305E0DA9" w:rsidR="006D7913" w:rsidRPr="00256810" w:rsidRDefault="006D7913" w:rsidP="001C04A0">
      <w:pPr>
        <w:pStyle w:val="FootnoteText"/>
      </w:pPr>
      <w:r w:rsidRPr="00AE022A">
        <w:rPr>
          <w:rFonts w:eastAsia="Arial Unicode MS" w:hAnsi="Arial Unicode MS" w:cs="Arial Unicode MS"/>
          <w:lang w:val="en-GB"/>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32" w:history="1">
        <w:r w:rsidRPr="00182663">
          <w:rPr>
            <w:rStyle w:val="Hyperlink"/>
            <w:rFonts w:eastAsia="Arial Unicode MS" w:hAnsi="Arial Unicode MS" w:cs="Arial Unicode MS"/>
            <w:szCs w:val="18"/>
            <w:lang w:val="en-US"/>
          </w:rPr>
          <w:t>www.amnesty.org/download/Documents/ACT5083102018ENGLISH.PDF</w:t>
        </w:r>
      </w:hyperlink>
      <w:r w:rsidRPr="00256810">
        <w:rPr>
          <w:rFonts w:eastAsia="Arial Unicode MS" w:hAnsi="Arial Unicode MS" w:cs="Arial Unicode MS"/>
        </w:rPr>
        <w:t xml:space="preserve">; </w:t>
      </w:r>
      <w:r>
        <w:rPr>
          <w:rFonts w:eastAsia="Arial Unicode MS" w:hAnsi="Arial Unicode MS" w:cs="Arial Unicode MS"/>
        </w:rPr>
        <w:t xml:space="preserve">and </w:t>
      </w:r>
      <w:r w:rsidRPr="00256810">
        <w:rPr>
          <w:rFonts w:eastAsia="Arial Unicode MS" w:hAnsi="Arial Unicode MS" w:cs="Arial Unicode MS"/>
        </w:rPr>
        <w:t>submission by Justice Project Pakistan.</w:t>
      </w:r>
    </w:p>
  </w:footnote>
  <w:footnote w:id="144">
    <w:p w14:paraId="7304277E" w14:textId="233EE9C2"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www.amnesty.org/download/Documents/ACT5083102018ENGLISH.PDF.</w:t>
      </w:r>
    </w:p>
  </w:footnote>
  <w:footnote w:id="145">
    <w:p w14:paraId="016C063D" w14:textId="58BD544D"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Law No. 111 of 2015</w:t>
      </w:r>
      <w:r>
        <w:rPr>
          <w:rFonts w:eastAsia="Arial Unicode MS" w:hAnsi="Arial Unicode MS" w:cs="Arial Unicode MS"/>
        </w:rPr>
        <w:t xml:space="preserve"> and</w:t>
      </w:r>
      <w:r w:rsidRPr="00256810">
        <w:rPr>
          <w:rFonts w:eastAsia="Arial Unicode MS" w:hAnsi="Arial Unicode MS" w:cs="Arial Unicode MS"/>
        </w:rPr>
        <w:t xml:space="preserve"> The Juvenile Law, </w:t>
      </w:r>
      <w:r>
        <w:rPr>
          <w:rFonts w:eastAsia="Arial Unicode MS" w:hAnsi="Arial Unicode MS" w:cs="Arial Unicode MS"/>
        </w:rPr>
        <w:t>art.</w:t>
      </w:r>
      <w:r w:rsidRPr="00256810">
        <w:rPr>
          <w:rFonts w:eastAsia="Arial Unicode MS" w:hAnsi="Arial Unicode MS" w:cs="Arial Unicode MS"/>
        </w:rPr>
        <w:t xml:space="preserve"> 15 (as amended in March 2017). Submission by </w:t>
      </w:r>
      <w:r>
        <w:rPr>
          <w:rFonts w:eastAsia="Arial Unicode MS" w:hAnsi="Arial Unicode MS" w:cs="Arial Unicode MS"/>
        </w:rPr>
        <w:t>Child Rights International Network</w:t>
      </w:r>
      <w:r w:rsidRPr="00256810">
        <w:rPr>
          <w:rFonts w:eastAsia="Arial Unicode MS" w:hAnsi="Arial Unicode MS" w:cs="Arial Unicode MS"/>
        </w:rPr>
        <w:t>.</w:t>
      </w:r>
    </w:p>
  </w:footnote>
  <w:footnote w:id="146">
    <w:p w14:paraId="28380723" w14:textId="0C28048B"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A/HRC/37/68, para</w:t>
      </w:r>
      <w:r>
        <w:rPr>
          <w:rFonts w:eastAsia="Arial Unicode MS" w:hAnsi="Arial Unicode MS" w:cs="Arial Unicode MS"/>
        </w:rPr>
        <w:t>.</w:t>
      </w:r>
      <w:r w:rsidRPr="00256810">
        <w:rPr>
          <w:rFonts w:eastAsia="Arial Unicode MS" w:hAnsi="Arial Unicode MS" w:cs="Arial Unicode MS"/>
        </w:rPr>
        <w:t xml:space="preserve"> 19</w:t>
      </w:r>
      <w:r>
        <w:rPr>
          <w:rFonts w:eastAsia="Arial Unicode MS" w:hAnsi="Arial Unicode MS" w:cs="Arial Unicode MS"/>
        </w:rPr>
        <w:t>.</w:t>
      </w:r>
      <w:hyperlink r:id="rId33" w:history="1"/>
    </w:p>
  </w:footnote>
  <w:footnote w:id="147">
    <w:p w14:paraId="08768D4E" w14:textId="44B01C42"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34" w:history="1">
        <w:r w:rsidRPr="00182663">
          <w:rPr>
            <w:rStyle w:val="Hyperlink"/>
            <w:rFonts w:eastAsia="Arial Unicode MS" w:hAnsi="Arial Unicode MS" w:cs="Arial Unicode MS"/>
            <w:szCs w:val="18"/>
            <w:lang w:val="en-US"/>
          </w:rPr>
          <w:t>www.ohchr.org/EN/NewsEvents/Pages/DisplayNews.aspx?NewsID=23279&amp;LangID=E</w:t>
        </w:r>
      </w:hyperlink>
      <w:r w:rsidRPr="00256810">
        <w:rPr>
          <w:rFonts w:eastAsia="Arial Unicode MS" w:hAnsi="Arial Unicode MS" w:cs="Arial Unicode MS"/>
        </w:rPr>
        <w:t xml:space="preserve">; </w:t>
      </w:r>
      <w:hyperlink r:id="rId35" w:history="1">
        <w:r w:rsidRPr="00E734A9">
          <w:rPr>
            <w:rStyle w:val="Hyperlink"/>
            <w:rFonts w:eastAsia="Arial Unicode MS" w:hAnsi="Arial Unicode MS" w:cs="Arial Unicode MS"/>
            <w:szCs w:val="18"/>
            <w:lang w:val="en-US"/>
          </w:rPr>
          <w:t>www.ohchr.org/en/NewsEvents/Pages/DisplayNews.aspx?NewsID=23216&amp;LangID=E</w:t>
        </w:r>
      </w:hyperlink>
      <w:r w:rsidRPr="00256810">
        <w:rPr>
          <w:rFonts w:eastAsia="Arial Unicode MS" w:hAnsi="Arial Unicode MS" w:cs="Arial Unicode MS"/>
        </w:rPr>
        <w:t xml:space="preserve">; </w:t>
      </w:r>
      <w:hyperlink r:id="rId36" w:history="1">
        <w:r w:rsidRPr="00E734A9">
          <w:rPr>
            <w:rStyle w:val="Hyperlink"/>
            <w:rFonts w:eastAsia="Arial Unicode MS" w:hAnsi="Arial Unicode MS" w:cs="Arial Unicode MS"/>
            <w:szCs w:val="18"/>
            <w:lang w:val="en-US"/>
          </w:rPr>
          <w:t>www.ohchr.org/FR/NewsEvents/Pages/DisplayNews.aspx?NewsID=22664&amp;LangID=E</w:t>
        </w:r>
      </w:hyperlink>
      <w:r w:rsidRPr="00256810">
        <w:rPr>
          <w:rFonts w:eastAsia="Arial Unicode MS" w:hAnsi="Arial Unicode MS" w:cs="Arial Unicode MS"/>
        </w:rPr>
        <w:t xml:space="preserve">; </w:t>
      </w:r>
      <w:hyperlink r:id="rId37" w:history="1"/>
      <w:hyperlink r:id="rId38" w:history="1">
        <w:r w:rsidRPr="00E734A9">
          <w:rPr>
            <w:rStyle w:val="Hyperlink"/>
            <w:rFonts w:eastAsia="Arial Unicode MS" w:hAnsi="Arial Unicode MS" w:cs="Arial Unicode MS"/>
            <w:szCs w:val="18"/>
            <w:lang w:val="en-US"/>
          </w:rPr>
          <w:t>www.ohchr.org/EN/NewsEvents/Pages/DisplayNews.aspx?NewsID=22587&amp;LangID=E</w:t>
        </w:r>
      </w:hyperlink>
      <w:r w:rsidRPr="00256810">
        <w:rPr>
          <w:rFonts w:eastAsia="Arial Unicode MS" w:hAnsi="Arial Unicode MS" w:cs="Arial Unicode MS"/>
        </w:rPr>
        <w:t xml:space="preserve">; </w:t>
      </w:r>
      <w:hyperlink r:id="rId39" w:history="1">
        <w:r w:rsidRPr="00E734A9">
          <w:rPr>
            <w:rStyle w:val="Hyperlink"/>
            <w:rFonts w:eastAsia="Arial Unicode MS" w:hAnsi="Arial Unicode MS" w:cs="Arial Unicode MS"/>
            <w:szCs w:val="18"/>
            <w:lang w:val="en-US"/>
          </w:rPr>
          <w:t>www.ohchr.org/EN/NewsEvents/Pages/DisplayNews.aspx?NewsID=21958&amp;LangID=E</w:t>
        </w:r>
      </w:hyperlink>
      <w:r w:rsidRPr="00256810">
        <w:rPr>
          <w:rFonts w:eastAsia="Arial Unicode MS" w:hAnsi="Arial Unicode MS" w:cs="Arial Unicode MS"/>
        </w:rPr>
        <w:t xml:space="preserve">; </w:t>
      </w:r>
      <w:r>
        <w:rPr>
          <w:rFonts w:eastAsia="Arial Unicode MS" w:hAnsi="Arial Unicode MS" w:cs="Arial Unicode MS"/>
        </w:rPr>
        <w:t xml:space="preserve">and </w:t>
      </w:r>
      <w:hyperlink r:id="rId40" w:history="1">
        <w:r w:rsidRPr="00182663">
          <w:rPr>
            <w:rStyle w:val="Hyperlink"/>
            <w:rFonts w:eastAsia="Arial Unicode MS" w:hAnsi="Arial Unicode MS" w:cs="Arial Unicode MS"/>
            <w:szCs w:val="18"/>
            <w:lang w:val="en-US"/>
          </w:rPr>
          <w:t>www.ohchr.org/EN/NewsEvents/Pages/DisplayNews.aspx?NewsID=22258&amp;LangID=E</w:t>
        </w:r>
      </w:hyperlink>
      <w:r w:rsidRPr="00256810">
        <w:rPr>
          <w:rFonts w:eastAsia="Arial Unicode MS" w:hAnsi="Arial Unicode MS" w:cs="Arial Unicode MS"/>
        </w:rPr>
        <w:t xml:space="preserve">. </w:t>
      </w:r>
      <w:hyperlink r:id="rId41" w:history="1"/>
    </w:p>
  </w:footnote>
  <w:footnote w:id="148">
    <w:p w14:paraId="4717A22B" w14:textId="56A8DC1A"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CAT/C/AFG/CO/2, para</w:t>
      </w:r>
      <w:r>
        <w:rPr>
          <w:rFonts w:eastAsia="Arial Unicode MS" w:hAnsi="Arial Unicode MS" w:cs="Arial Unicode MS"/>
        </w:rPr>
        <w:t>s.</w:t>
      </w:r>
      <w:r w:rsidRPr="00256810">
        <w:rPr>
          <w:rFonts w:eastAsia="Arial Unicode MS" w:hAnsi="Arial Unicode MS" w:cs="Arial Unicode MS"/>
        </w:rPr>
        <w:t xml:space="preserve"> 33</w:t>
      </w:r>
      <w:r>
        <w:rPr>
          <w:rFonts w:ascii="Yu Gothic" w:eastAsia="Yu Gothic" w:hAnsi="Yu Gothic" w:cs="Arial Unicode MS" w:hint="eastAsia"/>
        </w:rPr>
        <w:t>−</w:t>
      </w:r>
      <w:r w:rsidRPr="00256810">
        <w:rPr>
          <w:rFonts w:eastAsia="Arial Unicode MS" w:hAnsi="Arial Unicode MS" w:cs="Arial Unicode MS"/>
        </w:rPr>
        <w:t>34.</w:t>
      </w:r>
    </w:p>
  </w:footnote>
  <w:footnote w:id="149">
    <w:p w14:paraId="70B52FFC" w14:textId="2710BED8"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CRC/C/SAU/CO/3-4, para</w:t>
      </w:r>
      <w:r>
        <w:rPr>
          <w:rFonts w:eastAsia="Arial Unicode MS" w:hAnsi="Arial Unicode MS" w:cs="Arial Unicode MS"/>
        </w:rPr>
        <w:t>s.</w:t>
      </w:r>
      <w:r w:rsidRPr="00256810">
        <w:rPr>
          <w:rFonts w:eastAsia="Arial Unicode MS" w:hAnsi="Arial Unicode MS" w:cs="Arial Unicode MS"/>
        </w:rPr>
        <w:t xml:space="preserve"> 20</w:t>
      </w:r>
      <w:r>
        <w:rPr>
          <w:rFonts w:ascii="Yu Gothic" w:eastAsia="Yu Gothic" w:hAnsi="Yu Gothic" w:cs="Arial Unicode MS" w:hint="eastAsia"/>
        </w:rPr>
        <w:t>−</w:t>
      </w:r>
      <w:r w:rsidRPr="00256810">
        <w:rPr>
          <w:rFonts w:eastAsia="Arial Unicode MS" w:hAnsi="Arial Unicode MS" w:cs="Arial Unicode MS"/>
        </w:rPr>
        <w:t>21.</w:t>
      </w:r>
    </w:p>
  </w:footnote>
  <w:footnote w:id="150">
    <w:p w14:paraId="71FECF54" w14:textId="48761F70"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CRC/C/VCT/CO/2-3, para</w:t>
      </w:r>
      <w:r>
        <w:rPr>
          <w:rFonts w:eastAsia="Arial Unicode MS" w:hAnsi="Arial Unicode MS" w:cs="Arial Unicode MS"/>
        </w:rPr>
        <w:t>s.</w:t>
      </w:r>
      <w:r w:rsidRPr="00256810">
        <w:rPr>
          <w:rFonts w:eastAsia="Arial Unicode MS" w:hAnsi="Arial Unicode MS" w:cs="Arial Unicode MS"/>
        </w:rPr>
        <w:t xml:space="preserve"> 26</w:t>
      </w:r>
      <w:r>
        <w:rPr>
          <w:rFonts w:ascii="Yu Gothic" w:eastAsia="Yu Gothic" w:hAnsi="Yu Gothic" w:cs="Arial Unicode MS" w:hint="eastAsia"/>
        </w:rPr>
        <w:t>−</w:t>
      </w:r>
      <w:r w:rsidRPr="00256810">
        <w:rPr>
          <w:rFonts w:eastAsia="Arial Unicode MS" w:hAnsi="Arial Unicode MS" w:cs="Arial Unicode MS"/>
        </w:rPr>
        <w:t>27.</w:t>
      </w:r>
    </w:p>
  </w:footnote>
  <w:footnote w:id="151">
    <w:p w14:paraId="5764C239" w14:textId="76A0E3A6" w:rsidR="006D7913" w:rsidRPr="00256810" w:rsidRDefault="006D7913" w:rsidP="001C04A0">
      <w:pPr>
        <w:pStyle w:val="FootnoteText"/>
      </w:pPr>
      <w:r w:rsidRPr="00256810">
        <w:rPr>
          <w:rFonts w:eastAsia="Arial Unicode MS" w:hAnsi="Arial Unicode MS" w:cs="Arial Unicode MS"/>
        </w:rPr>
        <w:tab/>
      </w:r>
      <w:r w:rsidRPr="00E1363B">
        <w:rPr>
          <w:rStyle w:val="FootnoteReference"/>
        </w:rPr>
        <w:footnoteRef/>
      </w:r>
      <w:r w:rsidRPr="00256810">
        <w:rPr>
          <w:rFonts w:eastAsia="Arial Unicode MS" w:hAnsi="Arial Unicode MS" w:cs="Arial Unicode MS"/>
        </w:rPr>
        <w:tab/>
        <w:t xml:space="preserve">Submission by Pakistan. However, juvenile offenders sentenced to death before the Juvenile Justice System Ordinance Act came into force in 2000 have reportedly remained on death row. See </w:t>
      </w:r>
      <w:hyperlink r:id="rId42" w:history="1">
        <w:r w:rsidRPr="00C02AD6">
          <w:rPr>
            <w:rStyle w:val="Hyperlink"/>
            <w:rFonts w:eastAsia="Arial Unicode MS" w:hAnsi="Arial Unicode MS" w:cs="Arial Unicode MS"/>
          </w:rPr>
          <w:t>www.jpp.org.pk</w:t>
        </w:r>
      </w:hyperlink>
      <w:r>
        <w:rPr>
          <w:rFonts w:eastAsia="Arial Unicode MS" w:hAnsi="Arial Unicode MS" w:cs="Arial Unicode MS"/>
        </w:rPr>
        <w:t>.</w:t>
      </w:r>
    </w:p>
  </w:footnote>
  <w:footnote w:id="152">
    <w:p w14:paraId="4F7BF686" w14:textId="70C8F994"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CCPR/C/PAK/CO/1, para</w:t>
      </w:r>
      <w:r>
        <w:rPr>
          <w:rFonts w:eastAsia="Arial Unicode MS" w:hAnsi="Arial Unicode MS" w:cs="Arial Unicode MS"/>
        </w:rPr>
        <w:t>.</w:t>
      </w:r>
      <w:r w:rsidRPr="00256810">
        <w:rPr>
          <w:rFonts w:eastAsia="Arial Unicode MS" w:hAnsi="Arial Unicode MS" w:cs="Arial Unicode MS"/>
        </w:rPr>
        <w:t xml:space="preserve"> 18; </w:t>
      </w:r>
      <w:r>
        <w:rPr>
          <w:rFonts w:eastAsia="Arial Unicode MS" w:hAnsi="Arial Unicode MS" w:cs="Arial Unicode MS"/>
        </w:rPr>
        <w:t xml:space="preserve">and </w:t>
      </w:r>
      <w:r w:rsidRPr="00256810">
        <w:rPr>
          <w:rFonts w:eastAsia="Arial Unicode MS" w:hAnsi="Arial Unicode MS" w:cs="Arial Unicode MS"/>
        </w:rPr>
        <w:t>CRC/C/PAK/CO/5, para</w:t>
      </w:r>
      <w:r>
        <w:rPr>
          <w:rFonts w:eastAsia="Arial Unicode MS" w:hAnsi="Arial Unicode MS" w:cs="Arial Unicode MS"/>
        </w:rPr>
        <w:t>.</w:t>
      </w:r>
      <w:r w:rsidRPr="00256810">
        <w:rPr>
          <w:rFonts w:eastAsia="Arial Unicode MS" w:hAnsi="Arial Unicode MS" w:cs="Arial Unicode MS"/>
        </w:rPr>
        <w:t xml:space="preserve"> 25</w:t>
      </w:r>
      <w:r>
        <w:rPr>
          <w:rFonts w:eastAsia="Arial Unicode MS" w:hAnsi="Arial Unicode MS" w:cs="Arial Unicode MS"/>
        </w:rPr>
        <w:t>.</w:t>
      </w:r>
    </w:p>
  </w:footnote>
  <w:footnote w:id="153">
    <w:p w14:paraId="61AD4925" w14:textId="12F15E88"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See Economic and Social Council resolutions</w:t>
      </w:r>
      <w:r w:rsidRPr="00256810">
        <w:rPr>
          <w:rFonts w:eastAsia="Arial Unicode MS" w:hAnsi="Arial Unicode MS" w:cs="Arial Unicode MS"/>
        </w:rPr>
        <w:t xml:space="preserve"> 1984/50</w:t>
      </w:r>
      <w:r>
        <w:rPr>
          <w:rFonts w:eastAsia="Arial Unicode MS" w:hAnsi="Arial Unicode MS" w:cs="Arial Unicode MS"/>
        </w:rPr>
        <w:t xml:space="preserve"> and</w:t>
      </w:r>
      <w:r w:rsidRPr="00256810">
        <w:rPr>
          <w:rFonts w:eastAsia="Arial Unicode MS" w:hAnsi="Arial Unicode MS" w:cs="Arial Unicode MS"/>
        </w:rPr>
        <w:t xml:space="preserve"> 1989/64; CCPR/C/74/D/684/1996; A</w:t>
      </w:r>
      <w:r>
        <w:rPr>
          <w:rFonts w:eastAsia="Arial Unicode MS" w:hAnsi="Arial Unicode MS" w:cs="Arial Unicode MS"/>
        </w:rPr>
        <w:t>/67/279, para. 58; and A/HRC/36/26.</w:t>
      </w:r>
    </w:p>
  </w:footnote>
  <w:footnote w:id="154">
    <w:p w14:paraId="4FDC01CF" w14:textId="12560A50"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Pitman &amp; Hernandez v. The State</w:t>
      </w:r>
      <w:r w:rsidRPr="00256810">
        <w:rPr>
          <w:rFonts w:eastAsia="Arial Unicode MS" w:hAnsi="Arial Unicode MS" w:cs="Arial Unicode MS"/>
        </w:rPr>
        <w:t xml:space="preserve"> (Trinidad and Tobago), 23 March 2017.</w:t>
      </w:r>
    </w:p>
  </w:footnote>
  <w:footnote w:id="155">
    <w:p w14:paraId="463E3538"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Ibid.</w:t>
      </w:r>
    </w:p>
  </w:footnote>
  <w:footnote w:id="156">
    <w:p w14:paraId="5B8C8912" w14:textId="09D6558A"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McWilliams v. Dunn</w:t>
      </w:r>
      <w:r>
        <w:rPr>
          <w:rFonts w:eastAsia="Arial Unicode MS" w:hAnsi="Arial Unicode MS" w:cs="Arial Unicode MS"/>
        </w:rPr>
        <w:t xml:space="preserve"> </w:t>
      </w:r>
      <w:r w:rsidRPr="00256810">
        <w:rPr>
          <w:rFonts w:eastAsia="Arial Unicode MS" w:hAnsi="Arial Unicode MS" w:cs="Arial Unicode MS"/>
        </w:rPr>
        <w:t>(2017).</w:t>
      </w:r>
    </w:p>
  </w:footnote>
  <w:footnote w:id="157">
    <w:p w14:paraId="39736EAD" w14:textId="72E7BDFD"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r>
      <w:r w:rsidRPr="00256810">
        <w:rPr>
          <w:rFonts w:eastAsia="Arial Unicode MS" w:hAnsi="Arial Unicode MS" w:cs="Arial Unicode MS"/>
          <w:i/>
          <w:iCs/>
        </w:rPr>
        <w:t>Moore v. Texas</w:t>
      </w:r>
      <w:r w:rsidR="004F0E22">
        <w:rPr>
          <w:rFonts w:eastAsia="Arial Unicode MS" w:hAnsi="Arial Unicode MS" w:cs="Arial Unicode MS"/>
        </w:rPr>
        <w:t xml:space="preserve"> </w:t>
      </w:r>
      <w:r w:rsidRPr="00256810">
        <w:rPr>
          <w:rFonts w:eastAsia="Arial Unicode MS" w:hAnsi="Arial Unicode MS" w:cs="Arial Unicode MS"/>
        </w:rPr>
        <w:t>(2017).</w:t>
      </w:r>
    </w:p>
  </w:footnote>
  <w:footnote w:id="158">
    <w:p w14:paraId="1C69B559" w14:textId="77777777" w:rsidR="006D7913" w:rsidRPr="00256810" w:rsidRDefault="006D7913" w:rsidP="001C04A0">
      <w:pPr>
        <w:pStyle w:val="FootnoteText"/>
      </w:pPr>
      <w:r w:rsidRPr="00256810">
        <w:tab/>
      </w:r>
      <w:r w:rsidRPr="00E1363B">
        <w:rPr>
          <w:rStyle w:val="FootnoteReference"/>
        </w:rPr>
        <w:footnoteRef/>
      </w:r>
      <w:r w:rsidRPr="00256810">
        <w:tab/>
      </w:r>
      <w:r w:rsidRPr="00256810">
        <w:rPr>
          <w:rFonts w:eastAsia="Arial Unicode MS" w:hAnsi="Arial Unicode MS" w:cs="Arial Unicode MS"/>
          <w:i/>
          <w:iCs/>
        </w:rPr>
        <w:t>Woodall v. Kentucky</w:t>
      </w:r>
      <w:r w:rsidRPr="00256810">
        <w:rPr>
          <w:rFonts w:eastAsia="Arial Unicode MS" w:hAnsi="Arial Unicode MS" w:cs="Arial Unicode MS"/>
        </w:rPr>
        <w:t>, 14 June 2018.</w:t>
      </w:r>
    </w:p>
  </w:footnote>
  <w:footnote w:id="159">
    <w:p w14:paraId="1E5ECA49" w14:textId="2008A696"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Submissions by Justice Project Pakistan</w:t>
      </w:r>
      <w:r>
        <w:rPr>
          <w:rFonts w:eastAsia="Arial Unicode MS" w:hAnsi="Arial Unicode MS" w:cs="Arial Unicode MS"/>
        </w:rPr>
        <w:t xml:space="preserve"> and</w:t>
      </w:r>
      <w:r w:rsidRPr="00256810">
        <w:rPr>
          <w:rFonts w:eastAsia="Arial Unicode MS" w:hAnsi="Arial Unicode MS" w:cs="Arial Unicode MS"/>
        </w:rPr>
        <w:t xml:space="preserve"> The Advocates for Human Rights-Iran Human Rights-</w:t>
      </w:r>
      <w:r>
        <w:rPr>
          <w:rFonts w:eastAsia="Arial Unicode MS" w:hAnsi="Arial Unicode MS" w:cs="Arial Unicode MS"/>
        </w:rPr>
        <w:t>Ensemble contre la peine de mort</w:t>
      </w:r>
      <w:r w:rsidRPr="00256810">
        <w:rPr>
          <w:rFonts w:eastAsia="Arial Unicode MS" w:hAnsi="Arial Unicode MS" w:cs="Arial Unicode MS"/>
        </w:rPr>
        <w:t xml:space="preserve">; </w:t>
      </w:r>
      <w:r>
        <w:rPr>
          <w:rFonts w:eastAsia="Arial Unicode MS" w:hAnsi="Arial Unicode MS" w:cs="Arial Unicode MS"/>
        </w:rPr>
        <w:t xml:space="preserve">see also </w:t>
      </w:r>
      <w:hyperlink r:id="rId43" w:history="1">
        <w:r w:rsidRPr="00256810">
          <w:rPr>
            <w:rStyle w:val="Hyperlink0"/>
            <w:rFonts w:eastAsia="Arial Unicode MS" w:hAnsi="Arial Unicode MS" w:cs="Arial Unicode MS"/>
          </w:rPr>
          <w:t>https://deathpenaltyinfo.org/documents/2017YrEnd.pdf</w:t>
        </w:r>
      </w:hyperlink>
      <w:r w:rsidRPr="00256810">
        <w:rPr>
          <w:rStyle w:val="Hyperlink0"/>
          <w:rFonts w:eastAsia="Arial Unicode MS" w:hAnsi="Arial Unicode MS" w:cs="Arial Unicode MS"/>
        </w:rPr>
        <w:t xml:space="preserve">; </w:t>
      </w:r>
      <w:hyperlink r:id="rId44" w:history="1">
        <w:r w:rsidRPr="00DC0126">
          <w:rPr>
            <w:rStyle w:val="Hyperlink"/>
            <w:rFonts w:eastAsia="Arial Unicode MS" w:hAnsi="Arial Unicode MS" w:cs="Arial Unicode MS"/>
          </w:rPr>
          <w:t>www.amnesty.org/download/Documents/ACT5083102018ENGLISH.PDF</w:t>
        </w:r>
      </w:hyperlink>
      <w:r w:rsidRPr="00256810">
        <w:rPr>
          <w:rFonts w:eastAsia="Arial Unicode MS" w:hAnsi="Arial Unicode MS" w:cs="Arial Unicode MS"/>
        </w:rPr>
        <w:t xml:space="preserve">; </w:t>
      </w:r>
      <w:r>
        <w:rPr>
          <w:rFonts w:eastAsia="Arial Unicode MS" w:hAnsi="Arial Unicode MS" w:cs="Arial Unicode MS"/>
        </w:rPr>
        <w:t xml:space="preserve">and </w:t>
      </w:r>
      <w:hyperlink r:id="rId45" w:history="1">
        <w:r w:rsidRPr="00723200">
          <w:rPr>
            <w:rStyle w:val="Hyperlink"/>
            <w:rFonts w:eastAsia="Arial Unicode MS" w:hAnsi="Arial Unicode MS" w:cs="Arial Unicode MS"/>
          </w:rPr>
          <w:t>www.amnesty.org/download/Documents/ACT5079552018ENGLISH.PDF</w:t>
        </w:r>
      </w:hyperlink>
      <w:r w:rsidRPr="00256810">
        <w:rPr>
          <w:rFonts w:eastAsia="Arial Unicode MS" w:hAnsi="Arial Unicode MS" w:cs="Arial Unicode MS"/>
        </w:rPr>
        <w:t xml:space="preserve">, </w:t>
      </w:r>
      <w:r>
        <w:rPr>
          <w:rFonts w:eastAsia="Arial Unicode MS" w:hAnsi="Arial Unicode MS" w:cs="Arial Unicode MS"/>
        </w:rPr>
        <w:t>p.</w:t>
      </w:r>
      <w:r w:rsidRPr="00256810">
        <w:rPr>
          <w:rFonts w:eastAsia="Arial Unicode MS" w:hAnsi="Arial Unicode MS" w:cs="Arial Unicode MS"/>
        </w:rPr>
        <w:t xml:space="preserve"> 8</w:t>
      </w:r>
      <w:r>
        <w:rPr>
          <w:rFonts w:eastAsia="Arial Unicode MS" w:hAnsi="Arial Unicode MS" w:cs="Arial Unicode MS"/>
        </w:rPr>
        <w:t>.</w:t>
      </w:r>
    </w:p>
  </w:footnote>
  <w:footnote w:id="160">
    <w:p w14:paraId="358319C7" w14:textId="1CC11138" w:rsidR="006D7913" w:rsidRPr="00256810" w:rsidRDefault="006D7913" w:rsidP="001C04A0">
      <w:pPr>
        <w:pStyle w:val="FootnoteText"/>
      </w:pPr>
      <w:r w:rsidRPr="00256810">
        <w:tab/>
      </w:r>
      <w:r w:rsidRPr="00E1363B">
        <w:rPr>
          <w:rStyle w:val="FootnoteReference"/>
        </w:rPr>
        <w:footnoteRef/>
      </w:r>
      <w:r w:rsidRPr="00AE022A">
        <w:rPr>
          <w:rFonts w:eastAsia="Arial Unicode MS" w:hAnsi="Arial Unicode MS" w:cs="Arial Unicode MS"/>
          <w:lang w:val="en-GB"/>
        </w:rPr>
        <w:tab/>
        <w:t>See CCPR/C/PAK/CO/1, para. 18.</w:t>
      </w:r>
    </w:p>
  </w:footnote>
  <w:footnote w:id="161">
    <w:p w14:paraId="0180B72C" w14:textId="06EB8F4E"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UA PAK 9/2016 (https://spcommreports.ohchr.org/TMResultsBase/DownLoadPublicCommunicationFile?gId=3359); and www.ohchr.org/EN/NewsEvents/Pages/DisplayNews.aspx?NewsID=20593&amp;LangID=E.</w:t>
      </w:r>
    </w:p>
  </w:footnote>
  <w:footnote w:id="162">
    <w:p w14:paraId="41FFB839" w14:textId="15E54967" w:rsidR="006D7913" w:rsidRPr="00AE022A" w:rsidRDefault="006D7913" w:rsidP="001C04A0">
      <w:pPr>
        <w:pStyle w:val="FootnoteText"/>
        <w:rPr>
          <w:lang w:val="en-GB"/>
        </w:rPr>
      </w:pPr>
      <w:r w:rsidRPr="00AE022A">
        <w:rPr>
          <w:lang w:val="en-GB"/>
        </w:rPr>
        <w:tab/>
      </w:r>
      <w:r w:rsidRPr="00E1363B">
        <w:rPr>
          <w:rStyle w:val="FootnoteReference"/>
        </w:rPr>
        <w:footnoteRef/>
      </w:r>
      <w:r w:rsidRPr="00AE022A">
        <w:rPr>
          <w:rFonts w:eastAsia="Arial Unicode MS" w:hAnsi="Arial Unicode MS" w:cs="Arial Unicode MS"/>
          <w:lang w:val="en-GB"/>
        </w:rPr>
        <w:tab/>
        <w:t>See www.ohchr.org/EN/NewsEvents/Pages/DisplayNews.aspx?NewsID=21841&amp;LangID=E.</w:t>
      </w:r>
    </w:p>
  </w:footnote>
  <w:footnote w:id="163">
    <w:p w14:paraId="0A4B471E" w14:textId="62C9ADA0" w:rsidR="006D7913" w:rsidRPr="00256810" w:rsidRDefault="006D7913" w:rsidP="001C04A0">
      <w:pPr>
        <w:pStyle w:val="FootnoteText"/>
      </w:pPr>
      <w:r w:rsidRPr="00AE022A">
        <w:rPr>
          <w:lang w:val="en-GB"/>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r w:rsidRPr="00256810">
        <w:rPr>
          <w:rFonts w:eastAsia="Arial Unicode MS" w:hAnsi="Arial Unicode MS" w:cs="Arial Unicode MS"/>
        </w:rPr>
        <w:t>CRPD/C/IRN/CO/1, para</w:t>
      </w:r>
      <w:r>
        <w:rPr>
          <w:rFonts w:eastAsia="Arial Unicode MS" w:hAnsi="Arial Unicode MS" w:cs="Arial Unicode MS"/>
        </w:rPr>
        <w:t>.</w:t>
      </w:r>
      <w:r w:rsidRPr="00256810">
        <w:rPr>
          <w:rFonts w:eastAsia="Arial Unicode MS" w:hAnsi="Arial Unicode MS" w:cs="Arial Unicode MS"/>
        </w:rPr>
        <w:t xml:space="preserve"> 22.</w:t>
      </w:r>
    </w:p>
  </w:footnote>
  <w:footnote w:id="164">
    <w:p w14:paraId="04F3F1C4" w14:textId="6E8E595D" w:rsidR="006D7913" w:rsidRPr="00256810" w:rsidRDefault="006D7913" w:rsidP="001C04A0">
      <w:pPr>
        <w:pStyle w:val="FootnoteText"/>
      </w:pPr>
      <w:r w:rsidRPr="00256810">
        <w:rPr>
          <w:rFonts w:eastAsia="Arial Unicode MS" w:hAnsi="Arial Unicode MS" w:cs="Arial Unicode MS"/>
        </w:rPr>
        <w:tab/>
      </w:r>
      <w:r w:rsidRPr="00E1363B">
        <w:rPr>
          <w:rStyle w:val="FootnoteReference"/>
        </w:rPr>
        <w:footnoteRef/>
      </w:r>
      <w:r w:rsidRPr="00256810">
        <w:rPr>
          <w:rFonts w:eastAsia="Arial Unicode MS" w:hAnsi="Arial Unicode MS" w:cs="Arial Unicode MS"/>
        </w:rPr>
        <w:tab/>
      </w:r>
      <w:r>
        <w:rPr>
          <w:rFonts w:eastAsia="Arial Unicode MS" w:hAnsi="Arial Unicode MS" w:cs="Arial Unicode MS"/>
        </w:rPr>
        <w:t xml:space="preserve">See </w:t>
      </w:r>
      <w:hyperlink r:id="rId46" w:history="1">
        <w:r w:rsidRPr="00AE2317">
          <w:rPr>
            <w:rStyle w:val="Hyperlink"/>
            <w:rFonts w:eastAsia="Arial Unicode MS" w:hAnsi="Arial Unicode MS" w:cs="Arial Unicode MS"/>
            <w:szCs w:val="18"/>
            <w:lang w:val="en-US"/>
          </w:rPr>
          <w:t>www.osce.org/odihr/343116?download=true</w:t>
        </w:r>
      </w:hyperlink>
      <w:r w:rsidRPr="00256810">
        <w:rPr>
          <w:rFonts w:eastAsia="Arial Unicode MS" w:hAnsi="Arial Unicode MS" w:cs="Arial Unicode MS"/>
        </w:rPr>
        <w:t>, pp. 8</w:t>
      </w:r>
      <w:r>
        <w:rPr>
          <w:rFonts w:ascii="Yu Gothic" w:eastAsia="Yu Gothic" w:hAnsi="Yu Gothic" w:cs="Arial Unicode MS" w:hint="eastAsia"/>
        </w:rPr>
        <w:t>−</w:t>
      </w:r>
      <w:r w:rsidRPr="00256810">
        <w:rPr>
          <w:rFonts w:eastAsia="Arial Unicode MS" w:hAnsi="Arial Unicode MS" w:cs="Arial Unicode MS"/>
        </w:rPr>
        <w:t>9.</w:t>
      </w:r>
    </w:p>
  </w:footnote>
  <w:footnote w:id="165">
    <w:p w14:paraId="1D8E9198" w14:textId="77777777" w:rsidR="006D7913" w:rsidRPr="00256810" w:rsidRDefault="006D7913" w:rsidP="001C04A0">
      <w:pPr>
        <w:pStyle w:val="FootnoteText"/>
      </w:pPr>
      <w:r w:rsidRPr="00256810">
        <w:tab/>
      </w:r>
      <w:r w:rsidRPr="00E1363B">
        <w:rPr>
          <w:rStyle w:val="FootnoteReference"/>
        </w:rPr>
        <w:footnoteRef/>
      </w:r>
      <w:r w:rsidRPr="00256810">
        <w:rPr>
          <w:rFonts w:eastAsia="Arial Unicode MS" w:hAnsi="Arial Unicode MS" w:cs="Arial Unicode MS"/>
        </w:rPr>
        <w:tab/>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4184" w14:textId="77777777" w:rsidR="006D7913" w:rsidRPr="001E3925" w:rsidRDefault="006D7913" w:rsidP="00ED7E65">
    <w:pPr>
      <w:pStyle w:val="Header"/>
    </w:pPr>
    <w:r>
      <w:t>A/HRC/39/19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0B3D8" w14:textId="77777777" w:rsidR="006D7913" w:rsidRPr="001E3925" w:rsidRDefault="006D7913" w:rsidP="00F10A78">
    <w:pPr>
      <w:pStyle w:val="Header"/>
      <w:jc w:val="right"/>
    </w:pPr>
    <w:r>
      <w:t>A/HRC/39/19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E52F97"/>
    <w:multiLevelType w:val="hybridMultilevel"/>
    <w:tmpl w:val="11BE2662"/>
    <w:lvl w:ilvl="0" w:tplc="895C2FE0">
      <w:start w:val="1"/>
      <w:numFmt w:val="upperLetter"/>
      <w:lvlText w:val="%1."/>
      <w:lvlJc w:val="left"/>
      <w:pPr>
        <w:ind w:left="1560" w:hanging="432"/>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7">
    <w:nsid w:val="564E3DC6"/>
    <w:multiLevelType w:val="hybridMultilevel"/>
    <w:tmpl w:val="0DC20678"/>
    <w:lvl w:ilvl="0" w:tplc="5928D7D2">
      <w:start w:val="1"/>
      <w:numFmt w:val="upperLetter"/>
      <w:lvlText w:val="%1."/>
      <w:lvlJc w:val="left"/>
      <w:pPr>
        <w:ind w:left="1128" w:hanging="504"/>
      </w:pPr>
      <w:rPr>
        <w:rFonts w:hint="default"/>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8">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73D91527"/>
    <w:multiLevelType w:val="hybridMultilevel"/>
    <w:tmpl w:val="C1BCD92E"/>
    <w:lvl w:ilvl="0" w:tplc="B764F0E2">
      <w:start w:val="1"/>
      <w:numFmt w:val="upperLetter"/>
      <w:lvlText w:val="%1."/>
      <w:lvlJc w:val="left"/>
      <w:pPr>
        <w:ind w:left="1128" w:hanging="504"/>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3">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8"/>
  </w:num>
  <w:num w:numId="5">
    <w:abstractNumId w:val="9"/>
  </w:num>
  <w:num w:numId="6">
    <w:abstractNumId w:val="13"/>
  </w:num>
  <w:num w:numId="7">
    <w:abstractNumId w:val="3"/>
  </w:num>
  <w:num w:numId="8">
    <w:abstractNumId w:val="1"/>
  </w:num>
  <w:num w:numId="9">
    <w:abstractNumId w:val="10"/>
  </w:num>
  <w:num w:numId="10">
    <w:abstractNumId w:val="1"/>
  </w:num>
  <w:num w:numId="11">
    <w:abstractNumId w:val="10"/>
  </w:num>
  <w:num w:numId="12">
    <w:abstractNumId w:val="11"/>
  </w:num>
  <w:num w:numId="13">
    <w:abstractNumId w:val="2"/>
  </w:num>
  <w:num w:numId="14">
    <w:abstractNumId w:val="1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attachedTemplate r:id="rId1"/>
  <w:revisionView w:inkAnnotations="0"/>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E6"/>
    <w:rsid w:val="00015353"/>
    <w:rsid w:val="0002458E"/>
    <w:rsid w:val="000259CD"/>
    <w:rsid w:val="000262C7"/>
    <w:rsid w:val="00027BDE"/>
    <w:rsid w:val="00032468"/>
    <w:rsid w:val="00046E92"/>
    <w:rsid w:val="00052CCA"/>
    <w:rsid w:val="000545F8"/>
    <w:rsid w:val="00055A08"/>
    <w:rsid w:val="00055C23"/>
    <w:rsid w:val="00060E63"/>
    <w:rsid w:val="00063C90"/>
    <w:rsid w:val="000667B7"/>
    <w:rsid w:val="00066A5D"/>
    <w:rsid w:val="00071382"/>
    <w:rsid w:val="00072607"/>
    <w:rsid w:val="000844D7"/>
    <w:rsid w:val="0008752F"/>
    <w:rsid w:val="000916BC"/>
    <w:rsid w:val="0009600A"/>
    <w:rsid w:val="000A7BFF"/>
    <w:rsid w:val="000B4E5B"/>
    <w:rsid w:val="000D034F"/>
    <w:rsid w:val="000E0F84"/>
    <w:rsid w:val="000E13CB"/>
    <w:rsid w:val="000E4204"/>
    <w:rsid w:val="000E5D05"/>
    <w:rsid w:val="000E6611"/>
    <w:rsid w:val="00101B98"/>
    <w:rsid w:val="00104D41"/>
    <w:rsid w:val="00105FBB"/>
    <w:rsid w:val="00110F00"/>
    <w:rsid w:val="00123013"/>
    <w:rsid w:val="0012323C"/>
    <w:rsid w:val="001236D2"/>
    <w:rsid w:val="00135570"/>
    <w:rsid w:val="0013574C"/>
    <w:rsid w:val="001368B3"/>
    <w:rsid w:val="0013771B"/>
    <w:rsid w:val="00137958"/>
    <w:rsid w:val="001413E2"/>
    <w:rsid w:val="0014586E"/>
    <w:rsid w:val="00147111"/>
    <w:rsid w:val="0014718C"/>
    <w:rsid w:val="0016403A"/>
    <w:rsid w:val="00165792"/>
    <w:rsid w:val="00170933"/>
    <w:rsid w:val="001753D0"/>
    <w:rsid w:val="00182663"/>
    <w:rsid w:val="00183F8B"/>
    <w:rsid w:val="00187372"/>
    <w:rsid w:val="0019151F"/>
    <w:rsid w:val="00197042"/>
    <w:rsid w:val="001A4F46"/>
    <w:rsid w:val="001A6D8D"/>
    <w:rsid w:val="001B30F5"/>
    <w:rsid w:val="001C04A0"/>
    <w:rsid w:val="001C0630"/>
    <w:rsid w:val="001D7E15"/>
    <w:rsid w:val="001E3925"/>
    <w:rsid w:val="001E742E"/>
    <w:rsid w:val="001F47BA"/>
    <w:rsid w:val="0021493E"/>
    <w:rsid w:val="002166D5"/>
    <w:rsid w:val="002219F8"/>
    <w:rsid w:val="0022306C"/>
    <w:rsid w:val="00227B39"/>
    <w:rsid w:val="0023104F"/>
    <w:rsid w:val="00232EC3"/>
    <w:rsid w:val="002334EB"/>
    <w:rsid w:val="00234B46"/>
    <w:rsid w:val="00245453"/>
    <w:rsid w:val="002457AE"/>
    <w:rsid w:val="00246090"/>
    <w:rsid w:val="002473AB"/>
    <w:rsid w:val="00247E2C"/>
    <w:rsid w:val="002521F5"/>
    <w:rsid w:val="00252E02"/>
    <w:rsid w:val="00262C09"/>
    <w:rsid w:val="00271811"/>
    <w:rsid w:val="00273905"/>
    <w:rsid w:val="002741BC"/>
    <w:rsid w:val="00277EE2"/>
    <w:rsid w:val="00283308"/>
    <w:rsid w:val="00286FB1"/>
    <w:rsid w:val="00290D76"/>
    <w:rsid w:val="002970C1"/>
    <w:rsid w:val="002A32CB"/>
    <w:rsid w:val="002A3847"/>
    <w:rsid w:val="002A7F92"/>
    <w:rsid w:val="002B0D60"/>
    <w:rsid w:val="002B1835"/>
    <w:rsid w:val="002B574B"/>
    <w:rsid w:val="002C4CB2"/>
    <w:rsid w:val="002D6C53"/>
    <w:rsid w:val="002D77EA"/>
    <w:rsid w:val="002E3ADA"/>
    <w:rsid w:val="002E7B10"/>
    <w:rsid w:val="002F5595"/>
    <w:rsid w:val="002F5DE1"/>
    <w:rsid w:val="0030240C"/>
    <w:rsid w:val="00306F1C"/>
    <w:rsid w:val="003140F1"/>
    <w:rsid w:val="00334F6A"/>
    <w:rsid w:val="00342AC8"/>
    <w:rsid w:val="00344AA7"/>
    <w:rsid w:val="00350059"/>
    <w:rsid w:val="003653AC"/>
    <w:rsid w:val="00365C60"/>
    <w:rsid w:val="00373937"/>
    <w:rsid w:val="00375AC5"/>
    <w:rsid w:val="00387C8A"/>
    <w:rsid w:val="00395592"/>
    <w:rsid w:val="003A625E"/>
    <w:rsid w:val="003B2D4E"/>
    <w:rsid w:val="003B4333"/>
    <w:rsid w:val="003B4550"/>
    <w:rsid w:val="003B49FC"/>
    <w:rsid w:val="003C0669"/>
    <w:rsid w:val="003C114A"/>
    <w:rsid w:val="003C2709"/>
    <w:rsid w:val="003C27A3"/>
    <w:rsid w:val="003C2923"/>
    <w:rsid w:val="003C4362"/>
    <w:rsid w:val="003D5380"/>
    <w:rsid w:val="003D6D34"/>
    <w:rsid w:val="003E1757"/>
    <w:rsid w:val="003F116D"/>
    <w:rsid w:val="0040017C"/>
    <w:rsid w:val="0041040B"/>
    <w:rsid w:val="00410EB1"/>
    <w:rsid w:val="004154BD"/>
    <w:rsid w:val="004221E7"/>
    <w:rsid w:val="00427AD3"/>
    <w:rsid w:val="00435223"/>
    <w:rsid w:val="0043552C"/>
    <w:rsid w:val="00435DC0"/>
    <w:rsid w:val="00436BC3"/>
    <w:rsid w:val="00436F89"/>
    <w:rsid w:val="004400CF"/>
    <w:rsid w:val="0045023A"/>
    <w:rsid w:val="004504C2"/>
    <w:rsid w:val="00460B2A"/>
    <w:rsid w:val="00461253"/>
    <w:rsid w:val="00462BF3"/>
    <w:rsid w:val="00482133"/>
    <w:rsid w:val="0048319C"/>
    <w:rsid w:val="00490E74"/>
    <w:rsid w:val="004A1494"/>
    <w:rsid w:val="004A2814"/>
    <w:rsid w:val="004B1D61"/>
    <w:rsid w:val="004B2DB4"/>
    <w:rsid w:val="004B2EED"/>
    <w:rsid w:val="004C0622"/>
    <w:rsid w:val="004C752C"/>
    <w:rsid w:val="004D10F9"/>
    <w:rsid w:val="004D219E"/>
    <w:rsid w:val="004D7970"/>
    <w:rsid w:val="004E3599"/>
    <w:rsid w:val="004F0E22"/>
    <w:rsid w:val="004F73F1"/>
    <w:rsid w:val="00502862"/>
    <w:rsid w:val="00503A52"/>
    <w:rsid w:val="005042C2"/>
    <w:rsid w:val="00504719"/>
    <w:rsid w:val="00504BAC"/>
    <w:rsid w:val="00510CF9"/>
    <w:rsid w:val="00511D90"/>
    <w:rsid w:val="00514896"/>
    <w:rsid w:val="00516883"/>
    <w:rsid w:val="0052022D"/>
    <w:rsid w:val="0052344F"/>
    <w:rsid w:val="005245F9"/>
    <w:rsid w:val="0052720F"/>
    <w:rsid w:val="00531D99"/>
    <w:rsid w:val="0057417E"/>
    <w:rsid w:val="00576BF8"/>
    <w:rsid w:val="0058013D"/>
    <w:rsid w:val="005813FA"/>
    <w:rsid w:val="00586D47"/>
    <w:rsid w:val="00587ADF"/>
    <w:rsid w:val="005968B7"/>
    <w:rsid w:val="005B030C"/>
    <w:rsid w:val="005B2370"/>
    <w:rsid w:val="005C254E"/>
    <w:rsid w:val="005D519E"/>
    <w:rsid w:val="005D558D"/>
    <w:rsid w:val="005E3847"/>
    <w:rsid w:val="005E716E"/>
    <w:rsid w:val="005F0462"/>
    <w:rsid w:val="005F20BB"/>
    <w:rsid w:val="005F3167"/>
    <w:rsid w:val="005F46A8"/>
    <w:rsid w:val="005F4BEC"/>
    <w:rsid w:val="005F619A"/>
    <w:rsid w:val="006030F7"/>
    <w:rsid w:val="00603AB9"/>
    <w:rsid w:val="00616AA7"/>
    <w:rsid w:val="00616D8B"/>
    <w:rsid w:val="0062639D"/>
    <w:rsid w:val="00636B1F"/>
    <w:rsid w:val="00650D40"/>
    <w:rsid w:val="00651AD7"/>
    <w:rsid w:val="006527F5"/>
    <w:rsid w:val="00653604"/>
    <w:rsid w:val="006714CC"/>
    <w:rsid w:val="00671529"/>
    <w:rsid w:val="00671B97"/>
    <w:rsid w:val="006728A6"/>
    <w:rsid w:val="0067439C"/>
    <w:rsid w:val="006822D3"/>
    <w:rsid w:val="00682702"/>
    <w:rsid w:val="00683F7D"/>
    <w:rsid w:val="006873A4"/>
    <w:rsid w:val="00694745"/>
    <w:rsid w:val="006953EF"/>
    <w:rsid w:val="0069543E"/>
    <w:rsid w:val="00696585"/>
    <w:rsid w:val="00696BD3"/>
    <w:rsid w:val="006A24FC"/>
    <w:rsid w:val="006B07FC"/>
    <w:rsid w:val="006B6457"/>
    <w:rsid w:val="006C3D71"/>
    <w:rsid w:val="006D3606"/>
    <w:rsid w:val="006D3CC6"/>
    <w:rsid w:val="006D7913"/>
    <w:rsid w:val="006E08A8"/>
    <w:rsid w:val="006F19E6"/>
    <w:rsid w:val="006F1DD1"/>
    <w:rsid w:val="006F361D"/>
    <w:rsid w:val="0070147A"/>
    <w:rsid w:val="0070489D"/>
    <w:rsid w:val="007075F8"/>
    <w:rsid w:val="00712621"/>
    <w:rsid w:val="007159E7"/>
    <w:rsid w:val="00723140"/>
    <w:rsid w:val="0072679F"/>
    <w:rsid w:val="007268F9"/>
    <w:rsid w:val="00735963"/>
    <w:rsid w:val="00736B96"/>
    <w:rsid w:val="00755B7C"/>
    <w:rsid w:val="00756419"/>
    <w:rsid w:val="00762751"/>
    <w:rsid w:val="00762764"/>
    <w:rsid w:val="0076368C"/>
    <w:rsid w:val="0076405C"/>
    <w:rsid w:val="007644AF"/>
    <w:rsid w:val="00774222"/>
    <w:rsid w:val="007822FD"/>
    <w:rsid w:val="00786E1C"/>
    <w:rsid w:val="007940A0"/>
    <w:rsid w:val="007A5FA7"/>
    <w:rsid w:val="007B4212"/>
    <w:rsid w:val="007C1B84"/>
    <w:rsid w:val="007C52B0"/>
    <w:rsid w:val="007D5249"/>
    <w:rsid w:val="007E13A1"/>
    <w:rsid w:val="007F0449"/>
    <w:rsid w:val="007F4BAD"/>
    <w:rsid w:val="007F59A0"/>
    <w:rsid w:val="00801A49"/>
    <w:rsid w:val="00802C65"/>
    <w:rsid w:val="008064D5"/>
    <w:rsid w:val="00806B87"/>
    <w:rsid w:val="0080722F"/>
    <w:rsid w:val="008110CC"/>
    <w:rsid w:val="00814B0A"/>
    <w:rsid w:val="00815699"/>
    <w:rsid w:val="0082102B"/>
    <w:rsid w:val="00821436"/>
    <w:rsid w:val="00822E5C"/>
    <w:rsid w:val="0083060C"/>
    <w:rsid w:val="008359E9"/>
    <w:rsid w:val="00854FD2"/>
    <w:rsid w:val="00865EF0"/>
    <w:rsid w:val="00866B3B"/>
    <w:rsid w:val="00870EFA"/>
    <w:rsid w:val="008717F2"/>
    <w:rsid w:val="0087291F"/>
    <w:rsid w:val="00872D81"/>
    <w:rsid w:val="00876B31"/>
    <w:rsid w:val="008815F3"/>
    <w:rsid w:val="00883148"/>
    <w:rsid w:val="0089314B"/>
    <w:rsid w:val="008A2F3F"/>
    <w:rsid w:val="008A3A6B"/>
    <w:rsid w:val="008A795E"/>
    <w:rsid w:val="008B32B1"/>
    <w:rsid w:val="008B4465"/>
    <w:rsid w:val="008C3DB7"/>
    <w:rsid w:val="008D435B"/>
    <w:rsid w:val="008D456C"/>
    <w:rsid w:val="008F2DE7"/>
    <w:rsid w:val="008F5056"/>
    <w:rsid w:val="00902482"/>
    <w:rsid w:val="009030D0"/>
    <w:rsid w:val="009228EC"/>
    <w:rsid w:val="00923989"/>
    <w:rsid w:val="00923BE2"/>
    <w:rsid w:val="0093302E"/>
    <w:rsid w:val="0094045F"/>
    <w:rsid w:val="009411B4"/>
    <w:rsid w:val="00943E1D"/>
    <w:rsid w:val="00944D6D"/>
    <w:rsid w:val="00945B52"/>
    <w:rsid w:val="00947C79"/>
    <w:rsid w:val="009513D3"/>
    <w:rsid w:val="00973B17"/>
    <w:rsid w:val="00980BAA"/>
    <w:rsid w:val="009858AC"/>
    <w:rsid w:val="009859EA"/>
    <w:rsid w:val="00993D9E"/>
    <w:rsid w:val="009A439F"/>
    <w:rsid w:val="009A4844"/>
    <w:rsid w:val="009B3DE0"/>
    <w:rsid w:val="009C5CA1"/>
    <w:rsid w:val="009D0139"/>
    <w:rsid w:val="009D15EF"/>
    <w:rsid w:val="009D6EB7"/>
    <w:rsid w:val="009D717D"/>
    <w:rsid w:val="009F13A3"/>
    <w:rsid w:val="009F1929"/>
    <w:rsid w:val="009F1B43"/>
    <w:rsid w:val="009F5CDC"/>
    <w:rsid w:val="00A11F99"/>
    <w:rsid w:val="00A12A5F"/>
    <w:rsid w:val="00A14598"/>
    <w:rsid w:val="00A23917"/>
    <w:rsid w:val="00A30E96"/>
    <w:rsid w:val="00A34532"/>
    <w:rsid w:val="00A35257"/>
    <w:rsid w:val="00A3525C"/>
    <w:rsid w:val="00A377F3"/>
    <w:rsid w:val="00A41DFC"/>
    <w:rsid w:val="00A51387"/>
    <w:rsid w:val="00A66929"/>
    <w:rsid w:val="00A71914"/>
    <w:rsid w:val="00A76948"/>
    <w:rsid w:val="00A775CF"/>
    <w:rsid w:val="00A94D44"/>
    <w:rsid w:val="00A94F3C"/>
    <w:rsid w:val="00A95532"/>
    <w:rsid w:val="00A969EB"/>
    <w:rsid w:val="00AA0A28"/>
    <w:rsid w:val="00AB6FD3"/>
    <w:rsid w:val="00AC62A6"/>
    <w:rsid w:val="00AD07B4"/>
    <w:rsid w:val="00AD091D"/>
    <w:rsid w:val="00AD41FF"/>
    <w:rsid w:val="00AE022A"/>
    <w:rsid w:val="00AE0E4D"/>
    <w:rsid w:val="00AE2317"/>
    <w:rsid w:val="00AE40D0"/>
    <w:rsid w:val="00B01566"/>
    <w:rsid w:val="00B03818"/>
    <w:rsid w:val="00B06045"/>
    <w:rsid w:val="00B0624A"/>
    <w:rsid w:val="00B13DF0"/>
    <w:rsid w:val="00B20461"/>
    <w:rsid w:val="00B3329D"/>
    <w:rsid w:val="00B34737"/>
    <w:rsid w:val="00B36322"/>
    <w:rsid w:val="00B44716"/>
    <w:rsid w:val="00B461EF"/>
    <w:rsid w:val="00B46680"/>
    <w:rsid w:val="00B46D06"/>
    <w:rsid w:val="00B51113"/>
    <w:rsid w:val="00B52EF4"/>
    <w:rsid w:val="00B5418C"/>
    <w:rsid w:val="00B55667"/>
    <w:rsid w:val="00B574CC"/>
    <w:rsid w:val="00B61198"/>
    <w:rsid w:val="00B64706"/>
    <w:rsid w:val="00B67C3A"/>
    <w:rsid w:val="00B731A9"/>
    <w:rsid w:val="00B73AF8"/>
    <w:rsid w:val="00B74D4A"/>
    <w:rsid w:val="00B75B9B"/>
    <w:rsid w:val="00B77876"/>
    <w:rsid w:val="00B83CC2"/>
    <w:rsid w:val="00B85AC1"/>
    <w:rsid w:val="00B86027"/>
    <w:rsid w:val="00B86349"/>
    <w:rsid w:val="00B867EB"/>
    <w:rsid w:val="00B87B89"/>
    <w:rsid w:val="00B87F0B"/>
    <w:rsid w:val="00BA5D2B"/>
    <w:rsid w:val="00BA7C9A"/>
    <w:rsid w:val="00BB6D0A"/>
    <w:rsid w:val="00BC040F"/>
    <w:rsid w:val="00BC60FC"/>
    <w:rsid w:val="00BD08F6"/>
    <w:rsid w:val="00C02CEF"/>
    <w:rsid w:val="00C03015"/>
    <w:rsid w:val="00C0358D"/>
    <w:rsid w:val="00C07F24"/>
    <w:rsid w:val="00C160CE"/>
    <w:rsid w:val="00C17737"/>
    <w:rsid w:val="00C24568"/>
    <w:rsid w:val="00C31A58"/>
    <w:rsid w:val="00C32F73"/>
    <w:rsid w:val="00C35A27"/>
    <w:rsid w:val="00C44B08"/>
    <w:rsid w:val="00C45600"/>
    <w:rsid w:val="00C47B2E"/>
    <w:rsid w:val="00C57638"/>
    <w:rsid w:val="00C63B30"/>
    <w:rsid w:val="00C64036"/>
    <w:rsid w:val="00C723C9"/>
    <w:rsid w:val="00C74EBC"/>
    <w:rsid w:val="00C8428F"/>
    <w:rsid w:val="00C860A0"/>
    <w:rsid w:val="00C91743"/>
    <w:rsid w:val="00C93073"/>
    <w:rsid w:val="00C97287"/>
    <w:rsid w:val="00CA1B04"/>
    <w:rsid w:val="00CA7ACB"/>
    <w:rsid w:val="00CB7D32"/>
    <w:rsid w:val="00CC00F5"/>
    <w:rsid w:val="00CC57C3"/>
    <w:rsid w:val="00CC7023"/>
    <w:rsid w:val="00CC7CA7"/>
    <w:rsid w:val="00CD3EB6"/>
    <w:rsid w:val="00CD4E6E"/>
    <w:rsid w:val="00CE3F6F"/>
    <w:rsid w:val="00CE6B1E"/>
    <w:rsid w:val="00CE6EE7"/>
    <w:rsid w:val="00CF0F71"/>
    <w:rsid w:val="00D00ECA"/>
    <w:rsid w:val="00D144E6"/>
    <w:rsid w:val="00D222E0"/>
    <w:rsid w:val="00D23310"/>
    <w:rsid w:val="00D35B7E"/>
    <w:rsid w:val="00D4237E"/>
    <w:rsid w:val="00D42DC9"/>
    <w:rsid w:val="00D44251"/>
    <w:rsid w:val="00D452E7"/>
    <w:rsid w:val="00D52793"/>
    <w:rsid w:val="00D54C6E"/>
    <w:rsid w:val="00D557DB"/>
    <w:rsid w:val="00D55A0E"/>
    <w:rsid w:val="00D653A0"/>
    <w:rsid w:val="00D6794D"/>
    <w:rsid w:val="00D67DBF"/>
    <w:rsid w:val="00D71D6E"/>
    <w:rsid w:val="00D80DB1"/>
    <w:rsid w:val="00D91BEB"/>
    <w:rsid w:val="00D93353"/>
    <w:rsid w:val="00D934A5"/>
    <w:rsid w:val="00D95426"/>
    <w:rsid w:val="00D95E47"/>
    <w:rsid w:val="00D97EAB"/>
    <w:rsid w:val="00DA29B7"/>
    <w:rsid w:val="00DA44A9"/>
    <w:rsid w:val="00DA5560"/>
    <w:rsid w:val="00DB1CBF"/>
    <w:rsid w:val="00DC0126"/>
    <w:rsid w:val="00DD6530"/>
    <w:rsid w:val="00DD701F"/>
    <w:rsid w:val="00DE52F5"/>
    <w:rsid w:val="00DE6BF7"/>
    <w:rsid w:val="00DF2D36"/>
    <w:rsid w:val="00DF5A9F"/>
    <w:rsid w:val="00DF7CA4"/>
    <w:rsid w:val="00E02C2B"/>
    <w:rsid w:val="00E044F6"/>
    <w:rsid w:val="00E1363B"/>
    <w:rsid w:val="00E156A1"/>
    <w:rsid w:val="00E233CB"/>
    <w:rsid w:val="00E255BB"/>
    <w:rsid w:val="00E2733C"/>
    <w:rsid w:val="00E3326A"/>
    <w:rsid w:val="00E3530E"/>
    <w:rsid w:val="00E35B91"/>
    <w:rsid w:val="00E412E6"/>
    <w:rsid w:val="00E41AE2"/>
    <w:rsid w:val="00E5074B"/>
    <w:rsid w:val="00E52109"/>
    <w:rsid w:val="00E61CD3"/>
    <w:rsid w:val="00E627E0"/>
    <w:rsid w:val="00E66D71"/>
    <w:rsid w:val="00E700D3"/>
    <w:rsid w:val="00E71FFE"/>
    <w:rsid w:val="00E74BBE"/>
    <w:rsid w:val="00E75317"/>
    <w:rsid w:val="00E770A5"/>
    <w:rsid w:val="00E868AF"/>
    <w:rsid w:val="00E86E83"/>
    <w:rsid w:val="00E9014B"/>
    <w:rsid w:val="00EA1CF6"/>
    <w:rsid w:val="00EA6E6A"/>
    <w:rsid w:val="00EB4624"/>
    <w:rsid w:val="00EB6356"/>
    <w:rsid w:val="00EB6C51"/>
    <w:rsid w:val="00EB7E78"/>
    <w:rsid w:val="00EC65F8"/>
    <w:rsid w:val="00ED6C48"/>
    <w:rsid w:val="00ED738F"/>
    <w:rsid w:val="00ED7E65"/>
    <w:rsid w:val="00EE17A5"/>
    <w:rsid w:val="00EE33C2"/>
    <w:rsid w:val="00EE56A6"/>
    <w:rsid w:val="00EF1F31"/>
    <w:rsid w:val="00EF25D0"/>
    <w:rsid w:val="00EF3F5D"/>
    <w:rsid w:val="00EF67B2"/>
    <w:rsid w:val="00EF7F2D"/>
    <w:rsid w:val="00F05D80"/>
    <w:rsid w:val="00F0769D"/>
    <w:rsid w:val="00F109BA"/>
    <w:rsid w:val="00F10A78"/>
    <w:rsid w:val="00F137F8"/>
    <w:rsid w:val="00F256D0"/>
    <w:rsid w:val="00F264B4"/>
    <w:rsid w:val="00F26CD3"/>
    <w:rsid w:val="00F477FB"/>
    <w:rsid w:val="00F542FA"/>
    <w:rsid w:val="00F54A38"/>
    <w:rsid w:val="00F54D9B"/>
    <w:rsid w:val="00F65F5D"/>
    <w:rsid w:val="00F76799"/>
    <w:rsid w:val="00F86A3A"/>
    <w:rsid w:val="00F923BD"/>
    <w:rsid w:val="00F92EA5"/>
    <w:rsid w:val="00FA42CE"/>
    <w:rsid w:val="00FB007B"/>
    <w:rsid w:val="00FB3D98"/>
    <w:rsid w:val="00FC7E15"/>
    <w:rsid w:val="00FD2126"/>
    <w:rsid w:val="00FD464A"/>
    <w:rsid w:val="00FE79E3"/>
    <w:rsid w:val="00FF46A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98FA9"/>
  <w15:docId w15:val="{A58FA69B-AE30-49E6-A4C1-CF5747D9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rsid w:val="004A2814"/>
    <w:pPr>
      <w:spacing w:line="240" w:lineRule="auto"/>
      <w:outlineLvl w:val="3"/>
    </w:pPr>
  </w:style>
  <w:style w:type="paragraph" w:styleId="Heading5">
    <w:name w:val="heading 5"/>
    <w:basedOn w:val="Normal"/>
    <w:next w:val="Normal"/>
    <w:link w:val="Heading5Char"/>
    <w:rsid w:val="004A2814"/>
    <w:pPr>
      <w:spacing w:line="240" w:lineRule="auto"/>
      <w:outlineLvl w:val="4"/>
    </w:pPr>
  </w:style>
  <w:style w:type="paragraph" w:styleId="Heading6">
    <w:name w:val="heading 6"/>
    <w:basedOn w:val="Normal"/>
    <w:next w:val="Normal"/>
    <w:link w:val="Heading6Char"/>
    <w:rsid w:val="004A2814"/>
    <w:pPr>
      <w:spacing w:line="240" w:lineRule="auto"/>
      <w:outlineLvl w:val="5"/>
    </w:pPr>
  </w:style>
  <w:style w:type="paragraph" w:styleId="Heading7">
    <w:name w:val="heading 7"/>
    <w:basedOn w:val="Normal"/>
    <w:next w:val="Normal"/>
    <w:link w:val="Heading7Char"/>
    <w:rsid w:val="004A2814"/>
    <w:pPr>
      <w:spacing w:line="240" w:lineRule="auto"/>
      <w:outlineLvl w:val="6"/>
    </w:pPr>
  </w:style>
  <w:style w:type="paragraph" w:styleId="Heading8">
    <w:name w:val="heading 8"/>
    <w:basedOn w:val="Normal"/>
    <w:next w:val="Normal"/>
    <w:link w:val="Heading8Char"/>
    <w:rsid w:val="004A2814"/>
    <w:pPr>
      <w:spacing w:line="240" w:lineRule="auto"/>
      <w:outlineLvl w:val="7"/>
    </w:pPr>
  </w:style>
  <w:style w:type="paragraph" w:styleId="Heading9">
    <w:name w:val="heading 9"/>
    <w:basedOn w:val="Normal"/>
    <w:next w:val="Normal"/>
    <w:link w:val="Heading9Char"/>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E1363B"/>
    <w:pPr>
      <w:tabs>
        <w:tab w:val="right" w:pos="1021"/>
      </w:tabs>
      <w:spacing w:line="220" w:lineRule="exact"/>
      <w:ind w:left="1134" w:right="1134" w:hanging="1134"/>
    </w:pPr>
    <w:rPr>
      <w:rFonts w:eastAsiaTheme="minorEastAsia"/>
      <w:sz w:val="18"/>
      <w:lang w:val="fr-CH" w:eastAsia="zh-CN"/>
    </w:rPr>
  </w:style>
  <w:style w:type="character" w:customStyle="1" w:styleId="FootnoteTextChar">
    <w:name w:val="Footnote Text Char"/>
    <w:aliases w:val="5_G Char"/>
    <w:basedOn w:val="DefaultParagraphFont"/>
    <w:link w:val="FootnoteText"/>
    <w:rsid w:val="00E1363B"/>
    <w:rPr>
      <w:rFonts w:ascii="Times New Roman" w:eastAsiaTheme="minorEastAsia" w:hAnsi="Times New Roman" w:cs="Times New Roman"/>
      <w:sz w:val="18"/>
      <w:lang w:val="fr-CH" w:eastAsia="zh-CN"/>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
    <w:basedOn w:val="DefaultParagraphFont"/>
    <w:qFormat/>
    <w:rsid w:val="00E1363B"/>
    <w:rPr>
      <w:rFonts w:ascii="Times New Roman" w:hAnsi="Times New Roman"/>
      <w:sz w:val="18"/>
      <w:vertAlign w:val="superscript"/>
      <w:lang w:val="fr-CH"/>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rsid w:val="003B4550"/>
    <w:rPr>
      <w:rFonts w:ascii="Times New Roman" w:eastAsia="Calibri" w:hAnsi="Times New Roman" w:cs="Times New Roman"/>
      <w:sz w:val="20"/>
      <w:szCs w:val="20"/>
      <w:lang w:eastAsia="en-US"/>
    </w:rPr>
  </w:style>
  <w:style w:type="character" w:customStyle="1" w:styleId="Heading6Char">
    <w:name w:val="Heading 6 Char"/>
    <w:link w:val="Heading6"/>
    <w:rsid w:val="003B4550"/>
    <w:rPr>
      <w:rFonts w:ascii="Times New Roman" w:eastAsia="Calibri" w:hAnsi="Times New Roman" w:cs="Times New Roman"/>
      <w:sz w:val="20"/>
      <w:szCs w:val="20"/>
      <w:lang w:eastAsia="en-US"/>
    </w:rPr>
  </w:style>
  <w:style w:type="character" w:customStyle="1" w:styleId="Heading7Char">
    <w:name w:val="Heading 7 Char"/>
    <w:link w:val="Heading7"/>
    <w:rsid w:val="003B4550"/>
    <w:rPr>
      <w:rFonts w:ascii="Times New Roman" w:eastAsia="Calibri" w:hAnsi="Times New Roman" w:cs="Times New Roman"/>
      <w:sz w:val="20"/>
      <w:szCs w:val="20"/>
      <w:lang w:eastAsia="en-US"/>
    </w:rPr>
  </w:style>
  <w:style w:type="character" w:customStyle="1" w:styleId="Heading8Char">
    <w:name w:val="Heading 8 Char"/>
    <w:link w:val="Heading8"/>
    <w:rsid w:val="003B4550"/>
    <w:rPr>
      <w:rFonts w:ascii="Times New Roman" w:eastAsia="Calibri" w:hAnsi="Times New Roman" w:cs="Times New Roman"/>
      <w:sz w:val="20"/>
      <w:szCs w:val="20"/>
      <w:lang w:eastAsia="en-US"/>
    </w:rPr>
  </w:style>
  <w:style w:type="character" w:customStyle="1" w:styleId="Heading9Char">
    <w:name w:val="Heading 9 Char"/>
    <w:link w:val="Heading9"/>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semiHidden/>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SingleTxtGChar">
    <w:name w:val="_ Single Txt_G Char"/>
    <w:link w:val="SingleTxtG"/>
    <w:locked/>
    <w:rsid w:val="00EB6C51"/>
    <w:rPr>
      <w:rFonts w:ascii="Times New Roman" w:eastAsia="Calibri" w:hAnsi="Times New Roman" w:cs="Times New Roman"/>
      <w:sz w:val="20"/>
      <w:szCs w:val="20"/>
      <w:lang w:eastAsia="en-US"/>
    </w:rPr>
  </w:style>
  <w:style w:type="character" w:styleId="CommentReference">
    <w:name w:val="annotation reference"/>
    <w:rsid w:val="00EB6C51"/>
    <w:rPr>
      <w:sz w:val="16"/>
      <w:szCs w:val="16"/>
    </w:rPr>
  </w:style>
  <w:style w:type="paragraph" w:styleId="CommentText">
    <w:name w:val="annotation text"/>
    <w:basedOn w:val="Normal"/>
    <w:link w:val="CommentTextChar"/>
    <w:rsid w:val="00EB6C51"/>
    <w:pPr>
      <w:suppressAutoHyphens w:val="0"/>
      <w:kinsoku/>
      <w:overflowPunct/>
      <w:autoSpaceDE/>
      <w:autoSpaceDN/>
      <w:adjustRightInd/>
      <w:snapToGrid/>
      <w:spacing w:line="240" w:lineRule="auto"/>
    </w:pPr>
  </w:style>
  <w:style w:type="character" w:customStyle="1" w:styleId="CommentTextChar">
    <w:name w:val="Comment Text Char"/>
    <w:link w:val="CommentText"/>
    <w:rsid w:val="00EB6C51"/>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rsid w:val="00EB6C51"/>
    <w:rPr>
      <w:b/>
      <w:bCs/>
    </w:rPr>
  </w:style>
  <w:style w:type="character" w:customStyle="1" w:styleId="CommentSubjectChar">
    <w:name w:val="Comment Subject Char"/>
    <w:link w:val="CommentSubject"/>
    <w:rsid w:val="00EB6C51"/>
    <w:rPr>
      <w:rFonts w:ascii="Times New Roman" w:eastAsia="Calibri" w:hAnsi="Times New Roman" w:cs="Times New Roman"/>
      <w:b/>
      <w:bCs/>
      <w:sz w:val="20"/>
      <w:szCs w:val="20"/>
      <w:lang w:eastAsia="en-US"/>
    </w:rPr>
  </w:style>
  <w:style w:type="paragraph" w:styleId="Revision">
    <w:name w:val="Revision"/>
    <w:hidden/>
    <w:uiPriority w:val="99"/>
    <w:semiHidden/>
    <w:rsid w:val="00EB6C51"/>
    <w:rPr>
      <w:rFonts w:ascii="Times New Roman" w:eastAsia="Times New Roman" w:hAnsi="Times New Roman" w:cs="Times New Roman"/>
      <w:lang w:eastAsia="en-US"/>
    </w:rPr>
  </w:style>
  <w:style w:type="character" w:customStyle="1" w:styleId="HChGChar">
    <w:name w:val="_ H _Ch_G Char"/>
    <w:link w:val="HChG"/>
    <w:locked/>
    <w:rsid w:val="00F10A78"/>
    <w:rPr>
      <w:rFonts w:ascii="Times New Roman" w:eastAsia="Calibri" w:hAnsi="Times New Roman" w:cs="Times New Roman"/>
      <w:b/>
      <w:sz w:val="28"/>
      <w:szCs w:val="20"/>
      <w:lang w:eastAsia="en-US"/>
    </w:rPr>
  </w:style>
  <w:style w:type="character" w:customStyle="1" w:styleId="H1GChar">
    <w:name w:val="_ H_1_G Char"/>
    <w:link w:val="H1G"/>
    <w:locked/>
    <w:rsid w:val="00F10A78"/>
    <w:rPr>
      <w:rFonts w:ascii="Times New Roman" w:eastAsia="Calibri" w:hAnsi="Times New Roman" w:cs="Times New Roman"/>
      <w:b/>
      <w:sz w:val="24"/>
      <w:szCs w:val="20"/>
      <w:lang w:eastAsia="en-US"/>
    </w:rPr>
  </w:style>
  <w:style w:type="character" w:styleId="Emphasis">
    <w:name w:val="Emphasis"/>
    <w:uiPriority w:val="20"/>
    <w:qFormat/>
    <w:rsid w:val="00F10A78"/>
    <w:rPr>
      <w:i/>
      <w:iCs/>
    </w:rPr>
  </w:style>
  <w:style w:type="character" w:customStyle="1" w:styleId="apple-converted-space">
    <w:name w:val="apple-converted-space"/>
    <w:rsid w:val="00F10A78"/>
  </w:style>
  <w:style w:type="character" w:customStyle="1" w:styleId="headwordinfo">
    <w:name w:val="headwordinfo"/>
    <w:basedOn w:val="DefaultParagraphFont"/>
    <w:rsid w:val="00F10A78"/>
  </w:style>
  <w:style w:type="paragraph" w:styleId="NoSpacing">
    <w:name w:val="No Spacing"/>
    <w:qFormat/>
    <w:rsid w:val="00F10A78"/>
    <w:pPr>
      <w:suppressAutoHyphens/>
    </w:pPr>
    <w:rPr>
      <w:rFonts w:ascii="Times New Roman" w:eastAsia="Times New Roman" w:hAnsi="Times New Roman" w:cs="Times New Roman"/>
      <w:lang w:val="en-US" w:eastAsia="en-US"/>
    </w:rPr>
  </w:style>
  <w:style w:type="character" w:customStyle="1" w:styleId="hit">
    <w:name w:val="hit"/>
    <w:basedOn w:val="DefaultParagraphFont"/>
    <w:rsid w:val="00F10A78"/>
  </w:style>
  <w:style w:type="paragraph" w:customStyle="1" w:styleId="Text">
    <w:name w:val="Text"/>
    <w:rsid w:val="0014586E"/>
    <w:pPr>
      <w:pBdr>
        <w:top w:val="nil"/>
        <w:left w:val="nil"/>
        <w:bottom w:val="nil"/>
        <w:right w:val="nil"/>
        <w:between w:val="nil"/>
        <w:bar w:val="nil"/>
      </w:pBdr>
      <w:suppressAutoHyphens/>
      <w:spacing w:line="240" w:lineRule="atLeast"/>
    </w:pPr>
    <w:rPr>
      <w:rFonts w:ascii="Times New Roman" w:eastAsia="Times New Roman" w:hAnsi="Times New Roman" w:cs="Times New Roman"/>
      <w:color w:val="000000"/>
      <w:u w:color="000000"/>
      <w:bdr w:val="nil"/>
    </w:rPr>
  </w:style>
  <w:style w:type="character" w:customStyle="1" w:styleId="Hyperlink0">
    <w:name w:val="Hyperlink.0"/>
    <w:basedOn w:val="DefaultParagraphFont"/>
    <w:rsid w:val="001C04A0"/>
    <w:rPr>
      <w:color w:val="000000"/>
      <w:sz w:val="18"/>
      <w:szCs w:val="18"/>
      <w:u w:val="none" w:color="000000"/>
      <w:lang w:val="en-US"/>
    </w:rPr>
  </w:style>
  <w:style w:type="character" w:customStyle="1" w:styleId="Hyperlink1">
    <w:name w:val="Hyperlink.1"/>
    <w:basedOn w:val="DefaultParagraphFont"/>
    <w:rsid w:val="001C04A0"/>
    <w:rPr>
      <w:color w:val="000000"/>
      <w:sz w:val="18"/>
      <w:szCs w:val="18"/>
      <w:u w:val="none" w:color="000000"/>
    </w:rPr>
  </w:style>
  <w:style w:type="character" w:customStyle="1" w:styleId="Hyperlink2">
    <w:name w:val="Hyperlink.2"/>
    <w:basedOn w:val="DefaultParagraphFont"/>
    <w:rsid w:val="001C04A0"/>
    <w:rPr>
      <w:color w:val="000000"/>
      <w:sz w:val="18"/>
      <w:szCs w:val="18"/>
      <w:u w:val="none" w:color="000000"/>
      <w:lang w:val="fr-FR"/>
    </w:rPr>
  </w:style>
  <w:style w:type="character" w:customStyle="1" w:styleId="Hyperlink3">
    <w:name w:val="Hyperlink.3"/>
    <w:basedOn w:val="DefaultParagraphFont"/>
    <w:rsid w:val="001C04A0"/>
    <w:rPr>
      <w:color w:val="000000"/>
      <w:sz w:val="18"/>
      <w:szCs w:val="18"/>
      <w:u w:val="none" w:color="000000"/>
      <w:lang w:val="fr-FR"/>
    </w:rPr>
  </w:style>
  <w:style w:type="character" w:customStyle="1" w:styleId="UnresolvedMention1">
    <w:name w:val="Unresolved Mention1"/>
    <w:basedOn w:val="DefaultParagraphFont"/>
    <w:uiPriority w:val="99"/>
    <w:semiHidden/>
    <w:unhideWhenUsed/>
    <w:rsid w:val="008359E9"/>
    <w:rPr>
      <w:color w:val="605E5C"/>
      <w:shd w:val="clear" w:color="auto" w:fill="E1DFDD"/>
    </w:rPr>
  </w:style>
  <w:style w:type="character" w:customStyle="1" w:styleId="UnresolvedMention">
    <w:name w:val="Unresolved Mention"/>
    <w:basedOn w:val="DefaultParagraphFont"/>
    <w:uiPriority w:val="99"/>
    <w:semiHidden/>
    <w:unhideWhenUsed/>
    <w:rsid w:val="00234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ejustice.gov.ae/downloads/latest_laws2016/union_law_7_2016.pdf" TargetMode="External"/><Relationship Id="rId18" Type="http://schemas.openxmlformats.org/officeDocument/2006/relationships/hyperlink" Target="http://www.ohchr.org/EN/NewsEvents/Pages/DisplayNews.aspx?NewsID=20344&amp;LangID=E" TargetMode="External"/><Relationship Id="rId26" Type="http://schemas.openxmlformats.org/officeDocument/2006/relationships/hyperlink" Target="http://www.ohchr.org/en/newsevents/pages/displaynews.aspx?newsid=21791&amp;langid=e" TargetMode="External"/><Relationship Id="rId39" Type="http://schemas.openxmlformats.org/officeDocument/2006/relationships/hyperlink" Target="http://www.ohchr.org/EN/NewsEvents/Pages/DisplayNews.aspx?NewsID=21958&amp;LangID=E" TargetMode="External"/><Relationship Id="rId21" Type="http://schemas.openxmlformats.org/officeDocument/2006/relationships/hyperlink" Target="http://www.deathpenaltyproject.org/2016/11/23/antigua-prisoner-released-after-20-years-on-death-row/" TargetMode="External"/><Relationship Id="rId34" Type="http://schemas.openxmlformats.org/officeDocument/2006/relationships/hyperlink" Target="http://www.ohchr.org/EN/NewsEvents/Pages/DisplayNews.aspx?NewsID=23279&amp;LangID=E" TargetMode="External"/><Relationship Id="rId42" Type="http://schemas.openxmlformats.org/officeDocument/2006/relationships/hyperlink" Target="http://www.jpp.org.pk" TargetMode="External"/><Relationship Id="rId7" Type="http://schemas.openxmlformats.org/officeDocument/2006/relationships/hyperlink" Target="https://president.mn/en/2018/04/05/president-battulga-gives-speech-at-opening-of-parliaments-spring-session/" TargetMode="External"/><Relationship Id="rId2" Type="http://schemas.openxmlformats.org/officeDocument/2006/relationships/hyperlink" Target="https://spcommreports.ohchr.org/TMResultsBase/DownLoadPublicCommunicationFile?gId=23154" TargetMode="External"/><Relationship Id="rId16" Type="http://schemas.openxmlformats.org/officeDocument/2006/relationships/hyperlink" Target="http://www.amnesty.org/download/Documents/ACT5079552018" TargetMode="External"/><Relationship Id="rId29" Type="http://schemas.openxmlformats.org/officeDocument/2006/relationships/hyperlink" Target="http://www.amnesty.org/download/Documents/ACT5079552018ENGLISH.PDF" TargetMode="External"/><Relationship Id="rId1" Type="http://schemas.openxmlformats.org/officeDocument/2006/relationships/hyperlink" Target="https://treaties.un.org/Pages/ViewDetails.aspx?src=TREATY&amp;mtdsg_no=IV-12&amp;chapter=4&amp;clang=_en" TargetMode="External"/><Relationship Id="rId6" Type="http://schemas.openxmlformats.org/officeDocument/2006/relationships/hyperlink" Target="https://president.mn/en/2018/04/02/president-battulga-to-present-to-parliament-draft-bill-on-reinstating-capital-punishment-for-child-sexual-abuse-offenses/" TargetMode="External"/><Relationship Id="rId11" Type="http://schemas.openxmlformats.org/officeDocument/2006/relationships/hyperlink" Target="https://spcommreports.ohchr.org/TMResultsBase/DownLoadPublicCommunicationFile?gId=22903" TargetMode="External"/><Relationship Id="rId24" Type="http://schemas.openxmlformats.org/officeDocument/2006/relationships/hyperlink" Target="http://www.ohchr.org/EN/NewsEvents/Pages/DisplayNews.aspx?NewsID=22613" TargetMode="External"/><Relationship Id="rId32" Type="http://schemas.openxmlformats.org/officeDocument/2006/relationships/hyperlink" Target="http://www.amnesty.org/download/Documents/ACT5083102018ENGLISH.PDF" TargetMode="External"/><Relationship Id="rId37" Type="http://schemas.openxmlformats.org/officeDocument/2006/relationships/hyperlink" Target="http://www.ohchr.org/en/newsevents/pages/displaynews.aspx?newsid=21547&amp;langid=e" TargetMode="External"/><Relationship Id="rId40" Type="http://schemas.openxmlformats.org/officeDocument/2006/relationships/hyperlink" Target="http://www.ohchr.org/EN/NewsEvents/Pages/DisplayNews.aspx?NewsID=22258&amp;LangID=E" TargetMode="External"/><Relationship Id="rId45" Type="http://schemas.openxmlformats.org/officeDocument/2006/relationships/hyperlink" Target="http://www.amnesty.org/download/Documents/ACT5079552018ENGLISH.PDF" TargetMode="External"/><Relationship Id="rId5" Type="http://schemas.openxmlformats.org/officeDocument/2006/relationships/hyperlink" Target="file:///C:/Users/Valued%20Customer/Documents/Bonnie%20Wordsmith/Documents%202018/July-Aug/www.americanbar.org/content/dam/aba/images/abanews/mym2018res/111.pdf" TargetMode="External"/><Relationship Id="rId15" Type="http://schemas.openxmlformats.org/officeDocument/2006/relationships/hyperlink" Target="http://www.ohchr.org/EN/NewsEvents/Pages/DisplayNews.aspx" TargetMode="External"/><Relationship Id="rId23" Type="http://schemas.openxmlformats.org/officeDocument/2006/relationships/hyperlink" Target="http://www.ohchr.org/EN/NewsEvents/Pages/DisplayNews.aspx" TargetMode="External"/><Relationship Id="rId28" Type="http://schemas.openxmlformats.org/officeDocument/2006/relationships/hyperlink" Target="https://spcommreports.ohchr.org/tmresultsbase/downloadpubliccommunicationfile?gid=23639" TargetMode="External"/><Relationship Id="rId36" Type="http://schemas.openxmlformats.org/officeDocument/2006/relationships/hyperlink" Target="http://www.ohchr.org/FR/NewsEvents/Pages/DisplayNews.aspx?NewsID=22664&amp;LangID=E" TargetMode="External"/><Relationship Id="rId10" Type="http://schemas.openxmlformats.org/officeDocument/2006/relationships/hyperlink" Target="file:///C:/Users/Valued%20Customer/Documents/Bonnie%20Wordsmith/Documents%202018/July-Aug/www.ohchr.org/Documents/HRBodies/CCPR/NV_from_HRC_ThePhilippines_28March2017.pdf" TargetMode="External"/><Relationship Id="rId19" Type="http://schemas.openxmlformats.org/officeDocument/2006/relationships/hyperlink" Target="http://www.amnesty.org/download/Documents/ACT5079552018ENGLISH.PDF" TargetMode="External"/><Relationship Id="rId31" Type="http://schemas.openxmlformats.org/officeDocument/2006/relationships/hyperlink" Target="http://www.amnesty.org/download/Documents/ACT5079552018ENGLISH.PDF" TargetMode="External"/><Relationship Id="rId44" Type="http://schemas.openxmlformats.org/officeDocument/2006/relationships/hyperlink" Target="file:///C:/Users/Valued%20Customer/Documents/Bonnie%20Wordsmith/Documents%202018/July-Aug/www.amnesty.org/download/Documents/ACT5083102018ENGLISH.PDF" TargetMode="External"/><Relationship Id="rId4" Type="http://schemas.openxmlformats.org/officeDocument/2006/relationships/hyperlink" Target="file:///C:/Users/Valued%20Customer/Documents/Bonnie%20Wordsmith/Documents%202018/July-Aug/www.amnesty.org/download/Documents/ACT5079552018ENGLISH.PDF" TargetMode="External"/><Relationship Id="rId9" Type="http://schemas.openxmlformats.org/officeDocument/2006/relationships/hyperlink" Target="file:///C:/Users/Valued%20Customer/Documents/Bonnie%20Wordsmith/Documents%202018/July-Aug/www.ohchr.org/Documents/Countries/PH/OpenLetterHC_DeathPenalty.pdf" TargetMode="External"/><Relationship Id="rId14" Type="http://schemas.openxmlformats.org/officeDocument/2006/relationships/hyperlink" Target="file:///C:/Users/Valued%20Customer/Documents/Bonnie%20Wordsmith/Documents%202018/July-Aug/www.hri.global/files/2018/03/06/HRI-Death-Penalty-Report-2018.pdf" TargetMode="External"/><Relationship Id="rId22" Type="http://schemas.openxmlformats.org/officeDocument/2006/relationships/hyperlink" Target="http://www.deathpenaltyproject.org/2016/12/01/antigua-empties-death-row/" TargetMode="External"/><Relationship Id="rId27" Type="http://schemas.openxmlformats.org/officeDocument/2006/relationships/hyperlink" Target="http://www.ohchr.org/en/NewsEvents/Pages/DisplayNews.aspx?NewsID=23208&amp;LangID=E" TargetMode="External"/><Relationship Id="rId30" Type="http://schemas.openxmlformats.org/officeDocument/2006/relationships/hyperlink" Target="http://www.thecitizen.co.tz/News/Magufuli-grants-presidential-amnesty-to-61-death-row-inmates-/1840340-4221150-x6ea2c/index.html" TargetMode="External"/><Relationship Id="rId35" Type="http://schemas.openxmlformats.org/officeDocument/2006/relationships/hyperlink" Target="http://www.ohchr.org/en/NewsEvents/Pages/DisplayNews.aspx?NewsID=23216&amp;LangID=E" TargetMode="External"/><Relationship Id="rId43" Type="http://schemas.openxmlformats.org/officeDocument/2006/relationships/hyperlink" Target="https://deathpenaltyinfo.org/documents/2017yrend.pdf" TargetMode="External"/><Relationship Id="rId8" Type="http://schemas.openxmlformats.org/officeDocument/2006/relationships/hyperlink" Target="file:///C:/Users/Valued%20Customer/Documents/Bonnie%20Wordsmith/Documents%202018/July-Aug/www.trtworld.com/turkey/turkey-will-reinstate-death-penalty-soon-erdogan-217431" TargetMode="External"/><Relationship Id="rId3" Type="http://schemas.openxmlformats.org/officeDocument/2006/relationships/hyperlink" Target="http://fileserver.idpc.net/library/ECPM-IHR-%20Iran%20report%202017.pdf" TargetMode="External"/><Relationship Id="rId12" Type="http://schemas.openxmlformats.org/officeDocument/2006/relationships/hyperlink" Target="file:///C:/Users/Valued%20Customer/Documents/Bonnie%20Wordsmith/Documents%202018/July-Aug/www.ohchr.org/EN/NewsEvents/Pages/DisplayNews.aspx?NewsID=21388&amp;LangID=E" TargetMode="External"/><Relationship Id="rId17" Type="http://schemas.openxmlformats.org/officeDocument/2006/relationships/hyperlink" Target="http://www.ohchr.org/EN/NewsEvents/Pages/DisplayNews.aspx?NewsID=20435&amp;LangID=E" TargetMode="External"/><Relationship Id="rId25" Type="http://schemas.openxmlformats.org/officeDocument/2006/relationships/hyperlink" Target="https://spcommreports.ohchr.org/tmresultsbase/downloadpubliccommunicationfile?gid=23168" TargetMode="External"/><Relationship Id="rId33" Type="http://schemas.openxmlformats.org/officeDocument/2006/relationships/hyperlink" Target="https://www.amnesty.org/download/documents/act5038322016english.pdf" TargetMode="External"/><Relationship Id="rId38" Type="http://schemas.openxmlformats.org/officeDocument/2006/relationships/hyperlink" Target="http://www.ohchr.org/EN/NewsEvents/Pages/DisplayNews.aspx?NewsID=22587&amp;LangID=E" TargetMode="External"/><Relationship Id="rId46" Type="http://schemas.openxmlformats.org/officeDocument/2006/relationships/hyperlink" Target="file:///C:/Users/Valued%20Customer/Documents/Bonnie%20Wordsmith/Documents%202018/July-Aug/www.osce.org/odihr/343116?download=true" TargetMode="External"/><Relationship Id="rId20" Type="http://schemas.openxmlformats.org/officeDocument/2006/relationships/hyperlink" Target="https://www.ibanet.org/article/newdetail.aspx?articleuid=582f07d9-9fde-4806-b7ad-c4c7f5379e74" TargetMode="External"/><Relationship Id="rId41" Type="http://schemas.openxmlformats.org/officeDocument/2006/relationships/hyperlink" Target="http://www.ohchr.org/en/newsevents/pages/displaynews.aspx?newsid=21138&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38A261-7A05-4FD5-B24C-059D20B0D4B9}">
  <ds:schemaRefs>
    <ds:schemaRef ds:uri="http://schemas.openxmlformats.org/officeDocument/2006/bibliography"/>
  </ds:schemaRefs>
</ds:datastoreItem>
</file>

<file path=customXml/itemProps2.xml><?xml version="1.0" encoding="utf-8"?>
<ds:datastoreItem xmlns:ds="http://schemas.openxmlformats.org/officeDocument/2006/customXml" ds:itemID="{88B7DC2F-E51A-40A1-AD57-AFE81D8BCF47}"/>
</file>

<file path=customXml/itemProps3.xml><?xml version="1.0" encoding="utf-8"?>
<ds:datastoreItem xmlns:ds="http://schemas.openxmlformats.org/officeDocument/2006/customXml" ds:itemID="{3B87A67C-C2BA-4632-A3F8-CE0180324BF8}"/>
</file>

<file path=customXml/itemProps4.xml><?xml version="1.0" encoding="utf-8"?>
<ds:datastoreItem xmlns:ds="http://schemas.openxmlformats.org/officeDocument/2006/customXml" ds:itemID="{C6D399E5-6081-4874-8087-86B4ED85F26D}"/>
</file>

<file path=docProps/app.xml><?xml version="1.0" encoding="utf-8"?>
<Properties xmlns="http://schemas.openxmlformats.org/officeDocument/2006/extended-properties" xmlns:vt="http://schemas.openxmlformats.org/officeDocument/2006/docPropsVTypes">
  <Template>A.dotm</Template>
  <TotalTime>1</TotalTime>
  <Pages>75</Pages>
  <Words>6126</Words>
  <Characters>34923</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1704046</vt:lpstr>
    </vt:vector>
  </TitlesOfParts>
  <Company>DCM</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of the death penalty - Report of the Secretary-General</dc:title>
  <dc:subject>A/HRC/35/6</dc:subject>
  <dc:creator>Anni Vi TIROL</dc:creator>
  <cp:lastModifiedBy>ROLDS</cp:lastModifiedBy>
  <cp:revision>2</cp:revision>
  <cp:lastPrinted>2018-09-13T23:06:00Z</cp:lastPrinted>
  <dcterms:created xsi:type="dcterms:W3CDTF">2018-09-14T11:28:00Z</dcterms:created>
  <dcterms:modified xsi:type="dcterms:W3CDTF">2018-09-14T11:28:00Z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