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65"/>
        <w:tblW w:w="97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0"/>
        <w:gridCol w:w="2236"/>
        <w:gridCol w:w="3214"/>
        <w:gridCol w:w="2930"/>
      </w:tblGrid>
      <w:tr w:rsidR="00315156" w:rsidRPr="002E47BC" w14:paraId="148CC73C" w14:textId="77777777" w:rsidTr="002547C2">
        <w:trPr>
          <w:trHeight w:val="691"/>
        </w:trPr>
        <w:tc>
          <w:tcPr>
            <w:tcW w:w="1350" w:type="dxa"/>
            <w:tcBorders>
              <w:top w:val="nil"/>
              <w:left w:val="nil"/>
              <w:bottom w:val="single" w:sz="4" w:space="0" w:color="000000"/>
              <w:right w:val="nil"/>
            </w:tcBorders>
            <w:shd w:val="clear" w:color="auto" w:fill="auto"/>
            <w:tcMar>
              <w:top w:w="80" w:type="dxa"/>
              <w:left w:w="80" w:type="dxa"/>
              <w:bottom w:w="80" w:type="dxa"/>
              <w:right w:w="80" w:type="dxa"/>
            </w:tcMar>
          </w:tcPr>
          <w:p w14:paraId="0DAA509B" w14:textId="2DE739E6" w:rsidR="00315156" w:rsidRPr="00B37FFA" w:rsidRDefault="00315156" w:rsidP="002547C2">
            <w:pPr>
              <w:pBdr>
                <w:top w:val="nil"/>
                <w:left w:val="nil"/>
                <w:bottom w:val="nil"/>
                <w:right w:val="nil"/>
                <w:between w:val="nil"/>
                <w:bar w:val="nil"/>
              </w:pBdr>
              <w:spacing w:after="0" w:line="276" w:lineRule="auto"/>
              <w:rPr>
                <w:rFonts w:asciiTheme="majorBidi" w:eastAsia="Arial Unicode MS" w:hAnsiTheme="majorBidi" w:cstheme="majorBidi"/>
                <w:sz w:val="24"/>
                <w:szCs w:val="24"/>
                <w:bdr w:val="nil"/>
                <w:rtl/>
                <w:lang w:val="en-US" w:bidi="he-IL"/>
              </w:rPr>
            </w:pPr>
          </w:p>
        </w:tc>
        <w:tc>
          <w:tcPr>
            <w:tcW w:w="2236"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59E314B6" w14:textId="3EFB950B" w:rsidR="00315156" w:rsidRPr="00B37FFA" w:rsidRDefault="00315156" w:rsidP="002547C2">
            <w:pPr>
              <w:pBdr>
                <w:top w:val="nil"/>
                <w:left w:val="nil"/>
                <w:bottom w:val="nil"/>
                <w:right w:val="nil"/>
                <w:between w:val="nil"/>
                <w:bar w:val="nil"/>
              </w:pBdr>
              <w:suppressAutoHyphens/>
              <w:spacing w:after="80" w:line="276" w:lineRule="auto"/>
              <w:rPr>
                <w:rFonts w:asciiTheme="majorBidi" w:eastAsia="Times New Roman" w:hAnsiTheme="majorBidi" w:cstheme="majorBidi"/>
                <w:color w:val="000000"/>
                <w:sz w:val="20"/>
                <w:szCs w:val="20"/>
                <w:u w:color="000000"/>
                <w:bdr w:val="nil"/>
                <w:lang w:val="en-US"/>
              </w:rPr>
            </w:pPr>
          </w:p>
        </w:tc>
        <w:tc>
          <w:tcPr>
            <w:tcW w:w="6144" w:type="dxa"/>
            <w:gridSpan w:val="2"/>
            <w:tcBorders>
              <w:top w:val="nil"/>
              <w:left w:val="nil"/>
              <w:bottom w:val="single" w:sz="4" w:space="0" w:color="000000"/>
              <w:right w:val="nil"/>
            </w:tcBorders>
            <w:shd w:val="clear" w:color="auto" w:fill="auto"/>
            <w:tcMar>
              <w:top w:w="80" w:type="dxa"/>
              <w:left w:w="80" w:type="dxa"/>
              <w:bottom w:w="80" w:type="dxa"/>
              <w:right w:w="80" w:type="dxa"/>
            </w:tcMar>
            <w:vAlign w:val="bottom"/>
          </w:tcPr>
          <w:p w14:paraId="779E721D" w14:textId="6CD7E1AC" w:rsidR="00315156" w:rsidRPr="002E47BC" w:rsidRDefault="00315156" w:rsidP="002547C2">
            <w:pPr>
              <w:pBdr>
                <w:top w:val="nil"/>
                <w:left w:val="nil"/>
                <w:bottom w:val="nil"/>
                <w:right w:val="nil"/>
                <w:between w:val="nil"/>
                <w:bar w:val="nil"/>
              </w:pBdr>
              <w:spacing w:after="0"/>
              <w:jc w:val="right"/>
              <w:rPr>
                <w:rFonts w:ascii="Times New Roman" w:eastAsiaTheme="minorHAnsi" w:hAnsi="Times New Roman" w:cs="Times New Roman"/>
                <w:sz w:val="40"/>
                <w:lang w:val="en-US"/>
              </w:rPr>
            </w:pPr>
            <w:r w:rsidRPr="002E47BC">
              <w:rPr>
                <w:rFonts w:ascii="Times New Roman" w:eastAsiaTheme="minorHAnsi" w:hAnsi="Times New Roman" w:cs="Times New Roman"/>
                <w:sz w:val="40"/>
                <w:lang w:val="en-US"/>
              </w:rPr>
              <w:t>A</w:t>
            </w:r>
            <w:r w:rsidR="002E47BC">
              <w:rPr>
                <w:rFonts w:ascii="Times New Roman" w:eastAsiaTheme="minorHAnsi" w:hAnsi="Times New Roman" w:cs="Times New Roman"/>
                <w:sz w:val="20"/>
                <w:szCs w:val="20"/>
                <w:lang w:val="en-US"/>
              </w:rPr>
              <w:t>/</w:t>
            </w:r>
            <w:r w:rsidRPr="002E47BC">
              <w:rPr>
                <w:rFonts w:ascii="Times New Roman" w:eastAsiaTheme="minorHAnsi" w:hAnsi="Times New Roman" w:cs="Times New Roman"/>
                <w:sz w:val="20"/>
                <w:szCs w:val="20"/>
                <w:lang w:val="en-US"/>
              </w:rPr>
              <w:t>HRC/</w:t>
            </w:r>
            <w:r w:rsidR="001937C1" w:rsidRPr="002E47BC">
              <w:rPr>
                <w:rFonts w:ascii="Times New Roman" w:eastAsiaTheme="minorHAnsi" w:hAnsi="Times New Roman" w:cs="Times New Roman"/>
                <w:sz w:val="20"/>
                <w:szCs w:val="20"/>
                <w:lang w:val="en-US"/>
              </w:rPr>
              <w:t>40/39</w:t>
            </w:r>
          </w:p>
        </w:tc>
      </w:tr>
      <w:tr w:rsidR="00315156" w:rsidRPr="00EF5179" w14:paraId="3D177030" w14:textId="77777777" w:rsidTr="002547C2">
        <w:trPr>
          <w:trHeight w:val="2685"/>
        </w:trPr>
        <w:tc>
          <w:tcPr>
            <w:tcW w:w="1350"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14:paraId="77C416A5" w14:textId="37A30736" w:rsidR="00315156" w:rsidRPr="00B37FFA" w:rsidRDefault="00315156" w:rsidP="002547C2">
            <w:pPr>
              <w:pBdr>
                <w:top w:val="nil"/>
                <w:left w:val="nil"/>
                <w:bottom w:val="nil"/>
                <w:right w:val="nil"/>
                <w:between w:val="nil"/>
                <w:bar w:val="nil"/>
              </w:pBdr>
              <w:suppressAutoHyphens/>
              <w:spacing w:before="120" w:after="0" w:line="276" w:lineRule="auto"/>
              <w:jc w:val="center"/>
              <w:rPr>
                <w:rFonts w:asciiTheme="majorBidi" w:eastAsia="Times New Roman" w:hAnsiTheme="majorBidi" w:cstheme="majorBidi"/>
                <w:color w:val="000000"/>
                <w:sz w:val="20"/>
                <w:szCs w:val="20"/>
                <w:u w:color="000000"/>
                <w:bdr w:val="nil"/>
                <w:lang w:val="en-US"/>
              </w:rPr>
            </w:pPr>
          </w:p>
        </w:tc>
        <w:tc>
          <w:tcPr>
            <w:tcW w:w="5450" w:type="dxa"/>
            <w:gridSpan w:val="2"/>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14:paraId="38A5AD94" w14:textId="4D7B96BC" w:rsidR="00315156" w:rsidRPr="00B37FFA" w:rsidRDefault="00037031" w:rsidP="00037031">
            <w:pPr>
              <w:pBdr>
                <w:top w:val="nil"/>
                <w:left w:val="nil"/>
                <w:bottom w:val="nil"/>
                <w:right w:val="nil"/>
                <w:between w:val="nil"/>
                <w:bar w:val="nil"/>
              </w:pBdr>
              <w:suppressAutoHyphens/>
              <w:spacing w:before="120" w:after="0" w:line="276" w:lineRule="auto"/>
              <w:rPr>
                <w:rFonts w:asciiTheme="majorBidi" w:eastAsia="Times New Roman" w:hAnsiTheme="majorBidi" w:cstheme="majorBidi"/>
                <w:color w:val="000000"/>
                <w:sz w:val="20"/>
                <w:szCs w:val="20"/>
                <w:u w:color="000000"/>
                <w:bdr w:val="nil"/>
                <w:lang w:val="en-US"/>
              </w:rPr>
            </w:pPr>
            <w:r>
              <w:rPr>
                <w:rFonts w:asciiTheme="majorBidi" w:eastAsia="Times New Roman" w:hAnsiTheme="majorBidi" w:cstheme="majorBidi"/>
                <w:b/>
                <w:bCs/>
                <w:color w:val="000000"/>
                <w:sz w:val="40"/>
                <w:szCs w:val="40"/>
                <w:u w:color="000000"/>
                <w:bdr w:val="nil"/>
                <w:lang w:val="en-US"/>
              </w:rPr>
              <w:t>Advance Unedited Version</w:t>
            </w:r>
            <w:bookmarkStart w:id="0" w:name="_GoBack"/>
            <w:bookmarkEnd w:id="0"/>
          </w:p>
        </w:tc>
        <w:tc>
          <w:tcPr>
            <w:tcW w:w="2930" w:type="dxa"/>
            <w:tcBorders>
              <w:top w:val="single" w:sz="4" w:space="0" w:color="000000"/>
              <w:left w:val="nil"/>
              <w:bottom w:val="single" w:sz="12" w:space="0" w:color="000000"/>
              <w:right w:val="nil"/>
            </w:tcBorders>
            <w:shd w:val="clear" w:color="auto" w:fill="auto"/>
            <w:tcMar>
              <w:top w:w="80" w:type="dxa"/>
              <w:left w:w="80" w:type="dxa"/>
              <w:bottom w:w="80" w:type="dxa"/>
              <w:right w:w="80" w:type="dxa"/>
            </w:tcMar>
          </w:tcPr>
          <w:p w14:paraId="4700E77F" w14:textId="77777777" w:rsidR="00315156" w:rsidRPr="00EF5179" w:rsidRDefault="00315156" w:rsidP="002547C2">
            <w:pPr>
              <w:pBdr>
                <w:top w:val="nil"/>
                <w:left w:val="nil"/>
                <w:bottom w:val="nil"/>
                <w:right w:val="nil"/>
                <w:between w:val="nil"/>
                <w:bar w:val="nil"/>
              </w:pBdr>
              <w:suppressAutoHyphens/>
              <w:spacing w:before="240" w:after="0" w:line="276" w:lineRule="auto"/>
              <w:rPr>
                <w:rFonts w:asciiTheme="majorBidi" w:eastAsia="Times New Roman" w:hAnsiTheme="majorBidi" w:cstheme="majorBidi"/>
                <w:color w:val="000000"/>
                <w:sz w:val="20"/>
                <w:szCs w:val="20"/>
                <w:u w:color="000000"/>
                <w:bdr w:val="nil"/>
                <w:lang w:val="en-US"/>
              </w:rPr>
            </w:pPr>
            <w:r w:rsidRPr="00EF5179">
              <w:rPr>
                <w:rFonts w:asciiTheme="majorBidi" w:eastAsia="Times New Roman" w:hAnsiTheme="majorBidi" w:cstheme="majorBidi"/>
                <w:color w:val="000000"/>
                <w:sz w:val="20"/>
                <w:szCs w:val="20"/>
                <w:u w:color="000000"/>
                <w:bdr w:val="nil"/>
                <w:lang w:val="en-US"/>
              </w:rPr>
              <w:t>Distr.: General</w:t>
            </w:r>
          </w:p>
          <w:p w14:paraId="08BDE016" w14:textId="5F879518" w:rsidR="00315156" w:rsidRPr="00EF5179" w:rsidRDefault="002547C2" w:rsidP="002547C2">
            <w:pPr>
              <w:pBdr>
                <w:top w:val="nil"/>
                <w:left w:val="nil"/>
                <w:bottom w:val="nil"/>
                <w:right w:val="nil"/>
                <w:between w:val="nil"/>
                <w:bar w:val="nil"/>
              </w:pBdr>
              <w:suppressAutoHyphens/>
              <w:spacing w:after="0" w:line="276" w:lineRule="auto"/>
              <w:rPr>
                <w:rFonts w:asciiTheme="majorBidi" w:eastAsia="Times New Roman" w:hAnsiTheme="majorBidi" w:cstheme="majorBidi"/>
                <w:color w:val="000000"/>
                <w:sz w:val="20"/>
                <w:szCs w:val="20"/>
                <w:u w:color="000000"/>
                <w:bdr w:val="nil"/>
                <w:lang w:val="en-US"/>
              </w:rPr>
            </w:pPr>
            <w:r>
              <w:rPr>
                <w:rFonts w:asciiTheme="majorBidi" w:eastAsia="Times New Roman" w:hAnsiTheme="majorBidi" w:cstheme="majorBidi"/>
                <w:color w:val="000000"/>
                <w:sz w:val="20"/>
                <w:szCs w:val="20"/>
                <w:u w:color="000000"/>
                <w:bdr w:val="nil"/>
                <w:lang w:val="en-US"/>
              </w:rPr>
              <w:t>11 February</w:t>
            </w:r>
            <w:r w:rsidR="00000C1C" w:rsidRPr="00EF5179">
              <w:rPr>
                <w:rFonts w:asciiTheme="majorBidi" w:eastAsia="Times New Roman" w:hAnsiTheme="majorBidi" w:cstheme="majorBidi"/>
                <w:color w:val="000000"/>
                <w:sz w:val="20"/>
                <w:szCs w:val="20"/>
                <w:u w:color="000000"/>
                <w:bdr w:val="nil"/>
                <w:lang w:val="en-US"/>
              </w:rPr>
              <w:t xml:space="preserve"> 2019</w:t>
            </w:r>
          </w:p>
          <w:p w14:paraId="774A6383" w14:textId="77777777" w:rsidR="00315156" w:rsidRPr="00EF5179" w:rsidRDefault="00315156" w:rsidP="002547C2">
            <w:pPr>
              <w:pBdr>
                <w:top w:val="nil"/>
                <w:left w:val="nil"/>
                <w:bottom w:val="nil"/>
                <w:right w:val="nil"/>
                <w:between w:val="nil"/>
                <w:bar w:val="nil"/>
              </w:pBdr>
              <w:suppressAutoHyphens/>
              <w:spacing w:after="0" w:line="276" w:lineRule="auto"/>
              <w:rPr>
                <w:rFonts w:asciiTheme="majorBidi" w:eastAsia="Times New Roman" w:hAnsiTheme="majorBidi" w:cstheme="majorBidi"/>
                <w:color w:val="000000"/>
                <w:sz w:val="20"/>
                <w:szCs w:val="20"/>
                <w:u w:color="000000"/>
                <w:bdr w:val="nil"/>
                <w:lang w:val="en-US"/>
              </w:rPr>
            </w:pPr>
          </w:p>
          <w:p w14:paraId="7BD88947" w14:textId="77777777" w:rsidR="00315156" w:rsidRPr="00EF5179" w:rsidRDefault="00315156" w:rsidP="002547C2">
            <w:pPr>
              <w:pBdr>
                <w:top w:val="nil"/>
                <w:left w:val="nil"/>
                <w:bottom w:val="nil"/>
                <w:right w:val="nil"/>
                <w:between w:val="nil"/>
                <w:bar w:val="nil"/>
              </w:pBdr>
              <w:suppressAutoHyphens/>
              <w:spacing w:after="0" w:line="276" w:lineRule="auto"/>
              <w:rPr>
                <w:rFonts w:asciiTheme="majorBidi" w:eastAsia="Times New Roman" w:hAnsiTheme="majorBidi" w:cstheme="majorBidi"/>
                <w:color w:val="000000"/>
                <w:sz w:val="20"/>
                <w:szCs w:val="20"/>
                <w:u w:color="000000"/>
                <w:bdr w:val="nil"/>
                <w:lang w:val="en-US"/>
              </w:rPr>
            </w:pPr>
            <w:r w:rsidRPr="00EF5179">
              <w:rPr>
                <w:rFonts w:asciiTheme="majorBidi" w:eastAsia="Times New Roman" w:hAnsiTheme="majorBidi" w:cstheme="majorBidi"/>
                <w:color w:val="000000"/>
                <w:sz w:val="20"/>
                <w:szCs w:val="20"/>
                <w:u w:color="000000"/>
                <w:bdr w:val="nil"/>
                <w:lang w:val="en-US"/>
              </w:rPr>
              <w:t>Original: English</w:t>
            </w:r>
          </w:p>
        </w:tc>
      </w:tr>
    </w:tbl>
    <w:p w14:paraId="4737C3F8" w14:textId="77777777" w:rsidR="00315156" w:rsidRPr="00EF5179" w:rsidRDefault="00315156" w:rsidP="002E387E">
      <w:pPr>
        <w:pBdr>
          <w:top w:val="nil"/>
          <w:left w:val="nil"/>
          <w:bottom w:val="nil"/>
          <w:right w:val="nil"/>
          <w:between w:val="nil"/>
          <w:bar w:val="nil"/>
        </w:pBdr>
        <w:suppressAutoHyphens/>
        <w:spacing w:after="0" w:line="276" w:lineRule="auto"/>
        <w:rPr>
          <w:rFonts w:asciiTheme="majorBidi" w:eastAsia="Times New Roman" w:hAnsiTheme="majorBidi" w:cstheme="majorBidi"/>
          <w:b/>
          <w:bCs/>
          <w:color w:val="000000"/>
          <w:sz w:val="2"/>
          <w:szCs w:val="2"/>
          <w:u w:color="000000"/>
          <w:bdr w:val="nil"/>
          <w:lang w:val="en-US"/>
        </w:rPr>
      </w:pPr>
    </w:p>
    <w:p w14:paraId="10956CB4" w14:textId="77777777" w:rsidR="00186C0B" w:rsidRPr="00370876" w:rsidRDefault="00186C0B" w:rsidP="002547C2">
      <w:pPr>
        <w:suppressAutoHyphens/>
        <w:spacing w:before="120" w:after="0" w:line="240" w:lineRule="atLeast"/>
        <w:outlineLvl w:val="0"/>
        <w:rPr>
          <w:rFonts w:ascii="Times New Roman" w:eastAsia="Times New Roman" w:hAnsi="Times New Roman" w:cs="Times New Roman"/>
          <w:b/>
          <w:sz w:val="20"/>
          <w:szCs w:val="20"/>
          <w:lang w:val="en-US"/>
        </w:rPr>
      </w:pPr>
      <w:r w:rsidRPr="00370876">
        <w:rPr>
          <w:rFonts w:ascii="Times New Roman" w:eastAsia="Times New Roman" w:hAnsi="Times New Roman" w:cs="Times New Roman"/>
          <w:b/>
          <w:sz w:val="20"/>
          <w:szCs w:val="20"/>
          <w:lang w:val="en-US"/>
        </w:rPr>
        <w:t>Human Rights Council</w:t>
      </w:r>
    </w:p>
    <w:p w14:paraId="4F77DE3A" w14:textId="3C8FC96A" w:rsidR="00186C0B" w:rsidRDefault="001937C1" w:rsidP="002547C2">
      <w:pPr>
        <w:suppressAutoHyphens/>
        <w:spacing w:after="0" w:line="240" w:lineRule="atLeast"/>
        <w:outlineLvl w:val="0"/>
        <w:rPr>
          <w:rFonts w:ascii="Times New Roman" w:eastAsia="Times New Roman" w:hAnsi="Times New Roman" w:cs="Times New Roman"/>
          <w:b/>
          <w:bCs/>
          <w:color w:val="000000"/>
          <w:sz w:val="20"/>
          <w:szCs w:val="20"/>
          <w:bdr w:val="none" w:sz="0" w:space="0" w:color="auto" w:frame="1"/>
          <w:lang w:val="en-US"/>
        </w:rPr>
      </w:pPr>
      <w:r>
        <w:rPr>
          <w:rFonts w:ascii="Times New Roman" w:eastAsia="Times New Roman" w:hAnsi="Times New Roman" w:cs="Times New Roman"/>
          <w:b/>
          <w:bCs/>
          <w:color w:val="000000"/>
          <w:sz w:val="20"/>
          <w:szCs w:val="20"/>
          <w:bdr w:val="none" w:sz="0" w:space="0" w:color="auto" w:frame="1"/>
          <w:lang w:val="en-US"/>
        </w:rPr>
        <w:t xml:space="preserve">Fortieth </w:t>
      </w:r>
      <w:r w:rsidR="00186C0B">
        <w:rPr>
          <w:rFonts w:ascii="Times New Roman" w:eastAsia="Times New Roman" w:hAnsi="Times New Roman" w:cs="Times New Roman"/>
          <w:b/>
          <w:bCs/>
          <w:color w:val="000000"/>
          <w:sz w:val="20"/>
          <w:szCs w:val="20"/>
          <w:bdr w:val="none" w:sz="0" w:space="0" w:color="auto" w:frame="1"/>
          <w:lang w:val="en-US"/>
        </w:rPr>
        <w:t>session</w:t>
      </w:r>
    </w:p>
    <w:p w14:paraId="732EC863" w14:textId="18636701" w:rsidR="00B50D87" w:rsidRPr="00B50D87" w:rsidRDefault="00B50D87" w:rsidP="002547C2">
      <w:pPr>
        <w:suppressAutoHyphens/>
        <w:spacing w:after="0" w:line="240" w:lineRule="atLeast"/>
        <w:outlineLvl w:val="0"/>
        <w:rPr>
          <w:rFonts w:ascii="Times New Roman" w:eastAsia="Times New Roman" w:hAnsi="Times New Roman" w:cs="Times New Roman"/>
          <w:bCs/>
          <w:color w:val="000000"/>
          <w:sz w:val="20"/>
          <w:szCs w:val="20"/>
          <w:bdr w:val="none" w:sz="0" w:space="0" w:color="auto" w:frame="1"/>
          <w:lang w:val="en-US"/>
        </w:rPr>
      </w:pPr>
      <w:r w:rsidRPr="00B50D87">
        <w:rPr>
          <w:rFonts w:ascii="Times New Roman" w:eastAsia="Times New Roman" w:hAnsi="Times New Roman" w:cs="Times New Roman"/>
          <w:bCs/>
          <w:color w:val="000000"/>
          <w:sz w:val="20"/>
          <w:szCs w:val="20"/>
          <w:bdr w:val="none" w:sz="0" w:space="0" w:color="auto" w:frame="1"/>
          <w:lang w:val="en-US"/>
        </w:rPr>
        <w:t>25 February–22 March 2019</w:t>
      </w:r>
    </w:p>
    <w:p w14:paraId="449530AF" w14:textId="77777777" w:rsidR="00186C0B" w:rsidRDefault="00186C0B" w:rsidP="002547C2">
      <w:pPr>
        <w:suppressAutoHyphens/>
        <w:spacing w:after="0" w:line="240" w:lineRule="atLeast"/>
        <w:outlineLvl w:val="0"/>
        <w:rPr>
          <w:rFonts w:ascii="Times New Roman" w:eastAsia="Times New Roman" w:hAnsi="Times New Roman" w:cs="Times New Roman"/>
          <w:color w:val="000000"/>
          <w:sz w:val="20"/>
          <w:szCs w:val="20"/>
          <w:bdr w:val="none" w:sz="0" w:space="0" w:color="auto" w:frame="1"/>
          <w:lang w:val="en-US"/>
        </w:rPr>
      </w:pPr>
      <w:r>
        <w:rPr>
          <w:rFonts w:ascii="Times New Roman" w:eastAsia="Times New Roman" w:hAnsi="Times New Roman" w:cs="Times New Roman"/>
          <w:color w:val="000000"/>
          <w:sz w:val="20"/>
          <w:szCs w:val="20"/>
          <w:bdr w:val="none" w:sz="0" w:space="0" w:color="auto" w:frame="1"/>
          <w:lang w:val="en-US"/>
        </w:rPr>
        <w:t xml:space="preserve">Agenda items 2 and 7 </w:t>
      </w:r>
    </w:p>
    <w:p w14:paraId="2A798CB5" w14:textId="77777777" w:rsidR="00186C0B" w:rsidRDefault="00186C0B" w:rsidP="002547C2">
      <w:pPr>
        <w:suppressAutoHyphens/>
        <w:spacing w:after="0" w:line="240" w:lineRule="atLeast"/>
        <w:outlineLvl w:val="0"/>
        <w:rPr>
          <w:rFonts w:ascii="Times New Roman" w:eastAsia="Times New Roman" w:hAnsi="Times New Roman" w:cs="Times New Roman"/>
          <w:b/>
          <w:color w:val="000000"/>
          <w:sz w:val="20"/>
          <w:szCs w:val="20"/>
          <w:bdr w:val="none" w:sz="0" w:space="0" w:color="auto" w:frame="1"/>
          <w:lang w:val="en-US"/>
        </w:rPr>
      </w:pPr>
      <w:r>
        <w:rPr>
          <w:rFonts w:ascii="Times New Roman" w:eastAsia="Times New Roman" w:hAnsi="Times New Roman" w:cs="Times New Roman"/>
          <w:b/>
          <w:color w:val="000000"/>
          <w:sz w:val="20"/>
          <w:szCs w:val="20"/>
          <w:bdr w:val="none" w:sz="0" w:space="0" w:color="auto" w:frame="1"/>
          <w:lang w:val="en-US"/>
        </w:rPr>
        <w:t>Annual report of the United Nations High Commissioner</w:t>
      </w:r>
    </w:p>
    <w:p w14:paraId="1417BB25" w14:textId="77777777" w:rsidR="00186C0B" w:rsidRDefault="00186C0B" w:rsidP="002547C2">
      <w:pPr>
        <w:suppressAutoHyphens/>
        <w:spacing w:after="0" w:line="240" w:lineRule="atLeast"/>
        <w:rPr>
          <w:rFonts w:ascii="Times New Roman" w:eastAsia="Times New Roman" w:hAnsi="Times New Roman" w:cs="Times New Roman"/>
          <w:b/>
          <w:color w:val="000000"/>
          <w:sz w:val="20"/>
          <w:szCs w:val="20"/>
          <w:bdr w:val="none" w:sz="0" w:space="0" w:color="auto" w:frame="1"/>
          <w:lang w:val="en-US"/>
        </w:rPr>
      </w:pPr>
      <w:r>
        <w:rPr>
          <w:rFonts w:ascii="Times New Roman" w:eastAsia="Times New Roman" w:hAnsi="Times New Roman" w:cs="Times New Roman"/>
          <w:b/>
          <w:color w:val="000000"/>
          <w:sz w:val="20"/>
          <w:szCs w:val="20"/>
          <w:bdr w:val="none" w:sz="0" w:space="0" w:color="auto" w:frame="1"/>
          <w:lang w:val="en-US"/>
        </w:rPr>
        <w:t xml:space="preserve">for Human Rights and reports of the Office of the </w:t>
      </w:r>
    </w:p>
    <w:p w14:paraId="64F3F71B" w14:textId="094DC86E" w:rsidR="002E47BC" w:rsidRDefault="00186C0B" w:rsidP="002547C2">
      <w:pPr>
        <w:suppressAutoHyphens/>
        <w:spacing w:after="120" w:line="240" w:lineRule="atLeast"/>
        <w:outlineLvl w:val="0"/>
        <w:rPr>
          <w:rFonts w:ascii="Times New Roman" w:eastAsia="Times New Roman" w:hAnsi="Times New Roman" w:cs="Times New Roman"/>
          <w:b/>
          <w:color w:val="000000"/>
          <w:sz w:val="20"/>
          <w:szCs w:val="20"/>
          <w:bdr w:val="none" w:sz="0" w:space="0" w:color="auto" w:frame="1"/>
          <w:lang w:val="en-US"/>
        </w:rPr>
      </w:pPr>
      <w:r>
        <w:rPr>
          <w:rFonts w:ascii="Times New Roman" w:eastAsia="Times New Roman" w:hAnsi="Times New Roman" w:cs="Times New Roman"/>
          <w:b/>
          <w:color w:val="000000"/>
          <w:sz w:val="20"/>
          <w:szCs w:val="20"/>
          <w:bdr w:val="none" w:sz="0" w:space="0" w:color="auto" w:frame="1"/>
          <w:lang w:val="en-US"/>
        </w:rPr>
        <w:t>High Commiss</w:t>
      </w:r>
      <w:r w:rsidR="00F62965">
        <w:rPr>
          <w:rFonts w:ascii="Times New Roman" w:eastAsia="Times New Roman" w:hAnsi="Times New Roman" w:cs="Times New Roman"/>
          <w:b/>
          <w:color w:val="000000"/>
          <w:sz w:val="20"/>
          <w:szCs w:val="20"/>
          <w:bdr w:val="none" w:sz="0" w:space="0" w:color="auto" w:frame="1"/>
          <w:lang w:val="en-US"/>
        </w:rPr>
        <w:t>ioner and the Secretary-General</w:t>
      </w:r>
    </w:p>
    <w:p w14:paraId="183D7DE8" w14:textId="77777777" w:rsidR="002E47BC" w:rsidRDefault="00186C0B" w:rsidP="002547C2">
      <w:pPr>
        <w:suppressAutoHyphens/>
        <w:spacing w:after="0" w:line="240" w:lineRule="atLeast"/>
        <w:outlineLvl w:val="0"/>
        <w:rPr>
          <w:rFonts w:ascii="Times New Roman" w:eastAsia="Times New Roman" w:hAnsi="Times New Roman" w:cs="Times New Roman"/>
          <w:b/>
          <w:color w:val="000000"/>
          <w:sz w:val="20"/>
          <w:szCs w:val="20"/>
          <w:bdr w:val="none" w:sz="0" w:space="0" w:color="auto" w:frame="1"/>
          <w:lang w:val="en-US"/>
        </w:rPr>
      </w:pPr>
      <w:r>
        <w:rPr>
          <w:rFonts w:ascii="Times New Roman" w:eastAsia="Times New Roman" w:hAnsi="Times New Roman" w:cs="Times New Roman"/>
          <w:b/>
          <w:color w:val="000000"/>
          <w:sz w:val="20"/>
          <w:szCs w:val="20"/>
          <w:bdr w:val="none" w:sz="0" w:space="0" w:color="auto" w:frame="1"/>
          <w:lang w:val="en-US"/>
        </w:rPr>
        <w:t>Human rights si</w:t>
      </w:r>
      <w:r w:rsidR="002E47BC">
        <w:rPr>
          <w:rFonts w:ascii="Times New Roman" w:eastAsia="Times New Roman" w:hAnsi="Times New Roman" w:cs="Times New Roman"/>
          <w:b/>
          <w:color w:val="000000"/>
          <w:sz w:val="20"/>
          <w:szCs w:val="20"/>
          <w:bdr w:val="none" w:sz="0" w:space="0" w:color="auto" w:frame="1"/>
          <w:lang w:val="en-US"/>
        </w:rPr>
        <w:t xml:space="preserve">tuation in Palestine and other </w:t>
      </w:r>
    </w:p>
    <w:p w14:paraId="39F0DE9D" w14:textId="6F9A9470" w:rsidR="00186C0B" w:rsidRDefault="00186C0B" w:rsidP="002547C2">
      <w:pPr>
        <w:suppressAutoHyphens/>
        <w:spacing w:after="0" w:line="240" w:lineRule="atLeast"/>
        <w:rPr>
          <w:rFonts w:ascii="Times New Roman" w:eastAsia="Times New Roman" w:hAnsi="Times New Roman" w:cs="Times New Roman"/>
          <w:b/>
          <w:color w:val="000000"/>
          <w:sz w:val="20"/>
          <w:szCs w:val="20"/>
          <w:bdr w:val="none" w:sz="0" w:space="0" w:color="auto" w:frame="1"/>
          <w:lang w:val="en-US"/>
        </w:rPr>
      </w:pPr>
      <w:r>
        <w:rPr>
          <w:rFonts w:ascii="Times New Roman" w:eastAsia="Times New Roman" w:hAnsi="Times New Roman" w:cs="Times New Roman"/>
          <w:b/>
          <w:color w:val="000000"/>
          <w:sz w:val="20"/>
          <w:szCs w:val="20"/>
          <w:bdr w:val="none" w:sz="0" w:space="0" w:color="auto" w:frame="1"/>
          <w:lang w:val="en-US"/>
        </w:rPr>
        <w:t>occupied Arab territories</w:t>
      </w:r>
    </w:p>
    <w:p w14:paraId="0F7A45F3" w14:textId="77777777" w:rsidR="0077530F" w:rsidRPr="0077530F" w:rsidRDefault="00186C0B" w:rsidP="0077530F">
      <w:pPr>
        <w:pStyle w:val="HChG"/>
        <w:ind w:right="0"/>
      </w:pPr>
      <w:r w:rsidRPr="00EF5179">
        <w:rPr>
          <w:u w:color="000000"/>
          <w:bdr w:val="nil"/>
          <w:lang w:val="en-US"/>
        </w:rPr>
        <w:tab/>
      </w:r>
      <w:r>
        <w:rPr>
          <w:u w:color="000000"/>
          <w:bdr w:val="nil"/>
          <w:lang w:val="en-US"/>
        </w:rPr>
        <w:tab/>
      </w:r>
      <w:r w:rsidRPr="0077530F">
        <w:t>Implementation of Human Rights Council Resolutions</w:t>
      </w:r>
      <w:r w:rsidR="00133B19" w:rsidRPr="0077530F">
        <w:t xml:space="preserve"> </w:t>
      </w:r>
      <w:r w:rsidR="002547C2" w:rsidRPr="0077530F">
        <w:br/>
      </w:r>
      <w:r w:rsidR="00A223C8" w:rsidRPr="0077530F">
        <w:t>S-9/1 and S-12/1</w:t>
      </w:r>
    </w:p>
    <w:p w14:paraId="4706D938" w14:textId="609011B0" w:rsidR="00940F26" w:rsidRPr="00A223C8" w:rsidRDefault="0077530F" w:rsidP="0077530F">
      <w:pPr>
        <w:pStyle w:val="H1G"/>
        <w:ind w:right="0"/>
        <w:rPr>
          <w:rFonts w:eastAsia="Arial Unicode MS"/>
        </w:rPr>
      </w:pPr>
      <w:r>
        <w:rPr>
          <w:rFonts w:eastAsia="Arial Unicode MS"/>
        </w:rPr>
        <w:tab/>
      </w:r>
      <w:r>
        <w:rPr>
          <w:rFonts w:eastAsia="Arial Unicode MS"/>
        </w:rPr>
        <w:tab/>
        <w:t>Report of the United Nations High Commissioner for Human Rights</w:t>
      </w:r>
      <w:r w:rsidR="002547C2" w:rsidRPr="0077530F">
        <w:rPr>
          <w:rStyle w:val="FootnoteReference"/>
          <w:rFonts w:asciiTheme="majorBidi" w:eastAsia="Arial Unicode MS" w:hAnsiTheme="majorBidi" w:cstheme="majorBidi"/>
          <w:b w:val="0"/>
          <w:bCs w:val="0"/>
          <w:sz w:val="20"/>
          <w:szCs w:val="28"/>
          <w:vertAlign w:val="baseline"/>
        </w:rPr>
        <w:footnoteReference w:customMarkFollows="1" w:id="2"/>
        <w:t>*</w:t>
      </w:r>
    </w:p>
    <w:tbl>
      <w:tblPr>
        <w:tblW w:w="96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12"/>
      </w:tblGrid>
      <w:tr w:rsidR="00940F26" w:rsidRPr="00EB2432" w14:paraId="513333A7" w14:textId="77777777" w:rsidTr="002547C2">
        <w:trPr>
          <w:trHeight w:val="223"/>
          <w:jc w:val="center"/>
        </w:trPr>
        <w:tc>
          <w:tcPr>
            <w:tcW w:w="9612" w:type="dxa"/>
            <w:tcBorders>
              <w:top w:val="single" w:sz="4" w:space="0" w:color="000000"/>
              <w:left w:val="single" w:sz="4" w:space="0" w:color="000000"/>
              <w:bottom w:val="nil"/>
              <w:right w:val="single" w:sz="4" w:space="0" w:color="000000"/>
            </w:tcBorders>
            <w:shd w:val="clear" w:color="auto" w:fill="auto"/>
            <w:tcMar>
              <w:top w:w="80" w:type="dxa"/>
              <w:left w:w="335" w:type="dxa"/>
              <w:bottom w:w="80" w:type="dxa"/>
              <w:right w:w="80" w:type="dxa"/>
            </w:tcMar>
          </w:tcPr>
          <w:p w14:paraId="6CC809F7" w14:textId="77777777" w:rsidR="00940F26" w:rsidRPr="00EB2432" w:rsidRDefault="00940F26" w:rsidP="002547C2">
            <w:pPr>
              <w:pBdr>
                <w:top w:val="nil"/>
                <w:left w:val="nil"/>
                <w:bottom w:val="nil"/>
                <w:right w:val="nil"/>
                <w:between w:val="nil"/>
                <w:bar w:val="nil"/>
              </w:pBdr>
              <w:suppressAutoHyphens/>
              <w:spacing w:before="120" w:after="120"/>
              <w:ind w:left="255" w:right="516" w:hanging="459"/>
              <w:rPr>
                <w:rFonts w:ascii="Times New Roman" w:eastAsia="Times New Roman" w:hAnsi="Times New Roman" w:cs="Times New Roman"/>
                <w:color w:val="000000"/>
                <w:sz w:val="20"/>
                <w:szCs w:val="20"/>
                <w:u w:color="000000"/>
                <w:bdr w:val="nil"/>
              </w:rPr>
            </w:pPr>
            <w:r w:rsidRPr="002547C2">
              <w:rPr>
                <w:rFonts w:ascii="Times New Roman" w:eastAsia="Times New Roman" w:hAnsi="Times New Roman" w:cs="Times New Roman"/>
                <w:i/>
                <w:iCs/>
                <w:color w:val="000000"/>
                <w:sz w:val="24"/>
                <w:szCs w:val="24"/>
                <w:u w:color="000000"/>
                <w:bdr w:val="nil"/>
              </w:rPr>
              <w:t>Summar</w:t>
            </w:r>
            <w:r w:rsidRPr="00EB2432">
              <w:rPr>
                <w:rFonts w:ascii="Times New Roman" w:eastAsia="Times New Roman" w:hAnsi="Times New Roman" w:cs="Times New Roman"/>
                <w:i/>
                <w:iCs/>
                <w:color w:val="000000"/>
                <w:u w:color="000000"/>
                <w:bdr w:val="nil"/>
              </w:rPr>
              <w:t>y</w:t>
            </w:r>
          </w:p>
        </w:tc>
      </w:tr>
      <w:tr w:rsidR="00940F26" w:rsidRPr="00EB2432" w14:paraId="13C2D093" w14:textId="77777777" w:rsidTr="002547C2">
        <w:trPr>
          <w:trHeight w:val="699"/>
          <w:jc w:val="center"/>
        </w:trPr>
        <w:tc>
          <w:tcPr>
            <w:tcW w:w="9612" w:type="dxa"/>
            <w:tcBorders>
              <w:top w:val="nil"/>
              <w:left w:val="single" w:sz="4" w:space="0" w:color="000000"/>
              <w:bottom w:val="nil"/>
              <w:right w:val="single" w:sz="4" w:space="0" w:color="000000"/>
            </w:tcBorders>
            <w:shd w:val="clear" w:color="auto" w:fill="auto"/>
            <w:tcMar>
              <w:top w:w="80" w:type="dxa"/>
              <w:left w:w="1214" w:type="dxa"/>
              <w:bottom w:w="80" w:type="dxa"/>
              <w:right w:w="1214" w:type="dxa"/>
            </w:tcMar>
          </w:tcPr>
          <w:p w14:paraId="3327AA73" w14:textId="4298AA69" w:rsidR="00940F26" w:rsidRPr="00CB4EAF" w:rsidRDefault="00CB4EAF" w:rsidP="002547C2">
            <w:pPr>
              <w:pBdr>
                <w:top w:val="nil"/>
                <w:left w:val="nil"/>
                <w:bottom w:val="nil"/>
                <w:right w:val="nil"/>
                <w:between w:val="nil"/>
                <w:bar w:val="nil"/>
              </w:pBdr>
              <w:suppressAutoHyphens/>
              <w:spacing w:after="120"/>
              <w:ind w:left="-85" w:right="-215" w:firstLine="720"/>
              <w:jc w:val="both"/>
              <w:rPr>
                <w:rFonts w:ascii="Times New Roman" w:eastAsia="Arial Unicode MS" w:hAnsi="Times New Roman" w:cs="Arial Unicode MS"/>
                <w:color w:val="000000"/>
                <w:sz w:val="20"/>
                <w:szCs w:val="20"/>
                <w:highlight w:val="yellow"/>
                <w:u w:color="000000"/>
                <w:bdr w:val="nil"/>
              </w:rPr>
            </w:pPr>
            <w:r w:rsidRPr="00A741BC">
              <w:rPr>
                <w:rFonts w:ascii="Times New Roman" w:eastAsia="Arial Unicode MS" w:hAnsi="Times New Roman" w:cs="Arial Unicode MS"/>
                <w:color w:val="000000"/>
                <w:sz w:val="20"/>
                <w:szCs w:val="20"/>
                <w:u w:color="000000"/>
                <w:bdr w:val="nil"/>
              </w:rPr>
              <w:t xml:space="preserve">The present </w:t>
            </w:r>
            <w:r w:rsidR="00761371">
              <w:rPr>
                <w:rFonts w:ascii="Times New Roman" w:eastAsia="Arial Unicode MS" w:hAnsi="Times New Roman" w:cs="Arial Unicode MS"/>
                <w:color w:val="000000"/>
                <w:sz w:val="20"/>
                <w:szCs w:val="20"/>
                <w:u w:color="000000"/>
                <w:bdr w:val="nil"/>
              </w:rPr>
              <w:t xml:space="preserve">periodic </w:t>
            </w:r>
            <w:r w:rsidRPr="00A741BC">
              <w:rPr>
                <w:rFonts w:ascii="Times New Roman" w:eastAsia="Arial Unicode MS" w:hAnsi="Times New Roman" w:cs="Arial Unicode MS"/>
                <w:color w:val="000000"/>
                <w:sz w:val="20"/>
                <w:szCs w:val="20"/>
                <w:u w:color="000000"/>
                <w:bdr w:val="nil"/>
              </w:rPr>
              <w:t>report</w:t>
            </w:r>
            <w:r w:rsidR="00761371">
              <w:rPr>
                <w:rFonts w:ascii="Times New Roman" w:eastAsia="Arial Unicode MS" w:hAnsi="Times New Roman" w:cs="Arial Unicode MS"/>
                <w:color w:val="000000"/>
                <w:sz w:val="20"/>
                <w:szCs w:val="20"/>
                <w:u w:color="000000"/>
                <w:bdr w:val="nil"/>
              </w:rPr>
              <w:t xml:space="preserve">, the eleventh submitted by the United Nations High Commissioner for Human Rights on the implementation of </w:t>
            </w:r>
            <w:r w:rsidRPr="00A741BC">
              <w:rPr>
                <w:rFonts w:ascii="Times New Roman" w:eastAsia="Arial Unicode MS" w:hAnsi="Times New Roman" w:cs="Times New Roman"/>
                <w:iCs/>
                <w:sz w:val="20"/>
                <w:szCs w:val="20"/>
                <w:bdr w:val="none" w:sz="0" w:space="0" w:color="auto" w:frame="1"/>
                <w:lang w:val="en-US"/>
              </w:rPr>
              <w:t xml:space="preserve">Human Rights Council </w:t>
            </w:r>
            <w:r w:rsidR="00513C05">
              <w:rPr>
                <w:rFonts w:ascii="Times New Roman" w:eastAsia="Arial Unicode MS" w:hAnsi="Times New Roman" w:cs="Times New Roman"/>
                <w:iCs/>
                <w:sz w:val="20"/>
                <w:szCs w:val="20"/>
                <w:bdr w:val="none" w:sz="0" w:space="0" w:color="auto" w:frame="1"/>
                <w:lang w:val="en-US"/>
              </w:rPr>
              <w:t>r</w:t>
            </w:r>
            <w:r w:rsidRPr="00A741BC">
              <w:rPr>
                <w:rFonts w:ascii="Times New Roman" w:eastAsia="Arial Unicode MS" w:hAnsi="Times New Roman" w:cs="Times New Roman"/>
                <w:iCs/>
                <w:sz w:val="20"/>
                <w:szCs w:val="20"/>
                <w:bdr w:val="none" w:sz="0" w:space="0" w:color="auto" w:frame="1"/>
                <w:lang w:val="en-US"/>
              </w:rPr>
              <w:t>esolutions S-9/1 and S-</w:t>
            </w:r>
            <w:r w:rsidR="00C109BE">
              <w:rPr>
                <w:rFonts w:ascii="Times New Roman" w:eastAsia="Arial Unicode MS" w:hAnsi="Times New Roman" w:cs="Times New Roman"/>
                <w:iCs/>
                <w:sz w:val="20"/>
                <w:szCs w:val="20"/>
                <w:bdr w:val="none" w:sz="0" w:space="0" w:color="auto" w:frame="1"/>
                <w:lang w:val="en-US"/>
              </w:rPr>
              <w:t>12/1</w:t>
            </w:r>
            <w:r w:rsidR="00761371">
              <w:rPr>
                <w:rFonts w:ascii="Times New Roman" w:eastAsia="Arial Unicode MS" w:hAnsi="Times New Roman" w:cs="Times New Roman"/>
                <w:iCs/>
                <w:sz w:val="20"/>
                <w:szCs w:val="20"/>
                <w:bdr w:val="none" w:sz="0" w:space="0" w:color="auto" w:frame="1"/>
                <w:lang w:val="en-US"/>
              </w:rPr>
              <w:t xml:space="preserve"> </w:t>
            </w:r>
            <w:r w:rsidRPr="00A741BC">
              <w:rPr>
                <w:rFonts w:ascii="Times New Roman" w:eastAsia="Arial Unicode MS" w:hAnsi="Times New Roman" w:cs="Times New Roman"/>
                <w:iCs/>
                <w:sz w:val="20"/>
                <w:szCs w:val="20"/>
                <w:bdr w:val="none" w:sz="0" w:space="0" w:color="auto" w:frame="1"/>
                <w:lang w:val="en-US"/>
              </w:rPr>
              <w:t>cover</w:t>
            </w:r>
            <w:r w:rsidR="00513C05">
              <w:rPr>
                <w:rFonts w:ascii="Times New Roman" w:eastAsia="Arial Unicode MS" w:hAnsi="Times New Roman" w:cs="Times New Roman"/>
                <w:iCs/>
                <w:sz w:val="20"/>
                <w:szCs w:val="20"/>
                <w:bdr w:val="none" w:sz="0" w:space="0" w:color="auto" w:frame="1"/>
                <w:lang w:val="en-US"/>
              </w:rPr>
              <w:t>s</w:t>
            </w:r>
            <w:r w:rsidRPr="00A741BC">
              <w:rPr>
                <w:rFonts w:ascii="Times New Roman" w:eastAsia="Arial Unicode MS" w:hAnsi="Times New Roman" w:cs="Times New Roman"/>
                <w:iCs/>
                <w:sz w:val="20"/>
                <w:szCs w:val="20"/>
                <w:bdr w:val="none" w:sz="0" w:space="0" w:color="auto" w:frame="1"/>
                <w:lang w:val="en-US"/>
              </w:rPr>
              <w:t xml:space="preserve"> the period from </w:t>
            </w:r>
            <w:r w:rsidRPr="00A741BC">
              <w:rPr>
                <w:rFonts w:ascii="Times New Roman" w:eastAsia="Arial Unicode MS" w:hAnsi="Times New Roman" w:cs="Arial Unicode MS"/>
                <w:color w:val="000000"/>
                <w:sz w:val="20"/>
                <w:szCs w:val="20"/>
                <w:u w:color="000000"/>
                <w:bdr w:val="nil"/>
              </w:rPr>
              <w:t>1 November 2017 to 31 October 2018</w:t>
            </w:r>
            <w:r w:rsidRPr="00A741BC">
              <w:rPr>
                <w:rFonts w:ascii="Times New Roman" w:eastAsia="Arial Unicode MS" w:hAnsi="Times New Roman" w:cs="Times New Roman"/>
                <w:iCs/>
                <w:sz w:val="20"/>
                <w:szCs w:val="20"/>
                <w:bdr w:val="none" w:sz="0" w:space="0" w:color="auto" w:frame="1"/>
                <w:lang w:val="en-US"/>
              </w:rPr>
              <w:t xml:space="preserve">. It provides an overview of the human rights situation in the </w:t>
            </w:r>
            <w:r w:rsidR="00C109BE">
              <w:rPr>
                <w:rFonts w:ascii="Times New Roman" w:eastAsia="Arial Unicode MS" w:hAnsi="Times New Roman" w:cs="Times New Roman"/>
                <w:iCs/>
                <w:sz w:val="20"/>
                <w:szCs w:val="20"/>
                <w:bdr w:val="none" w:sz="0" w:space="0" w:color="auto" w:frame="1"/>
                <w:lang w:val="en-US"/>
              </w:rPr>
              <w:t>O</w:t>
            </w:r>
            <w:r w:rsidRPr="00A741BC">
              <w:rPr>
                <w:rFonts w:ascii="Times New Roman" w:eastAsia="Arial Unicode MS" w:hAnsi="Times New Roman" w:cs="Times New Roman"/>
                <w:iCs/>
                <w:sz w:val="20"/>
                <w:szCs w:val="20"/>
                <w:bdr w:val="none" w:sz="0" w:space="0" w:color="auto" w:frame="1"/>
                <w:lang w:val="en-US"/>
              </w:rPr>
              <w:t xml:space="preserve">ccupied Palestinian </w:t>
            </w:r>
            <w:r w:rsidR="00C109BE">
              <w:rPr>
                <w:rFonts w:ascii="Times New Roman" w:eastAsia="Arial Unicode MS" w:hAnsi="Times New Roman" w:cs="Times New Roman"/>
                <w:iCs/>
                <w:sz w:val="20"/>
                <w:szCs w:val="20"/>
                <w:bdr w:val="none" w:sz="0" w:space="0" w:color="auto" w:frame="1"/>
                <w:lang w:val="en-US"/>
              </w:rPr>
              <w:t>T</w:t>
            </w:r>
            <w:r w:rsidRPr="00A741BC">
              <w:rPr>
                <w:rFonts w:ascii="Times New Roman" w:eastAsia="Arial Unicode MS" w:hAnsi="Times New Roman" w:cs="Times New Roman"/>
                <w:iCs/>
                <w:sz w:val="20"/>
                <w:szCs w:val="20"/>
                <w:bdr w:val="none" w:sz="0" w:space="0" w:color="auto" w:frame="1"/>
                <w:lang w:val="en-US"/>
              </w:rPr>
              <w:t>erritory</w:t>
            </w:r>
            <w:r w:rsidR="00F8763D">
              <w:rPr>
                <w:rFonts w:ascii="Times New Roman" w:eastAsia="Arial Unicode MS" w:hAnsi="Times New Roman" w:cs="Times New Roman"/>
                <w:iCs/>
                <w:sz w:val="20"/>
                <w:szCs w:val="20"/>
                <w:bdr w:val="none" w:sz="0" w:space="0" w:color="auto" w:frame="1"/>
                <w:lang w:val="en-US"/>
              </w:rPr>
              <w:t>, including</w:t>
            </w:r>
            <w:r w:rsidRPr="00A741BC">
              <w:rPr>
                <w:rFonts w:ascii="Times New Roman" w:eastAsia="Arial Unicode MS" w:hAnsi="Times New Roman" w:cs="Times New Roman"/>
                <w:iCs/>
                <w:sz w:val="20"/>
                <w:szCs w:val="20"/>
                <w:bdr w:val="none" w:sz="0" w:space="0" w:color="auto" w:frame="1"/>
                <w:lang w:val="en-US"/>
              </w:rPr>
              <w:t xml:space="preserve"> </w:t>
            </w:r>
            <w:r w:rsidR="00761371">
              <w:rPr>
                <w:rFonts w:ascii="Times New Roman" w:eastAsia="Arial Unicode MS" w:hAnsi="Times New Roman" w:cs="Times New Roman"/>
                <w:iCs/>
                <w:sz w:val="20"/>
                <w:szCs w:val="20"/>
                <w:bdr w:val="none" w:sz="0" w:space="0" w:color="auto" w:frame="1"/>
                <w:lang w:val="en-US"/>
              </w:rPr>
              <w:t xml:space="preserve">ongoing </w:t>
            </w:r>
            <w:r w:rsidRPr="00A741BC">
              <w:rPr>
                <w:rFonts w:ascii="Times New Roman" w:eastAsia="Arial Unicode MS" w:hAnsi="Times New Roman" w:cs="Times New Roman"/>
                <w:iCs/>
                <w:sz w:val="20"/>
                <w:szCs w:val="20"/>
                <w:bdr w:val="none" w:sz="0" w:space="0" w:color="auto" w:frame="1"/>
                <w:lang w:val="en-US"/>
              </w:rPr>
              <w:t>lack of accountability for</w:t>
            </w:r>
            <w:r w:rsidR="00C109BE">
              <w:rPr>
                <w:rFonts w:ascii="Times New Roman" w:eastAsia="Arial Unicode MS" w:hAnsi="Times New Roman" w:cs="Times New Roman"/>
                <w:iCs/>
                <w:sz w:val="20"/>
                <w:szCs w:val="20"/>
                <w:bdr w:val="none" w:sz="0" w:space="0" w:color="auto" w:frame="1"/>
                <w:lang w:val="en-US"/>
              </w:rPr>
              <w:t xml:space="preserve"> </w:t>
            </w:r>
            <w:r w:rsidR="00761371">
              <w:rPr>
                <w:rFonts w:ascii="Times New Roman" w:eastAsia="Arial Unicode MS" w:hAnsi="Times New Roman" w:cs="Times New Roman"/>
                <w:iCs/>
                <w:sz w:val="20"/>
                <w:szCs w:val="20"/>
                <w:bdr w:val="none" w:sz="0" w:space="0" w:color="auto" w:frame="1"/>
                <w:lang w:val="en-US"/>
              </w:rPr>
              <w:t xml:space="preserve">violations of international </w:t>
            </w:r>
            <w:r w:rsidR="00C109BE">
              <w:rPr>
                <w:rFonts w:ascii="Times New Roman" w:eastAsia="Arial Unicode MS" w:hAnsi="Times New Roman" w:cs="Times New Roman"/>
                <w:iCs/>
                <w:sz w:val="20"/>
                <w:szCs w:val="20"/>
                <w:bdr w:val="none" w:sz="0" w:space="0" w:color="auto" w:frame="1"/>
                <w:lang w:val="en-US"/>
              </w:rPr>
              <w:t>human rights</w:t>
            </w:r>
            <w:r w:rsidRPr="00A741BC">
              <w:rPr>
                <w:rFonts w:ascii="Times New Roman" w:eastAsia="Arial Unicode MS" w:hAnsi="Times New Roman" w:cs="Times New Roman"/>
                <w:iCs/>
                <w:sz w:val="20"/>
                <w:szCs w:val="20"/>
                <w:bdr w:val="none" w:sz="0" w:space="0" w:color="auto" w:frame="1"/>
                <w:lang w:val="en-US"/>
              </w:rPr>
              <w:t xml:space="preserve"> </w:t>
            </w:r>
            <w:r w:rsidR="00761371">
              <w:rPr>
                <w:rFonts w:ascii="Times New Roman" w:eastAsia="Arial Unicode MS" w:hAnsi="Times New Roman" w:cs="Times New Roman"/>
                <w:iCs/>
                <w:sz w:val="20"/>
                <w:szCs w:val="20"/>
                <w:bdr w:val="none" w:sz="0" w:space="0" w:color="auto" w:frame="1"/>
                <w:lang w:val="en-US"/>
              </w:rPr>
              <w:t>law and</w:t>
            </w:r>
            <w:r w:rsidR="00C109BE">
              <w:rPr>
                <w:rFonts w:ascii="Times New Roman" w:eastAsia="Arial Unicode MS" w:hAnsi="Times New Roman" w:cs="Times New Roman"/>
                <w:iCs/>
                <w:sz w:val="20"/>
                <w:szCs w:val="20"/>
                <w:bdr w:val="none" w:sz="0" w:space="0" w:color="auto" w:frame="1"/>
                <w:lang w:val="en-US"/>
              </w:rPr>
              <w:t xml:space="preserve"> </w:t>
            </w:r>
            <w:r w:rsidRPr="00A741BC">
              <w:rPr>
                <w:rFonts w:ascii="Times New Roman" w:eastAsia="Arial Unicode MS" w:hAnsi="Times New Roman" w:cs="Times New Roman"/>
                <w:iCs/>
                <w:sz w:val="20"/>
                <w:szCs w:val="20"/>
                <w:bdr w:val="none" w:sz="0" w:space="0" w:color="auto" w:frame="1"/>
                <w:lang w:val="en-US"/>
              </w:rPr>
              <w:t>international human</w:t>
            </w:r>
            <w:r w:rsidR="00C109BE">
              <w:rPr>
                <w:rFonts w:ascii="Times New Roman" w:eastAsia="Arial Unicode MS" w:hAnsi="Times New Roman" w:cs="Times New Roman"/>
                <w:iCs/>
                <w:sz w:val="20"/>
                <w:szCs w:val="20"/>
                <w:bdr w:val="none" w:sz="0" w:space="0" w:color="auto" w:frame="1"/>
                <w:lang w:val="en-US"/>
              </w:rPr>
              <w:t>itarian law</w:t>
            </w:r>
            <w:r w:rsidRPr="00A741BC">
              <w:rPr>
                <w:rFonts w:ascii="Times New Roman" w:eastAsia="Arial Unicode MS" w:hAnsi="Times New Roman" w:cs="Times New Roman"/>
                <w:iCs/>
                <w:sz w:val="20"/>
                <w:szCs w:val="20"/>
                <w:bdr w:val="none" w:sz="0" w:space="0" w:color="auto" w:frame="1"/>
                <w:lang w:val="en-US"/>
              </w:rPr>
              <w:t>. The report makes recommendations to the Government of Israel, the Government of the State of Palestine and the authorities in Gaza.</w:t>
            </w:r>
          </w:p>
        </w:tc>
      </w:tr>
      <w:tr w:rsidR="00940F26" w:rsidRPr="00EB2432" w14:paraId="2A069C35" w14:textId="77777777" w:rsidTr="002547C2">
        <w:trPr>
          <w:trHeight w:val="163"/>
          <w:jc w:val="center"/>
        </w:trPr>
        <w:tc>
          <w:tcPr>
            <w:tcW w:w="9612"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8663A" w14:textId="77777777" w:rsidR="00940F26" w:rsidRPr="00EB2432" w:rsidRDefault="00940F26" w:rsidP="003F016C">
            <w:pPr>
              <w:pBdr>
                <w:top w:val="nil"/>
                <w:left w:val="nil"/>
                <w:bottom w:val="nil"/>
                <w:right w:val="nil"/>
                <w:between w:val="nil"/>
                <w:bar w:val="nil"/>
              </w:pBdr>
              <w:ind w:right="515"/>
              <w:rPr>
                <w:rFonts w:ascii="Times New Roman" w:eastAsia="Arial Unicode MS" w:hAnsi="Times New Roman" w:cs="Times New Roman"/>
                <w:bdr w:val="nil"/>
              </w:rPr>
            </w:pPr>
          </w:p>
        </w:tc>
      </w:tr>
    </w:tbl>
    <w:p w14:paraId="070F8AFE" w14:textId="1D0E7E7D" w:rsidR="002547C2" w:rsidRDefault="002547C2" w:rsidP="002E387E">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14:paraId="3944790E" w14:textId="560478BB" w:rsidR="007C4CB1" w:rsidRPr="00EA3EB2" w:rsidRDefault="00157F4C" w:rsidP="008E58F2">
      <w:pPr>
        <w:pStyle w:val="HChG"/>
        <w:numPr>
          <w:ilvl w:val="0"/>
          <w:numId w:val="32"/>
        </w:numPr>
        <w:tabs>
          <w:tab w:val="clear" w:pos="851"/>
          <w:tab w:val="right" w:pos="1170"/>
        </w:tabs>
        <w:spacing w:line="240" w:lineRule="atLeast"/>
        <w:ind w:left="1134" w:hanging="567"/>
        <w:jc w:val="both"/>
        <w:rPr>
          <w:lang w:val="en-US"/>
        </w:rPr>
      </w:pPr>
      <w:r w:rsidRPr="00EA3EB2">
        <w:rPr>
          <w:lang w:val="en-US"/>
        </w:rPr>
        <w:lastRenderedPageBreak/>
        <w:t>Introduction</w:t>
      </w:r>
    </w:p>
    <w:p w14:paraId="57185C86" w14:textId="445593EA" w:rsidR="00513C05" w:rsidRDefault="00157F4C" w:rsidP="008E58F2">
      <w:pPr>
        <w:pStyle w:val="SingleTxtG"/>
        <w:numPr>
          <w:ilvl w:val="0"/>
          <w:numId w:val="33"/>
        </w:numPr>
        <w:tabs>
          <w:tab w:val="left" w:pos="1701"/>
        </w:tabs>
        <w:suppressAutoHyphens/>
        <w:kinsoku w:val="0"/>
        <w:overflowPunct w:val="0"/>
        <w:autoSpaceDE w:val="0"/>
        <w:autoSpaceDN w:val="0"/>
        <w:adjustRightInd w:val="0"/>
        <w:snapToGrid w:val="0"/>
        <w:ind w:left="1134" w:firstLine="0"/>
        <w:rPr>
          <w:bCs/>
          <w:lang w:val="en-US"/>
        </w:rPr>
      </w:pPr>
      <w:r w:rsidRPr="00293F69">
        <w:rPr>
          <w:bCs/>
          <w:lang w:val="en-US"/>
        </w:rPr>
        <w:t xml:space="preserve">Submitted pursuant to Human Rights Council </w:t>
      </w:r>
      <w:r w:rsidR="00513C05">
        <w:rPr>
          <w:bCs/>
          <w:lang w:val="en-US"/>
        </w:rPr>
        <w:t>r</w:t>
      </w:r>
      <w:r w:rsidR="00C7672C" w:rsidRPr="00293F69">
        <w:rPr>
          <w:bCs/>
          <w:lang w:val="en-US"/>
        </w:rPr>
        <w:t>esolutions</w:t>
      </w:r>
      <w:r w:rsidRPr="00293F69">
        <w:rPr>
          <w:bCs/>
          <w:lang w:val="en-US"/>
        </w:rPr>
        <w:t xml:space="preserve"> S-9/1 and S-12/1, t</w:t>
      </w:r>
      <w:r w:rsidR="00572699" w:rsidRPr="00293F69">
        <w:rPr>
          <w:bCs/>
          <w:lang w:val="en-US"/>
        </w:rPr>
        <w:t>his report provides an overview of the</w:t>
      </w:r>
      <w:r w:rsidR="00B37FFA" w:rsidRPr="00293F69">
        <w:rPr>
          <w:bCs/>
          <w:lang w:val="en-US"/>
        </w:rPr>
        <w:t xml:space="preserve"> human rights situation in the O</w:t>
      </w:r>
      <w:r w:rsidR="00572699" w:rsidRPr="00293F69">
        <w:rPr>
          <w:bCs/>
          <w:lang w:val="en-US"/>
        </w:rPr>
        <w:t>ccupi</w:t>
      </w:r>
      <w:r w:rsidR="00B37FFA" w:rsidRPr="00293F69">
        <w:rPr>
          <w:bCs/>
          <w:lang w:val="en-US"/>
        </w:rPr>
        <w:t>ed Palestinian Territory</w:t>
      </w:r>
      <w:r w:rsidR="00513C05" w:rsidRPr="00293F69">
        <w:rPr>
          <w:bCs/>
          <w:lang w:val="en-US"/>
        </w:rPr>
        <w:t xml:space="preserve"> </w:t>
      </w:r>
      <w:r w:rsidR="00513C05">
        <w:rPr>
          <w:bCs/>
          <w:lang w:val="en-US"/>
        </w:rPr>
        <w:t xml:space="preserve">between 1 </w:t>
      </w:r>
      <w:r w:rsidR="00513C05" w:rsidRPr="00293F69">
        <w:rPr>
          <w:bCs/>
          <w:lang w:val="en-US"/>
        </w:rPr>
        <w:t xml:space="preserve">November 2017 </w:t>
      </w:r>
      <w:r w:rsidR="00513C05">
        <w:rPr>
          <w:bCs/>
          <w:lang w:val="en-US"/>
        </w:rPr>
        <w:t>and</w:t>
      </w:r>
      <w:r w:rsidR="00513C05" w:rsidRPr="00293F69">
        <w:rPr>
          <w:bCs/>
          <w:lang w:val="en-US"/>
        </w:rPr>
        <w:t xml:space="preserve"> 31 October 2018</w:t>
      </w:r>
      <w:r w:rsidRPr="00293F69">
        <w:rPr>
          <w:bCs/>
          <w:lang w:val="en-US"/>
        </w:rPr>
        <w:t>.</w:t>
      </w:r>
      <w:r w:rsidR="00F6204F" w:rsidRPr="00293F69">
        <w:rPr>
          <w:bCs/>
          <w:lang w:val="en-US"/>
        </w:rPr>
        <w:t xml:space="preserve"> </w:t>
      </w:r>
    </w:p>
    <w:p w14:paraId="3D2B037A" w14:textId="7F382AD3" w:rsidR="00293F69" w:rsidRDefault="0019254A" w:rsidP="008E58F2">
      <w:pPr>
        <w:pStyle w:val="SingleTxtG"/>
        <w:numPr>
          <w:ilvl w:val="0"/>
          <w:numId w:val="33"/>
        </w:numPr>
        <w:tabs>
          <w:tab w:val="left" w:pos="1701"/>
        </w:tabs>
        <w:suppressAutoHyphens/>
        <w:kinsoku w:val="0"/>
        <w:overflowPunct w:val="0"/>
        <w:autoSpaceDE w:val="0"/>
        <w:autoSpaceDN w:val="0"/>
        <w:adjustRightInd w:val="0"/>
        <w:snapToGrid w:val="0"/>
        <w:ind w:left="1134" w:firstLine="0"/>
        <w:rPr>
          <w:bCs/>
          <w:lang w:val="en-US"/>
        </w:rPr>
      </w:pPr>
      <w:r w:rsidRPr="00293F69">
        <w:rPr>
          <w:bCs/>
          <w:lang w:val="en-US"/>
        </w:rPr>
        <w:t xml:space="preserve">The information contained in this report relies </w:t>
      </w:r>
      <w:r w:rsidR="005658DF" w:rsidRPr="00293F69">
        <w:rPr>
          <w:bCs/>
          <w:lang w:val="en-US"/>
        </w:rPr>
        <w:t>main</w:t>
      </w:r>
      <w:r w:rsidRPr="00293F69">
        <w:rPr>
          <w:bCs/>
          <w:lang w:val="en-US"/>
        </w:rPr>
        <w:t xml:space="preserve">ly on human rights monitoring conducted by the Office of the United Nations High Commissioner for Human Rights (OHCHR) in the </w:t>
      </w:r>
      <w:r w:rsidR="00B37FFA" w:rsidRPr="00293F69">
        <w:rPr>
          <w:bCs/>
          <w:lang w:val="en-US"/>
        </w:rPr>
        <w:t>O</w:t>
      </w:r>
      <w:r w:rsidRPr="00293F69">
        <w:rPr>
          <w:bCs/>
          <w:lang w:val="en-US"/>
        </w:rPr>
        <w:t xml:space="preserve">ccupied Palestinian </w:t>
      </w:r>
      <w:r w:rsidR="00B37FFA" w:rsidRPr="00293F69">
        <w:rPr>
          <w:bCs/>
          <w:lang w:val="en-US"/>
        </w:rPr>
        <w:t>T</w:t>
      </w:r>
      <w:r w:rsidRPr="00293F69">
        <w:rPr>
          <w:bCs/>
          <w:lang w:val="en-US"/>
        </w:rPr>
        <w:t xml:space="preserve">erritory. </w:t>
      </w:r>
      <w:r w:rsidR="00003A9C" w:rsidRPr="00293F69">
        <w:rPr>
          <w:bCs/>
          <w:lang w:val="en-US"/>
        </w:rPr>
        <w:t>It</w:t>
      </w:r>
      <w:r w:rsidRPr="00293F69">
        <w:rPr>
          <w:bCs/>
          <w:lang w:val="en-US"/>
        </w:rPr>
        <w:t xml:space="preserve"> also reflects information from governmental sources, other United Nations entities</w:t>
      </w:r>
      <w:r w:rsidR="00513C05">
        <w:rPr>
          <w:bCs/>
          <w:lang w:val="en-US"/>
        </w:rPr>
        <w:t>,</w:t>
      </w:r>
      <w:r w:rsidRPr="00293F69">
        <w:rPr>
          <w:bCs/>
          <w:lang w:val="en-US"/>
        </w:rPr>
        <w:t xml:space="preserve"> and </w:t>
      </w:r>
      <w:r w:rsidR="00E63884">
        <w:rPr>
          <w:bCs/>
          <w:lang w:val="en-US"/>
        </w:rPr>
        <w:t>non-governmental organizations (NGOs)</w:t>
      </w:r>
      <w:r w:rsidRPr="00293F69">
        <w:rPr>
          <w:bCs/>
          <w:lang w:val="en-US"/>
        </w:rPr>
        <w:t xml:space="preserve">. </w:t>
      </w:r>
      <w:r w:rsidR="00F6204F" w:rsidRPr="00293F69">
        <w:rPr>
          <w:bCs/>
          <w:lang w:val="en-US"/>
        </w:rPr>
        <w:t xml:space="preserve">The report should be read in conjunction with </w:t>
      </w:r>
      <w:r w:rsidR="0091799E" w:rsidRPr="00293F69">
        <w:rPr>
          <w:bCs/>
          <w:lang w:val="en-US"/>
        </w:rPr>
        <w:t>other relevant reports</w:t>
      </w:r>
      <w:r w:rsidR="00513C05">
        <w:rPr>
          <w:bCs/>
          <w:lang w:val="en-US"/>
        </w:rPr>
        <w:t xml:space="preserve"> of the Secretary-General</w:t>
      </w:r>
      <w:r w:rsidR="00E8269E">
        <w:rPr>
          <w:bCs/>
          <w:lang w:val="en-US"/>
        </w:rPr>
        <w:t xml:space="preserve"> and the High Commissioner</w:t>
      </w:r>
      <w:r w:rsidR="0043074B">
        <w:rPr>
          <w:bCs/>
          <w:lang w:val="en-US"/>
        </w:rPr>
        <w:t xml:space="preserve"> for Human Rights</w:t>
      </w:r>
      <w:r w:rsidR="00513C05">
        <w:rPr>
          <w:bCs/>
          <w:lang w:val="en-US"/>
        </w:rPr>
        <w:t xml:space="preserve"> to the Human Rights Council and the General Assembly</w:t>
      </w:r>
      <w:r w:rsidR="00EF0846" w:rsidRPr="00293F69">
        <w:rPr>
          <w:bCs/>
          <w:lang w:val="en-US"/>
        </w:rPr>
        <w:t>.</w:t>
      </w:r>
      <w:r w:rsidR="0091799E" w:rsidRPr="00293F69">
        <w:rPr>
          <w:vertAlign w:val="superscript"/>
          <w:lang w:val="en-US"/>
        </w:rPr>
        <w:footnoteReference w:id="3"/>
      </w:r>
    </w:p>
    <w:p w14:paraId="6EE89191" w14:textId="2D3EE2F5" w:rsidR="00293F69" w:rsidRDefault="00513C05" w:rsidP="008E58F2">
      <w:pPr>
        <w:pStyle w:val="SingleTxtG"/>
        <w:numPr>
          <w:ilvl w:val="0"/>
          <w:numId w:val="33"/>
        </w:numPr>
        <w:tabs>
          <w:tab w:val="left" w:pos="1701"/>
        </w:tabs>
        <w:suppressAutoHyphens/>
        <w:kinsoku w:val="0"/>
        <w:overflowPunct w:val="0"/>
        <w:autoSpaceDE w:val="0"/>
        <w:autoSpaceDN w:val="0"/>
        <w:adjustRightInd w:val="0"/>
        <w:snapToGrid w:val="0"/>
        <w:ind w:left="1134" w:firstLine="0"/>
      </w:pPr>
      <w:r>
        <w:t>During the reporting period, v</w:t>
      </w:r>
      <w:r w:rsidR="003C000C">
        <w:t>iolence</w:t>
      </w:r>
      <w:r w:rsidR="005658DF">
        <w:t xml:space="preserve"> </w:t>
      </w:r>
      <w:r w:rsidR="002A2527">
        <w:t xml:space="preserve">resulted </w:t>
      </w:r>
      <w:r w:rsidR="005658DF">
        <w:t>in a high number of casualties</w:t>
      </w:r>
      <w:r w:rsidR="001E47DB">
        <w:t xml:space="preserve"> </w:t>
      </w:r>
      <w:r w:rsidR="002A2527">
        <w:t>in the</w:t>
      </w:r>
      <w:r w:rsidR="003C000C">
        <w:t xml:space="preserve"> </w:t>
      </w:r>
      <w:r w:rsidR="002A2527">
        <w:t>Occupied Palestinian Territory</w:t>
      </w:r>
      <w:r w:rsidR="00044860">
        <w:t>.</w:t>
      </w:r>
      <w:r w:rsidR="00B34C8B">
        <w:t xml:space="preserve"> </w:t>
      </w:r>
      <w:r w:rsidR="00B34C8B" w:rsidRPr="00B34C8B">
        <w:t xml:space="preserve">Widespread protests and demonstrations, often escalating into clashes between Palestinians and </w:t>
      </w:r>
      <w:r>
        <w:t xml:space="preserve">Israeli </w:t>
      </w:r>
      <w:r w:rsidR="00A17BAD">
        <w:t>s</w:t>
      </w:r>
      <w:r>
        <w:t xml:space="preserve">ecurity </w:t>
      </w:r>
      <w:r w:rsidR="00A17BAD">
        <w:t>f</w:t>
      </w:r>
      <w:r>
        <w:t>orces</w:t>
      </w:r>
      <w:r w:rsidR="00B34C8B" w:rsidRPr="00B34C8B">
        <w:t>, followed the statement of the President</w:t>
      </w:r>
      <w:r>
        <w:t xml:space="preserve"> of the United</w:t>
      </w:r>
      <w:r w:rsidR="00B34C8B" w:rsidRPr="00B34C8B">
        <w:t xml:space="preserve"> </w:t>
      </w:r>
      <w:r>
        <w:t xml:space="preserve">States of America, </w:t>
      </w:r>
      <w:r w:rsidR="00B34C8B" w:rsidRPr="00B34C8B">
        <w:t>on 6 December 2017</w:t>
      </w:r>
      <w:r>
        <w:t>,</w:t>
      </w:r>
      <w:r w:rsidR="00B34C8B" w:rsidRPr="00B34C8B">
        <w:t xml:space="preserve"> on Jerusalem.</w:t>
      </w:r>
      <w:r w:rsidR="00B34C8B">
        <w:t xml:space="preserve"> The</w:t>
      </w:r>
      <w:r w:rsidR="002B056C">
        <w:t>se</w:t>
      </w:r>
      <w:r w:rsidR="00B34C8B">
        <w:t xml:space="preserve"> demonstrations, which continued until the end of February 2018 in the West Bank and Gaza, </w:t>
      </w:r>
      <w:r w:rsidR="00B34C8B" w:rsidRPr="00B34C8B">
        <w:t>were met with an often excessive</w:t>
      </w:r>
      <w:r w:rsidR="00A17BAD" w:rsidRPr="00B34C8B">
        <w:t xml:space="preserve"> </w:t>
      </w:r>
      <w:r w:rsidR="00B34C8B" w:rsidRPr="00B34C8B">
        <w:t xml:space="preserve">response by </w:t>
      </w:r>
      <w:r w:rsidR="00062792">
        <w:t>I</w:t>
      </w:r>
      <w:r w:rsidR="00A17BAD">
        <w:t>sraeli security forces</w:t>
      </w:r>
      <w:r w:rsidR="00B34C8B" w:rsidRPr="00B34C8B">
        <w:t>, resulting in the death of 28 Palestinians and over 7,000 injured.</w:t>
      </w:r>
      <w:r w:rsidR="00B34C8B">
        <w:rPr>
          <w:rStyle w:val="FootnoteReference"/>
          <w:rFonts w:asciiTheme="majorBidi" w:hAnsiTheme="majorBidi" w:cstheme="majorBidi"/>
          <w:bCs/>
        </w:rPr>
        <w:footnoteReference w:id="4"/>
      </w:r>
      <w:r w:rsidR="00B34C8B" w:rsidRPr="00B34C8B">
        <w:t xml:space="preserve"> </w:t>
      </w:r>
      <w:r w:rsidR="00062792">
        <w:t>A new round of demonstrations, dubbed the “Great March of Return,” began</w:t>
      </w:r>
      <w:r w:rsidR="00B34C8B" w:rsidRPr="00236EB6">
        <w:t xml:space="preserve"> </w:t>
      </w:r>
      <w:r w:rsidR="00B34C8B">
        <w:t xml:space="preserve">in Gaza </w:t>
      </w:r>
      <w:r w:rsidR="00B34C8B" w:rsidRPr="00236EB6">
        <w:t>on 30 March 2018</w:t>
      </w:r>
      <w:r w:rsidR="00B34C8B" w:rsidRPr="004F5AF0">
        <w:t xml:space="preserve"> </w:t>
      </w:r>
      <w:r w:rsidR="00062792">
        <w:t>and</w:t>
      </w:r>
      <w:r w:rsidR="00B34C8B">
        <w:t xml:space="preserve"> continued </w:t>
      </w:r>
      <w:r w:rsidR="0002417D">
        <w:t>throughout the reporting period</w:t>
      </w:r>
      <w:r>
        <w:t>.</w:t>
      </w:r>
      <w:r w:rsidR="00C65417">
        <w:t xml:space="preserve"> </w:t>
      </w:r>
      <w:r>
        <w:t>In that context,</w:t>
      </w:r>
      <w:r w:rsidR="0002417D">
        <w:t xml:space="preserve"> </w:t>
      </w:r>
      <w:r w:rsidR="0002417D" w:rsidRPr="00236EB6">
        <w:t>169 Palestinian demonstrators</w:t>
      </w:r>
      <w:r w:rsidR="00062792">
        <w:t xml:space="preserve"> were</w:t>
      </w:r>
      <w:r w:rsidR="0002417D" w:rsidRPr="00236EB6">
        <w:t xml:space="preserve"> killed</w:t>
      </w:r>
      <w:r w:rsidR="0002417D">
        <w:t xml:space="preserve"> and over 24,000 injured</w:t>
      </w:r>
      <w:r w:rsidR="0002417D">
        <w:rPr>
          <w:rStyle w:val="FootnoteReference"/>
          <w:rFonts w:asciiTheme="majorBidi" w:hAnsiTheme="majorBidi" w:cstheme="majorBidi"/>
          <w:bCs/>
        </w:rPr>
        <w:footnoteReference w:id="5"/>
      </w:r>
      <w:r w:rsidR="0002417D" w:rsidRPr="00236EB6">
        <w:t xml:space="preserve"> by I</w:t>
      </w:r>
      <w:r w:rsidR="00A17BAD">
        <w:t>sraeli security forces</w:t>
      </w:r>
      <w:r w:rsidR="0002417D">
        <w:t>.</w:t>
      </w:r>
      <w:r w:rsidR="0002417D" w:rsidRPr="0002417D">
        <w:t xml:space="preserve"> </w:t>
      </w:r>
      <w:r w:rsidR="0002417D" w:rsidRPr="00236EB6">
        <w:t xml:space="preserve">Hostilities between Israel and armed groups in Gaza escalated </w:t>
      </w:r>
      <w:r w:rsidR="0002417D">
        <w:t>on several occasions</w:t>
      </w:r>
      <w:r w:rsidR="0002417D" w:rsidRPr="00236EB6">
        <w:t xml:space="preserve">, causing </w:t>
      </w:r>
      <w:r w:rsidR="0002417D">
        <w:t>65 Palestinian fatalities</w:t>
      </w:r>
      <w:r w:rsidR="0002417D" w:rsidRPr="00236EB6">
        <w:t>.</w:t>
      </w:r>
      <w:r w:rsidR="0002417D">
        <w:t xml:space="preserve"> </w:t>
      </w:r>
      <w:r w:rsidR="00803BBA">
        <w:t>D</w:t>
      </w:r>
      <w:r w:rsidR="0002417D">
        <w:t xml:space="preserve">uring the reporting period, </w:t>
      </w:r>
      <w:r w:rsidR="00B34C8B" w:rsidRPr="0002417D">
        <w:t>274 Palestinians including 50 children were killed by I</w:t>
      </w:r>
      <w:r w:rsidR="00A17BAD">
        <w:t>sraeli security forces</w:t>
      </w:r>
      <w:r w:rsidR="007B5661">
        <w:t xml:space="preserve"> in the West Bank and Gaza</w:t>
      </w:r>
      <w:r w:rsidR="00062792">
        <w:t xml:space="preserve">, and </w:t>
      </w:r>
      <w:r w:rsidR="00B34C8B" w:rsidRPr="0002417D">
        <w:t xml:space="preserve">11 Israelis </w:t>
      </w:r>
      <w:r w:rsidR="00062792">
        <w:t>(</w:t>
      </w:r>
      <w:r w:rsidR="004823D6">
        <w:t>seven</w:t>
      </w:r>
      <w:r w:rsidR="00B34C8B" w:rsidRPr="0002417D">
        <w:t xml:space="preserve"> civilians and </w:t>
      </w:r>
      <w:r w:rsidR="004823D6">
        <w:t>four</w:t>
      </w:r>
      <w:r w:rsidR="00B34C8B" w:rsidRPr="0002417D">
        <w:t xml:space="preserve"> members of I</w:t>
      </w:r>
      <w:r w:rsidR="00A17BAD">
        <w:t>sraeli security forces</w:t>
      </w:r>
      <w:r w:rsidR="00062792">
        <w:t>)</w:t>
      </w:r>
      <w:r w:rsidR="00B34C8B" w:rsidRPr="0002417D">
        <w:t xml:space="preserve"> were killed by Palestinians</w:t>
      </w:r>
      <w:r w:rsidR="00E04404">
        <w:t xml:space="preserve"> throughout the Occupied Palestinian Territory</w:t>
      </w:r>
      <w:r w:rsidR="00B34C8B" w:rsidRPr="0002417D">
        <w:t>.</w:t>
      </w:r>
      <w:r w:rsidR="00B34C8B">
        <w:rPr>
          <w:rStyle w:val="FootnoteReference"/>
          <w:rFonts w:asciiTheme="majorBidi" w:hAnsiTheme="majorBidi" w:cstheme="majorBidi"/>
          <w:bCs/>
        </w:rPr>
        <w:footnoteReference w:id="6"/>
      </w:r>
    </w:p>
    <w:p w14:paraId="4BA9D3D1" w14:textId="0BE78648" w:rsidR="00293F69" w:rsidRDefault="0002417D"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 xml:space="preserve">The </w:t>
      </w:r>
      <w:r w:rsidR="004F5AF0" w:rsidRPr="00236EB6">
        <w:t xml:space="preserve">Israeli blockade and closures of Gaza </w:t>
      </w:r>
      <w:r w:rsidR="00AB2A47">
        <w:t xml:space="preserve">entered </w:t>
      </w:r>
      <w:r w:rsidR="00033A46">
        <w:t>their</w:t>
      </w:r>
      <w:r w:rsidR="004A144B">
        <w:t xml:space="preserve"> </w:t>
      </w:r>
      <w:r w:rsidR="004823D6">
        <w:t>twelfth</w:t>
      </w:r>
      <w:r w:rsidR="00AB2A47">
        <w:t xml:space="preserve"> year,</w:t>
      </w:r>
      <w:r w:rsidR="007146B3">
        <w:t xml:space="preserve"> with further movement restrictions</w:t>
      </w:r>
      <w:r w:rsidR="00AB2A47">
        <w:t xml:space="preserve"> introduced</w:t>
      </w:r>
      <w:r w:rsidR="007146B3">
        <w:t>.</w:t>
      </w:r>
      <w:r w:rsidR="00E93789">
        <w:t xml:space="preserve"> </w:t>
      </w:r>
      <w:r w:rsidR="00AB2A47">
        <w:t>Severe p</w:t>
      </w:r>
      <w:r w:rsidR="004F5AF0" w:rsidRPr="00236EB6">
        <w:t>unitive measures by the Palestinian Authority</w:t>
      </w:r>
      <w:r w:rsidR="005E2523">
        <w:t xml:space="preserve"> on Gaza</w:t>
      </w:r>
      <w:r w:rsidR="004F5AF0" w:rsidRPr="00236EB6">
        <w:t xml:space="preserve"> </w:t>
      </w:r>
      <w:r w:rsidR="00AB2A47">
        <w:t>compounded</w:t>
      </w:r>
      <w:r w:rsidR="00F22471">
        <w:t xml:space="preserve"> </w:t>
      </w:r>
      <w:r w:rsidR="004F5AF0" w:rsidRPr="00236EB6">
        <w:t xml:space="preserve">an ever-deteriorating humanitarian situation and </w:t>
      </w:r>
      <w:r w:rsidR="00C65417">
        <w:t>worsening</w:t>
      </w:r>
      <w:r w:rsidR="008854D5" w:rsidRPr="00236EB6">
        <w:t xml:space="preserve"> </w:t>
      </w:r>
      <w:r w:rsidR="004F5AF0" w:rsidRPr="00236EB6">
        <w:t xml:space="preserve">de-development. Amid the intra-Palestinian </w:t>
      </w:r>
      <w:r w:rsidR="00062792">
        <w:t xml:space="preserve">political </w:t>
      </w:r>
      <w:r w:rsidR="004F5AF0" w:rsidRPr="00236EB6">
        <w:t>divide</w:t>
      </w:r>
      <w:r w:rsidR="00062792">
        <w:t>,</w:t>
      </w:r>
      <w:r w:rsidR="004F5AF0" w:rsidRPr="00236EB6">
        <w:t xml:space="preserve"> over 100 </w:t>
      </w:r>
      <w:r w:rsidR="004459F5">
        <w:t xml:space="preserve">alleged </w:t>
      </w:r>
      <w:r w:rsidR="004F5AF0" w:rsidRPr="00236EB6">
        <w:t>Hamas affiliates were arrested and many of them administratively detained in the West Bank at the end of September. In Gaza</w:t>
      </w:r>
      <w:r w:rsidR="004823D6">
        <w:t>,</w:t>
      </w:r>
      <w:r w:rsidR="004F5AF0" w:rsidRPr="00236EB6">
        <w:t xml:space="preserve"> the authorities continued to arbitrarily arrest and detain Fatah affiliate</w:t>
      </w:r>
      <w:r w:rsidR="00033A46">
        <w:t>s</w:t>
      </w:r>
      <w:r w:rsidR="00B37FFA">
        <w:t>.</w:t>
      </w:r>
    </w:p>
    <w:p w14:paraId="2944F3BF" w14:textId="015CF271" w:rsidR="00293F69" w:rsidRDefault="002F624B"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36EB6">
        <w:t>Israel</w:t>
      </w:r>
      <w:r w:rsidR="00F22471">
        <w:t xml:space="preserve"> </w:t>
      </w:r>
      <w:r w:rsidR="00A567FA">
        <w:t>failed</w:t>
      </w:r>
      <w:r w:rsidR="0091799E">
        <w:t xml:space="preserve"> to </w:t>
      </w:r>
      <w:r w:rsidR="002B056C">
        <w:t>uphold</w:t>
      </w:r>
      <w:r w:rsidR="0091799E">
        <w:t xml:space="preserve"> its </w:t>
      </w:r>
      <w:r w:rsidR="004A144B">
        <w:t xml:space="preserve">full </w:t>
      </w:r>
      <w:r w:rsidR="0091799E">
        <w:t xml:space="preserve">human rights </w:t>
      </w:r>
      <w:r w:rsidR="00F22471">
        <w:t xml:space="preserve">and </w:t>
      </w:r>
      <w:r w:rsidR="00B37FFA">
        <w:t xml:space="preserve">international humanitarian law </w:t>
      </w:r>
      <w:r w:rsidRPr="00236EB6">
        <w:t xml:space="preserve">obligations as the occupying </w:t>
      </w:r>
      <w:r w:rsidR="007B5661">
        <w:t>P</w:t>
      </w:r>
      <w:r w:rsidRPr="00236EB6">
        <w:t>ower</w:t>
      </w:r>
      <w:r w:rsidR="005E6813">
        <w:t xml:space="preserve">. </w:t>
      </w:r>
      <w:r w:rsidR="00F22471">
        <w:t>S</w:t>
      </w:r>
      <w:r w:rsidR="0045077B" w:rsidRPr="00236EB6">
        <w:t>ettlement expansion</w:t>
      </w:r>
      <w:r w:rsidR="00F22471">
        <w:t xml:space="preserve"> continued at a high pace</w:t>
      </w:r>
      <w:r w:rsidR="005E6813">
        <w:t xml:space="preserve"> </w:t>
      </w:r>
      <w:r w:rsidR="0045077B" w:rsidRPr="00236EB6">
        <w:t xml:space="preserve">and </w:t>
      </w:r>
      <w:r w:rsidR="00F22471">
        <w:t xml:space="preserve">several </w:t>
      </w:r>
      <w:r w:rsidR="00543998" w:rsidRPr="00236EB6">
        <w:t xml:space="preserve">communities </w:t>
      </w:r>
      <w:r w:rsidR="00F22471">
        <w:t xml:space="preserve">remained </w:t>
      </w:r>
      <w:r w:rsidR="005E6813" w:rsidRPr="00236EB6">
        <w:t xml:space="preserve">at </w:t>
      </w:r>
      <w:r w:rsidR="005E6813">
        <w:t>a</w:t>
      </w:r>
      <w:r w:rsidR="00543998" w:rsidRPr="00236EB6">
        <w:t xml:space="preserve"> risk </w:t>
      </w:r>
      <w:r w:rsidR="0045077B" w:rsidRPr="00236EB6">
        <w:t>of forcible transfer</w:t>
      </w:r>
      <w:r w:rsidR="00F22471">
        <w:t>. D</w:t>
      </w:r>
      <w:r w:rsidR="0045077B" w:rsidRPr="00236EB6">
        <w:t xml:space="preserve">emolitions and evictions, </w:t>
      </w:r>
      <w:r w:rsidR="00F22471">
        <w:t xml:space="preserve">movement restrictions and </w:t>
      </w:r>
      <w:r w:rsidR="0045077B" w:rsidRPr="00236EB6">
        <w:t>practices of collective punishment</w:t>
      </w:r>
      <w:r w:rsidR="00F22471">
        <w:t xml:space="preserve"> continued</w:t>
      </w:r>
      <w:r w:rsidR="004823D6">
        <w:t>. S</w:t>
      </w:r>
      <w:r w:rsidR="00F22471">
        <w:t xml:space="preserve">ettler violence </w:t>
      </w:r>
      <w:r w:rsidR="002B056C">
        <w:t>significantly increased</w:t>
      </w:r>
      <w:r w:rsidR="00F22471">
        <w:t xml:space="preserve">, with </w:t>
      </w:r>
      <w:r w:rsidR="004A144B">
        <w:t xml:space="preserve">the </w:t>
      </w:r>
      <w:r w:rsidR="00B37FFA">
        <w:t>I</w:t>
      </w:r>
      <w:r w:rsidR="004A144B">
        <w:t xml:space="preserve">sraeli </w:t>
      </w:r>
      <w:r w:rsidR="00295A46">
        <w:t>authorities</w:t>
      </w:r>
      <w:r w:rsidR="00F22471">
        <w:t xml:space="preserve"> frequently failing to </w:t>
      </w:r>
      <w:r w:rsidR="004A144B">
        <w:t xml:space="preserve">sufficiently </w:t>
      </w:r>
      <w:r w:rsidR="00F22471">
        <w:t>protect the Palestinian population</w:t>
      </w:r>
      <w:r w:rsidR="008A1DCD">
        <w:t xml:space="preserve"> or ensure accountability for</w:t>
      </w:r>
      <w:r w:rsidR="007B5661">
        <w:t xml:space="preserve"> the perpetrators of</w:t>
      </w:r>
      <w:r w:rsidR="008A1DCD">
        <w:t xml:space="preserve"> violence</w:t>
      </w:r>
      <w:r w:rsidR="00F22471">
        <w:t xml:space="preserve">. </w:t>
      </w:r>
      <w:r w:rsidR="00236EB6" w:rsidRPr="00236EB6">
        <w:t>Concerns remain</w:t>
      </w:r>
      <w:r w:rsidR="005128AA">
        <w:t>ed</w:t>
      </w:r>
      <w:r w:rsidR="00236EB6" w:rsidRPr="00236EB6">
        <w:t xml:space="preserve"> over Israel’s detention practices</w:t>
      </w:r>
      <w:r w:rsidR="005128AA">
        <w:t>,</w:t>
      </w:r>
      <w:r w:rsidR="00236EB6" w:rsidRPr="00236EB6">
        <w:t xml:space="preserve"> including </w:t>
      </w:r>
      <w:r w:rsidR="004823D6">
        <w:t>the</w:t>
      </w:r>
      <w:r w:rsidR="00236EB6" w:rsidRPr="00236EB6">
        <w:t xml:space="preserve"> use of administrative detention</w:t>
      </w:r>
      <w:r w:rsidR="005128AA">
        <w:t>. Freedom</w:t>
      </w:r>
      <w:r w:rsidR="004823D6">
        <w:t>s</w:t>
      </w:r>
      <w:r w:rsidR="005128AA">
        <w:t xml:space="preserve"> of expression, association and </w:t>
      </w:r>
      <w:r w:rsidR="004823D6">
        <w:t xml:space="preserve">peaceful </w:t>
      </w:r>
      <w:r w:rsidR="005128AA">
        <w:t xml:space="preserve">assembly came under increasing pressure, with Israel taking measures to </w:t>
      </w:r>
      <w:r w:rsidR="004A144B">
        <w:t xml:space="preserve">limit a number of </w:t>
      </w:r>
      <w:r w:rsidR="003B12A3">
        <w:t>critical voices</w:t>
      </w:r>
      <w:r w:rsidR="005128AA">
        <w:t>.</w:t>
      </w:r>
      <w:r w:rsidR="00236EB6" w:rsidRPr="00236EB6">
        <w:t xml:space="preserve"> </w:t>
      </w:r>
    </w:p>
    <w:p w14:paraId="0777436B" w14:textId="5418CEAA" w:rsidR="00EA3EB2" w:rsidRDefault="00715286" w:rsidP="008E58F2">
      <w:pPr>
        <w:pStyle w:val="SingleTxtG"/>
        <w:numPr>
          <w:ilvl w:val="0"/>
          <w:numId w:val="33"/>
        </w:numPr>
        <w:tabs>
          <w:tab w:val="left" w:pos="1701"/>
        </w:tabs>
        <w:suppressAutoHyphens/>
        <w:kinsoku w:val="0"/>
        <w:overflowPunct w:val="0"/>
        <w:autoSpaceDE w:val="0"/>
        <w:autoSpaceDN w:val="0"/>
        <w:adjustRightInd w:val="0"/>
        <w:snapToGrid w:val="0"/>
        <w:ind w:left="1134" w:firstLine="0"/>
      </w:pPr>
      <w:r>
        <w:t>I</w:t>
      </w:r>
      <w:r w:rsidRPr="00A35BF6">
        <w:t>n the West Bank and Gaza</w:t>
      </w:r>
      <w:r>
        <w:t>, t</w:t>
      </w:r>
      <w:r w:rsidR="00A35BF6" w:rsidRPr="00A35BF6">
        <w:t>here were serious c</w:t>
      </w:r>
      <w:r w:rsidR="00A35BF6">
        <w:t>oncerns of arbitrary detention and ill-treatment, in some cases amounting to</w:t>
      </w:r>
      <w:r w:rsidR="00A35BF6" w:rsidRPr="00A35BF6">
        <w:t xml:space="preserve"> torture</w:t>
      </w:r>
      <w:r w:rsidR="00A35BF6">
        <w:t>,</w:t>
      </w:r>
      <w:r w:rsidR="00A35BF6" w:rsidRPr="00A35BF6">
        <w:t xml:space="preserve"> by Palestinian </w:t>
      </w:r>
      <w:r w:rsidR="00A35BF6" w:rsidRPr="005A715A">
        <w:t>authorities</w:t>
      </w:r>
      <w:r w:rsidRPr="005A715A">
        <w:t xml:space="preserve">. </w:t>
      </w:r>
      <w:r w:rsidR="00400583" w:rsidRPr="005A715A">
        <w:t>There was a</w:t>
      </w:r>
      <w:r w:rsidR="00A35BF6" w:rsidRPr="005A715A">
        <w:t xml:space="preserve"> marked deterioration</w:t>
      </w:r>
      <w:r w:rsidR="003B12A3" w:rsidRPr="005A715A">
        <w:t xml:space="preserve"> in protection</w:t>
      </w:r>
      <w:r w:rsidR="00A35BF6" w:rsidRPr="005A715A">
        <w:t xml:space="preserve"> of </w:t>
      </w:r>
      <w:r w:rsidR="003B12A3" w:rsidRPr="005A715A">
        <w:t xml:space="preserve">the </w:t>
      </w:r>
      <w:r w:rsidR="00A35BF6" w:rsidRPr="005A715A">
        <w:t>freedoms of expression and assembly</w:t>
      </w:r>
      <w:r w:rsidR="00B9168D" w:rsidRPr="005A715A">
        <w:t xml:space="preserve">. This </w:t>
      </w:r>
      <w:r w:rsidR="00B9168D" w:rsidRPr="00DC5791">
        <w:lastRenderedPageBreak/>
        <w:t>included</w:t>
      </w:r>
      <w:r w:rsidR="00DC5791">
        <w:t xml:space="preserve"> the Palestinian Security Forces</w:t>
      </w:r>
      <w:r w:rsidR="004A144B">
        <w:t>’</w:t>
      </w:r>
      <w:r w:rsidR="00B9168D" w:rsidRPr="00DC5791">
        <w:t xml:space="preserve"> </w:t>
      </w:r>
      <w:r w:rsidR="000F2F5F">
        <w:t>violent dispersal of</w:t>
      </w:r>
      <w:r w:rsidR="00B9168D" w:rsidRPr="00DC5791">
        <w:t xml:space="preserve"> a </w:t>
      </w:r>
      <w:r w:rsidR="00DC5791">
        <w:t xml:space="preserve">peaceful </w:t>
      </w:r>
      <w:r w:rsidR="00B9168D" w:rsidRPr="00DC5791">
        <w:t xml:space="preserve">demonstration in </w:t>
      </w:r>
      <w:r w:rsidR="00591D07" w:rsidRPr="00DC5791">
        <w:t xml:space="preserve">Ramallah </w:t>
      </w:r>
      <w:r w:rsidR="00591D07">
        <w:t>on</w:t>
      </w:r>
      <w:r w:rsidR="00DC5791">
        <w:t xml:space="preserve"> </w:t>
      </w:r>
      <w:r w:rsidR="00A8087C">
        <w:t>13</w:t>
      </w:r>
      <w:r w:rsidR="00B9168D" w:rsidRPr="00DC5791">
        <w:t xml:space="preserve"> June 2018. </w:t>
      </w:r>
    </w:p>
    <w:p w14:paraId="5992B2D7" w14:textId="2B4EC20D" w:rsidR="00BC05E2" w:rsidRPr="00EA3EB2" w:rsidRDefault="00E5016E" w:rsidP="008E58F2">
      <w:pPr>
        <w:pStyle w:val="SingleTxtG"/>
        <w:tabs>
          <w:tab w:val="left" w:pos="1701"/>
        </w:tabs>
        <w:suppressAutoHyphens/>
        <w:kinsoku w:val="0"/>
        <w:overflowPunct w:val="0"/>
        <w:autoSpaceDE w:val="0"/>
        <w:autoSpaceDN w:val="0"/>
        <w:adjustRightInd w:val="0"/>
        <w:snapToGrid w:val="0"/>
        <w:outlineLvl w:val="0"/>
        <w:rPr>
          <w:sz w:val="16"/>
        </w:rPr>
      </w:pPr>
      <w:r w:rsidRPr="00EA3EB2">
        <w:rPr>
          <w:rFonts w:asciiTheme="majorBidi" w:hAnsiTheme="majorBidi" w:cstheme="majorBidi"/>
          <w:b/>
          <w:szCs w:val="24"/>
        </w:rPr>
        <w:t>Legal framework</w:t>
      </w:r>
    </w:p>
    <w:p w14:paraId="5768AB79" w14:textId="78323A80" w:rsidR="00236EB6" w:rsidRPr="00293F69" w:rsidRDefault="00B36727" w:rsidP="008E58F2">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International human rights law and international humanitarian law are applicable in the entirety of the </w:t>
      </w:r>
      <w:r w:rsidR="003F664C" w:rsidRPr="00293F69">
        <w:t>Occupied Palestinian Territory</w:t>
      </w:r>
      <w:r w:rsidRPr="00293F69">
        <w:t xml:space="preserve">, namely Gaza and the West Bank, including East Jerusalem. A detailed analysis of the </w:t>
      </w:r>
      <w:r w:rsidR="004A144B">
        <w:t xml:space="preserve">relevant </w:t>
      </w:r>
      <w:r w:rsidRPr="00293F69">
        <w:t>legal obligations</w:t>
      </w:r>
      <w:r w:rsidR="004A144B">
        <w:t xml:space="preserve"> </w:t>
      </w:r>
      <w:r w:rsidRPr="00293F69">
        <w:t xml:space="preserve">is </w:t>
      </w:r>
      <w:r w:rsidR="004A144B">
        <w:t xml:space="preserve">contained </w:t>
      </w:r>
      <w:r w:rsidR="004A144B" w:rsidRPr="00293F69">
        <w:t xml:space="preserve"> </w:t>
      </w:r>
      <w:r w:rsidRPr="00293F69">
        <w:t xml:space="preserve">in </w:t>
      </w:r>
      <w:r w:rsidR="004A144B">
        <w:t>a</w:t>
      </w:r>
      <w:r w:rsidR="005F73CF" w:rsidRPr="00293F69">
        <w:t xml:space="preserve"> </w:t>
      </w:r>
      <w:r w:rsidRPr="00293F69">
        <w:t>report of the Secretary-General</w:t>
      </w:r>
      <w:r w:rsidR="00B9168D" w:rsidRPr="00293F69">
        <w:t xml:space="preserve"> </w:t>
      </w:r>
      <w:r w:rsidR="00715286">
        <w:t>on</w:t>
      </w:r>
      <w:r w:rsidR="00C65417">
        <w:t xml:space="preserve"> the </w:t>
      </w:r>
      <w:r w:rsidR="004A144B">
        <w:t>h</w:t>
      </w:r>
      <w:r w:rsidR="00C65417">
        <w:t xml:space="preserve">uman </w:t>
      </w:r>
      <w:r w:rsidR="004A144B">
        <w:t>r</w:t>
      </w:r>
      <w:r w:rsidR="00C65417">
        <w:t xml:space="preserve">ights </w:t>
      </w:r>
      <w:r w:rsidR="004A144B">
        <w:t>s</w:t>
      </w:r>
      <w:r w:rsidR="00C65417">
        <w:t>ituation in the Occupied Palestinian Territory, including East Jerusalem</w:t>
      </w:r>
      <w:r w:rsidR="004A144B">
        <w:t>, and remained applicable for the duration of the reporting period</w:t>
      </w:r>
      <w:r w:rsidR="00715286">
        <w:t xml:space="preserve"> </w:t>
      </w:r>
      <w:r w:rsidR="005F73CF" w:rsidRPr="00293F69">
        <w:t>(</w:t>
      </w:r>
      <w:r w:rsidR="00D01BE0" w:rsidRPr="00293F69">
        <w:t>A</w:t>
      </w:r>
      <w:r w:rsidR="005F73CF" w:rsidRPr="00293F69">
        <w:t>/H</w:t>
      </w:r>
      <w:r w:rsidR="00CD5838" w:rsidRPr="00293F69">
        <w:t>RC/34/38</w:t>
      </w:r>
      <w:r w:rsidR="00FF38FB" w:rsidRPr="00293F69">
        <w:t>,</w:t>
      </w:r>
      <w:r w:rsidR="00CD5838" w:rsidRPr="00293F69">
        <w:t xml:space="preserve"> </w:t>
      </w:r>
      <w:r w:rsidR="005F73CF" w:rsidRPr="00293F69">
        <w:t>paras 3-1</w:t>
      </w:r>
      <w:r w:rsidR="00295A46">
        <w:t>2</w:t>
      </w:r>
      <w:r w:rsidR="005F73CF" w:rsidRPr="00293F69">
        <w:t>)</w:t>
      </w:r>
      <w:r w:rsidR="00430433" w:rsidRPr="00293F69">
        <w:t>.</w:t>
      </w:r>
      <w:r w:rsidRPr="00293F69">
        <w:t xml:space="preserve"> </w:t>
      </w:r>
    </w:p>
    <w:p w14:paraId="681B1E4A" w14:textId="308EB040" w:rsidR="00163BF5" w:rsidRPr="008E58F2" w:rsidRDefault="008E58F2" w:rsidP="008E58F2">
      <w:pPr>
        <w:pStyle w:val="HChG"/>
      </w:pPr>
      <w:r>
        <w:tab/>
      </w:r>
      <w:r w:rsidRPr="008E58F2">
        <w:t>II.</w:t>
      </w:r>
      <w:r w:rsidRPr="008E58F2">
        <w:tab/>
      </w:r>
      <w:r w:rsidR="0015297F" w:rsidRPr="008E58F2">
        <w:t xml:space="preserve">Violations of international human rights </w:t>
      </w:r>
      <w:r w:rsidR="00C677DC" w:rsidRPr="008E58F2">
        <w:t xml:space="preserve">law </w:t>
      </w:r>
      <w:r>
        <w:t xml:space="preserve">and </w:t>
      </w:r>
      <w:r w:rsidR="00C677DC" w:rsidRPr="008E58F2">
        <w:t xml:space="preserve">international </w:t>
      </w:r>
      <w:r w:rsidR="0015297F" w:rsidRPr="008E58F2">
        <w:t>humanitarian law in the Occupied Palestinian Territory by all duty</w:t>
      </w:r>
      <w:r w:rsidR="004730F1" w:rsidRPr="008E58F2">
        <w:t>-</w:t>
      </w:r>
      <w:r w:rsidR="0015297F" w:rsidRPr="008E58F2">
        <w:t xml:space="preserve">bearers </w:t>
      </w:r>
    </w:p>
    <w:p w14:paraId="222AA217" w14:textId="5EFA5ABD" w:rsidR="00163BF5" w:rsidRPr="008E58F2" w:rsidRDefault="00163BF5" w:rsidP="008E58F2">
      <w:pPr>
        <w:pStyle w:val="H1G"/>
        <w:numPr>
          <w:ilvl w:val="0"/>
          <w:numId w:val="39"/>
        </w:numPr>
        <w:ind w:left="1134" w:hanging="425"/>
      </w:pPr>
      <w:r w:rsidRPr="008E58F2">
        <w:t>Israel</w:t>
      </w:r>
    </w:p>
    <w:p w14:paraId="296FF551" w14:textId="69B703AF" w:rsidR="00415B73" w:rsidRPr="00C3415B" w:rsidRDefault="00163BF5" w:rsidP="008E58F2">
      <w:pPr>
        <w:pStyle w:val="H23G"/>
        <w:numPr>
          <w:ilvl w:val="0"/>
          <w:numId w:val="40"/>
        </w:numPr>
        <w:tabs>
          <w:tab w:val="clear" w:pos="851"/>
          <w:tab w:val="left" w:pos="1134"/>
        </w:tabs>
        <w:ind w:hanging="11"/>
      </w:pPr>
      <w:r w:rsidRPr="00E84CDC">
        <w:t xml:space="preserve">Obligations of the occupying </w:t>
      </w:r>
      <w:r w:rsidR="007B5661">
        <w:t>P</w:t>
      </w:r>
      <w:r w:rsidRPr="00E84CDC">
        <w:t xml:space="preserve">ower under </w:t>
      </w:r>
      <w:r w:rsidR="00C677DC">
        <w:t>i</w:t>
      </w:r>
      <w:r w:rsidRPr="00E84CDC">
        <w:t xml:space="preserve">nternational </w:t>
      </w:r>
      <w:r w:rsidR="00C677DC">
        <w:t>h</w:t>
      </w:r>
      <w:r w:rsidRPr="00E84CDC">
        <w:t xml:space="preserve">umanitarian </w:t>
      </w:r>
      <w:r w:rsidR="00C677DC">
        <w:t>l</w:t>
      </w:r>
      <w:r w:rsidRPr="00E84CDC">
        <w:t xml:space="preserve">aw </w:t>
      </w:r>
    </w:p>
    <w:p w14:paraId="3CEEDF57" w14:textId="42086916" w:rsidR="00133B19" w:rsidRPr="00293F69" w:rsidRDefault="00C3415B" w:rsidP="008E58F2">
      <w:pPr>
        <w:pStyle w:val="SingleTxtG"/>
        <w:numPr>
          <w:ilvl w:val="0"/>
          <w:numId w:val="33"/>
        </w:numPr>
        <w:tabs>
          <w:tab w:val="left" w:pos="1701"/>
        </w:tabs>
        <w:suppressAutoHyphens/>
        <w:kinsoku w:val="0"/>
        <w:overflowPunct w:val="0"/>
        <w:autoSpaceDE w:val="0"/>
        <w:autoSpaceDN w:val="0"/>
        <w:adjustRightInd w:val="0"/>
        <w:snapToGrid w:val="0"/>
        <w:ind w:left="1134" w:firstLine="0"/>
      </w:pPr>
      <w:r>
        <w:t>Advancement of p</w:t>
      </w:r>
      <w:r w:rsidR="000D2534" w:rsidRPr="00293F69">
        <w:t>lans</w:t>
      </w:r>
      <w:r w:rsidR="007B5661" w:rsidRPr="000618E4">
        <w:t xml:space="preserve"> for settlement</w:t>
      </w:r>
      <w:r w:rsidR="007B5661">
        <w:t xml:space="preserve"> construction continued at a high rate</w:t>
      </w:r>
      <w:r w:rsidR="000D2534" w:rsidRPr="00293F69">
        <w:t xml:space="preserve">. </w:t>
      </w:r>
      <w:r w:rsidR="00D72722" w:rsidRPr="00293F69">
        <w:t xml:space="preserve">Settlements amount to a violation </w:t>
      </w:r>
      <w:r w:rsidR="00715286">
        <w:t xml:space="preserve">by the occupying </w:t>
      </w:r>
      <w:r w:rsidR="007B5661">
        <w:t>P</w:t>
      </w:r>
      <w:r w:rsidR="00715286">
        <w:t xml:space="preserve">ower </w:t>
      </w:r>
      <w:r w:rsidR="00D72722" w:rsidRPr="00293F69">
        <w:t>of the prohibition to transfer parts of its civilian population into territory it occupies</w:t>
      </w:r>
      <w:r w:rsidR="00715286">
        <w:t>. S</w:t>
      </w:r>
      <w:r w:rsidR="00562B61" w:rsidRPr="00293F69">
        <w:t>uch transfer</w:t>
      </w:r>
      <w:r w:rsidR="002A0639">
        <w:t xml:space="preserve"> is considered </w:t>
      </w:r>
      <w:r w:rsidR="00D72722" w:rsidRPr="00293F69">
        <w:t>a war crime.</w:t>
      </w:r>
      <w:r w:rsidR="00D72722" w:rsidRPr="00C65417">
        <w:rPr>
          <w:vertAlign w:val="superscript"/>
        </w:rPr>
        <w:footnoteReference w:id="7"/>
      </w:r>
      <w:r w:rsidR="00D72722" w:rsidRPr="00293F69">
        <w:t xml:space="preserve"> </w:t>
      </w:r>
      <w:r w:rsidR="00D72722" w:rsidRPr="008B1771">
        <w:t xml:space="preserve">Settler violence against Palestinians </w:t>
      </w:r>
      <w:r w:rsidR="0091799E" w:rsidRPr="008B1771">
        <w:t>rose considerably</w:t>
      </w:r>
      <w:r w:rsidR="00B37FFA" w:rsidRPr="008B1771">
        <w:t>,</w:t>
      </w:r>
      <w:r w:rsidR="00D72722" w:rsidRPr="008B1771">
        <w:t xml:space="preserve"> with the number of incidents in 2018 b</w:t>
      </w:r>
      <w:r w:rsidR="00133726" w:rsidRPr="008B1771">
        <w:t>eing the highest since 2015.</w:t>
      </w:r>
      <w:r w:rsidR="00133726" w:rsidRPr="00293F69">
        <w:rPr>
          <w:vertAlign w:val="superscript"/>
        </w:rPr>
        <w:footnoteReference w:id="8"/>
      </w:r>
      <w:r w:rsidR="00A855B7">
        <w:t xml:space="preserve"> </w:t>
      </w:r>
      <w:r w:rsidR="00A855B7" w:rsidRPr="00A855B7">
        <w:t>These developments are described in the report of the High Commissioner submitted pursuant to Human</w:t>
      </w:r>
      <w:r w:rsidR="00A855B7">
        <w:t xml:space="preserve"> Rights Council resolution 37/36.</w:t>
      </w:r>
      <w:r w:rsidR="00A855B7" w:rsidRPr="00293F69">
        <w:rPr>
          <w:vertAlign w:val="superscript"/>
        </w:rPr>
        <w:footnoteReference w:id="9"/>
      </w:r>
      <w:r w:rsidR="00133726" w:rsidRPr="008B1771">
        <w:t xml:space="preserve"> </w:t>
      </w:r>
    </w:p>
    <w:p w14:paraId="3388C70A" w14:textId="52DD26F3" w:rsidR="00C66C57" w:rsidRPr="00293F69" w:rsidRDefault="00415B73"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During the reporting period, </w:t>
      </w:r>
      <w:r w:rsidR="00CA499A" w:rsidRPr="00293F69">
        <w:t xml:space="preserve">Israeli authorities demolished 402 Palestinian structures </w:t>
      </w:r>
      <w:r w:rsidR="00133726" w:rsidRPr="00293F69">
        <w:t xml:space="preserve">in the </w:t>
      </w:r>
      <w:r w:rsidR="00B37FFA" w:rsidRPr="00293F69">
        <w:t>West Bank, including East Jerusalem,</w:t>
      </w:r>
      <w:r w:rsidR="00133726" w:rsidRPr="00293F69">
        <w:t xml:space="preserve"> </w:t>
      </w:r>
      <w:r w:rsidR="00CA499A" w:rsidRPr="00293F69">
        <w:t>includ</w:t>
      </w:r>
      <w:r w:rsidR="00133726" w:rsidRPr="00293F69">
        <w:t>ing 149 residential structures</w:t>
      </w:r>
      <w:r w:rsidR="008A1DCD" w:rsidRPr="00293F69">
        <w:t xml:space="preserve"> and a school</w:t>
      </w:r>
      <w:r w:rsidR="00715286">
        <w:t xml:space="preserve">. </w:t>
      </w:r>
      <w:r w:rsidR="006874EC">
        <w:t>Forty-three</w:t>
      </w:r>
      <w:r w:rsidR="009C57E9" w:rsidRPr="00293F69">
        <w:t xml:space="preserve"> </w:t>
      </w:r>
      <w:r w:rsidR="00ED4D6A" w:rsidRPr="00293F69">
        <w:t xml:space="preserve">Palestinians </w:t>
      </w:r>
      <w:r w:rsidR="002A0639">
        <w:t xml:space="preserve">were evicted </w:t>
      </w:r>
      <w:r w:rsidR="00ED4D6A" w:rsidRPr="00293F69">
        <w:t xml:space="preserve">from </w:t>
      </w:r>
      <w:r w:rsidR="009C57E9" w:rsidRPr="00293F69">
        <w:t xml:space="preserve">four </w:t>
      </w:r>
      <w:r w:rsidR="00645173" w:rsidRPr="00293F69">
        <w:t>Palestinian structures in East Jerusalem.</w:t>
      </w:r>
      <w:r w:rsidR="00BD4CCD" w:rsidRPr="00293F69">
        <w:rPr>
          <w:vertAlign w:val="superscript"/>
        </w:rPr>
        <w:footnoteReference w:id="10"/>
      </w:r>
      <w:r w:rsidR="00742FF3" w:rsidRPr="00293F69">
        <w:t xml:space="preserve"> </w:t>
      </w:r>
      <w:r w:rsidR="002F17FE" w:rsidRPr="00293F69">
        <w:t xml:space="preserve">On 24 May 2018, the Israeli High Court </w:t>
      </w:r>
      <w:r w:rsidR="003A20CC">
        <w:t xml:space="preserve">of Justice </w:t>
      </w:r>
      <w:r w:rsidR="002F17FE" w:rsidRPr="00293F69">
        <w:t xml:space="preserve">issued a ruling </w:t>
      </w:r>
      <w:r w:rsidR="003F664C" w:rsidRPr="00293F69">
        <w:t>i</w:t>
      </w:r>
      <w:r w:rsidR="002F17FE" w:rsidRPr="00293F69">
        <w:t xml:space="preserve">n the case of </w:t>
      </w:r>
      <w:r w:rsidR="004E018C">
        <w:t xml:space="preserve">the </w:t>
      </w:r>
      <w:r w:rsidR="00327B36">
        <w:t>Bedouin community of</w:t>
      </w:r>
      <w:r w:rsidR="004E018C">
        <w:t xml:space="preserve"> </w:t>
      </w:r>
      <w:r w:rsidR="002F17FE" w:rsidRPr="00293F69">
        <w:t>Khan Al-Ahmar</w:t>
      </w:r>
      <w:r w:rsidR="003F664C" w:rsidRPr="00293F69">
        <w:t xml:space="preserve"> Abu al-Helu</w:t>
      </w:r>
      <w:r w:rsidR="00715286">
        <w:t>,</w:t>
      </w:r>
      <w:r w:rsidR="002F17FE" w:rsidRPr="00293F69">
        <w:t xml:space="preserve"> </w:t>
      </w:r>
      <w:r w:rsidR="00327B36">
        <w:t>sanctioning</w:t>
      </w:r>
      <w:r w:rsidR="002F17FE" w:rsidRPr="00293F69">
        <w:t xml:space="preserve"> its demolition</w:t>
      </w:r>
      <w:r w:rsidR="003F664C" w:rsidRPr="00293F69">
        <w:t xml:space="preserve">. The </w:t>
      </w:r>
      <w:r w:rsidR="00E35725">
        <w:t>Court upheld the demolition orders</w:t>
      </w:r>
      <w:r w:rsidR="002F17FE" w:rsidRPr="00293F69">
        <w:t xml:space="preserve"> in September 2018</w:t>
      </w:r>
      <w:r w:rsidR="00E35725">
        <w:t xml:space="preserve"> following further petitions</w:t>
      </w:r>
      <w:r w:rsidR="003F664C" w:rsidRPr="00293F69">
        <w:t>. The destruction of</w:t>
      </w:r>
      <w:r w:rsidR="00F563A0" w:rsidRPr="00293F69">
        <w:t xml:space="preserve"> private property </w:t>
      </w:r>
      <w:r w:rsidR="003F664C" w:rsidRPr="00293F69">
        <w:t>is prohibited under international humanitarian law</w:t>
      </w:r>
      <w:r w:rsidR="00F563A0" w:rsidRPr="00293F69">
        <w:t xml:space="preserve"> unless rendered absolutely necessary by military operations</w:t>
      </w:r>
      <w:r w:rsidR="003F664C" w:rsidRPr="00293F69">
        <w:t>.</w:t>
      </w:r>
      <w:r w:rsidR="00F563A0" w:rsidRPr="00293F69">
        <w:rPr>
          <w:vertAlign w:val="superscript"/>
        </w:rPr>
        <w:footnoteReference w:id="11"/>
      </w:r>
      <w:r w:rsidR="002F17FE" w:rsidRPr="00293F69">
        <w:t xml:space="preserve"> </w:t>
      </w:r>
      <w:r w:rsidR="0029388C" w:rsidRPr="00293F69">
        <w:t>As of 31 October 2018</w:t>
      </w:r>
      <w:r w:rsidR="003F664C" w:rsidRPr="00293F69">
        <w:t>,</w:t>
      </w:r>
      <w:r w:rsidR="0029388C" w:rsidRPr="00293F69">
        <w:t xml:space="preserve"> the demolition </w:t>
      </w:r>
      <w:r w:rsidR="004E018C">
        <w:t>of</w:t>
      </w:r>
      <w:r w:rsidR="00327B36">
        <w:t xml:space="preserve"> Khan Al-Ahmar</w:t>
      </w:r>
      <w:r w:rsidR="004E018C">
        <w:t xml:space="preserve"> </w:t>
      </w:r>
      <w:r w:rsidR="0029388C" w:rsidRPr="00293F69">
        <w:t>had not been carried out, but</w:t>
      </w:r>
      <w:r w:rsidR="00C66C57" w:rsidRPr="00293F69">
        <w:t xml:space="preserve"> </w:t>
      </w:r>
      <w:r w:rsidR="0029388C" w:rsidRPr="00293F69">
        <w:t>t</w:t>
      </w:r>
      <w:r w:rsidR="00C66C57" w:rsidRPr="00293F69">
        <w:t>he community of 180 Palestinians, half of whom are children, remain</w:t>
      </w:r>
      <w:r w:rsidR="006316E0" w:rsidRPr="00293F69">
        <w:t>ed</w:t>
      </w:r>
      <w:r w:rsidR="00C66C57" w:rsidRPr="00293F69">
        <w:t xml:space="preserve"> at imminent risk of forcible transfer.</w:t>
      </w:r>
      <w:r w:rsidR="00C66C57" w:rsidRPr="00293F69">
        <w:rPr>
          <w:vertAlign w:val="superscript"/>
        </w:rPr>
        <w:footnoteReference w:id="12"/>
      </w:r>
    </w:p>
    <w:p w14:paraId="2BA45260" w14:textId="399B4C96" w:rsidR="00645173" w:rsidRPr="00293F69" w:rsidRDefault="00B9168D"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Israeli practices that </w:t>
      </w:r>
      <w:r w:rsidR="00BB5182" w:rsidRPr="00293F69">
        <w:t xml:space="preserve">in many cases </w:t>
      </w:r>
      <w:r w:rsidRPr="00293F69">
        <w:t xml:space="preserve">constitute collective punishment continued. </w:t>
      </w:r>
      <w:r w:rsidR="00843700" w:rsidRPr="00293F69">
        <w:t>T</w:t>
      </w:r>
      <w:r w:rsidRPr="00293F69">
        <w:t>he blockade of Gaza</w:t>
      </w:r>
      <w:r w:rsidRPr="006874EC">
        <w:rPr>
          <w:vertAlign w:val="superscript"/>
        </w:rPr>
        <w:footnoteReference w:id="13"/>
      </w:r>
      <w:r w:rsidR="00591D07" w:rsidRPr="006874EC">
        <w:t xml:space="preserve"> </w:t>
      </w:r>
      <w:r w:rsidRPr="00293F69">
        <w:t xml:space="preserve">entered its </w:t>
      </w:r>
      <w:r w:rsidR="004E018C">
        <w:t>twelfth</w:t>
      </w:r>
      <w:r w:rsidRPr="00293F69">
        <w:t xml:space="preserve"> year</w:t>
      </w:r>
      <w:r w:rsidR="004E018C">
        <w:t>,</w:t>
      </w:r>
      <w:r w:rsidRPr="00293F69">
        <w:t xml:space="preserve"> </w:t>
      </w:r>
      <w:r w:rsidR="00AB2A47" w:rsidRPr="00293F69">
        <w:t>with</w:t>
      </w:r>
      <w:r w:rsidRPr="00293F69">
        <w:t xml:space="preserve"> a wide-ranging impact on the </w:t>
      </w:r>
      <w:r w:rsidR="00AB2A47" w:rsidRPr="00293F69">
        <w:t>rights</w:t>
      </w:r>
      <w:r w:rsidRPr="00293F69">
        <w:t xml:space="preserve"> of Palestinians</w:t>
      </w:r>
      <w:r w:rsidR="00843700" w:rsidRPr="00293F69">
        <w:t xml:space="preserve">. </w:t>
      </w:r>
      <w:r w:rsidRPr="00293F69">
        <w:t xml:space="preserve">Closures were tightened during the second quarter of 2018, reportedly in response to rocket attacks and </w:t>
      </w:r>
      <w:r w:rsidR="00843700" w:rsidRPr="00293F69">
        <w:t xml:space="preserve">the </w:t>
      </w:r>
      <w:r w:rsidRPr="00293F69">
        <w:t>launching</w:t>
      </w:r>
      <w:r w:rsidR="00843700" w:rsidRPr="00293F69">
        <w:t xml:space="preserve"> of</w:t>
      </w:r>
      <w:r w:rsidRPr="00293F69">
        <w:t xml:space="preserve"> incendiary kites and balloons from Gaza </w:t>
      </w:r>
      <w:r w:rsidR="00FC749B" w:rsidRPr="00293F69">
        <w:t>in</w:t>
      </w:r>
      <w:r w:rsidRPr="00293F69">
        <w:t>to Isr</w:t>
      </w:r>
      <w:r w:rsidR="00D11457">
        <w:t>ael</w:t>
      </w:r>
      <w:r w:rsidRPr="00293F69">
        <w:t>. In a statement dated 12 October 2018, the Israeli Defence Minister s</w:t>
      </w:r>
      <w:r w:rsidR="004E018C">
        <w:t>tated</w:t>
      </w:r>
      <w:r w:rsidRPr="00293F69">
        <w:t>: “</w:t>
      </w:r>
      <w:r w:rsidRPr="00025126">
        <w:t xml:space="preserve">As </w:t>
      </w:r>
      <w:r w:rsidRPr="00025126">
        <w:lastRenderedPageBreak/>
        <w:t>long as the violent protests continue on the Gaza border, including the launching of incendiary balloons and kites and the burning of tires near Israeli towns, the fuel and gas for the Gaza Strip will not be renewed</w:t>
      </w:r>
      <w:r w:rsidRPr="00293F69">
        <w:t>”</w:t>
      </w:r>
      <w:r w:rsidR="00FC749B" w:rsidRPr="00293F69">
        <w:t>.</w:t>
      </w:r>
      <w:r w:rsidR="00AB2A47" w:rsidRPr="00293F69" w:rsidDel="00AB2A47">
        <w:t xml:space="preserve"> </w:t>
      </w:r>
      <w:r w:rsidR="005146C5" w:rsidRPr="00293F69">
        <w:t>From July onward, Israel</w:t>
      </w:r>
      <w:r w:rsidR="0091799E" w:rsidRPr="00293F69">
        <w:t xml:space="preserve"> </w:t>
      </w:r>
      <w:r w:rsidR="008854D5" w:rsidRPr="00293F69">
        <w:t xml:space="preserve">regularly changed </w:t>
      </w:r>
      <w:r w:rsidR="0091799E" w:rsidRPr="00293F69">
        <w:t xml:space="preserve">the fishing limit in waters off Gaza, at times reducing it </w:t>
      </w:r>
      <w:r w:rsidR="005146C5" w:rsidRPr="00293F69">
        <w:t>to a</w:t>
      </w:r>
      <w:r w:rsidR="009E5C49">
        <w:t>s little as three nautical miles,</w:t>
      </w:r>
      <w:r w:rsidR="005146C5" w:rsidRPr="009E5C49">
        <w:rPr>
          <w:vertAlign w:val="superscript"/>
        </w:rPr>
        <w:footnoteReference w:id="14"/>
      </w:r>
      <w:r w:rsidR="005146C5" w:rsidRPr="005146C5">
        <w:t xml:space="preserve"> </w:t>
      </w:r>
      <w:r w:rsidR="00D11457">
        <w:t xml:space="preserve">reportedly </w:t>
      </w:r>
      <w:r w:rsidR="005146C5" w:rsidRPr="005146C5">
        <w:t>in response to</w:t>
      </w:r>
      <w:r w:rsidR="00D11457">
        <w:t xml:space="preserve"> the </w:t>
      </w:r>
      <w:r w:rsidR="005146C5" w:rsidRPr="005146C5">
        <w:t>Great March of Return demonstrations.</w:t>
      </w:r>
      <w:r w:rsidR="005146C5" w:rsidRPr="00293F69">
        <w:rPr>
          <w:vertAlign w:val="superscript"/>
        </w:rPr>
        <w:footnoteReference w:id="15"/>
      </w:r>
    </w:p>
    <w:p w14:paraId="1925F397" w14:textId="1C2E24CB" w:rsidR="00770A39" w:rsidRDefault="00B9168D"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In the West Bank, ISF punitively demolished </w:t>
      </w:r>
      <w:r w:rsidR="00BD4CCD" w:rsidRPr="00293F69">
        <w:t>five</w:t>
      </w:r>
      <w:r w:rsidRPr="00293F69">
        <w:t xml:space="preserve"> Palestinian houses </w:t>
      </w:r>
      <w:r w:rsidR="00BD4CCD" w:rsidRPr="00293F69">
        <w:t>and sealed two rooms in two other houses</w:t>
      </w:r>
      <w:r w:rsidR="006F3245" w:rsidRPr="00293F69">
        <w:t>,</w:t>
      </w:r>
      <w:r w:rsidRPr="00293F69">
        <w:t xml:space="preserve"> affecting 51 Palestinians. Closures were frequently reported in Palestinian towns and villages</w:t>
      </w:r>
      <w:r w:rsidR="00EC026E" w:rsidRPr="00293F69">
        <w:t>,</w:t>
      </w:r>
      <w:r w:rsidRPr="00293F69">
        <w:t xml:space="preserve"> particularly following incidents involving attacks</w:t>
      </w:r>
      <w:r w:rsidR="0091799E" w:rsidRPr="00293F69">
        <w:t xml:space="preserve"> or alleged attacks</w:t>
      </w:r>
      <w:r w:rsidRPr="00293F69">
        <w:t xml:space="preserve"> on Israelis. For example, I</w:t>
      </w:r>
      <w:r w:rsidR="00D11457">
        <w:t>sraeli security forces</w:t>
      </w:r>
      <w:r w:rsidRPr="00293F69">
        <w:t xml:space="preserve"> imposed a closure on Hizma</w:t>
      </w:r>
      <w:r w:rsidR="0091799E" w:rsidRPr="00293F69">
        <w:t xml:space="preserve"> village</w:t>
      </w:r>
      <w:r w:rsidRPr="00293F69">
        <w:t xml:space="preserve"> between 17 and 29 January 2018</w:t>
      </w:r>
      <w:r w:rsidR="003A20CC">
        <w:t>,</w:t>
      </w:r>
      <w:r w:rsidR="00770A39">
        <w:t xml:space="preserve"> </w:t>
      </w:r>
      <w:r w:rsidR="00770A39" w:rsidRPr="00025126">
        <w:t xml:space="preserve">and put up posters in the village </w:t>
      </w:r>
      <w:r w:rsidR="00D11457">
        <w:t>implying</w:t>
      </w:r>
      <w:r w:rsidR="00D11457" w:rsidRPr="00025126">
        <w:t xml:space="preserve"> </w:t>
      </w:r>
      <w:r w:rsidR="00D11457">
        <w:t>that this measure</w:t>
      </w:r>
      <w:r w:rsidR="00770A39" w:rsidRPr="00025126">
        <w:t xml:space="preserve"> was </w:t>
      </w:r>
      <w:r w:rsidR="00D11457">
        <w:t xml:space="preserve">in the nature of </w:t>
      </w:r>
      <w:r w:rsidR="00770A39" w:rsidRPr="00025126">
        <w:t xml:space="preserve">collective punishment </w:t>
      </w:r>
      <w:r w:rsidR="00ED24EC">
        <w:t>after</w:t>
      </w:r>
      <w:r w:rsidR="00770A39" w:rsidRPr="00025126">
        <w:t xml:space="preserve"> residents of the village thr</w:t>
      </w:r>
      <w:r w:rsidR="00ED24EC">
        <w:t>ew</w:t>
      </w:r>
      <w:r w:rsidR="00770A39" w:rsidRPr="00025126">
        <w:t xml:space="preserve"> stones at Israeli settlers</w:t>
      </w:r>
      <w:r w:rsidR="00ED24EC">
        <w:t>’</w:t>
      </w:r>
      <w:r w:rsidR="00770A39" w:rsidRPr="00025126">
        <w:t xml:space="preserve"> cars. The posters depicted the roadblock and a damaged Israeli bus stating: “</w:t>
      </w:r>
      <w:r w:rsidR="00770A39" w:rsidRPr="00025126">
        <w:rPr>
          <w:i/>
        </w:rPr>
        <w:t>When you make damages like this, we do our business like that</w:t>
      </w:r>
      <w:r w:rsidR="00770A39" w:rsidRPr="00025126">
        <w:t xml:space="preserve">.” </w:t>
      </w:r>
      <w:r w:rsidR="00770A39">
        <w:t xml:space="preserve"> </w:t>
      </w:r>
    </w:p>
    <w:p w14:paraId="44A41BD5" w14:textId="2FA3918F" w:rsidR="00C935CD" w:rsidRPr="00293F69" w:rsidRDefault="00FD2FE6" w:rsidP="00D86C65">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As of 31 October 2018, Israeli authorities continued to </w:t>
      </w:r>
      <w:r w:rsidR="00487751" w:rsidRPr="00293F69">
        <w:t>with</w:t>
      </w:r>
      <w:r w:rsidRPr="00293F69">
        <w:t>hold the bodies of 31 Palestinians</w:t>
      </w:r>
      <w:r w:rsidR="00770A39">
        <w:t xml:space="preserve"> killed by ISF</w:t>
      </w:r>
      <w:r w:rsidRPr="00293F69">
        <w:t xml:space="preserve">, including four </w:t>
      </w:r>
      <w:r w:rsidR="00234BBE" w:rsidRPr="00293F69">
        <w:t>children.</w:t>
      </w:r>
      <w:r w:rsidR="00234BBE" w:rsidRPr="00293F69">
        <w:rPr>
          <w:vertAlign w:val="superscript"/>
        </w:rPr>
        <w:footnoteReference w:id="16"/>
      </w:r>
      <w:r w:rsidR="00234BBE" w:rsidRPr="00293F69">
        <w:t xml:space="preserve"> On 14 December 2017</w:t>
      </w:r>
      <w:r w:rsidR="005011D0">
        <w:t>,</w:t>
      </w:r>
      <w:r w:rsidR="00234BBE" w:rsidRPr="00293F69">
        <w:t xml:space="preserve"> the Israeli High Court of Justice ruled there was no legal basis for Israel to </w:t>
      </w:r>
      <w:r w:rsidR="00487751" w:rsidRPr="00293F69">
        <w:t>with</w:t>
      </w:r>
      <w:r w:rsidR="00234BBE" w:rsidRPr="00293F69">
        <w:t>hold the bodies of Palestinian attackers, and ordered the State to release</w:t>
      </w:r>
      <w:r w:rsidR="002201C1">
        <w:t xml:space="preserve"> them</w:t>
      </w:r>
      <w:r w:rsidR="00234BBE" w:rsidRPr="00293F69">
        <w:t xml:space="preserve"> within six months unless</w:t>
      </w:r>
      <w:r w:rsidR="009761E6" w:rsidRPr="00293F69">
        <w:t xml:space="preserve"> legislation allowing the practice </w:t>
      </w:r>
      <w:r w:rsidR="00487751" w:rsidRPr="00293F69">
        <w:t>was</w:t>
      </w:r>
      <w:r w:rsidR="009761E6" w:rsidRPr="00293F69">
        <w:t xml:space="preserve"> enacted</w:t>
      </w:r>
      <w:r w:rsidR="00234BBE" w:rsidRPr="00293F69">
        <w:t xml:space="preserve">. </w:t>
      </w:r>
      <w:r w:rsidR="00487751" w:rsidRPr="00293F69">
        <w:t>O</w:t>
      </w:r>
      <w:r w:rsidR="00234BBE" w:rsidRPr="00293F69">
        <w:t>n 18 December 2017, the Israeli Cabinet decided that the bodies would not be returned</w:t>
      </w:r>
      <w:r w:rsidR="00D86C65" w:rsidRPr="00025126">
        <w:t xml:space="preserve">. </w:t>
      </w:r>
      <w:r w:rsidR="002201C1">
        <w:t>The High Court held a</w:t>
      </w:r>
      <w:r w:rsidR="00D86C65" w:rsidRPr="00025126">
        <w:t>n additional hearing on</w:t>
      </w:r>
      <w:r w:rsidR="00234BBE" w:rsidRPr="00025126">
        <w:t xml:space="preserve"> 17 July 2018</w:t>
      </w:r>
      <w:r w:rsidR="002201C1">
        <w:t xml:space="preserve"> </w:t>
      </w:r>
      <w:r w:rsidR="00D11457">
        <w:t xml:space="preserve">on the matter, </w:t>
      </w:r>
      <w:r w:rsidR="002201C1">
        <w:t>but a</w:t>
      </w:r>
      <w:r w:rsidR="00234BBE" w:rsidRPr="00025126">
        <w:t xml:space="preserve"> decision </w:t>
      </w:r>
      <w:r w:rsidR="00D86C65" w:rsidRPr="00025126">
        <w:t>remain</w:t>
      </w:r>
      <w:r w:rsidR="005011D0">
        <w:t>ed</w:t>
      </w:r>
      <w:r w:rsidR="00234BBE" w:rsidRPr="00293F69">
        <w:t xml:space="preserve"> pending</w:t>
      </w:r>
      <w:r w:rsidR="003A20CC">
        <w:t xml:space="preserve"> as </w:t>
      </w:r>
      <w:r w:rsidR="00E35725">
        <w:t>at the end of the reporting period</w:t>
      </w:r>
      <w:r w:rsidR="00305D24">
        <w:t>.</w:t>
      </w:r>
      <w:r w:rsidR="00234BBE" w:rsidRPr="00293F69">
        <w:t xml:space="preserve"> Withholding the bodies of </w:t>
      </w:r>
      <w:r w:rsidR="00EC79A4">
        <w:t xml:space="preserve">individuals </w:t>
      </w:r>
      <w:r w:rsidR="00234BBE" w:rsidRPr="00293F69">
        <w:t xml:space="preserve">killed in attacks or alleged attacks </w:t>
      </w:r>
      <w:r w:rsidR="00D11457">
        <w:t xml:space="preserve">from their families amounts </w:t>
      </w:r>
      <w:r w:rsidR="00550DF3" w:rsidRPr="00293F69">
        <w:t>to a</w:t>
      </w:r>
      <w:r w:rsidR="00234BBE" w:rsidRPr="00293F69">
        <w:t xml:space="preserve"> </w:t>
      </w:r>
      <w:r w:rsidR="00D11457">
        <w:t>form</w:t>
      </w:r>
      <w:r w:rsidR="00D11457" w:rsidRPr="00293F69">
        <w:t xml:space="preserve"> </w:t>
      </w:r>
      <w:r w:rsidR="00234BBE" w:rsidRPr="00293F69">
        <w:t>of collective punishment. Collective punishment is prohibited by international humanitarian law and also violates several human rights.</w:t>
      </w:r>
      <w:r w:rsidR="00234BBE" w:rsidRPr="00293F69">
        <w:rPr>
          <w:vertAlign w:val="superscript"/>
        </w:rPr>
        <w:footnoteReference w:id="17"/>
      </w:r>
      <w:r w:rsidR="00234BBE" w:rsidRPr="00293F69">
        <w:t xml:space="preserve"> </w:t>
      </w:r>
    </w:p>
    <w:p w14:paraId="782101C9" w14:textId="354F0F75" w:rsidR="00EA3EB2" w:rsidRPr="00A05B5C" w:rsidRDefault="00C935CD"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A05B5C">
        <w:t>The adoption of the Nation-State Basic Law</w:t>
      </w:r>
      <w:r w:rsidR="009E5C49">
        <w:t>,</w:t>
      </w:r>
      <w:r w:rsidRPr="00A05B5C">
        <w:t xml:space="preserve"> on 19 July 2018, which anchors inherent discrimination against non-Jewish communities in Israel, raise</w:t>
      </w:r>
      <w:r w:rsidR="00414F8C" w:rsidRPr="00A05B5C">
        <w:t>d</w:t>
      </w:r>
      <w:r w:rsidRPr="00A05B5C">
        <w:t xml:space="preserve"> further concern regard</w:t>
      </w:r>
      <w:r w:rsidR="002201C1">
        <w:t>ing</w:t>
      </w:r>
      <w:r w:rsidRPr="00A05B5C">
        <w:t xml:space="preserve"> compliance with the law of occupation, insofar as it applies to East Jerusalem, and</w:t>
      </w:r>
      <w:r w:rsidR="00376FB7">
        <w:t>,</w:t>
      </w:r>
      <w:r w:rsidRPr="00A05B5C">
        <w:t xml:space="preserve"> possibly</w:t>
      </w:r>
      <w:r w:rsidR="00376FB7">
        <w:t>,</w:t>
      </w:r>
      <w:r w:rsidRPr="00A05B5C">
        <w:t xml:space="preserve"> to </w:t>
      </w:r>
      <w:r w:rsidR="00376FB7">
        <w:t xml:space="preserve">settlements in the rest of the </w:t>
      </w:r>
      <w:r w:rsidRPr="00A05B5C">
        <w:t>West Bank</w:t>
      </w:r>
      <w:r w:rsidR="00F87D4C" w:rsidRPr="00A05B5C">
        <w:t>.</w:t>
      </w:r>
      <w:r w:rsidR="005E6813" w:rsidRPr="00A05B5C">
        <w:rPr>
          <w:vertAlign w:val="superscript"/>
        </w:rPr>
        <w:footnoteReference w:id="18"/>
      </w:r>
    </w:p>
    <w:p w14:paraId="55CE1632" w14:textId="25819AEB" w:rsidR="00415B73" w:rsidRPr="00EA3EB2" w:rsidRDefault="00562B61" w:rsidP="00BA51E8">
      <w:pPr>
        <w:pStyle w:val="SingleTxtG"/>
        <w:tabs>
          <w:tab w:val="left" w:pos="1701"/>
        </w:tabs>
        <w:suppressAutoHyphens/>
        <w:kinsoku w:val="0"/>
        <w:overflowPunct w:val="0"/>
        <w:autoSpaceDE w:val="0"/>
        <w:autoSpaceDN w:val="0"/>
        <w:adjustRightInd w:val="0"/>
        <w:snapToGrid w:val="0"/>
        <w:outlineLvl w:val="0"/>
        <w:rPr>
          <w:b/>
        </w:rPr>
      </w:pPr>
      <w:r w:rsidRPr="00EA3EB2">
        <w:rPr>
          <w:rFonts w:asciiTheme="majorBidi" w:hAnsiTheme="majorBidi" w:cstheme="majorBidi"/>
          <w:b/>
          <w:bCs/>
        </w:rPr>
        <w:t>Civilian casualties in the context</w:t>
      </w:r>
      <w:r w:rsidR="00415B73" w:rsidRPr="00EA3EB2">
        <w:rPr>
          <w:rFonts w:asciiTheme="majorBidi" w:hAnsiTheme="majorBidi" w:cstheme="majorBidi"/>
          <w:b/>
          <w:bCs/>
        </w:rPr>
        <w:t xml:space="preserve"> of </w:t>
      </w:r>
      <w:r w:rsidR="00B30DAC" w:rsidRPr="00EA3EB2">
        <w:rPr>
          <w:rFonts w:asciiTheme="majorBidi" w:hAnsiTheme="majorBidi" w:cstheme="majorBidi"/>
          <w:b/>
          <w:bCs/>
        </w:rPr>
        <w:t>h</w:t>
      </w:r>
      <w:r w:rsidR="00415B73" w:rsidRPr="00EA3EB2">
        <w:rPr>
          <w:rFonts w:asciiTheme="majorBidi" w:hAnsiTheme="majorBidi" w:cstheme="majorBidi"/>
          <w:b/>
          <w:bCs/>
        </w:rPr>
        <w:t>ostilities</w:t>
      </w:r>
    </w:p>
    <w:p w14:paraId="457903AF" w14:textId="45671081" w:rsidR="00494A05" w:rsidRPr="00293F69" w:rsidRDefault="00891D30"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In 2018, h</w:t>
      </w:r>
      <w:r w:rsidR="00493C36" w:rsidRPr="00293F69">
        <w:t xml:space="preserve">ostilities between Palestinian armed groups and Israel </w:t>
      </w:r>
      <w:r w:rsidR="00487751" w:rsidRPr="00293F69">
        <w:t>reached</w:t>
      </w:r>
      <w:r w:rsidR="00493C36" w:rsidRPr="00293F69">
        <w:t xml:space="preserve"> the highest level since the 2014 conflict</w:t>
      </w:r>
      <w:r w:rsidR="0016559D" w:rsidRPr="00293F69">
        <w:t xml:space="preserve">, with concern </w:t>
      </w:r>
      <w:r>
        <w:t>about</w:t>
      </w:r>
      <w:r w:rsidR="0016559D" w:rsidRPr="00293F69">
        <w:t xml:space="preserve"> the lack of respect for the principle of distinction by all parties</w:t>
      </w:r>
      <w:r w:rsidR="00841212" w:rsidRPr="00293F69">
        <w:t>. S</w:t>
      </w:r>
      <w:r w:rsidR="00493C36" w:rsidRPr="00293F69">
        <w:t>ome 308 rockets and 577 mortar shells</w:t>
      </w:r>
      <w:r w:rsidR="00232497" w:rsidRPr="009C73A3">
        <w:rPr>
          <w:vertAlign w:val="superscript"/>
        </w:rPr>
        <w:footnoteReference w:id="19"/>
      </w:r>
      <w:r w:rsidR="00841212" w:rsidRPr="009C73A3">
        <w:rPr>
          <w:vertAlign w:val="superscript"/>
        </w:rPr>
        <w:t xml:space="preserve"> </w:t>
      </w:r>
      <w:r w:rsidR="00841212" w:rsidRPr="00293F69">
        <w:t>were</w:t>
      </w:r>
      <w:r w:rsidR="00493C36" w:rsidRPr="00293F69">
        <w:t xml:space="preserve"> fired from Gaza towards Israel, </w:t>
      </w:r>
      <w:r w:rsidR="00487751" w:rsidRPr="00293F69">
        <w:t>injuring</w:t>
      </w:r>
      <w:r w:rsidR="00493C36" w:rsidRPr="00293F69">
        <w:t xml:space="preserve"> 31 Israelis</w:t>
      </w:r>
      <w:r w:rsidR="00841212" w:rsidRPr="00293F69">
        <w:t>.</w:t>
      </w:r>
      <w:r w:rsidR="00BC1E99" w:rsidRPr="00293F69">
        <w:rPr>
          <w:vertAlign w:val="superscript"/>
        </w:rPr>
        <w:footnoteReference w:id="20"/>
      </w:r>
      <w:r w:rsidR="006E02E3" w:rsidRPr="00293F69">
        <w:t xml:space="preserve"> </w:t>
      </w:r>
      <w:r w:rsidR="00493C36" w:rsidRPr="00293F69">
        <w:t xml:space="preserve">The rockets and mortars fired from Gaza </w:t>
      </w:r>
      <w:r w:rsidR="00930EBF" w:rsidRPr="00293F69">
        <w:t>are</w:t>
      </w:r>
      <w:r w:rsidR="00493C36" w:rsidRPr="00293F69">
        <w:t xml:space="preserve"> indiscriminate in nature and </w:t>
      </w:r>
      <w:r w:rsidR="004743FA">
        <w:t xml:space="preserve">therefore </w:t>
      </w:r>
      <w:r w:rsidR="00493C36" w:rsidRPr="00293F69">
        <w:t xml:space="preserve">in violation of international humanitarian law. Meanwhile, Israeli </w:t>
      </w:r>
      <w:r w:rsidR="004743FA">
        <w:t xml:space="preserve">security </w:t>
      </w:r>
      <w:r w:rsidR="00493C36" w:rsidRPr="00293F69">
        <w:t>forces launched tens of attacks on Gaza, firing 725 missiles and 207 shells at armed groups</w:t>
      </w:r>
      <w:r w:rsidR="00487751" w:rsidRPr="00293F69">
        <w:t>’</w:t>
      </w:r>
      <w:r w:rsidR="00493C36" w:rsidRPr="00293F69">
        <w:t xml:space="preserve"> tunnels, military training sites and observation posts and, in several incidents, at </w:t>
      </w:r>
      <w:r w:rsidR="009600BD" w:rsidRPr="00293F69">
        <w:t>buildings in residential areas</w:t>
      </w:r>
      <w:r>
        <w:t xml:space="preserve">. This </w:t>
      </w:r>
      <w:r w:rsidR="009600BD" w:rsidRPr="00293F69">
        <w:t>result</w:t>
      </w:r>
      <w:r>
        <w:t>ed</w:t>
      </w:r>
      <w:r w:rsidR="009600BD" w:rsidRPr="00293F69">
        <w:t xml:space="preserve"> in the </w:t>
      </w:r>
      <w:r w:rsidR="004743FA">
        <w:t>deaths</w:t>
      </w:r>
      <w:r w:rsidR="004743FA" w:rsidRPr="00293F69">
        <w:t xml:space="preserve"> </w:t>
      </w:r>
      <w:r w:rsidR="009600BD" w:rsidRPr="00293F69">
        <w:t>of</w:t>
      </w:r>
      <w:r w:rsidR="00493C36" w:rsidRPr="00293F69">
        <w:t xml:space="preserve"> </w:t>
      </w:r>
      <w:r>
        <w:t>65</w:t>
      </w:r>
      <w:r w:rsidR="00493C36" w:rsidRPr="00293F69">
        <w:t xml:space="preserve"> Palestinians, including three children </w:t>
      </w:r>
      <w:r w:rsidR="009600BD" w:rsidRPr="00293F69">
        <w:t>and a pregnant woman.</w:t>
      </w:r>
    </w:p>
    <w:p w14:paraId="7EF60F7C" w14:textId="33AB21D4" w:rsidR="001D7B22" w:rsidRPr="00293F69" w:rsidRDefault="00493C36"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On 14 July 2018, </w:t>
      </w:r>
      <w:r w:rsidR="00061D87" w:rsidRPr="00293F69">
        <w:t>I</w:t>
      </w:r>
      <w:r w:rsidR="004743FA">
        <w:t>sraeli security forces</w:t>
      </w:r>
      <w:r w:rsidR="00061D87" w:rsidRPr="00293F69">
        <w:t xml:space="preserve"> </w:t>
      </w:r>
      <w:r w:rsidRPr="00293F69">
        <w:t>conducted airstrikes targeting an empty building under construction belonging to the</w:t>
      </w:r>
      <w:r w:rsidR="00061D87" w:rsidRPr="00293F69">
        <w:t xml:space="preserve"> Palestinian</w:t>
      </w:r>
      <w:r w:rsidRPr="00293F69">
        <w:t xml:space="preserve"> Ministry of Culture, in a populated area </w:t>
      </w:r>
      <w:r w:rsidR="00891D30">
        <w:t>of</w:t>
      </w:r>
      <w:r w:rsidRPr="00293F69">
        <w:t xml:space="preserve"> Gaza </w:t>
      </w:r>
      <w:r w:rsidR="00061D87" w:rsidRPr="00293F69">
        <w:t>City</w:t>
      </w:r>
      <w:r w:rsidRPr="00293F69">
        <w:t>. Two boys</w:t>
      </w:r>
      <w:r w:rsidR="00891D30">
        <w:t xml:space="preserve"> (</w:t>
      </w:r>
      <w:r w:rsidRPr="00293F69">
        <w:t>aged 14</w:t>
      </w:r>
      <w:r w:rsidR="00891D30">
        <w:t>)</w:t>
      </w:r>
      <w:r w:rsidRPr="00293F69">
        <w:t xml:space="preserve"> were killed and 23 Palestinians were injured. Significant damage was caused to nearby buildings, including </w:t>
      </w:r>
      <w:r w:rsidR="00891D30">
        <w:t xml:space="preserve">the premises of </w:t>
      </w:r>
      <w:r w:rsidRPr="00293F69">
        <w:t xml:space="preserve">an NGO providing services for children with cerebral palsy. </w:t>
      </w:r>
      <w:r w:rsidR="00891D30" w:rsidRPr="00293F69">
        <w:t>I</w:t>
      </w:r>
      <w:r w:rsidR="007135C7">
        <w:t xml:space="preserve">sraeli </w:t>
      </w:r>
      <w:r w:rsidR="00BF3A31">
        <w:t>D</w:t>
      </w:r>
      <w:r w:rsidR="007135C7">
        <w:t xml:space="preserve">efense </w:t>
      </w:r>
      <w:r w:rsidR="00BF3A31">
        <w:t>F</w:t>
      </w:r>
      <w:r w:rsidR="007135C7">
        <w:t>orces (IDF)</w:t>
      </w:r>
      <w:r w:rsidR="00891D30" w:rsidRPr="00293F69">
        <w:t xml:space="preserve"> </w:t>
      </w:r>
      <w:r w:rsidR="004743FA">
        <w:t>asserted</w:t>
      </w:r>
      <w:r w:rsidR="004743FA" w:rsidRPr="00293F69">
        <w:t xml:space="preserve"> </w:t>
      </w:r>
      <w:r w:rsidR="00891D30" w:rsidRPr="00293F69">
        <w:t xml:space="preserve">that the building was used as a military training site. </w:t>
      </w:r>
      <w:r w:rsidRPr="00293F69">
        <w:t>On 9 August</w:t>
      </w:r>
      <w:r w:rsidR="006A3C53" w:rsidRPr="00293F69">
        <w:t xml:space="preserve"> 2018</w:t>
      </w:r>
      <w:r w:rsidRPr="00293F69">
        <w:t>, Israel</w:t>
      </w:r>
      <w:r w:rsidR="004743FA">
        <w:t>i security forces struck</w:t>
      </w:r>
      <w:r w:rsidRPr="00293F69">
        <w:t xml:space="preserve"> a mosque in Deir Al-Balah, </w:t>
      </w:r>
      <w:r w:rsidR="00891D30">
        <w:t xml:space="preserve">and hit a nearby house, </w:t>
      </w:r>
      <w:r w:rsidRPr="00293F69">
        <w:t xml:space="preserve">killing a pregnant woman and her </w:t>
      </w:r>
      <w:r w:rsidR="00891D30">
        <w:t xml:space="preserve">18-month old </w:t>
      </w:r>
      <w:r w:rsidRPr="00293F69">
        <w:t xml:space="preserve">daughter. </w:t>
      </w:r>
    </w:p>
    <w:p w14:paraId="1CBA8D87" w14:textId="5AFEA365" w:rsidR="00415B73" w:rsidRPr="00293F69" w:rsidRDefault="00493C36" w:rsidP="00411638">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On 28 October 2018, three children aged 13, 14 and 15</w:t>
      </w:r>
      <w:r w:rsidR="00891D30">
        <w:t>,</w:t>
      </w:r>
      <w:r w:rsidRPr="00293F69">
        <w:t xml:space="preserve"> were killed by a missile</w:t>
      </w:r>
      <w:r w:rsidR="00061D87" w:rsidRPr="00293F69">
        <w:t xml:space="preserve"> fired from a drone</w:t>
      </w:r>
      <w:r w:rsidRPr="00293F69">
        <w:t xml:space="preserve"> near the fence southeast of Dier El Balah. </w:t>
      </w:r>
      <w:r w:rsidR="006E02E3" w:rsidRPr="00293F69">
        <w:t>R</w:t>
      </w:r>
      <w:r w:rsidRPr="00293F69">
        <w:t>eportedly</w:t>
      </w:r>
      <w:r w:rsidR="00061D87" w:rsidRPr="00293F69">
        <w:t>,</w:t>
      </w:r>
      <w:r w:rsidR="006E02E3" w:rsidRPr="00293F69">
        <w:t xml:space="preserve"> I</w:t>
      </w:r>
      <w:r w:rsidR="00A10E59">
        <w:t>sraeli security forces</w:t>
      </w:r>
      <w:r w:rsidRPr="00293F69">
        <w:t xml:space="preserve"> prevented </w:t>
      </w:r>
      <w:r w:rsidR="006E02E3" w:rsidRPr="00293F69">
        <w:t>paramedics</w:t>
      </w:r>
      <w:r w:rsidRPr="00293F69">
        <w:t xml:space="preserve"> from approaching </w:t>
      </w:r>
      <w:r w:rsidR="00061D87" w:rsidRPr="00293F69">
        <w:t xml:space="preserve">the site </w:t>
      </w:r>
      <w:r w:rsidRPr="00293F69">
        <w:t>for approximately two hours.</w:t>
      </w:r>
      <w:r w:rsidR="00C3415B">
        <w:rPr>
          <w:rStyle w:val="FootnoteReference"/>
        </w:rPr>
        <w:footnoteReference w:id="21"/>
      </w:r>
      <w:r w:rsidRPr="00293F69">
        <w:t xml:space="preserve"> </w:t>
      </w:r>
      <w:r w:rsidR="00891D30">
        <w:t>The IDF stated that</w:t>
      </w:r>
      <w:r w:rsidR="005C7740">
        <w:t xml:space="preserve"> the </w:t>
      </w:r>
      <w:r w:rsidRPr="00293F69">
        <w:t xml:space="preserve">soldiers </w:t>
      </w:r>
      <w:r w:rsidR="00B73857" w:rsidRPr="00293F69">
        <w:t xml:space="preserve">were not </w:t>
      </w:r>
      <w:r w:rsidRPr="00293F69">
        <w:t>aware the</w:t>
      </w:r>
      <w:r w:rsidR="00F73484" w:rsidRPr="00293F69">
        <w:t xml:space="preserve"> victims</w:t>
      </w:r>
      <w:r w:rsidRPr="00293F69">
        <w:t xml:space="preserve"> were children </w:t>
      </w:r>
      <w:r w:rsidR="00891D30">
        <w:t xml:space="preserve">and said they </w:t>
      </w:r>
      <w:r w:rsidRPr="00293F69">
        <w:t>"were observed sabotaging the fence and digging in the ground next to it</w:t>
      </w:r>
      <w:r w:rsidR="00F73484" w:rsidRPr="00293F69">
        <w:t>.</w:t>
      </w:r>
      <w:r w:rsidRPr="00293F69">
        <w:t>”</w:t>
      </w:r>
      <w:r w:rsidR="00331BC0" w:rsidRPr="00293F69">
        <w:rPr>
          <w:vertAlign w:val="superscript"/>
        </w:rPr>
        <w:footnoteReference w:id="22"/>
      </w:r>
      <w:r w:rsidRPr="00293F69">
        <w:t xml:space="preserve"> A</w:t>
      </w:r>
      <w:r w:rsidR="00B73857" w:rsidRPr="00293F69">
        <w:t xml:space="preserve">ccording to </w:t>
      </w:r>
      <w:r w:rsidRPr="00293F69">
        <w:t>information</w:t>
      </w:r>
      <w:r w:rsidR="00C3415B">
        <w:t xml:space="preserve"> received by OHCHR</w:t>
      </w:r>
      <w:r w:rsidR="00B73857" w:rsidRPr="00293F69">
        <w:t xml:space="preserve">, </w:t>
      </w:r>
      <w:r w:rsidRPr="00293F69">
        <w:t>no ammunition or weapons were found near the bodies.</w:t>
      </w:r>
    </w:p>
    <w:p w14:paraId="581DA26B" w14:textId="476E95B5" w:rsidR="00CA499A" w:rsidRPr="00EA3EB2" w:rsidRDefault="009600BD" w:rsidP="00411638">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According to I</w:t>
      </w:r>
      <w:r w:rsidR="00A10E59">
        <w:t>sraeli security forces</w:t>
      </w:r>
      <w:r w:rsidRPr="00293F69">
        <w:t>, some of the Palestinians killed close to the Gaza-Israel fence were attempting to plant improvised explosive devices (IEDs) aimed at harming</w:t>
      </w:r>
      <w:r w:rsidR="00A10E59">
        <w:t xml:space="preserve"> Israeli security forces</w:t>
      </w:r>
      <w:r w:rsidRPr="00293F69">
        <w:t xml:space="preserve">, while others were attempting to </w:t>
      </w:r>
      <w:r w:rsidR="00A10E59">
        <w:t xml:space="preserve">breach the fence to </w:t>
      </w:r>
      <w:r w:rsidR="000623E8" w:rsidRPr="00293F69">
        <w:t>enter</w:t>
      </w:r>
      <w:r w:rsidRPr="00293F69">
        <w:t xml:space="preserve"> Israel. On 17 February 2018, four Israeli soldiers were reportedly injured when an IED exploded close to the fence, East of Khan Younis.</w:t>
      </w:r>
      <w:r w:rsidRPr="00293F69">
        <w:rPr>
          <w:vertAlign w:val="superscript"/>
        </w:rPr>
        <w:footnoteReference w:id="23"/>
      </w:r>
    </w:p>
    <w:p w14:paraId="7F7EBAAE" w14:textId="7E62B96F" w:rsidR="00396513" w:rsidRPr="00C84995" w:rsidRDefault="008E58F2" w:rsidP="008E58F2">
      <w:pPr>
        <w:pStyle w:val="H23G"/>
      </w:pPr>
      <w:r>
        <w:tab/>
      </w:r>
      <w:r w:rsidR="00EA3EB2" w:rsidRPr="00EA3EB2">
        <w:t>B.</w:t>
      </w:r>
      <w:r w:rsidR="00EA3EB2">
        <w:tab/>
      </w:r>
      <w:r w:rsidR="0087332D" w:rsidRPr="00E84CDC">
        <w:t xml:space="preserve">Recurring human rights violations </w:t>
      </w:r>
    </w:p>
    <w:p w14:paraId="3C83B25A" w14:textId="3E15871F" w:rsidR="00197E59" w:rsidRPr="00EA3EB2" w:rsidRDefault="00197E59" w:rsidP="00BA51E8">
      <w:pPr>
        <w:pStyle w:val="SingleTxtG"/>
        <w:tabs>
          <w:tab w:val="left" w:pos="1701"/>
        </w:tabs>
        <w:suppressAutoHyphens/>
        <w:kinsoku w:val="0"/>
        <w:overflowPunct w:val="0"/>
        <w:autoSpaceDE w:val="0"/>
        <w:autoSpaceDN w:val="0"/>
        <w:adjustRightInd w:val="0"/>
        <w:snapToGrid w:val="0"/>
        <w:outlineLvl w:val="0"/>
        <w:rPr>
          <w:b/>
        </w:rPr>
      </w:pPr>
      <w:r w:rsidRPr="00EA3EB2">
        <w:rPr>
          <w:b/>
        </w:rPr>
        <w:t xml:space="preserve">Violations of the right to life </w:t>
      </w:r>
      <w:r w:rsidR="00C935CD" w:rsidRPr="00EA3EB2">
        <w:rPr>
          <w:b/>
        </w:rPr>
        <w:t>and security of person</w:t>
      </w:r>
    </w:p>
    <w:p w14:paraId="07540105" w14:textId="015195E8" w:rsidR="00197E59" w:rsidRPr="004E149D" w:rsidRDefault="004E149D" w:rsidP="00411638">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034B24">
        <w:t>The</w:t>
      </w:r>
      <w:r>
        <w:t xml:space="preserve">re were </w:t>
      </w:r>
      <w:r w:rsidRPr="00034B24">
        <w:t xml:space="preserve">serious concerns of excessive use of force and possible unlawful </w:t>
      </w:r>
      <w:r>
        <w:t>killings by ISF</w:t>
      </w:r>
      <w:r w:rsidR="00465A43">
        <w:t xml:space="preserve"> during the reporting period</w:t>
      </w:r>
      <w:r>
        <w:t xml:space="preserve">, with </w:t>
      </w:r>
      <w:r w:rsidR="00197E59" w:rsidRPr="008A2413">
        <w:t>27</w:t>
      </w:r>
      <w:r w:rsidR="00C935CD" w:rsidRPr="008A2413">
        <w:t>4</w:t>
      </w:r>
      <w:r w:rsidR="00197E59" w:rsidRPr="008A2413">
        <w:t xml:space="preserve"> Palestinian</w:t>
      </w:r>
      <w:r w:rsidR="00465A43">
        <w:t xml:space="preserve"> fatalities</w:t>
      </w:r>
      <w:r w:rsidR="00F73484">
        <w:t>,</w:t>
      </w:r>
      <w:r w:rsidR="00C935CD" w:rsidRPr="00293F69">
        <w:rPr>
          <w:vertAlign w:val="superscript"/>
        </w:rPr>
        <w:footnoteReference w:id="24"/>
      </w:r>
      <w:r w:rsidR="00197E59" w:rsidRPr="008A2413">
        <w:t xml:space="preserve"> </w:t>
      </w:r>
      <w:r w:rsidR="007A1995" w:rsidRPr="008A2413">
        <w:t>including 48 boys</w:t>
      </w:r>
      <w:r w:rsidR="00465A43">
        <w:t>,</w:t>
      </w:r>
      <w:r w:rsidR="007A1995" w:rsidRPr="008A2413">
        <w:t xml:space="preserve"> two </w:t>
      </w:r>
      <w:r w:rsidR="00201A6B" w:rsidRPr="008A2413">
        <w:t>girls</w:t>
      </w:r>
      <w:r w:rsidRPr="008A2413">
        <w:t xml:space="preserve"> </w:t>
      </w:r>
      <w:r w:rsidR="00465A43">
        <w:t>and two women</w:t>
      </w:r>
      <w:r w:rsidRPr="008A2413">
        <w:t>, with a vast majority in Gaza</w:t>
      </w:r>
      <w:r w:rsidR="00201A6B" w:rsidRPr="008A2413">
        <w:t xml:space="preserve">. </w:t>
      </w:r>
      <w:r w:rsidR="00197E59" w:rsidRPr="008A2413">
        <w:t xml:space="preserve">This marks a significant increase from the previous reporting </w:t>
      </w:r>
      <w:r w:rsidR="00197E59" w:rsidRPr="00744C83">
        <w:t>period</w:t>
      </w:r>
      <w:r w:rsidR="00465A43">
        <w:t>,</w:t>
      </w:r>
      <w:r w:rsidR="00197E59" w:rsidRPr="00744C83">
        <w:t xml:space="preserve"> during which I</w:t>
      </w:r>
      <w:r w:rsidR="00A10E59">
        <w:t>sraeli security forces</w:t>
      </w:r>
      <w:r w:rsidR="00197E59" w:rsidRPr="00744C83">
        <w:t xml:space="preserve"> killed 55 Palestinians</w:t>
      </w:r>
      <w:r w:rsidR="00465A43">
        <w:t>,</w:t>
      </w:r>
      <w:r w:rsidR="00197E59" w:rsidRPr="00744C83">
        <w:t xml:space="preserve"> including 14 children. </w:t>
      </w:r>
      <w:r w:rsidR="007A1995" w:rsidRPr="00744C83">
        <w:t>Of the total</w:t>
      </w:r>
      <w:r w:rsidR="00465A43">
        <w:t xml:space="preserve"> number of victims</w:t>
      </w:r>
      <w:r w:rsidR="00061D87" w:rsidRPr="00744C83">
        <w:t>,</w:t>
      </w:r>
      <w:r w:rsidR="007A1995" w:rsidRPr="00744C83">
        <w:t xml:space="preserve"> </w:t>
      </w:r>
      <w:r w:rsidR="001850ED" w:rsidRPr="00744C83">
        <w:t>19</w:t>
      </w:r>
      <w:r w:rsidR="004071AB" w:rsidRPr="00744C83">
        <w:t>2</w:t>
      </w:r>
      <w:r w:rsidR="00465A43">
        <w:t>,</w:t>
      </w:r>
      <w:r w:rsidR="00034B24" w:rsidRPr="00744C83">
        <w:t xml:space="preserve"> including </w:t>
      </w:r>
      <w:r w:rsidR="001850ED" w:rsidRPr="00744C83">
        <w:t xml:space="preserve">37 </w:t>
      </w:r>
      <w:r w:rsidR="00034B24" w:rsidRPr="00744C83">
        <w:t>children</w:t>
      </w:r>
      <w:r w:rsidR="00465A43">
        <w:t>,</w:t>
      </w:r>
      <w:r w:rsidR="00034B24" w:rsidRPr="00744C83">
        <w:t xml:space="preserve"> were killed in the context of demonstrations</w:t>
      </w:r>
      <w:r w:rsidR="00AA0B83">
        <w:t>,</w:t>
      </w:r>
      <w:r w:rsidR="00BB5182" w:rsidRPr="00744C83">
        <w:t xml:space="preserve"> </w:t>
      </w:r>
      <w:r w:rsidR="00867571">
        <w:t>four</w:t>
      </w:r>
      <w:r w:rsidR="004071AB" w:rsidRPr="00744C83">
        <w:t xml:space="preserve"> </w:t>
      </w:r>
      <w:r w:rsidR="00411638">
        <w:t xml:space="preserve">in </w:t>
      </w:r>
      <w:r w:rsidR="004071AB" w:rsidRPr="00744C83">
        <w:t>ISF search and arrest operations</w:t>
      </w:r>
      <w:r w:rsidR="00F73484" w:rsidRPr="00744C83">
        <w:t>;</w:t>
      </w:r>
      <w:r w:rsidR="004071AB" w:rsidRPr="00744C83">
        <w:t xml:space="preserve"> </w:t>
      </w:r>
      <w:r w:rsidR="00197E59" w:rsidRPr="00744C83">
        <w:t xml:space="preserve">12 </w:t>
      </w:r>
      <w:r w:rsidR="00411638">
        <w:t>in</w:t>
      </w:r>
      <w:r w:rsidR="00465A43">
        <w:t xml:space="preserve"> </w:t>
      </w:r>
      <w:r w:rsidR="00197E59" w:rsidRPr="00744C83">
        <w:t>in the context of attacks and alleged attacks against</w:t>
      </w:r>
      <w:r w:rsidR="00197E59" w:rsidRPr="008A2413">
        <w:t xml:space="preserve"> Israelis</w:t>
      </w:r>
      <w:r w:rsidR="00F73484">
        <w:t>;</w:t>
      </w:r>
      <w:r w:rsidR="007A1995" w:rsidRPr="008A2413">
        <w:t xml:space="preserve"> </w:t>
      </w:r>
      <w:r w:rsidR="00465A43">
        <w:t>while</w:t>
      </w:r>
      <w:r w:rsidR="00197E59" w:rsidRPr="008A2413">
        <w:t xml:space="preserve"> three </w:t>
      </w:r>
      <w:r w:rsidR="00034B24" w:rsidRPr="008A2413">
        <w:t xml:space="preserve">Palestinians </w:t>
      </w:r>
      <w:r w:rsidR="00197E59" w:rsidRPr="008A2413">
        <w:t>died in Israeli custod</w:t>
      </w:r>
      <w:r w:rsidR="00683DA1">
        <w:t>y.</w:t>
      </w:r>
    </w:p>
    <w:p w14:paraId="7841EC05" w14:textId="19C57821" w:rsidR="007666FE" w:rsidRPr="00293F69" w:rsidRDefault="00197E59" w:rsidP="00411638">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Following the announcement </w:t>
      </w:r>
      <w:r w:rsidR="00465A43">
        <w:t xml:space="preserve">by the </w:t>
      </w:r>
      <w:r w:rsidR="00411638">
        <w:t>President</w:t>
      </w:r>
      <w:r w:rsidR="00465A43">
        <w:t xml:space="preserve"> of the United States of America </w:t>
      </w:r>
      <w:r w:rsidR="00A10E59">
        <w:t xml:space="preserve">on </w:t>
      </w:r>
      <w:r w:rsidRPr="00293F69">
        <w:t>Jerusalem, demonstrations</w:t>
      </w:r>
      <w:r w:rsidR="001850ED" w:rsidRPr="00293F69">
        <w:t xml:space="preserve"> </w:t>
      </w:r>
      <w:r w:rsidRPr="00293F69">
        <w:t>broke out across the</w:t>
      </w:r>
      <w:r w:rsidR="00F73484" w:rsidRPr="00293F69">
        <w:t xml:space="preserve"> Occupied Palestinian Territory</w:t>
      </w:r>
      <w:r w:rsidR="00465A43">
        <w:t xml:space="preserve">, </w:t>
      </w:r>
      <w:r w:rsidR="002201C1">
        <w:t>which i</w:t>
      </w:r>
      <w:r w:rsidR="00411638">
        <w:t>n many instances developed</w:t>
      </w:r>
      <w:r w:rsidR="00465A43" w:rsidRPr="00293F69">
        <w:t xml:space="preserve"> into clashes between demonstrators and I</w:t>
      </w:r>
      <w:r w:rsidR="00A10E59">
        <w:t>sraeli security forces</w:t>
      </w:r>
      <w:r w:rsidR="008A2413" w:rsidRPr="00293F69">
        <w:t>.</w:t>
      </w:r>
      <w:r w:rsidRPr="00293F69">
        <w:t xml:space="preserve"> </w:t>
      </w:r>
      <w:r w:rsidR="004E149D" w:rsidRPr="00293F69">
        <w:t>Between 6 December 2017 and 28</w:t>
      </w:r>
      <w:r w:rsidRPr="00293F69">
        <w:t xml:space="preserve"> February 2018, 28 Palestinians</w:t>
      </w:r>
      <w:r w:rsidR="00465A43">
        <w:t>,</w:t>
      </w:r>
      <w:r w:rsidRPr="00293F69">
        <w:t xml:space="preserve"> including 22 men and </w:t>
      </w:r>
      <w:r w:rsidR="009C73A3">
        <w:t>6</w:t>
      </w:r>
      <w:r w:rsidRPr="00293F69">
        <w:t xml:space="preserve"> boys</w:t>
      </w:r>
      <w:r w:rsidR="00465A43">
        <w:t>,</w:t>
      </w:r>
      <w:r w:rsidRPr="00293F69">
        <w:t xml:space="preserve"> </w:t>
      </w:r>
      <w:r w:rsidR="004E149D" w:rsidRPr="00293F69">
        <w:t>were</w:t>
      </w:r>
      <w:r w:rsidRPr="00293F69">
        <w:t xml:space="preserve"> killed by </w:t>
      </w:r>
      <w:r w:rsidR="00A10E59">
        <w:t xml:space="preserve">Israeli security forces </w:t>
      </w:r>
      <w:r w:rsidR="00465A43">
        <w:t xml:space="preserve">in </w:t>
      </w:r>
      <w:r w:rsidR="00A10E59">
        <w:t xml:space="preserve">such </w:t>
      </w:r>
      <w:r w:rsidR="00465A43">
        <w:t>context</w:t>
      </w:r>
      <w:r w:rsidR="00A10E59">
        <w:t>s</w:t>
      </w:r>
      <w:r w:rsidR="00F73484" w:rsidRPr="00293F69">
        <w:t>,</w:t>
      </w:r>
      <w:r w:rsidR="00C51486" w:rsidRPr="00293F69">
        <w:rPr>
          <w:vertAlign w:val="superscript"/>
        </w:rPr>
        <w:footnoteReference w:id="25"/>
      </w:r>
      <w:r w:rsidR="00882EE6" w:rsidRPr="00293F69">
        <w:t xml:space="preserve"> </w:t>
      </w:r>
      <w:r w:rsidR="0097417C" w:rsidRPr="00293F69">
        <w:t xml:space="preserve">many in circumstances that did </w:t>
      </w:r>
      <w:r w:rsidR="00882EE6" w:rsidRPr="00293F69">
        <w:t>not seem to pose an imminent</w:t>
      </w:r>
      <w:r w:rsidR="0097417C" w:rsidRPr="00293F69">
        <w:t xml:space="preserve"> threat</w:t>
      </w:r>
      <w:r w:rsidR="00882EE6" w:rsidRPr="00293F69">
        <w:t xml:space="preserve"> to life or serious injury </w:t>
      </w:r>
      <w:r w:rsidR="0097417C" w:rsidRPr="00293F69">
        <w:t xml:space="preserve">that would </w:t>
      </w:r>
      <w:r w:rsidR="007A1995" w:rsidRPr="00293F69">
        <w:t xml:space="preserve">have </w:t>
      </w:r>
      <w:r w:rsidR="0097417C" w:rsidRPr="00293F69">
        <w:t>j</w:t>
      </w:r>
      <w:r w:rsidR="00C51486" w:rsidRPr="00293F69">
        <w:t>ustif</w:t>
      </w:r>
      <w:r w:rsidR="007A1995" w:rsidRPr="00293F69">
        <w:t>ied</w:t>
      </w:r>
      <w:r w:rsidR="00C51486" w:rsidRPr="00293F69">
        <w:t xml:space="preserve"> the use of lethal force. </w:t>
      </w:r>
      <w:r w:rsidR="00882EE6" w:rsidRPr="00293F69">
        <w:t xml:space="preserve">While </w:t>
      </w:r>
      <w:r w:rsidR="00465A43">
        <w:t>the</w:t>
      </w:r>
      <w:r w:rsidR="005C7740">
        <w:t xml:space="preserve"> </w:t>
      </w:r>
      <w:r w:rsidR="004A35EE" w:rsidRPr="00293F69">
        <w:t>response</w:t>
      </w:r>
      <w:r w:rsidR="00882EE6" w:rsidRPr="00293F69">
        <w:t xml:space="preserve"> </w:t>
      </w:r>
      <w:r w:rsidR="00465A43">
        <w:t xml:space="preserve">of </w:t>
      </w:r>
      <w:r w:rsidR="00A10E59">
        <w:t xml:space="preserve">Israeli security forces </w:t>
      </w:r>
      <w:r w:rsidR="00882EE6" w:rsidRPr="00293F69">
        <w:t>initially</w:t>
      </w:r>
      <w:r w:rsidR="004A35EE" w:rsidRPr="00293F69">
        <w:t xml:space="preserve"> </w:t>
      </w:r>
      <w:r w:rsidR="00465A43">
        <w:t xml:space="preserve">seemed </w:t>
      </w:r>
      <w:r w:rsidR="004A35EE" w:rsidRPr="00293F69">
        <w:t>restrained</w:t>
      </w:r>
      <w:r w:rsidR="00882EE6" w:rsidRPr="00293F69">
        <w:t xml:space="preserve"> in the West Bank</w:t>
      </w:r>
      <w:r w:rsidR="004A35EE" w:rsidRPr="00293F69">
        <w:t xml:space="preserve">, </w:t>
      </w:r>
      <w:r w:rsidR="00465A43">
        <w:t xml:space="preserve">it </w:t>
      </w:r>
      <w:r w:rsidR="004A35EE" w:rsidRPr="00293F69">
        <w:t>increas</w:t>
      </w:r>
      <w:r w:rsidR="00465A43">
        <w:t xml:space="preserve">ingly </w:t>
      </w:r>
      <w:r w:rsidR="004A35EE" w:rsidRPr="00293F69">
        <w:t>use</w:t>
      </w:r>
      <w:r w:rsidR="00465A43">
        <w:t>d</w:t>
      </w:r>
      <w:r w:rsidR="004A35EE" w:rsidRPr="00293F69">
        <w:t xml:space="preserve"> live ammunition against demonstrators</w:t>
      </w:r>
      <w:r w:rsidR="00465A43">
        <w:t xml:space="preserve"> </w:t>
      </w:r>
      <w:r w:rsidR="005C7740">
        <w:t>starting in</w:t>
      </w:r>
      <w:r w:rsidR="00465A43">
        <w:t xml:space="preserve"> January 2018</w:t>
      </w:r>
      <w:r w:rsidR="004E149D" w:rsidRPr="00293F69">
        <w:t xml:space="preserve">, with 175 </w:t>
      </w:r>
      <w:r w:rsidR="00465A43">
        <w:t xml:space="preserve">injuries from such </w:t>
      </w:r>
      <w:r w:rsidR="004E149D" w:rsidRPr="00293F69">
        <w:t>ammunition recorded</w:t>
      </w:r>
      <w:r w:rsidR="00882EE6" w:rsidRPr="00293F69">
        <w:t xml:space="preserve">. </w:t>
      </w:r>
      <w:r w:rsidR="004A35EE" w:rsidRPr="00293F69">
        <w:t xml:space="preserve"> </w:t>
      </w:r>
      <w:r w:rsidR="00784A0E" w:rsidRPr="00293F69">
        <w:t>I</w:t>
      </w:r>
      <w:r w:rsidR="004A35EE" w:rsidRPr="00293F69">
        <w:t>n Gaza</w:t>
      </w:r>
      <w:r w:rsidR="00465A43">
        <w:t>,</w:t>
      </w:r>
      <w:r w:rsidR="004A35EE" w:rsidRPr="00293F69">
        <w:t xml:space="preserve"> </w:t>
      </w:r>
      <w:r w:rsidR="00784A0E" w:rsidRPr="00293F69">
        <w:t>the</w:t>
      </w:r>
      <w:r w:rsidR="004A35EE" w:rsidRPr="00293F69">
        <w:t xml:space="preserve"> use</w:t>
      </w:r>
      <w:r w:rsidR="00784A0E" w:rsidRPr="00293F69">
        <w:t xml:space="preserve"> of live ammunition</w:t>
      </w:r>
      <w:r w:rsidR="004A35EE" w:rsidRPr="00293F69">
        <w:t xml:space="preserve"> </w:t>
      </w:r>
      <w:r w:rsidR="007A1995" w:rsidRPr="00293F69">
        <w:t xml:space="preserve">against demonstrators </w:t>
      </w:r>
      <w:r w:rsidR="004A35EE" w:rsidRPr="00293F69">
        <w:t>was</w:t>
      </w:r>
      <w:r w:rsidR="00784A0E" w:rsidRPr="00293F69">
        <w:t xml:space="preserve"> </w:t>
      </w:r>
      <w:r w:rsidR="004A35EE" w:rsidRPr="00293F69">
        <w:t xml:space="preserve">observed </w:t>
      </w:r>
      <w:r w:rsidR="007A1995" w:rsidRPr="00293F69">
        <w:t xml:space="preserve">from </w:t>
      </w:r>
      <w:r w:rsidR="005D09FB" w:rsidRPr="00293F69">
        <w:t>6 December</w:t>
      </w:r>
      <w:r w:rsidR="00465A43">
        <w:t xml:space="preserve"> 2017</w:t>
      </w:r>
      <w:r w:rsidR="004E149D" w:rsidRPr="00293F69">
        <w:t>, resulting in over 400 injuries</w:t>
      </w:r>
      <w:r w:rsidR="007666FE" w:rsidRPr="00293F69">
        <w:t xml:space="preserve"> </w:t>
      </w:r>
      <w:r w:rsidR="00A855B7" w:rsidRPr="00293F69">
        <w:t xml:space="preserve">by </w:t>
      </w:r>
      <w:r w:rsidR="007666FE" w:rsidRPr="00293F69">
        <w:t>the end of February</w:t>
      </w:r>
      <w:r w:rsidR="00465A43">
        <w:t xml:space="preserve"> 2018</w:t>
      </w:r>
      <w:r w:rsidR="004E149D" w:rsidRPr="00293F69">
        <w:t>.</w:t>
      </w:r>
      <w:r w:rsidR="007666FE" w:rsidRPr="00293F69">
        <w:t xml:space="preserve"> </w:t>
      </w:r>
    </w:p>
    <w:p w14:paraId="4ACAF89D" w14:textId="664A8529" w:rsidR="005F70D0" w:rsidRPr="00293F69" w:rsidRDefault="006E02E3"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7666FE">
        <w:t>Furthermore, on several occasions</w:t>
      </w:r>
      <w:r w:rsidR="00D54630">
        <w:t>,</w:t>
      </w:r>
      <w:r w:rsidRPr="007666FE">
        <w:t xml:space="preserve"> </w:t>
      </w:r>
      <w:r w:rsidR="00A10E59">
        <w:t xml:space="preserve">Israeli security forces </w:t>
      </w:r>
      <w:r w:rsidRPr="007666FE">
        <w:t>used force in law enforcement</w:t>
      </w:r>
      <w:r w:rsidR="00A10E59">
        <w:t xml:space="preserve"> </w:t>
      </w:r>
      <w:r w:rsidR="000C390B" w:rsidRPr="007666FE">
        <w:t>in a manner that led to unnecessary injury and death</w:t>
      </w:r>
      <w:r w:rsidRPr="007666FE">
        <w:t>, including by targeting the head or upper part of the body</w:t>
      </w:r>
      <w:r w:rsidR="00061D87" w:rsidRPr="007666FE">
        <w:t xml:space="preserve"> with live ammunition or rubber bullets</w:t>
      </w:r>
      <w:r w:rsidR="00EB6571" w:rsidRPr="007666FE">
        <w:t>.</w:t>
      </w:r>
      <w:r w:rsidR="00A57552" w:rsidRPr="007666FE">
        <w:t xml:space="preserve"> </w:t>
      </w:r>
      <w:r w:rsidR="00A4118F" w:rsidRPr="007666FE">
        <w:t>I</w:t>
      </w:r>
      <w:r w:rsidR="000C390B" w:rsidRPr="007666FE">
        <w:t xml:space="preserve">n at least </w:t>
      </w:r>
      <w:r w:rsidR="00D54630">
        <w:t>10</w:t>
      </w:r>
      <w:r w:rsidR="000C390B" w:rsidRPr="007666FE">
        <w:t xml:space="preserve"> incidents </w:t>
      </w:r>
      <w:r w:rsidR="00D54630">
        <w:t xml:space="preserve">that occurred </w:t>
      </w:r>
      <w:r w:rsidR="000C390B" w:rsidRPr="007666FE">
        <w:t xml:space="preserve">between December 2017 and February 2018 </w:t>
      </w:r>
      <w:r w:rsidR="00494A05" w:rsidRPr="007666FE">
        <w:t xml:space="preserve">in the West Bank, </w:t>
      </w:r>
      <w:r w:rsidR="00623DC4">
        <w:t xml:space="preserve">10 </w:t>
      </w:r>
      <w:r w:rsidR="000C390B" w:rsidRPr="007666FE">
        <w:t>victims</w:t>
      </w:r>
      <w:r w:rsidR="00A57552" w:rsidRPr="007666FE">
        <w:t>, including six children,</w:t>
      </w:r>
      <w:r w:rsidR="000C390B" w:rsidRPr="007666FE">
        <w:t xml:space="preserve"> were hit in the head</w:t>
      </w:r>
      <w:r w:rsidR="00A57552" w:rsidRPr="007666FE">
        <w:t xml:space="preserve"> with live ammunition or rubbe</w:t>
      </w:r>
      <w:r w:rsidR="00A57552" w:rsidRPr="000A6D64">
        <w:t>r-coated</w:t>
      </w:r>
      <w:r w:rsidR="00562B61" w:rsidRPr="000A6D64">
        <w:t xml:space="preserve"> metal</w:t>
      </w:r>
      <w:r w:rsidR="00A57552" w:rsidRPr="007666FE">
        <w:t xml:space="preserve"> bullets</w:t>
      </w:r>
      <w:r w:rsidR="000C390B" w:rsidRPr="007666FE">
        <w:t>. Four of th</w:t>
      </w:r>
      <w:r w:rsidR="00A855B7">
        <w:t>e</w:t>
      </w:r>
      <w:r w:rsidR="00D54630">
        <w:t xml:space="preserve"> victims</w:t>
      </w:r>
      <w:r w:rsidR="000C390B" w:rsidRPr="007666FE">
        <w:t xml:space="preserve">, including three children, were </w:t>
      </w:r>
      <w:r w:rsidR="00D54630">
        <w:t xml:space="preserve">consequently </w:t>
      </w:r>
      <w:r w:rsidR="000C390B" w:rsidRPr="007666FE">
        <w:t xml:space="preserve">killed. </w:t>
      </w:r>
      <w:r w:rsidR="00E93449" w:rsidRPr="007666FE">
        <w:t>In Gaza</w:t>
      </w:r>
      <w:r w:rsidR="005011D0">
        <w:t>,</w:t>
      </w:r>
      <w:r w:rsidR="00E93449" w:rsidRPr="007666FE">
        <w:t xml:space="preserve"> during the same period, eight Palestinians</w:t>
      </w:r>
      <w:r w:rsidR="00D54630">
        <w:t>,</w:t>
      </w:r>
      <w:r w:rsidR="00E93449" w:rsidRPr="007666FE">
        <w:t xml:space="preserve"> including a 15</w:t>
      </w:r>
      <w:r w:rsidR="004E149D" w:rsidRPr="007666FE">
        <w:t>-year old</w:t>
      </w:r>
      <w:r w:rsidR="00E93449" w:rsidRPr="007666FE">
        <w:t xml:space="preserve"> boy, were killed</w:t>
      </w:r>
      <w:r w:rsidR="00A855B7">
        <w:t xml:space="preserve"> when shot</w:t>
      </w:r>
      <w:r w:rsidR="00E93449" w:rsidRPr="007666FE">
        <w:t xml:space="preserve"> with live ammunition in</w:t>
      </w:r>
      <w:r w:rsidR="00A855B7">
        <w:t xml:space="preserve"> the</w:t>
      </w:r>
      <w:r w:rsidR="00E93449" w:rsidRPr="007666FE">
        <w:t xml:space="preserve"> head </w:t>
      </w:r>
      <w:r w:rsidR="00A855B7">
        <w:t xml:space="preserve">or </w:t>
      </w:r>
      <w:r w:rsidR="00E93449" w:rsidRPr="007666FE">
        <w:t xml:space="preserve">upper part of the </w:t>
      </w:r>
      <w:r w:rsidR="009600BD" w:rsidRPr="007666FE">
        <w:t>body.</w:t>
      </w:r>
      <w:r w:rsidR="00E93449" w:rsidRPr="007666FE">
        <w:t xml:space="preserve"> </w:t>
      </w:r>
    </w:p>
    <w:p w14:paraId="352AAAA5" w14:textId="08DB979A" w:rsidR="005F70D0" w:rsidRPr="009049FF" w:rsidRDefault="003056A2" w:rsidP="00B83D15">
      <w:pPr>
        <w:pStyle w:val="SingleTxtG"/>
        <w:numPr>
          <w:ilvl w:val="0"/>
          <w:numId w:val="33"/>
        </w:numPr>
        <w:tabs>
          <w:tab w:val="left" w:pos="1701"/>
        </w:tabs>
        <w:suppressAutoHyphens/>
        <w:kinsoku w:val="0"/>
        <w:overflowPunct w:val="0"/>
        <w:autoSpaceDE w:val="0"/>
        <w:autoSpaceDN w:val="0"/>
        <w:adjustRightInd w:val="0"/>
        <w:snapToGrid w:val="0"/>
        <w:ind w:left="1134" w:firstLine="0"/>
      </w:pPr>
      <w:r>
        <w:t>D</w:t>
      </w:r>
      <w:r w:rsidR="005F70D0" w:rsidRPr="002A0A56">
        <w:t>uring clashes in Nabi Saleh</w:t>
      </w:r>
      <w:r>
        <w:t xml:space="preserve"> in the West Bank</w:t>
      </w:r>
      <w:r w:rsidR="005F70D0" w:rsidRPr="002A0A56">
        <w:t xml:space="preserve"> on 15 December </w:t>
      </w:r>
      <w:r w:rsidR="00A92C06" w:rsidRPr="002A0A56">
        <w:t>201</w:t>
      </w:r>
      <w:r w:rsidR="00A92C06">
        <w:t>7</w:t>
      </w:r>
      <w:r w:rsidR="005F70D0" w:rsidRPr="002A0A56">
        <w:t>,</w:t>
      </w:r>
      <w:r w:rsidR="005F70D0">
        <w:t xml:space="preserve"> </w:t>
      </w:r>
      <w:r w:rsidR="00A10E59">
        <w:t xml:space="preserve">Israeli security forces </w:t>
      </w:r>
      <w:r w:rsidR="005F70D0" w:rsidRPr="00262B9B">
        <w:t>shot</w:t>
      </w:r>
      <w:r w:rsidR="007451CA">
        <w:t xml:space="preserve"> and</w:t>
      </w:r>
      <w:r>
        <w:t xml:space="preserve"> seriously</w:t>
      </w:r>
      <w:r w:rsidR="007451CA">
        <w:t xml:space="preserve"> </w:t>
      </w:r>
      <w:r w:rsidR="00B83D15">
        <w:t>injured</w:t>
      </w:r>
      <w:r w:rsidR="005F70D0" w:rsidRPr="00262B9B">
        <w:t xml:space="preserve"> a 15-year-old </w:t>
      </w:r>
      <w:r w:rsidR="00B650E9">
        <w:t xml:space="preserve">boy </w:t>
      </w:r>
      <w:r w:rsidR="00FB434D">
        <w:t xml:space="preserve">in </w:t>
      </w:r>
      <w:r w:rsidR="00D54630">
        <w:t>the</w:t>
      </w:r>
      <w:r w:rsidR="00FB434D">
        <w:t xml:space="preserve"> face at close range</w:t>
      </w:r>
      <w:r w:rsidR="005F70D0" w:rsidRPr="00262B9B">
        <w:t xml:space="preserve"> with a rubber</w:t>
      </w:r>
      <w:r w:rsidR="009C73A3">
        <w:t>-</w:t>
      </w:r>
      <w:r w:rsidR="005F70D0" w:rsidRPr="00262B9B">
        <w:t xml:space="preserve">coated bullet. </w:t>
      </w:r>
      <w:r w:rsidR="00EA22BB">
        <w:t xml:space="preserve">The child was reportedly throwing stones at </w:t>
      </w:r>
      <w:r w:rsidR="00A10E59">
        <w:t xml:space="preserve">members of the Israeli security forces </w:t>
      </w:r>
      <w:r w:rsidR="00EA22BB">
        <w:t xml:space="preserve">from the top of an abandoned building. </w:t>
      </w:r>
      <w:r w:rsidR="00A92C06">
        <w:t>On 11 January 2018</w:t>
      </w:r>
      <w:r w:rsidR="00D54630">
        <w:t xml:space="preserve"> </w:t>
      </w:r>
      <w:r w:rsidR="00444B49" w:rsidRPr="00262B9B">
        <w:t xml:space="preserve">in </w:t>
      </w:r>
      <w:r w:rsidR="00444B49">
        <w:t>Iraq Burin</w:t>
      </w:r>
      <w:r w:rsidR="00D54630">
        <w:t>,</w:t>
      </w:r>
      <w:r w:rsidR="00444B49">
        <w:t xml:space="preserve"> in Nablus, </w:t>
      </w:r>
      <w:r w:rsidR="00A10E59">
        <w:t xml:space="preserve">Israeli security forces </w:t>
      </w:r>
      <w:r w:rsidR="00444B49">
        <w:t>shot a 17-year-old in the head with live ammunition</w:t>
      </w:r>
      <w:r w:rsidR="00FB434D">
        <w:t>, killing him</w:t>
      </w:r>
      <w:r w:rsidR="00444B49">
        <w:t xml:space="preserve">. The victim </w:t>
      </w:r>
      <w:r w:rsidR="00D54630">
        <w:t xml:space="preserve">had </w:t>
      </w:r>
      <w:r w:rsidR="00444B49">
        <w:t>reportedly thr</w:t>
      </w:r>
      <w:r w:rsidR="00D54630">
        <w:t>o</w:t>
      </w:r>
      <w:r w:rsidR="00444B49">
        <w:t>w</w:t>
      </w:r>
      <w:r w:rsidR="00D54630">
        <w:t>n</w:t>
      </w:r>
      <w:r w:rsidR="00444B49">
        <w:t xml:space="preserve"> stones at a passing </w:t>
      </w:r>
      <w:r w:rsidR="00A10E59">
        <w:t xml:space="preserve">Israeli security forces’ </w:t>
      </w:r>
      <w:r w:rsidR="00444B49">
        <w:t>patrol and was running away when a soldier opened fire from a distance of approximately 40 metr</w:t>
      </w:r>
      <w:r w:rsidR="00C5174D">
        <w:t>e</w:t>
      </w:r>
      <w:r w:rsidR="00444B49">
        <w:t>s.</w:t>
      </w:r>
      <w:r w:rsidR="009049FF">
        <w:t xml:space="preserve"> </w:t>
      </w:r>
      <w:r w:rsidR="00EA22BB" w:rsidRPr="009049FF">
        <w:t xml:space="preserve">In both </w:t>
      </w:r>
      <w:r w:rsidR="005F70D0" w:rsidRPr="009049FF">
        <w:t>cases</w:t>
      </w:r>
      <w:r w:rsidR="00C5174D">
        <w:t>,</w:t>
      </w:r>
      <w:r w:rsidR="005F70D0" w:rsidRPr="009049FF">
        <w:t xml:space="preserve"> the victims</w:t>
      </w:r>
      <w:r w:rsidR="00EA22BB" w:rsidRPr="009049FF">
        <w:t xml:space="preserve"> </w:t>
      </w:r>
      <w:r w:rsidR="009049FF">
        <w:t>did</w:t>
      </w:r>
      <w:r w:rsidR="00C5174D">
        <w:t xml:space="preserve"> not</w:t>
      </w:r>
      <w:r w:rsidR="00EA22BB" w:rsidRPr="009049FF">
        <w:t xml:space="preserve"> </w:t>
      </w:r>
      <w:r w:rsidR="00061D87" w:rsidRPr="009049FF">
        <w:t xml:space="preserve">appear </w:t>
      </w:r>
      <w:r w:rsidR="00EA22BB" w:rsidRPr="009049FF">
        <w:t>to</w:t>
      </w:r>
      <w:r w:rsidR="005F70D0" w:rsidRPr="009049FF">
        <w:t xml:space="preserve"> pos</w:t>
      </w:r>
      <w:r w:rsidR="00EA22BB" w:rsidRPr="009049FF">
        <w:t>e</w:t>
      </w:r>
      <w:r w:rsidR="005F70D0" w:rsidRPr="009049FF">
        <w:t xml:space="preserve"> an imminent threat to life or serious injury</w:t>
      </w:r>
      <w:r w:rsidR="00EA22BB" w:rsidRPr="009049FF">
        <w:t xml:space="preserve"> </w:t>
      </w:r>
      <w:r w:rsidR="00C5174D">
        <w:t xml:space="preserve">when they </w:t>
      </w:r>
      <w:r w:rsidR="005F70D0" w:rsidRPr="009049FF">
        <w:t>were killed</w:t>
      </w:r>
      <w:r w:rsidR="00EA22BB" w:rsidRPr="009049FF">
        <w:t>, raising concerns of excessive use of force</w:t>
      </w:r>
      <w:r w:rsidR="005F70D0" w:rsidRPr="009049FF">
        <w:t xml:space="preserve">. </w:t>
      </w:r>
    </w:p>
    <w:p w14:paraId="44673524" w14:textId="2042B176" w:rsidR="00C84995" w:rsidRPr="00C84995" w:rsidRDefault="0097417C"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O</w:t>
      </w:r>
      <w:r w:rsidR="00197E59" w:rsidRPr="007242FE">
        <w:t>n 15 December 2017, during demonstrations near the fence East of Gaza city</w:t>
      </w:r>
      <w:r w:rsidR="007A69A9">
        <w:t>,</w:t>
      </w:r>
      <w:r w:rsidR="00197E59" w:rsidRPr="00354411">
        <w:t xml:space="preserve"> </w:t>
      </w:r>
      <w:r w:rsidR="00A10E59">
        <w:t xml:space="preserve">Israeli security forces </w:t>
      </w:r>
      <w:r w:rsidR="00197E59" w:rsidRPr="00354411">
        <w:t>killed a wheelchair user with a bullet to the head. The man was shot approximately 20 metr</w:t>
      </w:r>
      <w:r w:rsidR="00C324FA">
        <w:t>e</w:t>
      </w:r>
      <w:r w:rsidR="00197E59" w:rsidRPr="00354411">
        <w:t>s from the fence in circumstances that did not appear to constitute an imminent threat of death or serious injury that would have justified the use of lethal force.</w:t>
      </w:r>
      <w:r w:rsidR="00197E59" w:rsidRPr="00293F69">
        <w:rPr>
          <w:vertAlign w:val="superscript"/>
        </w:rPr>
        <w:footnoteReference w:id="26"/>
      </w:r>
    </w:p>
    <w:p w14:paraId="6AD1B80A" w14:textId="2ACE215B" w:rsidR="00493C36" w:rsidRPr="0097417C" w:rsidRDefault="007C4A80"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Large-scale</w:t>
      </w:r>
      <w:r>
        <w:t xml:space="preserve"> </w:t>
      </w:r>
      <w:r w:rsidR="00493C36">
        <w:t>demonstrations started on 30 March 2018</w:t>
      </w:r>
      <w:r w:rsidR="00C324FA">
        <w:rPr>
          <w:rStyle w:val="FootnoteReference"/>
        </w:rPr>
        <w:footnoteReference w:id="27"/>
      </w:r>
      <w:r w:rsidR="00493C36">
        <w:t xml:space="preserve"> along </w:t>
      </w:r>
      <w:r w:rsidR="00493C36" w:rsidRPr="00293F69">
        <w:t>Israel’s perimet</w:t>
      </w:r>
      <w:r w:rsidR="00A06A63">
        <w:t>er</w:t>
      </w:r>
      <w:r w:rsidR="00493C36" w:rsidRPr="00293F69">
        <w:t xml:space="preserve"> fence with Gaza</w:t>
      </w:r>
      <w:r w:rsidR="00C324FA">
        <w:t>,</w:t>
      </w:r>
      <w:r w:rsidR="00493C36">
        <w:t xml:space="preserve"> under the banner of </w:t>
      </w:r>
      <w:r w:rsidR="00A10E59">
        <w:t xml:space="preserve">a </w:t>
      </w:r>
      <w:r w:rsidR="00493C36">
        <w:t>“Great March of Return</w:t>
      </w:r>
      <w:r w:rsidR="002C0B8E">
        <w:t>,</w:t>
      </w:r>
      <w:r w:rsidR="00493C36">
        <w:t>”</w:t>
      </w:r>
      <w:r w:rsidR="007A69A9">
        <w:t xml:space="preserve"> </w:t>
      </w:r>
      <w:r w:rsidR="00493C36" w:rsidRPr="0097417C">
        <w:t>calling for the right of return for Palestinian refugees and protesting the Israeli blockade on Gaza.</w:t>
      </w:r>
      <w:r w:rsidR="00493C36">
        <w:t xml:space="preserve"> </w:t>
      </w:r>
      <w:r w:rsidR="00C324FA">
        <w:t>In the context of the</w:t>
      </w:r>
      <w:r w:rsidR="00A10E59">
        <w:t>se</w:t>
      </w:r>
      <w:r w:rsidR="00C324FA">
        <w:t xml:space="preserve"> demonstrations, </w:t>
      </w:r>
      <w:r w:rsidR="00493C36" w:rsidRPr="00293F69">
        <w:t>169 Palestinians</w:t>
      </w:r>
      <w:r w:rsidR="00C324FA">
        <w:t xml:space="preserve"> (</w:t>
      </w:r>
      <w:r w:rsidR="00493C36" w:rsidRPr="00293F69">
        <w:t xml:space="preserve">including </w:t>
      </w:r>
      <w:r w:rsidR="00C324FA">
        <w:t xml:space="preserve">30 boys, </w:t>
      </w:r>
      <w:r w:rsidR="00B04247" w:rsidRPr="00293F69">
        <w:t xml:space="preserve">one woman, </w:t>
      </w:r>
      <w:r w:rsidR="002C0B8E" w:rsidRPr="00293F69">
        <w:t xml:space="preserve">and </w:t>
      </w:r>
      <w:r w:rsidR="00C324FA">
        <w:t>a</w:t>
      </w:r>
      <w:r w:rsidR="00493C36" w:rsidRPr="00293F69">
        <w:t xml:space="preserve"> girl</w:t>
      </w:r>
      <w:r w:rsidR="00C324FA">
        <w:t xml:space="preserve">) </w:t>
      </w:r>
      <w:r w:rsidR="00493C36" w:rsidRPr="00293F69">
        <w:t>and one Israeli soldier were killed</w:t>
      </w:r>
      <w:r w:rsidR="0072571D">
        <w:t>. Three Israeli soldiers and over</w:t>
      </w:r>
      <w:r w:rsidR="00C324FA">
        <w:t xml:space="preserve"> </w:t>
      </w:r>
      <w:r w:rsidR="00364BC9" w:rsidRPr="00293F69">
        <w:t>24,</w:t>
      </w:r>
      <w:r w:rsidR="00033A46" w:rsidRPr="00293F69">
        <w:t>000</w:t>
      </w:r>
      <w:r w:rsidR="009049FF" w:rsidRPr="00293F69">
        <w:t xml:space="preserve"> </w:t>
      </w:r>
      <w:r w:rsidR="00493C36" w:rsidRPr="00293F69">
        <w:t>Palestinians were injured,</w:t>
      </w:r>
      <w:r w:rsidR="00364BC9" w:rsidRPr="00293F69">
        <w:t xml:space="preserve"> including over 5,</w:t>
      </w:r>
      <w:r w:rsidR="00C409B9" w:rsidRPr="00293F69">
        <w:t>800</w:t>
      </w:r>
      <w:r w:rsidR="00493C36" w:rsidRPr="00293F69">
        <w:t xml:space="preserve"> with live ammunition</w:t>
      </w:r>
      <w:r w:rsidR="0072571D">
        <w:t>.</w:t>
      </w:r>
      <w:r w:rsidR="007666FE" w:rsidRPr="00293F69">
        <w:rPr>
          <w:vertAlign w:val="superscript"/>
        </w:rPr>
        <w:footnoteReference w:id="28"/>
      </w:r>
      <w:r w:rsidR="00493C36" w:rsidRPr="00293F69">
        <w:t xml:space="preserve"> </w:t>
      </w:r>
      <w:r w:rsidR="00C324FA">
        <w:t>The World Health Organization (</w:t>
      </w:r>
      <w:r w:rsidR="00A4118F" w:rsidRPr="00293F69">
        <w:t>WHO</w:t>
      </w:r>
      <w:r w:rsidR="00C324FA">
        <w:t>)</w:t>
      </w:r>
      <w:r w:rsidR="00493C36" w:rsidRPr="00293F69">
        <w:t xml:space="preserve"> estimated that as many as 1,200 of those injured will require long-term limb reconstruction and extensive rehabilitation which may not</w:t>
      </w:r>
      <w:r w:rsidR="00526656" w:rsidRPr="00293F69">
        <w:t xml:space="preserve"> be</w:t>
      </w:r>
      <w:r w:rsidR="00493C36" w:rsidRPr="00293F69">
        <w:t xml:space="preserve"> available in Gaza.</w:t>
      </w:r>
      <w:r w:rsidR="00493C36" w:rsidRPr="00293F69">
        <w:rPr>
          <w:vertAlign w:val="superscript"/>
        </w:rPr>
        <w:footnoteReference w:id="29"/>
      </w:r>
    </w:p>
    <w:p w14:paraId="2816D512" w14:textId="2B977438" w:rsidR="00197E59" w:rsidRPr="00201A6B" w:rsidRDefault="00201A6B" w:rsidP="006D089A">
      <w:pPr>
        <w:pStyle w:val="SingleTxtG"/>
        <w:numPr>
          <w:ilvl w:val="0"/>
          <w:numId w:val="33"/>
        </w:numPr>
        <w:tabs>
          <w:tab w:val="left" w:pos="1701"/>
        </w:tabs>
        <w:suppressAutoHyphens/>
        <w:kinsoku w:val="0"/>
        <w:overflowPunct w:val="0"/>
        <w:autoSpaceDE w:val="0"/>
        <w:autoSpaceDN w:val="0"/>
        <w:adjustRightInd w:val="0"/>
        <w:snapToGrid w:val="0"/>
        <w:ind w:left="1134" w:firstLine="0"/>
      </w:pPr>
      <w:r>
        <w:t>On 30 March</w:t>
      </w:r>
      <w:r w:rsidRPr="007E7599">
        <w:t xml:space="preserve"> </w:t>
      </w:r>
      <w:r>
        <w:t>2018</w:t>
      </w:r>
      <w:r w:rsidRPr="007E7599">
        <w:t xml:space="preserve">, </w:t>
      </w:r>
      <w:r w:rsidRPr="00293F69">
        <w:t>a 19-year-old man was shot dead approximately 400 metr</w:t>
      </w:r>
      <w:r w:rsidR="00623DC4">
        <w:t>e</w:t>
      </w:r>
      <w:r w:rsidRPr="00293F69">
        <w:t>s from the fence</w:t>
      </w:r>
      <w:r w:rsidR="00623DC4">
        <w:t>,</w:t>
      </w:r>
      <w:r w:rsidRPr="00293F69">
        <w:t xml:space="preserve"> </w:t>
      </w:r>
      <w:r w:rsidR="00061D87">
        <w:t>near</w:t>
      </w:r>
      <w:r w:rsidR="00061D87" w:rsidRPr="007E7599">
        <w:t xml:space="preserve"> </w:t>
      </w:r>
      <w:r w:rsidRPr="007E7599">
        <w:t>Jabalia</w:t>
      </w:r>
      <w:r w:rsidRPr="00293F69">
        <w:t xml:space="preserve">. Evidence, including video footage, shows that </w:t>
      </w:r>
      <w:r w:rsidR="00C324FA">
        <w:t xml:space="preserve">he </w:t>
      </w:r>
      <w:r w:rsidRPr="00293F69">
        <w:t xml:space="preserve">was shot whilst carrying a tire and running away from </w:t>
      </w:r>
      <w:r w:rsidR="002A78D7">
        <w:t xml:space="preserve">Israeli security forces </w:t>
      </w:r>
      <w:r w:rsidRPr="00293F69">
        <w:t xml:space="preserve">in circumstances that did not appear to constitute an imminent threat of death or serious injury. </w:t>
      </w:r>
      <w:r w:rsidRPr="007E7599">
        <w:t xml:space="preserve">On 27 July 2018, </w:t>
      </w:r>
      <w:r>
        <w:t>ISF</w:t>
      </w:r>
      <w:r w:rsidR="002A78D7">
        <w:t xml:space="preserve"> </w:t>
      </w:r>
      <w:r>
        <w:t>shot a</w:t>
      </w:r>
      <w:r w:rsidR="002C0B8E">
        <w:t>n 11-year-old boy in the head, killing him</w:t>
      </w:r>
      <w:r w:rsidR="008854D5">
        <w:t xml:space="preserve">, </w:t>
      </w:r>
      <w:r w:rsidR="00061D87">
        <w:t>e</w:t>
      </w:r>
      <w:r w:rsidRPr="007E7599">
        <w:t xml:space="preserve">ast of Rafah. Witnesses reported that the </w:t>
      </w:r>
      <w:r>
        <w:t>boy</w:t>
      </w:r>
      <w:r w:rsidRPr="007E7599">
        <w:t xml:space="preserve"> was watching demonstrators waving flags, burning tires and throwing stones</w:t>
      </w:r>
      <w:r w:rsidR="00C324FA">
        <w:t>,</w:t>
      </w:r>
      <w:r w:rsidRPr="007E7599">
        <w:t xml:space="preserve"> approximately 30 metr</w:t>
      </w:r>
      <w:r w:rsidR="00C324FA">
        <w:t>e</w:t>
      </w:r>
      <w:r w:rsidRPr="007E7599">
        <w:t xml:space="preserve">s from the barbwire, when </w:t>
      </w:r>
      <w:r w:rsidR="002A78D7">
        <w:t xml:space="preserve">Israeli security forces </w:t>
      </w:r>
      <w:r w:rsidRPr="007E7599">
        <w:t>opened fire indiscriminately towards the demonstrators.</w:t>
      </w:r>
    </w:p>
    <w:p w14:paraId="6E0B8581" w14:textId="0A37FED4" w:rsidR="009217A5" w:rsidRPr="009969C9" w:rsidRDefault="002A78D7"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 xml:space="preserve">Israeli security forces </w:t>
      </w:r>
      <w:r w:rsidR="009217A5">
        <w:t>killed or injured s</w:t>
      </w:r>
      <w:r w:rsidR="009217A5" w:rsidRPr="00123640">
        <w:t>everal medical personnel</w:t>
      </w:r>
      <w:r w:rsidR="00C324FA" w:rsidRPr="00C324FA">
        <w:t xml:space="preserve"> </w:t>
      </w:r>
      <w:r w:rsidR="00C324FA" w:rsidRPr="00123640">
        <w:t>while they were carrying out their duties</w:t>
      </w:r>
      <w:r w:rsidR="002C0B8E">
        <w:t>,</w:t>
      </w:r>
      <w:r w:rsidR="009217A5" w:rsidRPr="00123640">
        <w:t xml:space="preserve"> </w:t>
      </w:r>
      <w:r w:rsidR="009049FF">
        <w:t>mostly during demonstrations or clashes</w:t>
      </w:r>
      <w:r w:rsidR="00646597">
        <w:t xml:space="preserve"> with demonstrators</w:t>
      </w:r>
      <w:r w:rsidR="009217A5" w:rsidRPr="00123640">
        <w:t xml:space="preserve">. According to WHO, ISF injured 17 health </w:t>
      </w:r>
      <w:r w:rsidR="009217A5">
        <w:t>workers</w:t>
      </w:r>
      <w:r w:rsidR="009217A5" w:rsidRPr="00123640">
        <w:t xml:space="preserve"> in the West Bank </w:t>
      </w:r>
      <w:r w:rsidR="009049FF">
        <w:t>while</w:t>
      </w:r>
      <w:r w:rsidR="009217A5" w:rsidRPr="00123640">
        <w:t xml:space="preserve"> three health </w:t>
      </w:r>
      <w:r w:rsidR="009217A5">
        <w:t xml:space="preserve">workers </w:t>
      </w:r>
      <w:r w:rsidR="009217A5" w:rsidRPr="00123640">
        <w:t>were killed and 496 injured</w:t>
      </w:r>
      <w:r w:rsidR="00C324FA">
        <w:t xml:space="preserve"> in Gaza</w:t>
      </w:r>
      <w:r w:rsidR="009217A5">
        <w:t>.</w:t>
      </w:r>
      <w:r w:rsidR="009217A5" w:rsidRPr="009969C9">
        <w:t xml:space="preserve"> For example, on 1 June 2018, </w:t>
      </w:r>
      <w:r w:rsidR="00C324FA">
        <w:t xml:space="preserve">a </w:t>
      </w:r>
      <w:r w:rsidR="009217A5" w:rsidRPr="009969C9">
        <w:t xml:space="preserve">female paramedic volunteering with </w:t>
      </w:r>
      <w:r w:rsidR="00C324FA">
        <w:t xml:space="preserve">the </w:t>
      </w:r>
      <w:r w:rsidR="009217A5" w:rsidRPr="009969C9">
        <w:t xml:space="preserve">Palestinian Medical Relief Society </w:t>
      </w:r>
      <w:r w:rsidR="00C324FA">
        <w:t xml:space="preserve">was killed after being </w:t>
      </w:r>
      <w:r w:rsidR="009217A5" w:rsidRPr="009969C9">
        <w:t xml:space="preserve">shot with live ammunition in </w:t>
      </w:r>
      <w:r w:rsidR="00C324FA">
        <w:t>the</w:t>
      </w:r>
      <w:r w:rsidR="009217A5" w:rsidRPr="009969C9">
        <w:t xml:space="preserve"> chest</w:t>
      </w:r>
      <w:r w:rsidR="00C324FA">
        <w:t>,</w:t>
      </w:r>
      <w:r w:rsidR="009217A5" w:rsidRPr="009969C9">
        <w:t xml:space="preserve"> approximately 25 metr</w:t>
      </w:r>
      <w:r w:rsidR="00C324FA">
        <w:t>e</w:t>
      </w:r>
      <w:r w:rsidR="009217A5" w:rsidRPr="009969C9">
        <w:t xml:space="preserve">s from the fence, </w:t>
      </w:r>
      <w:r w:rsidR="00061D87">
        <w:t>e</w:t>
      </w:r>
      <w:r w:rsidR="009217A5" w:rsidRPr="009969C9">
        <w:t xml:space="preserve">ast of Khan Younis. Witnesses reported that she was killed whilst trying to rescue injured demonstrators at the </w:t>
      </w:r>
      <w:r w:rsidR="009600BD" w:rsidRPr="009969C9">
        <w:t>fence.</w:t>
      </w:r>
    </w:p>
    <w:p w14:paraId="6A20FDCB" w14:textId="45D44C7F" w:rsidR="0055151D" w:rsidRPr="0055151D" w:rsidRDefault="00C324FA"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I</w:t>
      </w:r>
      <w:r w:rsidR="00683DA1">
        <w:t>n Gaza and the West Bank</w:t>
      </w:r>
      <w:r>
        <w:t>,</w:t>
      </w:r>
      <w:r w:rsidR="00683DA1">
        <w:t xml:space="preserve"> </w:t>
      </w:r>
      <w:r>
        <w:t xml:space="preserve">journalists </w:t>
      </w:r>
      <w:r w:rsidR="00683DA1">
        <w:t>were</w:t>
      </w:r>
      <w:r w:rsidR="007A2570">
        <w:t xml:space="preserve"> injured and some </w:t>
      </w:r>
      <w:r>
        <w:t>were</w:t>
      </w:r>
      <w:r w:rsidR="007A2570">
        <w:t xml:space="preserve"> killed </w:t>
      </w:r>
      <w:r w:rsidR="00A950B4">
        <w:t>by ISF</w:t>
      </w:r>
      <w:r w:rsidR="002A78D7">
        <w:t xml:space="preserve"> </w:t>
      </w:r>
      <w:r w:rsidR="00A950B4">
        <w:t>during demonstrations.</w:t>
      </w:r>
      <w:r w:rsidR="001C7D7C">
        <w:t xml:space="preserve"> </w:t>
      </w:r>
      <w:r w:rsidR="009600BD">
        <w:t>In the West Bank, 52 instances of physical attacks and injuries against journalists were documented</w:t>
      </w:r>
      <w:r w:rsidR="009600BD" w:rsidRPr="009600BD">
        <w:t xml:space="preserve"> </w:t>
      </w:r>
      <w:r w:rsidR="009600BD">
        <w:t>during the demonstrations</w:t>
      </w:r>
      <w:r>
        <w:t xml:space="preserve"> in December 2017 alone</w:t>
      </w:r>
      <w:r w:rsidR="009600BD">
        <w:t>.</w:t>
      </w:r>
      <w:r w:rsidR="00061C56" w:rsidRPr="00293F69">
        <w:rPr>
          <w:vertAlign w:val="superscript"/>
        </w:rPr>
        <w:footnoteReference w:id="30"/>
      </w:r>
      <w:r w:rsidR="00824CE2" w:rsidRPr="009600BD">
        <w:t xml:space="preserve"> During the “Great March of Return” demonstrations in Gaza, two journalists were killed and </w:t>
      </w:r>
      <w:r w:rsidR="0055151D">
        <w:t>113 journalists were injured</w:t>
      </w:r>
      <w:r w:rsidR="00917290">
        <w:t xml:space="preserve"> by </w:t>
      </w:r>
      <w:r w:rsidR="002A78D7">
        <w:t>Israeli security forces</w:t>
      </w:r>
      <w:r w:rsidR="00917290">
        <w:t>,</w:t>
      </w:r>
      <w:r w:rsidR="0055151D">
        <w:t xml:space="preserve"> including </w:t>
      </w:r>
      <w:r w:rsidR="00061C56" w:rsidRPr="009600BD">
        <w:t>70 with live ammunition</w:t>
      </w:r>
      <w:r w:rsidR="00824CE2" w:rsidRPr="009600BD">
        <w:t>.</w:t>
      </w:r>
      <w:r w:rsidR="00061C56" w:rsidRPr="00293F69">
        <w:rPr>
          <w:vertAlign w:val="superscript"/>
        </w:rPr>
        <w:footnoteReference w:id="31"/>
      </w:r>
    </w:p>
    <w:p w14:paraId="64880BFE" w14:textId="5B661A00" w:rsidR="009217A5" w:rsidRPr="00293F69" w:rsidRDefault="00045257" w:rsidP="008A524C">
      <w:pPr>
        <w:pStyle w:val="SingleTxtG"/>
        <w:numPr>
          <w:ilvl w:val="0"/>
          <w:numId w:val="33"/>
        </w:numPr>
        <w:tabs>
          <w:tab w:val="left" w:pos="1701"/>
        </w:tabs>
        <w:suppressAutoHyphens/>
        <w:kinsoku w:val="0"/>
        <w:overflowPunct w:val="0"/>
        <w:autoSpaceDE w:val="0"/>
        <w:autoSpaceDN w:val="0"/>
        <w:adjustRightInd w:val="0"/>
        <w:snapToGrid w:val="0"/>
        <w:ind w:left="1134" w:firstLine="0"/>
      </w:pPr>
      <w:r>
        <w:t>Throughout</w:t>
      </w:r>
      <w:r w:rsidR="00917290">
        <w:t xml:space="preserve"> t</w:t>
      </w:r>
      <w:r>
        <w:t>he reporting period</w:t>
      </w:r>
      <w:r w:rsidR="002A78D7">
        <w:t>,</w:t>
      </w:r>
      <w:r>
        <w:t xml:space="preserve"> </w:t>
      </w:r>
      <w:r w:rsidR="002A78D7">
        <w:t xml:space="preserve">Israeli security forces </w:t>
      </w:r>
      <w:r w:rsidR="009217A5" w:rsidRPr="00293F69">
        <w:t>enforced restricted areas at sea</w:t>
      </w:r>
      <w:r w:rsidR="00061D87" w:rsidRPr="00293F69">
        <w:t xml:space="preserve"> off </w:t>
      </w:r>
      <w:r w:rsidR="0071741D" w:rsidRPr="00293F69">
        <w:t xml:space="preserve">the coast of </w:t>
      </w:r>
      <w:r w:rsidR="00061D87" w:rsidRPr="00293F69">
        <w:t xml:space="preserve">Gaza </w:t>
      </w:r>
      <w:r w:rsidR="009217A5" w:rsidRPr="00293F69">
        <w:t>by firing live ammunition</w:t>
      </w:r>
      <w:r w:rsidR="0071741D" w:rsidRPr="00293F69">
        <w:t xml:space="preserve"> and</w:t>
      </w:r>
      <w:r w:rsidR="009217A5" w:rsidRPr="00293F69">
        <w:t xml:space="preserve"> confiscating and damaging fishing boats and equipment. </w:t>
      </w:r>
      <w:r w:rsidR="000D7C97">
        <w:t>Three-hundred-twenty-nine</w:t>
      </w:r>
      <w:r w:rsidR="009217A5" w:rsidRPr="00293F69">
        <w:t xml:space="preserve"> shooting incidents were recorded, resulting in the killing of one fisherman and in</w:t>
      </w:r>
      <w:r w:rsidR="00A97C6C" w:rsidRPr="00293F69">
        <w:t xml:space="preserve">juring </w:t>
      </w:r>
      <w:r w:rsidR="009217A5" w:rsidRPr="00293F69">
        <w:t>21</w:t>
      </w:r>
      <w:r w:rsidR="0071741D" w:rsidRPr="00293F69">
        <w:t xml:space="preserve"> others</w:t>
      </w:r>
      <w:r w:rsidR="00A97C6C" w:rsidRPr="00293F69">
        <w:t xml:space="preserve"> (including one child)</w:t>
      </w:r>
      <w:r w:rsidR="009217A5" w:rsidRPr="00293F69">
        <w:t xml:space="preserve"> with live ammunition. </w:t>
      </w:r>
      <w:r w:rsidR="00917290">
        <w:t>Seventy</w:t>
      </w:r>
      <w:r w:rsidR="009217A5" w:rsidRPr="00293F69">
        <w:t xml:space="preserve"> fishermen </w:t>
      </w:r>
      <w:r>
        <w:t xml:space="preserve">(including five children) </w:t>
      </w:r>
      <w:r w:rsidR="009217A5" w:rsidRPr="00293F69">
        <w:t>were detained</w:t>
      </w:r>
      <w:r>
        <w:t>, while 21</w:t>
      </w:r>
      <w:r w:rsidR="009217A5" w:rsidRPr="00293F69">
        <w:t xml:space="preserve"> fishing boats were confiscated and eight damaged.</w:t>
      </w:r>
    </w:p>
    <w:p w14:paraId="4F342EB5" w14:textId="3A852FB2" w:rsidR="00197E59" w:rsidRDefault="00197E59" w:rsidP="00045CF9">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B75E77">
        <w:t xml:space="preserve">There were also concerns of excessive use of </w:t>
      </w:r>
      <w:r w:rsidRPr="00744C83">
        <w:t>force</w:t>
      </w:r>
      <w:r w:rsidR="00562B61" w:rsidRPr="00744C83">
        <w:t xml:space="preserve"> and </w:t>
      </w:r>
      <w:r w:rsidR="000A6D64" w:rsidRPr="00744C83">
        <w:t xml:space="preserve">interference with medical care </w:t>
      </w:r>
      <w:r w:rsidR="00F02AF1" w:rsidRPr="00744C83">
        <w:t>d</w:t>
      </w:r>
      <w:r w:rsidRPr="00744C83">
        <w:t>uring raids and arrest operations in Palestinian towns</w:t>
      </w:r>
      <w:r w:rsidR="00061D87" w:rsidRPr="00744C83">
        <w:t xml:space="preserve"> and villages in the West Bank</w:t>
      </w:r>
      <w:r w:rsidRPr="00744C83">
        <w:t>. On 22 February 2018</w:t>
      </w:r>
      <w:r w:rsidR="003B23C7">
        <w:t>,</w:t>
      </w:r>
      <w:r w:rsidR="0071741D" w:rsidRPr="00744C83">
        <w:t xml:space="preserve"> shortly after midnight</w:t>
      </w:r>
      <w:r w:rsidRPr="00744C83">
        <w:t xml:space="preserve">, </w:t>
      </w:r>
      <w:r w:rsidR="002A78D7">
        <w:t xml:space="preserve">Israeli security forces </w:t>
      </w:r>
      <w:r w:rsidRPr="00744C83">
        <w:t xml:space="preserve">raided the centre of Jericho </w:t>
      </w:r>
      <w:r w:rsidR="003B23C7">
        <w:t>during</w:t>
      </w:r>
      <w:r w:rsidRPr="00744C83">
        <w:t xml:space="preserve"> an arrest operation and</w:t>
      </w:r>
      <w:r w:rsidRPr="00B75E77">
        <w:t xml:space="preserve"> clashed with local</w:t>
      </w:r>
      <w:r w:rsidR="003B23C7">
        <w:t xml:space="preserve"> residents</w:t>
      </w:r>
      <w:r w:rsidRPr="00B75E77">
        <w:t xml:space="preserve">. </w:t>
      </w:r>
      <w:r w:rsidR="003B23C7">
        <w:t>I</w:t>
      </w:r>
      <w:r w:rsidR="00917290">
        <w:t>SF</w:t>
      </w:r>
      <w:r w:rsidR="002A78D7">
        <w:t xml:space="preserve"> </w:t>
      </w:r>
      <w:r w:rsidR="003B23C7">
        <w:t>shot a</w:t>
      </w:r>
      <w:r w:rsidRPr="00B75E77">
        <w:t xml:space="preserve"> Palestinian </w:t>
      </w:r>
      <w:r w:rsidR="003B23C7">
        <w:t xml:space="preserve">in the stomach </w:t>
      </w:r>
      <w:r w:rsidRPr="00B75E77">
        <w:t xml:space="preserve">with live ammunition </w:t>
      </w:r>
      <w:r w:rsidR="00917290">
        <w:t>as</w:t>
      </w:r>
      <w:r w:rsidR="003B23C7">
        <w:t xml:space="preserve"> the man was </w:t>
      </w:r>
      <w:r w:rsidRPr="00B75E77">
        <w:t>charg</w:t>
      </w:r>
      <w:r w:rsidR="003B23C7">
        <w:t>ing</w:t>
      </w:r>
      <w:r w:rsidRPr="00B75E77">
        <w:t xml:space="preserve"> towards the soldiers with a metal bar. </w:t>
      </w:r>
      <w:r w:rsidR="007553A9">
        <w:t>As recorded by surveillance cameras, t</w:t>
      </w:r>
      <w:r w:rsidRPr="00B75E77">
        <w:t xml:space="preserve">he soldiers kicked and beat the injured man with the butts of their guns as he </w:t>
      </w:r>
      <w:r w:rsidR="00061D87">
        <w:t>lay</w:t>
      </w:r>
      <w:r w:rsidR="00F91675">
        <w:t xml:space="preserve"> bleeding</w:t>
      </w:r>
      <w:r w:rsidRPr="00B75E77">
        <w:t>. Left without medical assistance</w:t>
      </w:r>
      <w:r w:rsidR="003B23C7">
        <w:t>,</w:t>
      </w:r>
      <w:r w:rsidRPr="00B75E77">
        <w:t xml:space="preserve"> </w:t>
      </w:r>
      <w:r w:rsidR="003B23C7">
        <w:t xml:space="preserve">he </w:t>
      </w:r>
      <w:r w:rsidR="007553A9">
        <w:t xml:space="preserve">eventually </w:t>
      </w:r>
      <w:r w:rsidRPr="00B75E77">
        <w:t>died. Initially</w:t>
      </w:r>
      <w:r w:rsidR="003B23C7">
        <w:t>,</w:t>
      </w:r>
      <w:r w:rsidRPr="00B75E77">
        <w:t xml:space="preserve"> </w:t>
      </w:r>
      <w:r w:rsidR="003B23C7">
        <w:t>ISF</w:t>
      </w:r>
      <w:r w:rsidR="002A78D7">
        <w:t xml:space="preserve"> </w:t>
      </w:r>
      <w:r w:rsidRPr="00B75E77">
        <w:t xml:space="preserve">informed </w:t>
      </w:r>
      <w:r w:rsidR="007553A9">
        <w:t>his</w:t>
      </w:r>
      <w:r w:rsidRPr="00B75E77">
        <w:t xml:space="preserve"> family he </w:t>
      </w:r>
      <w:r w:rsidR="007553A9">
        <w:t xml:space="preserve">had </w:t>
      </w:r>
      <w:r w:rsidRPr="00B75E77">
        <w:t>died from teargas inhalation</w:t>
      </w:r>
      <w:r w:rsidR="002A78D7">
        <w:t>,</w:t>
      </w:r>
      <w:r w:rsidR="003B23C7">
        <w:t xml:space="preserve"> but</w:t>
      </w:r>
      <w:r w:rsidR="00B74FF9">
        <w:t xml:space="preserve"> the Palestinian forensic doctor who attended the autopsy concluded </w:t>
      </w:r>
      <w:r w:rsidR="007553A9">
        <w:t xml:space="preserve">he </w:t>
      </w:r>
      <w:r w:rsidR="003B23C7">
        <w:t xml:space="preserve">had </w:t>
      </w:r>
      <w:r w:rsidR="007553A9">
        <w:t xml:space="preserve">died </w:t>
      </w:r>
      <w:r w:rsidR="0071741D">
        <w:t>of</w:t>
      </w:r>
      <w:r w:rsidR="007553A9">
        <w:t xml:space="preserve"> haemorrhage</w:t>
      </w:r>
      <w:r w:rsidRPr="00B75E77">
        <w:t>.</w:t>
      </w:r>
      <w:r w:rsidR="002757DC">
        <w:t xml:space="preserve"> </w:t>
      </w:r>
    </w:p>
    <w:p w14:paraId="54957AEF" w14:textId="63E09869" w:rsidR="00EA3EB2" w:rsidRDefault="00197E59" w:rsidP="0057707F">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386327">
        <w:t>On 3 February 2018</w:t>
      </w:r>
      <w:r w:rsidR="003B23C7">
        <w:t>,</w:t>
      </w:r>
      <w:r w:rsidRPr="00386327">
        <w:t xml:space="preserve"> </w:t>
      </w:r>
      <w:r w:rsidR="003E74A4" w:rsidRPr="00917290">
        <w:t xml:space="preserve">during a </w:t>
      </w:r>
      <w:r w:rsidR="00917290" w:rsidRPr="00917290">
        <w:t>night-time</w:t>
      </w:r>
      <w:r w:rsidR="003E74A4" w:rsidRPr="00917290">
        <w:t xml:space="preserve"> </w:t>
      </w:r>
      <w:r w:rsidR="0057707F" w:rsidRPr="00917290">
        <w:t xml:space="preserve">search and arrest </w:t>
      </w:r>
      <w:r w:rsidR="003E74A4" w:rsidRPr="00917290">
        <w:t xml:space="preserve">raid </w:t>
      </w:r>
      <w:r w:rsidR="003B23C7" w:rsidRPr="00917290">
        <w:t xml:space="preserve">in </w:t>
      </w:r>
      <w:r w:rsidR="003E74A4" w:rsidRPr="00917290">
        <w:t>Birqin</w:t>
      </w:r>
      <w:r w:rsidR="0057707F" w:rsidRPr="00917290">
        <w:t>,</w:t>
      </w:r>
      <w:r w:rsidR="003B23C7" w:rsidRPr="00917290">
        <w:t xml:space="preserve"> </w:t>
      </w:r>
      <w:r w:rsidR="002A78D7">
        <w:t xml:space="preserve">Israeli security forces </w:t>
      </w:r>
      <w:r w:rsidR="0057707F" w:rsidRPr="00917290">
        <w:t>entered by force</w:t>
      </w:r>
      <w:r w:rsidR="00740C18" w:rsidRPr="00917290">
        <w:t xml:space="preserve"> and without prior warning</w:t>
      </w:r>
      <w:r w:rsidR="0057707F" w:rsidRPr="00917290">
        <w:t xml:space="preserve"> </w:t>
      </w:r>
      <w:r w:rsidRPr="00917290">
        <w:t xml:space="preserve">a </w:t>
      </w:r>
      <w:r w:rsidR="0057707F" w:rsidRPr="00917290">
        <w:t>house in the village,</w:t>
      </w:r>
      <w:r w:rsidRPr="00917290">
        <w:t xml:space="preserve"> </w:t>
      </w:r>
      <w:r w:rsidR="0057707F" w:rsidRPr="00917290">
        <w:t xml:space="preserve">and according to the 40-year-old owner of the house, </w:t>
      </w:r>
      <w:r w:rsidRPr="00917290">
        <w:t>released an unmuzzled dog</w:t>
      </w:r>
      <w:r w:rsidR="002B76D4" w:rsidRPr="00917290">
        <w:t xml:space="preserve">, terrifying </w:t>
      </w:r>
      <w:r w:rsidR="0057707F" w:rsidRPr="00917290">
        <w:t>his wife and</w:t>
      </w:r>
      <w:r w:rsidR="002B76D4">
        <w:t xml:space="preserve"> young children</w:t>
      </w:r>
      <w:r w:rsidRPr="00386327">
        <w:t>. The</w:t>
      </w:r>
      <w:r w:rsidR="002B76D4">
        <w:t xml:space="preserve"> dog </w:t>
      </w:r>
      <w:r w:rsidR="003B23C7">
        <w:t xml:space="preserve">bit the </w:t>
      </w:r>
      <w:r w:rsidRPr="00386327">
        <w:t xml:space="preserve">owner in </w:t>
      </w:r>
      <w:r w:rsidR="003B23C7">
        <w:t>the</w:t>
      </w:r>
      <w:r w:rsidRPr="00386327">
        <w:t xml:space="preserve"> arm and thigh</w:t>
      </w:r>
      <w:r w:rsidR="002B76D4">
        <w:t xml:space="preserve"> </w:t>
      </w:r>
      <w:r w:rsidRPr="00386327">
        <w:t>for at least</w:t>
      </w:r>
      <w:r w:rsidR="002B76D4">
        <w:t xml:space="preserve"> </w:t>
      </w:r>
      <w:r w:rsidR="003B23C7">
        <w:t>10</w:t>
      </w:r>
      <w:r w:rsidRPr="00386327">
        <w:t xml:space="preserve"> minutes</w:t>
      </w:r>
      <w:r w:rsidR="003F016C">
        <w:t>,</w:t>
      </w:r>
      <w:r w:rsidRPr="00386327">
        <w:t xml:space="preserve"> with no effort by the soldiers to </w:t>
      </w:r>
      <w:r w:rsidR="003F016C">
        <w:t>restr</w:t>
      </w:r>
      <w:r w:rsidR="002B76D4">
        <w:t>ain the dog</w:t>
      </w:r>
      <w:r w:rsidRPr="00386327">
        <w:t xml:space="preserve">. </w:t>
      </w:r>
      <w:r w:rsidR="002757DC">
        <w:t>A</w:t>
      </w:r>
      <w:r w:rsidRPr="00386327">
        <w:t xml:space="preserve"> soldier punched the man in </w:t>
      </w:r>
      <w:r w:rsidR="002B76D4">
        <w:t>the</w:t>
      </w:r>
      <w:r w:rsidR="002B76D4" w:rsidRPr="00386327">
        <w:t xml:space="preserve"> </w:t>
      </w:r>
      <w:r w:rsidRPr="00386327">
        <w:t>nose</w:t>
      </w:r>
      <w:r w:rsidR="003B23C7">
        <w:t>,</w:t>
      </w:r>
      <w:r w:rsidR="002757DC">
        <w:t xml:space="preserve"> </w:t>
      </w:r>
      <w:r w:rsidR="006E4ACE">
        <w:t xml:space="preserve">fracturing it. </w:t>
      </w:r>
      <w:r w:rsidRPr="00386327">
        <w:t xml:space="preserve">The man was </w:t>
      </w:r>
      <w:r w:rsidR="002B76D4">
        <w:t xml:space="preserve">arrested and </w:t>
      </w:r>
      <w:r w:rsidRPr="00386327">
        <w:t xml:space="preserve">released </w:t>
      </w:r>
      <w:r w:rsidR="009217A5">
        <w:t>eight</w:t>
      </w:r>
      <w:r w:rsidR="002B76D4">
        <w:t xml:space="preserve"> days later</w:t>
      </w:r>
      <w:r w:rsidRPr="00386327">
        <w:t xml:space="preserve"> without charges</w:t>
      </w:r>
      <w:r w:rsidR="002B76D4">
        <w:t>.</w:t>
      </w:r>
      <w:r w:rsidRPr="00386327">
        <w:t xml:space="preserve"> </w:t>
      </w:r>
      <w:r w:rsidR="002B76D4">
        <w:t>He</w:t>
      </w:r>
      <w:r w:rsidR="002B76D4" w:rsidRPr="00386327">
        <w:t xml:space="preserve"> </w:t>
      </w:r>
      <w:r w:rsidRPr="00386327">
        <w:t xml:space="preserve">had to undergo reconstructive </w:t>
      </w:r>
      <w:r w:rsidR="00E14CAA">
        <w:t xml:space="preserve">skin </w:t>
      </w:r>
      <w:r w:rsidRPr="00386327">
        <w:t xml:space="preserve">surgery and </w:t>
      </w:r>
      <w:r w:rsidR="00917290">
        <w:t xml:space="preserve">now </w:t>
      </w:r>
      <w:r w:rsidRPr="00386327">
        <w:t>suffers from severe health complications</w:t>
      </w:r>
      <w:r w:rsidR="003B23C7">
        <w:t>,</w:t>
      </w:r>
      <w:r w:rsidR="002757DC">
        <w:t xml:space="preserve"> including </w:t>
      </w:r>
      <w:r w:rsidR="0081280B">
        <w:t>g</w:t>
      </w:r>
      <w:r w:rsidR="002757DC">
        <w:t>angrene</w:t>
      </w:r>
      <w:r w:rsidRPr="00386327">
        <w:t>.</w:t>
      </w:r>
    </w:p>
    <w:p w14:paraId="33331681" w14:textId="3C07D50A" w:rsidR="00DB09FB" w:rsidRPr="00EA3EB2" w:rsidRDefault="00DB09FB" w:rsidP="00BA51E8">
      <w:pPr>
        <w:pStyle w:val="SingleTxtG"/>
        <w:tabs>
          <w:tab w:val="left" w:pos="1701"/>
        </w:tabs>
        <w:suppressAutoHyphens/>
        <w:kinsoku w:val="0"/>
        <w:overflowPunct w:val="0"/>
        <w:autoSpaceDE w:val="0"/>
        <w:autoSpaceDN w:val="0"/>
        <w:adjustRightInd w:val="0"/>
        <w:snapToGrid w:val="0"/>
        <w:outlineLvl w:val="0"/>
      </w:pPr>
      <w:r w:rsidRPr="00EA3EB2">
        <w:rPr>
          <w:rFonts w:asciiTheme="majorBidi" w:hAnsiTheme="majorBidi" w:cstheme="majorBidi"/>
          <w:b/>
        </w:rPr>
        <w:t xml:space="preserve">Detention, torture and ill-treatment, </w:t>
      </w:r>
      <w:r w:rsidR="003B23C7">
        <w:rPr>
          <w:rFonts w:asciiTheme="majorBidi" w:hAnsiTheme="majorBidi" w:cstheme="majorBidi"/>
          <w:b/>
        </w:rPr>
        <w:t xml:space="preserve">and violations of the right to a </w:t>
      </w:r>
      <w:r w:rsidRPr="00EA3EB2">
        <w:rPr>
          <w:rFonts w:asciiTheme="majorBidi" w:hAnsiTheme="majorBidi" w:cstheme="majorBidi"/>
          <w:b/>
        </w:rPr>
        <w:t>fair trial</w:t>
      </w:r>
    </w:p>
    <w:p w14:paraId="22CB7248" w14:textId="429D08C7" w:rsidR="002F45CD" w:rsidRPr="00740C18" w:rsidRDefault="003B23C7" w:rsidP="001B1EA1">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740C18">
        <w:t>F</w:t>
      </w:r>
      <w:r w:rsidR="009217A5" w:rsidRPr="00740C18">
        <w:t xml:space="preserve">ollowing the announcement </w:t>
      </w:r>
      <w:r w:rsidR="0057707F" w:rsidRPr="00740C18">
        <w:t>by</w:t>
      </w:r>
      <w:r w:rsidRPr="00740C18">
        <w:t xml:space="preserve"> the United States of America </w:t>
      </w:r>
      <w:r w:rsidR="002A78D7">
        <w:t xml:space="preserve">on </w:t>
      </w:r>
      <w:r w:rsidR="009217A5" w:rsidRPr="00740C18">
        <w:t>Jerusalem</w:t>
      </w:r>
      <w:r w:rsidR="001B1EA1" w:rsidRPr="00740C18">
        <w:t xml:space="preserve"> and the demonstrations and clashes that followed</w:t>
      </w:r>
      <w:r w:rsidRPr="00740C18">
        <w:t>, a spike in arrests of Palestinians was observed in the West Bank</w:t>
      </w:r>
      <w:r w:rsidR="009217A5" w:rsidRPr="00740C18">
        <w:t xml:space="preserve">. </w:t>
      </w:r>
      <w:r w:rsidR="002A78D7">
        <w:t xml:space="preserve">Israeli security forces </w:t>
      </w:r>
      <w:r w:rsidR="009217A5" w:rsidRPr="00740C18">
        <w:t xml:space="preserve">arrested 926 Palestinians </w:t>
      </w:r>
      <w:r w:rsidRPr="00740C18">
        <w:t>in</w:t>
      </w:r>
      <w:r w:rsidR="009217A5" w:rsidRPr="00740C18">
        <w:t xml:space="preserve"> December 2017, and an average of 750 </w:t>
      </w:r>
      <w:r w:rsidRPr="00740C18">
        <w:t xml:space="preserve">in </w:t>
      </w:r>
      <w:r w:rsidR="009217A5" w:rsidRPr="00740C18">
        <w:t>January and February 2018.</w:t>
      </w:r>
      <w:r w:rsidR="001A07FC">
        <w:t xml:space="preserve"> </w:t>
      </w:r>
      <w:r w:rsidRPr="00740C18">
        <w:t>A</w:t>
      </w:r>
      <w:r w:rsidR="009217A5" w:rsidRPr="00740C18">
        <w:t xml:space="preserve">rrests </w:t>
      </w:r>
      <w:r w:rsidRPr="00740C18">
        <w:t>in</w:t>
      </w:r>
      <w:r w:rsidR="009217A5" w:rsidRPr="00740C18">
        <w:t xml:space="preserve"> October and November 2017 and </w:t>
      </w:r>
      <w:r w:rsidRPr="00740C18">
        <w:t xml:space="preserve">during </w:t>
      </w:r>
      <w:r w:rsidR="009217A5" w:rsidRPr="00740C18">
        <w:t>the remaining months of the reporting period averaged at around 450 per month.</w:t>
      </w:r>
      <w:r w:rsidR="009217A5" w:rsidRPr="00740C18">
        <w:rPr>
          <w:vertAlign w:val="superscript"/>
        </w:rPr>
        <w:footnoteReference w:id="32"/>
      </w:r>
      <w:r w:rsidR="009217A5" w:rsidRPr="00740C18">
        <w:t xml:space="preserve"> As of 31 October 2018, 5,426 Palestinians were held in Israeli detention, including 43 women and 220 children (including two girls) of whom 41 were under the age of 16. This included 481 Palestinians</w:t>
      </w:r>
      <w:r w:rsidR="00E62F2C" w:rsidRPr="00740C18">
        <w:t xml:space="preserve"> (</w:t>
      </w:r>
      <w:r w:rsidR="009217A5" w:rsidRPr="00740C18">
        <w:t>including four children</w:t>
      </w:r>
      <w:r w:rsidR="00E62F2C" w:rsidRPr="00740C18">
        <w:t>)</w:t>
      </w:r>
      <w:r w:rsidR="009217A5" w:rsidRPr="00740C18">
        <w:t xml:space="preserve"> held under administrative detention without charge or trial.</w:t>
      </w:r>
      <w:r w:rsidR="009217A5" w:rsidRPr="00740C18">
        <w:rPr>
          <w:vertAlign w:val="superscript"/>
        </w:rPr>
        <w:footnoteReference w:id="33"/>
      </w:r>
      <w:r w:rsidR="002F45CD" w:rsidRPr="00740C18">
        <w:t xml:space="preserve"> </w:t>
      </w:r>
      <w:r w:rsidR="009217A5" w:rsidRPr="00740C18">
        <w:t xml:space="preserve">In Gaza, 175 Palestinians </w:t>
      </w:r>
      <w:r w:rsidR="00E62F2C" w:rsidRPr="00740C18">
        <w:t>(</w:t>
      </w:r>
      <w:r w:rsidR="009217A5" w:rsidRPr="00740C18">
        <w:t>including 28 children</w:t>
      </w:r>
      <w:r w:rsidR="00E62F2C" w:rsidRPr="00740C18">
        <w:t>)</w:t>
      </w:r>
      <w:r w:rsidR="009217A5" w:rsidRPr="00740C18">
        <w:t xml:space="preserve"> were arrested by </w:t>
      </w:r>
      <w:r w:rsidR="002A78D7">
        <w:t xml:space="preserve">Israeli security forces </w:t>
      </w:r>
      <w:r w:rsidR="002F45CD" w:rsidRPr="00740C18">
        <w:t xml:space="preserve">during the reporting period. </w:t>
      </w:r>
      <w:r w:rsidR="00E62F2C" w:rsidRPr="00740C18">
        <w:t xml:space="preserve">As previously noted, this included </w:t>
      </w:r>
      <w:r w:rsidR="002F45CD" w:rsidRPr="00740C18">
        <w:t>70 fishermen arrested at sea</w:t>
      </w:r>
      <w:r w:rsidR="0092240B">
        <w:t>.</w:t>
      </w:r>
      <w:r w:rsidR="002F45CD" w:rsidRPr="00740C18">
        <w:rPr>
          <w:vertAlign w:val="superscript"/>
        </w:rPr>
        <w:footnoteReference w:id="34"/>
      </w:r>
      <w:r w:rsidR="00FD2FE6" w:rsidRPr="00740C18">
        <w:t xml:space="preserve"> </w:t>
      </w:r>
      <w:r w:rsidR="00E62F2C" w:rsidRPr="00740C18">
        <w:t>M</w:t>
      </w:r>
      <w:r w:rsidR="00FF2BC2" w:rsidRPr="00740C18">
        <w:t>any of the cases rais</w:t>
      </w:r>
      <w:r w:rsidR="00E62F2C" w:rsidRPr="00740C18">
        <w:t>e</w:t>
      </w:r>
      <w:r w:rsidR="00FF2BC2" w:rsidRPr="00740C18">
        <w:t xml:space="preserve"> concerns of arbitrary </w:t>
      </w:r>
      <w:r w:rsidR="00F80FAD" w:rsidRPr="00740C18">
        <w:t>arrests</w:t>
      </w:r>
      <w:r w:rsidR="00FF2BC2" w:rsidRPr="00740C18">
        <w:t>.</w:t>
      </w:r>
      <w:r w:rsidR="00FF2BC2" w:rsidRPr="00740C18">
        <w:rPr>
          <w:vertAlign w:val="superscript"/>
        </w:rPr>
        <w:footnoteReference w:id="35"/>
      </w:r>
    </w:p>
    <w:p w14:paraId="6006C7D7" w14:textId="148BA76D" w:rsidR="00234BBE" w:rsidRPr="00293F69" w:rsidRDefault="002A78D7"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C</w:t>
      </w:r>
      <w:r w:rsidR="00234BBE" w:rsidRPr="00740C18">
        <w:t>ertain</w:t>
      </w:r>
      <w:r w:rsidR="00234BBE" w:rsidRPr="00293F69">
        <w:t xml:space="preserve"> cases</w:t>
      </w:r>
      <w:r>
        <w:t xml:space="preserve"> have raised concerns of </w:t>
      </w:r>
      <w:r w:rsidR="00234BBE" w:rsidRPr="00293F69">
        <w:t xml:space="preserve">violations of </w:t>
      </w:r>
      <w:r>
        <w:t xml:space="preserve">due process and </w:t>
      </w:r>
      <w:r w:rsidR="00234BBE" w:rsidRPr="00293F69">
        <w:t>fair trial rights</w:t>
      </w:r>
      <w:r w:rsidR="004A72BA">
        <w:t xml:space="preserve"> of such gravity as to</w:t>
      </w:r>
      <w:r w:rsidR="00CC605F">
        <w:t xml:space="preserve"> </w:t>
      </w:r>
      <w:r w:rsidR="008222DC">
        <w:t>give</w:t>
      </w:r>
      <w:r w:rsidR="00CC605F">
        <w:t xml:space="preserve"> </w:t>
      </w:r>
      <w:r w:rsidR="004A72BA">
        <w:t>an arbitrary character to the deprivation of liberty</w:t>
      </w:r>
      <w:r>
        <w:t>,</w:t>
      </w:r>
      <w:r w:rsidR="00E62F2C">
        <w:t xml:space="preserve"> such as in </w:t>
      </w:r>
      <w:r w:rsidR="002F1AB1" w:rsidRPr="00293F69">
        <w:t>t</w:t>
      </w:r>
      <w:r w:rsidR="00234BBE" w:rsidRPr="00293F69">
        <w:t>he case of the Head of the Gaza World Vision office, Mohammad el Halabi, arrested in June 2016 and detained since then.</w:t>
      </w:r>
      <w:r w:rsidR="00234BBE" w:rsidRPr="00293F69">
        <w:rPr>
          <w:vertAlign w:val="superscript"/>
        </w:rPr>
        <w:footnoteReference w:id="36"/>
      </w:r>
      <w:r w:rsidR="00234BBE" w:rsidRPr="00293F69">
        <w:t xml:space="preserve">  </w:t>
      </w:r>
      <w:r w:rsidR="00E62F2C">
        <w:t xml:space="preserve">His </w:t>
      </w:r>
      <w:r w:rsidR="00234BBE" w:rsidRPr="00293F69">
        <w:t xml:space="preserve">lawyer was </w:t>
      </w:r>
      <w:r w:rsidR="0092240B">
        <w:t>only</w:t>
      </w:r>
      <w:r w:rsidR="00683927" w:rsidRPr="00293F69">
        <w:t xml:space="preserve"> </w:t>
      </w:r>
      <w:r w:rsidR="00234BBE" w:rsidRPr="00293F69">
        <w:t>allowed</w:t>
      </w:r>
      <w:r w:rsidR="004A72BA">
        <w:t xml:space="preserve"> access to</w:t>
      </w:r>
      <w:r w:rsidR="00234BBE" w:rsidRPr="00293F69">
        <w:t xml:space="preserve"> all previously </w:t>
      </w:r>
      <w:r w:rsidR="00E62F2C">
        <w:t>un</w:t>
      </w:r>
      <w:r w:rsidR="00234BBE" w:rsidRPr="00293F69">
        <w:t xml:space="preserve">disclosed evidence one </w:t>
      </w:r>
      <w:r w:rsidR="00E62F2C">
        <w:t xml:space="preserve">year </w:t>
      </w:r>
      <w:r w:rsidR="00234BBE" w:rsidRPr="00293F69">
        <w:t xml:space="preserve">and </w:t>
      </w:r>
      <w:r w:rsidR="00E62F2C">
        <w:t xml:space="preserve">a </w:t>
      </w:r>
      <w:r w:rsidR="00234BBE" w:rsidRPr="00293F69">
        <w:t>half after the start of the trial</w:t>
      </w:r>
      <w:r w:rsidR="00E62F2C">
        <w:t xml:space="preserve"> </w:t>
      </w:r>
      <w:r w:rsidR="006F373A" w:rsidRPr="00293F69">
        <w:t>and was</w:t>
      </w:r>
      <w:r w:rsidR="002F1AB1" w:rsidRPr="00293F69">
        <w:t xml:space="preserve"> only permitted to</w:t>
      </w:r>
      <w:r w:rsidR="00234BBE" w:rsidRPr="00293F69">
        <w:t xml:space="preserve"> start examining defence witnesses </w:t>
      </w:r>
      <w:r w:rsidR="00683927" w:rsidRPr="00293F69">
        <w:t xml:space="preserve">24 </w:t>
      </w:r>
      <w:r w:rsidR="00234BBE" w:rsidRPr="00293F69">
        <w:t>months into the trial</w:t>
      </w:r>
      <w:r w:rsidR="002F1AB1" w:rsidRPr="00293F69">
        <w:t>,</w:t>
      </w:r>
      <w:r w:rsidR="00234BBE" w:rsidRPr="00293F69">
        <w:t xml:space="preserve"> after the prosecution heard witnesses for over a year and cross-examined the accused </w:t>
      </w:r>
      <w:r w:rsidR="002F1AB1" w:rsidRPr="00293F69">
        <w:t xml:space="preserve">for </w:t>
      </w:r>
      <w:r w:rsidR="00234BBE" w:rsidRPr="00293F69">
        <w:t xml:space="preserve">six months. </w:t>
      </w:r>
      <w:r w:rsidR="002F1AB1" w:rsidRPr="00293F69">
        <w:t>T</w:t>
      </w:r>
      <w:r w:rsidR="00234BBE" w:rsidRPr="00293F69">
        <w:t xml:space="preserve">here </w:t>
      </w:r>
      <w:r w:rsidR="003F016C" w:rsidRPr="00293F69">
        <w:t>we</w:t>
      </w:r>
      <w:r w:rsidR="00234BBE" w:rsidRPr="00293F69">
        <w:t>re concerns that the prosecution might have unduly prolong</w:t>
      </w:r>
      <w:r w:rsidR="003F016C" w:rsidRPr="00293F69">
        <w:t>ed</w:t>
      </w:r>
      <w:r w:rsidR="00234BBE" w:rsidRPr="00293F69">
        <w:t xml:space="preserve"> the proceedings,</w:t>
      </w:r>
      <w:r w:rsidR="00DA7D7A" w:rsidRPr="00293F69">
        <w:t xml:space="preserve"> in contravention </w:t>
      </w:r>
      <w:r w:rsidR="000A6D64" w:rsidRPr="00293F69">
        <w:t>of</w:t>
      </w:r>
      <w:r w:rsidR="00DA7D7A" w:rsidRPr="00293F69">
        <w:t xml:space="preserve"> basic fair trial requirements.</w:t>
      </w:r>
      <w:r w:rsidR="00DA7D7A" w:rsidRPr="00293F69">
        <w:rPr>
          <w:vertAlign w:val="superscript"/>
        </w:rPr>
        <w:footnoteReference w:id="37"/>
      </w:r>
      <w:r w:rsidR="00DA7D7A" w:rsidRPr="00293F69">
        <w:t xml:space="preserve"> </w:t>
      </w:r>
      <w:r w:rsidR="00D9340D">
        <w:t>In view of such shortcomings</w:t>
      </w:r>
      <w:r w:rsidR="00931499">
        <w:t xml:space="preserve">, it is of concern that </w:t>
      </w:r>
      <w:r w:rsidR="00D9340D">
        <w:t xml:space="preserve">Mr. el Halabi has now been detained for more than two and a half years without </w:t>
      </w:r>
      <w:r>
        <w:t>receiving a verdict in his case.</w:t>
      </w:r>
      <w:r w:rsidR="00D9340D">
        <w:t xml:space="preserve"> </w:t>
      </w:r>
    </w:p>
    <w:p w14:paraId="2EF4A33D" w14:textId="559E50D4" w:rsidR="008A2413" w:rsidRPr="00293F69" w:rsidRDefault="008046E7" w:rsidP="009B3B0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Israel’s use of administrative detention, including </w:t>
      </w:r>
      <w:r w:rsidR="00177E4F" w:rsidRPr="00293F69">
        <w:t xml:space="preserve">of </w:t>
      </w:r>
      <w:r w:rsidRPr="00293F69">
        <w:t xml:space="preserve">children, continued. An illustrative example </w:t>
      </w:r>
      <w:r w:rsidR="003F016C" w:rsidRPr="00293F69">
        <w:t>was</w:t>
      </w:r>
      <w:r w:rsidRPr="00293F69">
        <w:t xml:space="preserve"> the continued </w:t>
      </w:r>
      <w:r w:rsidR="002757DC" w:rsidRPr="00293F69">
        <w:t xml:space="preserve">administrative </w:t>
      </w:r>
      <w:r w:rsidRPr="00293F69">
        <w:t>detention of Palestinian parliamentarian Khalida Jarrar</w:t>
      </w:r>
      <w:r w:rsidR="003F016C" w:rsidRPr="00293F69">
        <w:t>,</w:t>
      </w:r>
      <w:r w:rsidRPr="00293F69">
        <w:t xml:space="preserve"> who was arrested by </w:t>
      </w:r>
      <w:r w:rsidR="00905999">
        <w:t xml:space="preserve">Israeli security forces </w:t>
      </w:r>
      <w:r w:rsidRPr="00293F69">
        <w:t>on 2 July 2017.</w:t>
      </w:r>
      <w:r w:rsidR="002757DC" w:rsidRPr="00293F69">
        <w:rPr>
          <w:vertAlign w:val="superscript"/>
        </w:rPr>
        <w:footnoteReference w:id="38"/>
      </w:r>
      <w:r w:rsidRPr="00293F69">
        <w:t xml:space="preserve"> Jarrar’s current detention order</w:t>
      </w:r>
      <w:r w:rsidR="002757DC" w:rsidRPr="00293F69">
        <w:t>, based on secret evidence,</w:t>
      </w:r>
      <w:r w:rsidRPr="00293F69">
        <w:t xml:space="preserve"> </w:t>
      </w:r>
      <w:r w:rsidR="009B3B06">
        <w:t>is set to end</w:t>
      </w:r>
      <w:r w:rsidR="009B3B06" w:rsidRPr="00293F69">
        <w:t xml:space="preserve"> </w:t>
      </w:r>
      <w:r w:rsidR="009B3B06">
        <w:t>in</w:t>
      </w:r>
      <w:r w:rsidR="009B3B06" w:rsidRPr="00293F69">
        <w:t xml:space="preserve"> </w:t>
      </w:r>
      <w:r w:rsidRPr="00293F69">
        <w:t xml:space="preserve">February 2019. In February 2018, Palestinian administrative detainees started a boycott of Israeli courts to protest their detention and the involvement of Israeli courts in exacerbating this policy. The boycott was </w:t>
      </w:r>
      <w:r w:rsidR="00FA10C0" w:rsidRPr="00293F69">
        <w:t xml:space="preserve">provisionally </w:t>
      </w:r>
      <w:r w:rsidRPr="00293F69">
        <w:t xml:space="preserve">suspended in September </w:t>
      </w:r>
      <w:r w:rsidR="001631D7">
        <w:t xml:space="preserve">2018, </w:t>
      </w:r>
      <w:r w:rsidRPr="00293F69">
        <w:t xml:space="preserve">following negotiations with the Israeli Intelligence Service to place limits on the length of </w:t>
      </w:r>
      <w:r w:rsidR="003B4176" w:rsidRPr="00293F69">
        <w:t xml:space="preserve">administrative </w:t>
      </w:r>
      <w:r w:rsidRPr="00293F69">
        <w:t>detention orders and their renewal.</w:t>
      </w:r>
      <w:r w:rsidR="00B709D7" w:rsidRPr="00293F69">
        <w:t xml:space="preserve"> </w:t>
      </w:r>
      <w:r w:rsidR="003F016C" w:rsidRPr="00293F69">
        <w:t xml:space="preserve">Administrative </w:t>
      </w:r>
      <w:r w:rsidR="00604835" w:rsidRPr="00293F69">
        <w:t>det</w:t>
      </w:r>
      <w:r w:rsidR="003F016C" w:rsidRPr="00293F69">
        <w:t>ention</w:t>
      </w:r>
      <w:r w:rsidR="00604835" w:rsidRPr="00293F69">
        <w:t xml:space="preserve"> without charge or trial based on undisclosed evidence for indefinite periods</w:t>
      </w:r>
      <w:r w:rsidR="001631D7">
        <w:t>,</w:t>
      </w:r>
      <w:r w:rsidR="00604835" w:rsidRPr="00293F69">
        <w:t xml:space="preserve"> without an opportunity to meaningfully challenge the detention</w:t>
      </w:r>
      <w:r w:rsidR="001631D7">
        <w:t>,</w:t>
      </w:r>
      <w:r w:rsidR="00604835" w:rsidRPr="00293F69">
        <w:t xml:space="preserve"> raises serious concerns </w:t>
      </w:r>
      <w:r w:rsidR="00881556" w:rsidRPr="00293F69">
        <w:t>of</w:t>
      </w:r>
      <w:r w:rsidR="00604835" w:rsidRPr="00293F69">
        <w:t xml:space="preserve"> arbitrary detention. </w:t>
      </w:r>
      <w:r w:rsidR="001631D7">
        <w:t>E</w:t>
      </w:r>
      <w:r w:rsidR="001A07FC">
        <w:t>c</w:t>
      </w:r>
      <w:r w:rsidR="00604835" w:rsidRPr="00293F69">
        <w:t xml:space="preserve">hoing concerns raised by the </w:t>
      </w:r>
      <w:r w:rsidR="001631D7">
        <w:t xml:space="preserve">United Nations </w:t>
      </w:r>
      <w:r w:rsidR="00604835" w:rsidRPr="00293F69">
        <w:t>Human Rights Committee and the Committee against Torture</w:t>
      </w:r>
      <w:r w:rsidR="001631D7">
        <w:t>, t</w:t>
      </w:r>
      <w:r w:rsidR="001631D7" w:rsidRPr="00293F69">
        <w:t xml:space="preserve">he Secretary-General and the High Commissioner for Human Rights </w:t>
      </w:r>
      <w:r w:rsidR="00604835" w:rsidRPr="00293F69">
        <w:t xml:space="preserve">have repeatedly called upon Israel to end </w:t>
      </w:r>
      <w:r w:rsidR="001631D7">
        <w:t>the</w:t>
      </w:r>
      <w:r w:rsidR="00604835" w:rsidRPr="00293F69">
        <w:t xml:space="preserve"> practice of administrative detention and to ensure that all administrative detainees </w:t>
      </w:r>
      <w:r w:rsidR="001A07FC">
        <w:t>are</w:t>
      </w:r>
      <w:r w:rsidR="00604835" w:rsidRPr="00293F69">
        <w:t xml:space="preserve"> promptly charged or released.</w:t>
      </w:r>
      <w:r w:rsidR="00604835" w:rsidRPr="00293F69">
        <w:rPr>
          <w:vertAlign w:val="superscript"/>
        </w:rPr>
        <w:footnoteReference w:id="39"/>
      </w:r>
    </w:p>
    <w:p w14:paraId="5503E2B1" w14:textId="22D12DE7" w:rsidR="00F72E05" w:rsidRPr="00293F69" w:rsidRDefault="003F016C"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Israel’s</w:t>
      </w:r>
      <w:r w:rsidR="00633836" w:rsidRPr="00293F69">
        <w:t xml:space="preserve"> treatment of c</w:t>
      </w:r>
      <w:r w:rsidR="008046E7" w:rsidRPr="00293F69">
        <w:t>hild</w:t>
      </w:r>
      <w:r w:rsidR="00633836" w:rsidRPr="00293F69">
        <w:t>ren during arrest and</w:t>
      </w:r>
      <w:r w:rsidR="008046E7" w:rsidRPr="00293F69">
        <w:t xml:space="preserve"> detention </w:t>
      </w:r>
      <w:r w:rsidR="001631D7">
        <w:t xml:space="preserve">remained </w:t>
      </w:r>
      <w:r w:rsidR="008046E7" w:rsidRPr="00293F69">
        <w:t>of particular concern.</w:t>
      </w:r>
      <w:r w:rsidR="00850DBE" w:rsidRPr="00293F69">
        <w:rPr>
          <w:vertAlign w:val="superscript"/>
        </w:rPr>
        <w:footnoteReference w:id="40"/>
      </w:r>
      <w:r w:rsidR="00850DBE" w:rsidRPr="00293F69">
        <w:t xml:space="preserve"> </w:t>
      </w:r>
      <w:r w:rsidR="003B4176" w:rsidRPr="00293F69">
        <w:t>According to</w:t>
      </w:r>
      <w:r w:rsidR="00331E5C" w:rsidRPr="00293F69">
        <w:t xml:space="preserve"> </w:t>
      </w:r>
      <w:r w:rsidR="001631D7">
        <w:t xml:space="preserve">accounts </w:t>
      </w:r>
      <w:r w:rsidR="00331E5C" w:rsidRPr="00293F69">
        <w:t xml:space="preserve">collected </w:t>
      </w:r>
      <w:r w:rsidRPr="00293F69">
        <w:t xml:space="preserve">by the </w:t>
      </w:r>
      <w:r w:rsidR="00E63884">
        <w:t>NGO</w:t>
      </w:r>
      <w:r w:rsidR="000C44F7">
        <w:t xml:space="preserve"> </w:t>
      </w:r>
      <w:r w:rsidRPr="00293F69">
        <w:t>Military Court Watch</w:t>
      </w:r>
      <w:r w:rsidR="001631D7">
        <w:t>,</w:t>
      </w:r>
      <w:r w:rsidRPr="00293F69">
        <w:t xml:space="preserve"> </w:t>
      </w:r>
      <w:r w:rsidR="003B4176" w:rsidRPr="00293F69">
        <w:t>of</w:t>
      </w:r>
      <w:r w:rsidR="00331E5C" w:rsidRPr="00293F69">
        <w:t xml:space="preserve"> 80 children detained </w:t>
      </w:r>
      <w:r w:rsidR="00850DBE" w:rsidRPr="00293F69">
        <w:t xml:space="preserve">by ISF </w:t>
      </w:r>
      <w:r w:rsidR="001631D7">
        <w:t xml:space="preserve">in </w:t>
      </w:r>
      <w:r w:rsidR="00331E5C" w:rsidRPr="00293F69">
        <w:t xml:space="preserve">2017, 65 </w:t>
      </w:r>
      <w:r w:rsidR="001631D7">
        <w:t>per</w:t>
      </w:r>
      <w:r w:rsidR="000A1C71">
        <w:t xml:space="preserve"> </w:t>
      </w:r>
      <w:r w:rsidR="001631D7">
        <w:t>cent had been</w:t>
      </w:r>
      <w:r w:rsidR="00331E5C" w:rsidRPr="00293F69">
        <w:t xml:space="preserve"> arrested in night raids, 94 </w:t>
      </w:r>
      <w:r w:rsidR="001A07FC">
        <w:t>per</w:t>
      </w:r>
      <w:r w:rsidR="000A1C71">
        <w:t xml:space="preserve"> </w:t>
      </w:r>
      <w:r w:rsidR="001631D7">
        <w:t xml:space="preserve">cent </w:t>
      </w:r>
      <w:r w:rsidR="00331E5C" w:rsidRPr="00293F69">
        <w:t>were hand</w:t>
      </w:r>
      <w:r w:rsidR="001631D7">
        <w:t>-</w:t>
      </w:r>
      <w:r w:rsidR="00331E5C" w:rsidRPr="00293F69">
        <w:t>tied</w:t>
      </w:r>
      <w:r w:rsidR="009B3B06">
        <w:rPr>
          <w:lang w:val="en-US" w:bidi="he-IL"/>
        </w:rPr>
        <w:t xml:space="preserve"> upon arrest</w:t>
      </w:r>
      <w:r w:rsidR="00331E5C" w:rsidRPr="00293F69">
        <w:t>, 78</w:t>
      </w:r>
      <w:r w:rsidR="001A07FC">
        <w:t xml:space="preserve"> per</w:t>
      </w:r>
      <w:r w:rsidR="000A1C71">
        <w:t xml:space="preserve"> </w:t>
      </w:r>
      <w:r w:rsidR="001631D7">
        <w:t>cent</w:t>
      </w:r>
      <w:r w:rsidR="00331E5C" w:rsidRPr="00293F69">
        <w:t xml:space="preserve"> were blindfolded</w:t>
      </w:r>
      <w:r w:rsidR="009B3B06">
        <w:t xml:space="preserve"> or hooded following arrest</w:t>
      </w:r>
      <w:r w:rsidR="00331E5C" w:rsidRPr="00293F69">
        <w:t>, 65</w:t>
      </w:r>
      <w:r w:rsidR="001631D7">
        <w:t xml:space="preserve"> per</w:t>
      </w:r>
      <w:r w:rsidR="000A1C71">
        <w:t xml:space="preserve"> </w:t>
      </w:r>
      <w:r w:rsidR="001631D7">
        <w:t>cent</w:t>
      </w:r>
      <w:r w:rsidR="00331E5C" w:rsidRPr="00293F69">
        <w:t xml:space="preserve"> were subjected to physical abuse, 66</w:t>
      </w:r>
      <w:r w:rsidR="001A07FC">
        <w:t xml:space="preserve"> per</w:t>
      </w:r>
      <w:r w:rsidR="000A1C71">
        <w:t xml:space="preserve"> </w:t>
      </w:r>
      <w:r w:rsidR="001631D7">
        <w:t>cent</w:t>
      </w:r>
      <w:r w:rsidR="00331E5C" w:rsidRPr="00293F69">
        <w:t xml:space="preserve"> were strip</w:t>
      </w:r>
      <w:r w:rsidR="001631D7">
        <w:t>–</w:t>
      </w:r>
      <w:r w:rsidR="00331E5C" w:rsidRPr="00293F69">
        <w:t>searched</w:t>
      </w:r>
      <w:r w:rsidR="001631D7">
        <w:t>,</w:t>
      </w:r>
      <w:r w:rsidR="001A07FC">
        <w:t xml:space="preserve"> </w:t>
      </w:r>
      <w:r w:rsidR="00331E5C" w:rsidRPr="00293F69">
        <w:t>and 81</w:t>
      </w:r>
      <w:r w:rsidR="001A07FC">
        <w:t xml:space="preserve"> per </w:t>
      </w:r>
      <w:r w:rsidR="000A1C71">
        <w:t>c</w:t>
      </w:r>
      <w:r w:rsidR="001631D7">
        <w:t>ent</w:t>
      </w:r>
      <w:r w:rsidR="00331E5C" w:rsidRPr="00293F69">
        <w:t xml:space="preserve"> were denied access to a lawyer prior to questioning.</w:t>
      </w:r>
      <w:r w:rsidR="00331E5C" w:rsidRPr="00293F69">
        <w:rPr>
          <w:vertAlign w:val="superscript"/>
        </w:rPr>
        <w:footnoteReference w:id="41"/>
      </w:r>
    </w:p>
    <w:p w14:paraId="7131E6BD" w14:textId="0D52B1CC" w:rsidR="008046E7" w:rsidRPr="00293F69" w:rsidRDefault="008046E7" w:rsidP="008F1891">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F72E05">
        <w:t xml:space="preserve">On 19 December 2017, 16-year-old Ahed Tamimi was arrested by </w:t>
      </w:r>
      <w:r w:rsidR="00905999">
        <w:t xml:space="preserve">Israeli security forces </w:t>
      </w:r>
      <w:r w:rsidRPr="00F72E05">
        <w:t>in Nabi Saleh</w:t>
      </w:r>
      <w:r w:rsidR="001631D7">
        <w:t>,</w:t>
      </w:r>
      <w:r w:rsidRPr="00F72E05">
        <w:t xml:space="preserve"> in the West Bank</w:t>
      </w:r>
      <w:r w:rsidR="001631D7">
        <w:t>,</w:t>
      </w:r>
      <w:r w:rsidR="00B709D7" w:rsidRPr="00F72E05">
        <w:t xml:space="preserve"> </w:t>
      </w:r>
      <w:r w:rsidRPr="00F72E05">
        <w:t xml:space="preserve">following an incident on 15 December </w:t>
      </w:r>
      <w:r w:rsidR="00633836" w:rsidRPr="00F72E05">
        <w:t xml:space="preserve">2017 </w:t>
      </w:r>
      <w:r w:rsidRPr="00F72E05">
        <w:t>during which she was filmed slapping and kicking two Israeli soldiers in the front yard of her family’s house. The girl was arrested in the middle of the night and interrogated without the presence of her parents o</w:t>
      </w:r>
      <w:r w:rsidR="003B4176" w:rsidRPr="00F72E05">
        <w:t>r</w:t>
      </w:r>
      <w:r w:rsidRPr="00F72E05">
        <w:t xml:space="preserve"> lawyer. According to her lawyer</w:t>
      </w:r>
      <w:r w:rsidR="001631D7">
        <w:t>,</w:t>
      </w:r>
      <w:r w:rsidRPr="00F72E05">
        <w:t xml:space="preserve"> she was subjected to ill-treatment and threats during interrogation, and requests </w:t>
      </w:r>
      <w:r w:rsidR="001631D7">
        <w:t xml:space="preserve">by </w:t>
      </w:r>
      <w:r w:rsidR="008F1891">
        <w:t>the lawyer</w:t>
      </w:r>
      <w:r w:rsidR="001631D7">
        <w:t xml:space="preserve"> </w:t>
      </w:r>
      <w:r w:rsidRPr="00F72E05">
        <w:t xml:space="preserve">to release her on bail before and during the proceedings were refused. </w:t>
      </w:r>
      <w:r w:rsidR="006F373A" w:rsidRPr="00F72E05">
        <w:t>Following closed hearings, she accepted a plea bargain and was sentenced to eight months of imprisonment. She was released on 29 July 2018 after completing her sentence</w:t>
      </w:r>
      <w:r w:rsidRPr="00F72E05">
        <w:t xml:space="preserve">. </w:t>
      </w:r>
      <w:r w:rsidR="00F05C36" w:rsidRPr="00F72E05">
        <w:t xml:space="preserve">Children </w:t>
      </w:r>
      <w:r w:rsidRPr="00F72E05">
        <w:t>should only be detained as a measure of last resort, for the shortest appropriate period of time,</w:t>
      </w:r>
      <w:r w:rsidR="000E4BC6" w:rsidRPr="00F72E05">
        <w:t xml:space="preserve"> and</w:t>
      </w:r>
      <w:r w:rsidRPr="00F72E05">
        <w:t xml:space="preserve"> with their best interest</w:t>
      </w:r>
      <w:r w:rsidR="005803BC" w:rsidRPr="00F72E05">
        <w:t>s</w:t>
      </w:r>
      <w:r w:rsidRPr="00F72E05">
        <w:t xml:space="preserve"> as the primary consideration.</w:t>
      </w:r>
      <w:r w:rsidRPr="00293F69">
        <w:rPr>
          <w:vertAlign w:val="superscript"/>
        </w:rPr>
        <w:footnoteReference w:id="42"/>
      </w:r>
      <w:r w:rsidRPr="00F72E05">
        <w:t xml:space="preserve"> </w:t>
      </w:r>
    </w:p>
    <w:p w14:paraId="6C1912E0" w14:textId="58D62C38" w:rsidR="008046E7" w:rsidRPr="00293F69" w:rsidRDefault="008046E7"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Ill-treatment of Palestinian detainees, both adults and children, in Israeli detention continued to be of concern. During the reporting period,</w:t>
      </w:r>
      <w:r w:rsidR="00905999">
        <w:t xml:space="preserve"> Israeli civil society </w:t>
      </w:r>
      <w:r w:rsidRPr="00F07CF6">
        <w:t>received allegations of ill-treatment from 194 Palestinians</w:t>
      </w:r>
      <w:r w:rsidR="00524E6A">
        <w:t>,</w:t>
      </w:r>
      <w:r w:rsidR="00C92980">
        <w:t xml:space="preserve"> including </w:t>
      </w:r>
      <w:r w:rsidRPr="00F07CF6">
        <w:t>17 women</w:t>
      </w:r>
      <w:r w:rsidR="00C92980">
        <w:t xml:space="preserve">, </w:t>
      </w:r>
      <w:r w:rsidRPr="00F07CF6">
        <w:t>10 children</w:t>
      </w:r>
      <w:r w:rsidR="00DD7FB9">
        <w:t xml:space="preserve">, </w:t>
      </w:r>
      <w:r w:rsidR="00C92980">
        <w:t>and</w:t>
      </w:r>
      <w:r w:rsidR="00331E5C" w:rsidRPr="00F07CF6">
        <w:t xml:space="preserve"> </w:t>
      </w:r>
      <w:r w:rsidR="00C92980">
        <w:t>one</w:t>
      </w:r>
      <w:r w:rsidR="00331E5C" w:rsidRPr="00F07CF6">
        <w:t xml:space="preserve"> </w:t>
      </w:r>
      <w:r w:rsidR="00C92980">
        <w:t xml:space="preserve">person </w:t>
      </w:r>
      <w:r w:rsidR="00331E5C" w:rsidRPr="00F07CF6">
        <w:t xml:space="preserve">with Down </w:t>
      </w:r>
      <w:r w:rsidR="00331E5C">
        <w:t>s</w:t>
      </w:r>
      <w:r w:rsidR="00331E5C" w:rsidRPr="00F07CF6">
        <w:t>yndrome</w:t>
      </w:r>
      <w:r w:rsidRPr="00F07CF6">
        <w:t>.</w:t>
      </w:r>
      <w:r w:rsidRPr="00293F69">
        <w:rPr>
          <w:vertAlign w:val="superscript"/>
        </w:rPr>
        <w:footnoteReference w:id="43"/>
      </w:r>
      <w:r w:rsidRPr="00F07CF6">
        <w:t xml:space="preserve"> </w:t>
      </w:r>
      <w:r w:rsidR="00D802E0">
        <w:t xml:space="preserve">According to </w:t>
      </w:r>
      <w:r w:rsidR="00905999">
        <w:t>this source</w:t>
      </w:r>
      <w:r w:rsidR="00D802E0">
        <w:t>,</w:t>
      </w:r>
      <w:r w:rsidRPr="00F07CF6">
        <w:t xml:space="preserve"> out of 120 complaints of alleged ill-treatment and torture it submitted to </w:t>
      </w:r>
      <w:r w:rsidRPr="00293F69">
        <w:t xml:space="preserve">the Israel Security Agency </w:t>
      </w:r>
      <w:r w:rsidR="00B67921">
        <w:t>over five</w:t>
      </w:r>
      <w:r w:rsidRPr="00F07CF6">
        <w:t xml:space="preserve"> years, 85</w:t>
      </w:r>
      <w:r w:rsidR="00B67921">
        <w:t xml:space="preserve"> per</w:t>
      </w:r>
      <w:r w:rsidR="000A1C71">
        <w:t xml:space="preserve"> </w:t>
      </w:r>
      <w:r w:rsidR="00B67921">
        <w:t>cent</w:t>
      </w:r>
      <w:r w:rsidRPr="00F07CF6">
        <w:t xml:space="preserve"> of the cases involved sleep deprivation, 58</w:t>
      </w:r>
      <w:r w:rsidR="000A1C71">
        <w:t xml:space="preserve"> per cent i</w:t>
      </w:r>
      <w:r w:rsidRPr="00F07CF6">
        <w:t>ncluded threats to hurt or arrest family members, 36</w:t>
      </w:r>
      <w:r w:rsidR="00652BC1">
        <w:t xml:space="preserve"> per</w:t>
      </w:r>
      <w:r w:rsidR="000A1C71">
        <w:t xml:space="preserve"> </w:t>
      </w:r>
      <w:r w:rsidR="00B67921">
        <w:t>cent</w:t>
      </w:r>
      <w:r w:rsidRPr="00F07CF6">
        <w:t xml:space="preserve"> involved stress positions, 27</w:t>
      </w:r>
      <w:r w:rsidR="00B67921">
        <w:t xml:space="preserve"> per</w:t>
      </w:r>
      <w:r w:rsidR="000A1C71">
        <w:t xml:space="preserve"> </w:t>
      </w:r>
      <w:r w:rsidR="00B67921">
        <w:t>cent implied</w:t>
      </w:r>
      <w:r w:rsidRPr="00F07CF6">
        <w:t xml:space="preserve"> harsh physical violence, 12</w:t>
      </w:r>
      <w:r w:rsidR="00B67921">
        <w:t xml:space="preserve"> per</w:t>
      </w:r>
      <w:r w:rsidR="000A1C71">
        <w:t xml:space="preserve"> </w:t>
      </w:r>
      <w:r w:rsidR="00B67921">
        <w:t>cent</w:t>
      </w:r>
      <w:r w:rsidRPr="00F07CF6">
        <w:t xml:space="preserve"> involved sexual humiliation and assault</w:t>
      </w:r>
      <w:r w:rsidR="00B67921">
        <w:t>,</w:t>
      </w:r>
      <w:r w:rsidRPr="00F07CF6">
        <w:t xml:space="preserve"> and 8.3</w:t>
      </w:r>
      <w:r w:rsidR="00B67921">
        <w:t xml:space="preserve"> per</w:t>
      </w:r>
      <w:r w:rsidR="000A1C71">
        <w:t xml:space="preserve"> </w:t>
      </w:r>
      <w:r w:rsidR="00B67921">
        <w:t>cent</w:t>
      </w:r>
      <w:r w:rsidRPr="00F07CF6">
        <w:t xml:space="preserve"> involved refusal to access toilets</w:t>
      </w:r>
      <w:r w:rsidR="00B67921">
        <w:t>,</w:t>
      </w:r>
      <w:r w:rsidRPr="00F07CF6">
        <w:t xml:space="preserve"> especially during interrogation.</w:t>
      </w:r>
      <w:r w:rsidRPr="00293F69">
        <w:rPr>
          <w:vertAlign w:val="superscript"/>
        </w:rPr>
        <w:footnoteReference w:id="44"/>
      </w:r>
    </w:p>
    <w:p w14:paraId="4EAB8816" w14:textId="65F66A3E" w:rsidR="00F72E05" w:rsidRDefault="00905999"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D</w:t>
      </w:r>
      <w:r w:rsidR="00B67921" w:rsidRPr="00293F69">
        <w:t>uring a night raid in Silwan on 2 July 2018</w:t>
      </w:r>
      <w:r w:rsidR="00B67921">
        <w:t xml:space="preserve">, </w:t>
      </w:r>
      <w:r>
        <w:t xml:space="preserve">Israeli security forces </w:t>
      </w:r>
      <w:r w:rsidR="008046E7" w:rsidRPr="00293F69">
        <w:t xml:space="preserve">arrested a 15-year-old along with his adult brother. The child was blindfolded, handcuffed and kicked several times during transport. During the interrogation, he was shackled to a chair and blindfolded by the </w:t>
      </w:r>
      <w:r w:rsidR="00B709D7" w:rsidRPr="00293F69">
        <w:t>interrogator, pushed</w:t>
      </w:r>
      <w:r w:rsidR="008046E7" w:rsidRPr="00293F69">
        <w:t xml:space="preserve"> to the floor and kicked in different parts of his body. Both the child and his brother were released the same day without charges.</w:t>
      </w:r>
      <w:r w:rsidR="002757DC" w:rsidRPr="005216FC">
        <w:t xml:space="preserve"> </w:t>
      </w:r>
    </w:p>
    <w:p w14:paraId="72B04D55" w14:textId="6785ADDF" w:rsidR="008046E7" w:rsidRDefault="009E2FCF" w:rsidP="008F1891">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F72E05">
        <w:t>There were reports of</w:t>
      </w:r>
      <w:r w:rsidR="008046E7" w:rsidRPr="00F72E05">
        <w:t xml:space="preserve"> medical neglig</w:t>
      </w:r>
      <w:r w:rsidRPr="00F72E05">
        <w:t>ence and inadequate medi</w:t>
      </w:r>
      <w:r w:rsidR="001C7D7C" w:rsidRPr="00F72E05">
        <w:t xml:space="preserve">cal care </w:t>
      </w:r>
      <w:r w:rsidR="00D802E0" w:rsidRPr="00F72E05">
        <w:t>for</w:t>
      </w:r>
      <w:r w:rsidR="001C7D7C" w:rsidRPr="00F72E05">
        <w:t xml:space="preserve"> Palestinian detainees</w:t>
      </w:r>
      <w:r w:rsidR="000C44F7">
        <w:t>,</w:t>
      </w:r>
      <w:r w:rsidR="008046E7" w:rsidRPr="00293F69">
        <w:rPr>
          <w:vertAlign w:val="superscript"/>
        </w:rPr>
        <w:footnoteReference w:id="45"/>
      </w:r>
      <w:r w:rsidR="008046E7" w:rsidRPr="00F72E05">
        <w:t xml:space="preserve"> </w:t>
      </w:r>
      <w:r w:rsidR="00652BC1">
        <w:t>a</w:t>
      </w:r>
      <w:r w:rsidR="000C44F7">
        <w:t xml:space="preserve">s in </w:t>
      </w:r>
      <w:r w:rsidR="008046E7" w:rsidRPr="00F72E05">
        <w:t>the case of an 18-year-old from Deir Nidham</w:t>
      </w:r>
      <w:r w:rsidR="000C44F7">
        <w:t>,</w:t>
      </w:r>
      <w:r w:rsidR="008046E7" w:rsidRPr="00F72E05">
        <w:t xml:space="preserve"> arrested by ISF on 7 April 2018</w:t>
      </w:r>
      <w:r w:rsidR="000C44F7">
        <w:t xml:space="preserve">. </w:t>
      </w:r>
      <w:r w:rsidR="00091CDC" w:rsidRPr="00F72E05">
        <w:t xml:space="preserve">Although his family informed </w:t>
      </w:r>
      <w:r w:rsidR="00905999">
        <w:t xml:space="preserve">Israeli security forces </w:t>
      </w:r>
      <w:r w:rsidR="000C44F7">
        <w:t xml:space="preserve">that he suffers </w:t>
      </w:r>
      <w:r w:rsidR="000C44F7" w:rsidRPr="00F72E05">
        <w:t xml:space="preserve">from a chronic liver and kidney condition </w:t>
      </w:r>
      <w:r w:rsidR="00091CDC" w:rsidRPr="00F72E05">
        <w:t xml:space="preserve">and </w:t>
      </w:r>
      <w:r w:rsidR="000C44F7">
        <w:t xml:space="preserve">of his </w:t>
      </w:r>
      <w:r w:rsidR="000517DD" w:rsidRPr="00F72E05">
        <w:t>dietary and medication needs</w:t>
      </w:r>
      <w:r w:rsidR="008F1891">
        <w:t>,</w:t>
      </w:r>
      <w:r w:rsidR="00652BC1">
        <w:t xml:space="preserve"> </w:t>
      </w:r>
      <w:r w:rsidR="000517DD" w:rsidRPr="00F72E05">
        <w:t>they were not provided for</w:t>
      </w:r>
      <w:r w:rsidR="00091CDC" w:rsidRPr="00F72E05">
        <w:t xml:space="preserve"> while </w:t>
      </w:r>
      <w:r w:rsidR="000C44F7">
        <w:t xml:space="preserve">he was </w:t>
      </w:r>
      <w:r w:rsidR="00091CDC" w:rsidRPr="00F72E05">
        <w:t xml:space="preserve">in custody. </w:t>
      </w:r>
      <w:r w:rsidR="000517DD" w:rsidRPr="00F72E05">
        <w:t>On</w:t>
      </w:r>
      <w:r w:rsidR="00091CDC" w:rsidRPr="00F72E05">
        <w:t xml:space="preserve"> 14 May, he stopped receiving medication altogether</w:t>
      </w:r>
      <w:r w:rsidR="000C44F7">
        <w:t xml:space="preserve">, which </w:t>
      </w:r>
      <w:r w:rsidR="00091CDC" w:rsidRPr="00F72E05">
        <w:t>led to serious complications and his transfer to hospital</w:t>
      </w:r>
      <w:r w:rsidR="000517DD" w:rsidRPr="00F72E05">
        <w:t>,</w:t>
      </w:r>
      <w:r w:rsidR="00091CDC" w:rsidRPr="00F72E05">
        <w:t xml:space="preserve"> where he was in a coma for three days. He was released from custody on 28 May 2018</w:t>
      </w:r>
      <w:r w:rsidR="000C44F7">
        <w:t>,</w:t>
      </w:r>
      <w:r w:rsidR="00091CDC" w:rsidRPr="00F72E05">
        <w:t xml:space="preserve"> suffering from possibly permanent loss of eyesight.</w:t>
      </w:r>
    </w:p>
    <w:p w14:paraId="166CF9D5" w14:textId="43B4F3BB" w:rsidR="00EA3EB2" w:rsidRDefault="000C44F7" w:rsidP="008F1891">
      <w:pPr>
        <w:pStyle w:val="SingleTxtG"/>
        <w:numPr>
          <w:ilvl w:val="0"/>
          <w:numId w:val="33"/>
        </w:numPr>
        <w:tabs>
          <w:tab w:val="left" w:pos="1701"/>
        </w:tabs>
        <w:suppressAutoHyphens/>
        <w:kinsoku w:val="0"/>
        <w:overflowPunct w:val="0"/>
        <w:autoSpaceDE w:val="0"/>
        <w:autoSpaceDN w:val="0"/>
        <w:adjustRightInd w:val="0"/>
        <w:snapToGrid w:val="0"/>
        <w:ind w:left="1134" w:firstLine="0"/>
      </w:pPr>
      <w:r>
        <w:t xml:space="preserve">Some </w:t>
      </w:r>
      <w:r w:rsidR="001C7D7C">
        <w:t>Palestinians</w:t>
      </w:r>
      <w:r w:rsidR="000E4BC6">
        <w:t xml:space="preserve"> </w:t>
      </w:r>
      <w:r w:rsidR="001C7D7C">
        <w:t>reported being</w:t>
      </w:r>
      <w:r w:rsidR="008046E7">
        <w:t xml:space="preserve"> </w:t>
      </w:r>
      <w:r w:rsidR="001C7D7C">
        <w:t>arrested</w:t>
      </w:r>
      <w:r w:rsidR="008046E7">
        <w:t xml:space="preserve"> to pressure family members to </w:t>
      </w:r>
      <w:r w:rsidR="00D802E0">
        <w:t xml:space="preserve">turn </w:t>
      </w:r>
      <w:r w:rsidR="008046E7">
        <w:t xml:space="preserve">themselves in. </w:t>
      </w:r>
      <w:r>
        <w:t>For instance, o</w:t>
      </w:r>
      <w:r w:rsidR="008046E7">
        <w:t>n 6 August 2018</w:t>
      </w:r>
      <w:r>
        <w:t>,</w:t>
      </w:r>
      <w:r w:rsidR="008046E7">
        <w:t xml:space="preserve"> </w:t>
      </w:r>
      <w:r>
        <w:t xml:space="preserve">in Abu Dis, </w:t>
      </w:r>
      <w:r w:rsidR="00905999">
        <w:t xml:space="preserve">Israeli security forces </w:t>
      </w:r>
      <w:r>
        <w:t xml:space="preserve">arrested </w:t>
      </w:r>
      <w:r w:rsidR="008046E7">
        <w:t xml:space="preserve">a 63-year-old man with a heart condition </w:t>
      </w:r>
      <w:r w:rsidR="00331E5C">
        <w:t xml:space="preserve">and </w:t>
      </w:r>
      <w:r w:rsidR="008046E7">
        <w:t>reduced mobility</w:t>
      </w:r>
      <w:r>
        <w:t>,</w:t>
      </w:r>
      <w:r w:rsidR="008046E7">
        <w:t xml:space="preserve"> and detained </w:t>
      </w:r>
      <w:r>
        <w:t xml:space="preserve">him </w:t>
      </w:r>
      <w:r w:rsidR="008046E7">
        <w:t>for several hours to pressure</w:t>
      </w:r>
      <w:r w:rsidR="00331E5C">
        <w:t xml:space="preserve"> </w:t>
      </w:r>
      <w:r w:rsidR="008046E7">
        <w:t xml:space="preserve">his </w:t>
      </w:r>
      <w:r w:rsidR="00331E5C">
        <w:t xml:space="preserve">wanted </w:t>
      </w:r>
      <w:r w:rsidR="008046E7">
        <w:t>23-year</w:t>
      </w:r>
      <w:r>
        <w:t xml:space="preserve"> </w:t>
      </w:r>
      <w:r w:rsidR="008046E7">
        <w:t>old</w:t>
      </w:r>
      <w:r w:rsidR="00D802E0">
        <w:t xml:space="preserve"> son</w:t>
      </w:r>
      <w:r w:rsidR="00331E5C">
        <w:t>.</w:t>
      </w:r>
      <w:r w:rsidR="008046E7">
        <w:t xml:space="preserve"> </w:t>
      </w:r>
      <w:r>
        <w:t xml:space="preserve">He </w:t>
      </w:r>
      <w:r w:rsidR="008046E7">
        <w:t xml:space="preserve">was released </w:t>
      </w:r>
      <w:r w:rsidR="00633836">
        <w:t xml:space="preserve">after </w:t>
      </w:r>
      <w:r w:rsidR="00331E5C">
        <w:t xml:space="preserve">the son </w:t>
      </w:r>
      <w:r w:rsidR="00D802E0">
        <w:t xml:space="preserve">turned </w:t>
      </w:r>
      <w:r w:rsidR="00331E5C">
        <w:t xml:space="preserve">himself in following threats by </w:t>
      </w:r>
      <w:r w:rsidR="00905999">
        <w:t xml:space="preserve">Israeli security forces </w:t>
      </w:r>
      <w:r w:rsidR="00331E5C">
        <w:t xml:space="preserve">to </w:t>
      </w:r>
      <w:r w:rsidR="006F7E79">
        <w:t>keep his father in detention</w:t>
      </w:r>
      <w:r w:rsidR="008046E7" w:rsidRPr="00DE2362">
        <w:t>.</w:t>
      </w:r>
      <w:r w:rsidR="002757DC">
        <w:t xml:space="preserve"> </w:t>
      </w:r>
      <w:r>
        <w:t xml:space="preserve">The NGO </w:t>
      </w:r>
      <w:r w:rsidRPr="00DE2362">
        <w:t xml:space="preserve">B’tselem </w:t>
      </w:r>
      <w:r>
        <w:t>reported t</w:t>
      </w:r>
      <w:r w:rsidR="008046E7" w:rsidRPr="00DE2362">
        <w:t xml:space="preserve">wo similar cases in Abu Dis and Izariyah </w:t>
      </w:r>
      <w:r w:rsidR="00D802E0">
        <w:t>in</w:t>
      </w:r>
      <w:r w:rsidR="00D802E0" w:rsidRPr="00DE2362">
        <w:t xml:space="preserve"> </w:t>
      </w:r>
      <w:r w:rsidR="008046E7" w:rsidRPr="00DE2362">
        <w:t>September 2018.</w:t>
      </w:r>
      <w:r w:rsidR="008046E7" w:rsidRPr="00293F69">
        <w:rPr>
          <w:vertAlign w:val="superscript"/>
        </w:rPr>
        <w:footnoteReference w:id="46"/>
      </w:r>
    </w:p>
    <w:p w14:paraId="1FD5FD8E" w14:textId="1569C9BC" w:rsidR="00DB09FB" w:rsidRPr="00EA3EB2" w:rsidRDefault="00DB09FB" w:rsidP="00BA51E8">
      <w:pPr>
        <w:pStyle w:val="SingleTxtG"/>
        <w:tabs>
          <w:tab w:val="left" w:pos="1701"/>
        </w:tabs>
        <w:suppressAutoHyphens/>
        <w:kinsoku w:val="0"/>
        <w:overflowPunct w:val="0"/>
        <w:autoSpaceDE w:val="0"/>
        <w:autoSpaceDN w:val="0"/>
        <w:adjustRightInd w:val="0"/>
        <w:snapToGrid w:val="0"/>
        <w:outlineLvl w:val="0"/>
      </w:pPr>
      <w:r w:rsidRPr="00EA3EB2">
        <w:rPr>
          <w:rFonts w:asciiTheme="majorBidi" w:hAnsiTheme="majorBidi" w:cstheme="majorBidi"/>
          <w:b/>
        </w:rPr>
        <w:t>Lack of access to justice and accountability</w:t>
      </w:r>
    </w:p>
    <w:p w14:paraId="59BC9CC5" w14:textId="781B601A" w:rsidR="00EA3EB2" w:rsidRDefault="00C92980"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L</w:t>
      </w:r>
      <w:r w:rsidR="00234BBE" w:rsidRPr="00293F69">
        <w:t xml:space="preserve">ack of access to justice and accountability for Palestinian victims of violations </w:t>
      </w:r>
      <w:r w:rsidR="00191298">
        <w:t xml:space="preserve">committed </w:t>
      </w:r>
      <w:r w:rsidR="00234BBE" w:rsidRPr="00293F69">
        <w:t xml:space="preserve">by </w:t>
      </w:r>
      <w:r w:rsidR="00905999">
        <w:t xml:space="preserve">Israeli security forces </w:t>
      </w:r>
      <w:r w:rsidR="00191298">
        <w:t>persists</w:t>
      </w:r>
      <w:r w:rsidR="00234BBE" w:rsidRPr="00293F69">
        <w:t xml:space="preserve">. With the </w:t>
      </w:r>
      <w:r w:rsidRPr="00293F69">
        <w:t xml:space="preserve">high number </w:t>
      </w:r>
      <w:r w:rsidR="00234BBE" w:rsidRPr="00293F69">
        <w:t>of killings at the Gaza fence</w:t>
      </w:r>
      <w:r w:rsidR="00191298">
        <w:t xml:space="preserve"> during the reporting period</w:t>
      </w:r>
      <w:r w:rsidR="00234BBE" w:rsidRPr="00293F69">
        <w:t xml:space="preserve">, it is </w:t>
      </w:r>
      <w:r w:rsidR="00290283">
        <w:t xml:space="preserve">of </w:t>
      </w:r>
      <w:r w:rsidR="00234BBE" w:rsidRPr="00293F69">
        <w:t>particular</w:t>
      </w:r>
      <w:r w:rsidR="00290283">
        <w:t xml:space="preserve"> concern</w:t>
      </w:r>
      <w:r w:rsidR="00234BBE" w:rsidRPr="00293F69">
        <w:t xml:space="preserve"> that the internal fact-finding mechanism reportedly used by Israel to examine </w:t>
      </w:r>
      <w:r w:rsidR="00290283">
        <w:t xml:space="preserve">such </w:t>
      </w:r>
      <w:r w:rsidR="00234BBE" w:rsidRPr="00293F69">
        <w:t xml:space="preserve">incidents might not </w:t>
      </w:r>
      <w:r w:rsidR="000623E8" w:rsidRPr="00293F69">
        <w:t>operate</w:t>
      </w:r>
      <w:r w:rsidR="00234BBE" w:rsidRPr="00293F69">
        <w:t xml:space="preserve"> in l</w:t>
      </w:r>
      <w:r w:rsidR="00293F69">
        <w:t>ine with international standards.</w:t>
      </w:r>
      <w:r w:rsidR="00234BBE" w:rsidRPr="00293F69">
        <w:rPr>
          <w:vertAlign w:val="superscript"/>
        </w:rPr>
        <w:footnoteReference w:id="47"/>
      </w:r>
      <w:r w:rsidR="00234BBE" w:rsidRPr="00293F69">
        <w:t xml:space="preserve"> </w:t>
      </w:r>
      <w:r w:rsidR="00290283">
        <w:t xml:space="preserve">Several </w:t>
      </w:r>
      <w:r w:rsidR="00234BBE" w:rsidRPr="00293F69">
        <w:t xml:space="preserve">proceedings relating to older cases of apparent excessive use of force by </w:t>
      </w:r>
      <w:r w:rsidR="00905999">
        <w:t xml:space="preserve">Israeli security forces </w:t>
      </w:r>
      <w:r w:rsidR="00290283" w:rsidRPr="004E26B5">
        <w:t xml:space="preserve">were </w:t>
      </w:r>
      <w:r w:rsidR="00234BBE" w:rsidRPr="004E26B5">
        <w:t xml:space="preserve">closed </w:t>
      </w:r>
      <w:r w:rsidR="00C068E0" w:rsidRPr="004E26B5">
        <w:t xml:space="preserve">with no resulting accountability </w:t>
      </w:r>
      <w:r w:rsidR="00234BBE" w:rsidRPr="004E26B5">
        <w:t>during</w:t>
      </w:r>
      <w:r w:rsidR="00234BBE" w:rsidRPr="00293F69">
        <w:t xml:space="preserve"> the reporting period. For a detailed analysis of accountability-related issues, see </w:t>
      </w:r>
      <w:r w:rsidRPr="00293F69">
        <w:t>A/HRC/40/43.</w:t>
      </w:r>
    </w:p>
    <w:p w14:paraId="37A96D7B" w14:textId="6FF9B5B4" w:rsidR="00DB09FB" w:rsidRPr="00EA3EB2" w:rsidRDefault="00DB09FB" w:rsidP="00EA3EB2">
      <w:pPr>
        <w:pStyle w:val="SingleTxtG"/>
        <w:tabs>
          <w:tab w:val="left" w:pos="1701"/>
        </w:tabs>
        <w:suppressAutoHyphens/>
        <w:kinsoku w:val="0"/>
        <w:overflowPunct w:val="0"/>
        <w:autoSpaceDE w:val="0"/>
        <w:autoSpaceDN w:val="0"/>
        <w:adjustRightInd w:val="0"/>
        <w:snapToGrid w:val="0"/>
      </w:pPr>
      <w:r w:rsidRPr="00EA3EB2">
        <w:rPr>
          <w:rFonts w:asciiTheme="majorBidi" w:hAnsiTheme="majorBidi" w:cstheme="majorBidi"/>
          <w:b/>
        </w:rPr>
        <w:t>Restrictions of the rights to freedoms of expression, association and peaceful assembly</w:t>
      </w:r>
      <w:r w:rsidRPr="00EA3EB2">
        <w:rPr>
          <w:rFonts w:asciiTheme="majorBidi" w:hAnsiTheme="majorBidi" w:cstheme="majorBidi"/>
        </w:rPr>
        <w:t xml:space="preserve"> </w:t>
      </w:r>
    </w:p>
    <w:p w14:paraId="34ACB1B3" w14:textId="5E2A8120" w:rsidR="00824CE2" w:rsidRDefault="00221ED6"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F8763D">
        <w:t>Media</w:t>
      </w:r>
      <w:r w:rsidR="0096100E">
        <w:t xml:space="preserve">, </w:t>
      </w:r>
      <w:r w:rsidR="007C482A" w:rsidRPr="00F8763D">
        <w:t>civil society</w:t>
      </w:r>
      <w:r w:rsidR="0096100E">
        <w:t xml:space="preserve"> and human rights defenders working on </w:t>
      </w:r>
      <w:r w:rsidR="00290283">
        <w:t xml:space="preserve">the promotion and protection </w:t>
      </w:r>
      <w:r w:rsidR="00905999">
        <w:t xml:space="preserve">of </w:t>
      </w:r>
      <w:r w:rsidR="0096100E">
        <w:t xml:space="preserve">Palestinian rights </w:t>
      </w:r>
      <w:r w:rsidRPr="00F8763D">
        <w:t>continued to operate under increasing pressure by Israeli authorities.</w:t>
      </w:r>
      <w:r w:rsidR="00CE1F07" w:rsidRPr="00293F69">
        <w:rPr>
          <w:vertAlign w:val="superscript"/>
        </w:rPr>
        <w:footnoteReference w:id="48"/>
      </w:r>
      <w:r w:rsidRPr="00F8763D">
        <w:t xml:space="preserve"> </w:t>
      </w:r>
      <w:r w:rsidR="00220965" w:rsidRPr="00F8763D">
        <w:t xml:space="preserve">Reprisals and attempts to de-legitimize and discredit NGOs and </w:t>
      </w:r>
      <w:r w:rsidR="00290283">
        <w:t xml:space="preserve">other </w:t>
      </w:r>
      <w:r w:rsidR="00220965" w:rsidRPr="00F8763D">
        <w:t>civil society actors continued. For example, the Israeli NGO B’</w:t>
      </w:r>
      <w:r w:rsidR="0081280B">
        <w:t>T</w:t>
      </w:r>
      <w:r w:rsidR="00220965" w:rsidRPr="00F8763D">
        <w:t xml:space="preserve">selem </w:t>
      </w:r>
      <w:r w:rsidR="002757DC">
        <w:t>w</w:t>
      </w:r>
      <w:r w:rsidR="00290283">
        <w:t>as</w:t>
      </w:r>
      <w:r w:rsidR="00220965" w:rsidRPr="00F8763D">
        <w:t xml:space="preserve"> </w:t>
      </w:r>
      <w:r w:rsidR="00A6369E">
        <w:t>public</w:t>
      </w:r>
      <w:r w:rsidR="002757DC">
        <w:t>ly</w:t>
      </w:r>
      <w:r w:rsidR="00A6369E">
        <w:t xml:space="preserve"> </w:t>
      </w:r>
      <w:r w:rsidR="00290283">
        <w:t xml:space="preserve">verbally </w:t>
      </w:r>
      <w:r w:rsidR="00220965" w:rsidRPr="00F8763D">
        <w:t>attack</w:t>
      </w:r>
      <w:r w:rsidR="002757DC">
        <w:t>ed</w:t>
      </w:r>
      <w:r w:rsidR="00220965" w:rsidRPr="00F8763D">
        <w:t xml:space="preserve"> by high-ranking politicians</w:t>
      </w:r>
      <w:r w:rsidR="00290283">
        <w:t>,</w:t>
      </w:r>
      <w:r w:rsidR="00220965" w:rsidRPr="00F8763D">
        <w:t xml:space="preserve"> including the Israeli Prime Minister.</w:t>
      </w:r>
      <w:r w:rsidR="00A6369E" w:rsidRPr="00293F69">
        <w:rPr>
          <w:vertAlign w:val="superscript"/>
        </w:rPr>
        <w:footnoteReference w:id="49"/>
      </w:r>
      <w:r w:rsidR="00220965" w:rsidRPr="00F8763D">
        <w:t xml:space="preserve"> </w:t>
      </w:r>
      <w:r w:rsidR="00290283">
        <w:t xml:space="preserve">Several </w:t>
      </w:r>
      <w:r w:rsidR="001C7D7C" w:rsidRPr="00F8763D">
        <w:t>c</w:t>
      </w:r>
      <w:r w:rsidRPr="00F8763D">
        <w:t xml:space="preserve">ivil society organizations </w:t>
      </w:r>
      <w:r w:rsidR="001C7D7C" w:rsidRPr="00F8763D">
        <w:t xml:space="preserve">in East </w:t>
      </w:r>
      <w:r w:rsidR="001C7D7C" w:rsidRPr="00BD0BC6">
        <w:t xml:space="preserve">Jerusalem </w:t>
      </w:r>
      <w:r w:rsidRPr="00BD0BC6">
        <w:t>were closed</w:t>
      </w:r>
      <w:r w:rsidR="00C068E0" w:rsidRPr="00BD0BC6">
        <w:t xml:space="preserve"> or had their closure </w:t>
      </w:r>
      <w:r w:rsidR="003869CB">
        <w:t xml:space="preserve">orders </w:t>
      </w:r>
      <w:r w:rsidR="00416773">
        <w:t>extended</w:t>
      </w:r>
      <w:r w:rsidR="00416773" w:rsidRPr="00BD0BC6">
        <w:t xml:space="preserve"> </w:t>
      </w:r>
      <w:r w:rsidR="00C068E0" w:rsidRPr="00BD0BC6">
        <w:t>based on alleged ties to the Palestinian authority</w:t>
      </w:r>
      <w:r w:rsidR="00FE18E7" w:rsidRPr="00F8763D">
        <w:t>,</w:t>
      </w:r>
      <w:r w:rsidR="00406E5F" w:rsidRPr="00293F69">
        <w:rPr>
          <w:vertAlign w:val="superscript"/>
        </w:rPr>
        <w:footnoteReference w:id="50"/>
      </w:r>
      <w:r w:rsidR="00FE18E7" w:rsidRPr="00F8763D">
        <w:t xml:space="preserve"> while </w:t>
      </w:r>
      <w:r w:rsidR="00290283">
        <w:t xml:space="preserve">legislative developments affected </w:t>
      </w:r>
      <w:r w:rsidRPr="00F8763D">
        <w:t>funding</w:t>
      </w:r>
      <w:r w:rsidR="00F8763D" w:rsidRPr="00F8763D">
        <w:t>, access</w:t>
      </w:r>
      <w:r w:rsidRPr="00F8763D">
        <w:t xml:space="preserve"> and activities</w:t>
      </w:r>
      <w:r w:rsidR="00685796">
        <w:t xml:space="preserve"> </w:t>
      </w:r>
      <w:r w:rsidR="00290283">
        <w:t>of others</w:t>
      </w:r>
      <w:r w:rsidR="00824CE2" w:rsidRPr="00F8763D">
        <w:t>.</w:t>
      </w:r>
      <w:r w:rsidR="001C4A7C" w:rsidRPr="00F8763D">
        <w:t xml:space="preserve"> Human rights defenders, journalists and media age</w:t>
      </w:r>
      <w:r w:rsidR="00BD0BC6">
        <w:t>ncies were targeted and subject</w:t>
      </w:r>
      <w:r w:rsidR="001C4A7C" w:rsidRPr="00F8763D">
        <w:t xml:space="preserve"> to harassment</w:t>
      </w:r>
      <w:r w:rsidR="00C068E0">
        <w:t xml:space="preserve"> </w:t>
      </w:r>
      <w:r w:rsidR="00C068E0" w:rsidRPr="00BD0BC6">
        <w:t>by the Israeli authorities and security forces</w:t>
      </w:r>
      <w:r w:rsidR="00824CE2" w:rsidRPr="00BD0BC6">
        <w:t>.</w:t>
      </w:r>
      <w:r w:rsidRPr="00F8763D">
        <w:t xml:space="preserve"> </w:t>
      </w:r>
      <w:r w:rsidR="00220965" w:rsidRPr="00F8763D">
        <w:t xml:space="preserve">For example, </w:t>
      </w:r>
      <w:r w:rsidR="00290283">
        <w:t xml:space="preserve">on 7 May 2018, </w:t>
      </w:r>
      <w:r w:rsidR="00220965" w:rsidRPr="00F8763D">
        <w:t xml:space="preserve">the </w:t>
      </w:r>
      <w:r w:rsidR="00290283">
        <w:t xml:space="preserve">Israeli authorities revoked </w:t>
      </w:r>
      <w:r w:rsidR="00BD0BC6">
        <w:t xml:space="preserve">the </w:t>
      </w:r>
      <w:r w:rsidR="00220965" w:rsidRPr="00F8763D">
        <w:t xml:space="preserve">work visa of </w:t>
      </w:r>
      <w:r w:rsidR="00290283">
        <w:t xml:space="preserve">the director of </w:t>
      </w:r>
      <w:r w:rsidR="00220965" w:rsidRPr="00F8763D">
        <w:t xml:space="preserve">Human Rights Watch in Israel and </w:t>
      </w:r>
      <w:r w:rsidR="00562B61">
        <w:t>the Occupied Palestinian Territory</w:t>
      </w:r>
      <w:r w:rsidR="00290283">
        <w:t>,</w:t>
      </w:r>
      <w:r w:rsidR="00562B61">
        <w:t xml:space="preserve"> </w:t>
      </w:r>
      <w:r w:rsidR="00290283">
        <w:t xml:space="preserve">invoking </w:t>
      </w:r>
      <w:r w:rsidR="00220965" w:rsidRPr="00F8763D">
        <w:t xml:space="preserve">alleged past involvement in </w:t>
      </w:r>
      <w:r w:rsidR="001302CA">
        <w:t>b</w:t>
      </w:r>
      <w:r w:rsidR="00220965" w:rsidRPr="00F8763D">
        <w:t xml:space="preserve">oycott, </w:t>
      </w:r>
      <w:r w:rsidR="001302CA">
        <w:t>d</w:t>
      </w:r>
      <w:r w:rsidR="00220965" w:rsidRPr="00F8763D">
        <w:t xml:space="preserve">ivestment and </w:t>
      </w:r>
      <w:r w:rsidR="001302CA">
        <w:t>s</w:t>
      </w:r>
      <w:r w:rsidR="00220965" w:rsidRPr="00F8763D">
        <w:t xml:space="preserve">anctions </w:t>
      </w:r>
      <w:r w:rsidR="001302CA">
        <w:t xml:space="preserve">activism. </w:t>
      </w:r>
      <w:r w:rsidR="00A6369E">
        <w:t xml:space="preserve">A challenge to this decision </w:t>
      </w:r>
      <w:r w:rsidR="00290283">
        <w:t>was</w:t>
      </w:r>
      <w:r w:rsidR="00A6369E">
        <w:t xml:space="preserve"> pending in Israeli courts at the time of writing.</w:t>
      </w:r>
    </w:p>
    <w:p w14:paraId="0F314598" w14:textId="731DEB36" w:rsidR="0055151D" w:rsidRPr="0019770C" w:rsidRDefault="00824CE2"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55151D">
        <w:t>Journalists came under attack while covering demonstrations and clashes</w:t>
      </w:r>
      <w:r w:rsidR="00646597" w:rsidRPr="0055151D">
        <w:t xml:space="preserve"> between demonstrators and </w:t>
      </w:r>
      <w:r w:rsidR="001302CA">
        <w:t>Israeli security forces</w:t>
      </w:r>
      <w:r w:rsidRPr="0055151D">
        <w:t>. In the West Bank</w:t>
      </w:r>
      <w:r w:rsidR="00616283">
        <w:t>,</w:t>
      </w:r>
      <w:r w:rsidRPr="0055151D">
        <w:t xml:space="preserve"> journalists were targeted with rubber coated bullets, crowd control measures and physical assault</w:t>
      </w:r>
      <w:r w:rsidR="00235EE2" w:rsidRPr="0055151D">
        <w:t>,</w:t>
      </w:r>
      <w:r w:rsidRPr="0055151D">
        <w:t xml:space="preserve"> especially during the demonstrations of December 2017.</w:t>
      </w:r>
      <w:r w:rsidR="00850DBE" w:rsidRPr="00293F69">
        <w:rPr>
          <w:vertAlign w:val="superscript"/>
        </w:rPr>
        <w:footnoteReference w:id="51"/>
      </w:r>
      <w:r w:rsidRPr="0055151D">
        <w:t xml:space="preserve"> </w:t>
      </w:r>
      <w:r w:rsidR="00E436C8" w:rsidRPr="0055151D">
        <w:t xml:space="preserve">On 20 December 2017, </w:t>
      </w:r>
      <w:r w:rsidR="001302CA">
        <w:t xml:space="preserve">Israeli security forces </w:t>
      </w:r>
      <w:r w:rsidR="00E436C8" w:rsidRPr="0055151D">
        <w:t xml:space="preserve">arrested a journalist covering a peaceful protest in East Jerusalem. </w:t>
      </w:r>
      <w:r w:rsidR="00616283">
        <w:t xml:space="preserve">He </w:t>
      </w:r>
      <w:r w:rsidR="00E436C8" w:rsidRPr="0055151D">
        <w:t>was released the same day on the condition that he would be banned from certain areas of East Jerusalem for 10 days, thus restricting his ability to work. During the same protest, a</w:t>
      </w:r>
      <w:r w:rsidR="00B331F1">
        <w:t>nother</w:t>
      </w:r>
      <w:r w:rsidR="00E436C8" w:rsidRPr="0055151D">
        <w:t xml:space="preserve"> journalist was pepper</w:t>
      </w:r>
      <w:r w:rsidR="00616283">
        <w:t>-</w:t>
      </w:r>
      <w:r w:rsidR="00E436C8" w:rsidRPr="0055151D">
        <w:t xml:space="preserve">sprayed by an </w:t>
      </w:r>
      <w:r w:rsidR="001302CA">
        <w:t xml:space="preserve">Israeli security forces </w:t>
      </w:r>
      <w:r w:rsidR="00E436C8" w:rsidRPr="0055151D">
        <w:t>officer as she was filming the protest.</w:t>
      </w:r>
      <w:r w:rsidR="0055151D" w:rsidRPr="0055151D">
        <w:t xml:space="preserve"> </w:t>
      </w:r>
      <w:r w:rsidR="0055151D" w:rsidRPr="0019770C">
        <w:t>According to the Palestinian Cent</w:t>
      </w:r>
      <w:r w:rsidR="00616283">
        <w:t>e</w:t>
      </w:r>
      <w:r w:rsidR="00BD0BC6">
        <w:t>r</w:t>
      </w:r>
      <w:r w:rsidR="0055151D" w:rsidRPr="0019770C">
        <w:t xml:space="preserve"> for Development and Media Freedoms</w:t>
      </w:r>
      <w:r w:rsidR="00616283">
        <w:t xml:space="preserve"> (</w:t>
      </w:r>
      <w:r w:rsidR="0055151D" w:rsidRPr="0019770C">
        <w:t>Mada</w:t>
      </w:r>
      <w:r w:rsidR="00616283">
        <w:t>)</w:t>
      </w:r>
      <w:r w:rsidR="0055151D" w:rsidRPr="0019770C">
        <w:t>, 24 Palestinians journalists were arrested by ISF</w:t>
      </w:r>
      <w:r w:rsidR="001302CA">
        <w:t xml:space="preserve"> </w:t>
      </w:r>
      <w:r w:rsidR="0055151D" w:rsidRPr="0019770C">
        <w:t>during the reporting period, 11 of whom remain</w:t>
      </w:r>
      <w:r w:rsidR="00616283">
        <w:t>ed</w:t>
      </w:r>
      <w:r w:rsidR="0055151D" w:rsidRPr="0019770C">
        <w:t xml:space="preserve"> in custody as at the end of the reporting period, including four held under administrative detention.</w:t>
      </w:r>
      <w:r w:rsidR="0055151D" w:rsidRPr="00293F69">
        <w:rPr>
          <w:vertAlign w:val="superscript"/>
        </w:rPr>
        <w:footnoteReference w:id="52"/>
      </w:r>
    </w:p>
    <w:p w14:paraId="792E2D1B" w14:textId="5C2FF8B7" w:rsidR="00683DA1" w:rsidRDefault="00824CE2" w:rsidP="007603D7">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675545">
        <w:t>In Gaza</w:t>
      </w:r>
      <w:r w:rsidR="00616283">
        <w:t>,</w:t>
      </w:r>
      <w:r w:rsidRPr="00675545">
        <w:t xml:space="preserve"> </w:t>
      </w:r>
      <w:r w:rsidR="00E436C8" w:rsidRPr="00675545">
        <w:t>t</w:t>
      </w:r>
      <w:r w:rsidR="001C4A7C" w:rsidRPr="00675545">
        <w:t xml:space="preserve">wo journalists were killed by </w:t>
      </w:r>
      <w:r w:rsidR="001302CA">
        <w:t xml:space="preserve">Israeli security forces </w:t>
      </w:r>
      <w:r w:rsidR="001C4A7C" w:rsidRPr="00675545">
        <w:t>during the reporting period</w:t>
      </w:r>
      <w:r w:rsidR="00E436C8" w:rsidRPr="00675545">
        <w:t>,</w:t>
      </w:r>
      <w:r w:rsidR="001C4A7C" w:rsidRPr="00675545">
        <w:t xml:space="preserve"> </w:t>
      </w:r>
      <w:r w:rsidR="00F05C36" w:rsidRPr="00675545">
        <w:t>including 25</w:t>
      </w:r>
      <w:r w:rsidR="001C4A7C" w:rsidRPr="00675545">
        <w:t>-year-old Ahmad Abu Hussein, who was shot</w:t>
      </w:r>
      <w:r w:rsidR="00616283">
        <w:t xml:space="preserve"> </w:t>
      </w:r>
      <w:r w:rsidR="00616283" w:rsidRPr="00675545">
        <w:t xml:space="preserve">in </w:t>
      </w:r>
      <w:r w:rsidR="00616283">
        <w:t>the</w:t>
      </w:r>
      <w:r w:rsidR="00616283" w:rsidRPr="00675545">
        <w:t xml:space="preserve"> abdomen</w:t>
      </w:r>
      <w:r w:rsidR="001C4A7C" w:rsidRPr="00675545">
        <w:t xml:space="preserve"> with live ammunition on 13 April 2018</w:t>
      </w:r>
      <w:r w:rsidR="00616283">
        <w:t>,</w:t>
      </w:r>
      <w:r w:rsidR="001C4A7C" w:rsidRPr="00675545">
        <w:t xml:space="preserve"> approximately 300 metr</w:t>
      </w:r>
      <w:r w:rsidR="00616283">
        <w:t>e</w:t>
      </w:r>
      <w:r w:rsidR="001C4A7C" w:rsidRPr="00675545">
        <w:t>s from the</w:t>
      </w:r>
      <w:r w:rsidR="008C27FF">
        <w:t xml:space="preserve"> </w:t>
      </w:r>
      <w:r w:rsidR="001C4A7C" w:rsidRPr="00675545">
        <w:t>fence</w:t>
      </w:r>
      <w:r w:rsidR="00616283">
        <w:t>,</w:t>
      </w:r>
      <w:r w:rsidR="001C4A7C" w:rsidRPr="00675545">
        <w:t xml:space="preserve"> in Jabalia. He died from his injuries on 25 April 2018. Evidence including video footage shows that </w:t>
      </w:r>
      <w:r w:rsidR="00616283">
        <w:t xml:space="preserve">when he was shot, </w:t>
      </w:r>
      <w:r w:rsidR="00235EE2" w:rsidRPr="00675545">
        <w:t>he</w:t>
      </w:r>
      <w:r w:rsidR="001C4A7C" w:rsidRPr="00675545">
        <w:t xml:space="preserve"> was photographing the demonstrations</w:t>
      </w:r>
      <w:r w:rsidR="00616283">
        <w:t>,</w:t>
      </w:r>
      <w:r w:rsidR="001C4A7C" w:rsidRPr="00675545">
        <w:t xml:space="preserve"> wearing a vest marked </w:t>
      </w:r>
      <w:r w:rsidR="0096100E" w:rsidRPr="00675545">
        <w:t>“PRESS</w:t>
      </w:r>
      <w:r w:rsidR="00BD0BC6">
        <w:t>.</w:t>
      </w:r>
      <w:r w:rsidR="0096100E" w:rsidRPr="00675545">
        <w:t>”</w:t>
      </w:r>
    </w:p>
    <w:p w14:paraId="57186F32" w14:textId="09E6AF9C" w:rsidR="00221ED6" w:rsidRPr="00754BEA" w:rsidRDefault="00221ED6"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 xml:space="preserve">In April 2018, Israeli authorities closed </w:t>
      </w:r>
      <w:r w:rsidR="00616283">
        <w:t xml:space="preserve">the </w:t>
      </w:r>
      <w:r>
        <w:t>Elia Association for Youth Media, an East Jerusalem</w:t>
      </w:r>
      <w:r w:rsidR="001302CA">
        <w:t>-</w:t>
      </w:r>
      <w:r>
        <w:t xml:space="preserve">based association that trains youth on working in the media sector. The Minister of Defence </w:t>
      </w:r>
      <w:r w:rsidR="00616283">
        <w:t xml:space="preserve">of Israel </w:t>
      </w:r>
      <w:r>
        <w:t>ordered the closure</w:t>
      </w:r>
      <w:r w:rsidR="00616283">
        <w:t>,</w:t>
      </w:r>
      <w:r>
        <w:t xml:space="preserve"> claim</w:t>
      </w:r>
      <w:r w:rsidR="00616283">
        <w:t>ing</w:t>
      </w:r>
      <w:r>
        <w:t xml:space="preserve"> that the organization “</w:t>
      </w:r>
      <w:r w:rsidRPr="0004601D">
        <w:rPr>
          <w:i/>
        </w:rPr>
        <w:t>has a hidden agenda with activities supporting acts of terrorism</w:t>
      </w:r>
      <w:r>
        <w:t>”.</w:t>
      </w:r>
      <w:r w:rsidRPr="00293F69">
        <w:footnoteReference w:id="53"/>
      </w:r>
      <w:r w:rsidR="00A90172">
        <w:t xml:space="preserve"> </w:t>
      </w:r>
      <w:r>
        <w:t xml:space="preserve">Earlier in 2018, </w:t>
      </w:r>
      <w:r w:rsidR="001302CA">
        <w:t xml:space="preserve">Israeli security forces </w:t>
      </w:r>
      <w:r w:rsidR="00616283">
        <w:t xml:space="preserve">had </w:t>
      </w:r>
      <w:r>
        <w:t xml:space="preserve">prevented </w:t>
      </w:r>
      <w:r w:rsidR="00616283">
        <w:t xml:space="preserve">the </w:t>
      </w:r>
      <w:r w:rsidR="001302CA">
        <w:t>a</w:t>
      </w:r>
      <w:r>
        <w:t>ssociation from holding a press conference in East Jerusalem and arrested</w:t>
      </w:r>
      <w:r>
        <w:rPr>
          <w:rFonts w:hint="cs"/>
          <w:rtl/>
        </w:rPr>
        <w:t xml:space="preserve"> </w:t>
      </w:r>
      <w:r w:rsidRPr="00293F69">
        <w:t>two men attending the conference</w:t>
      </w:r>
      <w:r w:rsidR="001302CA">
        <w:t>,</w:t>
      </w:r>
      <w:r w:rsidRPr="00293F69">
        <w:t xml:space="preserve"> a</w:t>
      </w:r>
      <w:r w:rsidR="00616283">
        <w:t xml:space="preserve">s well as the </w:t>
      </w:r>
      <w:r w:rsidRPr="00293F69">
        <w:t>director</w:t>
      </w:r>
      <w:r w:rsidR="00616283">
        <w:t xml:space="preserve"> of the association</w:t>
      </w:r>
      <w:r w:rsidRPr="00293F69">
        <w:t>.</w:t>
      </w:r>
    </w:p>
    <w:p w14:paraId="2A119433" w14:textId="4767C305" w:rsidR="00EA3EB2" w:rsidRDefault="00221ED6"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 xml:space="preserve">In </w:t>
      </w:r>
      <w:r w:rsidRPr="007F5693">
        <w:t>July 2018,</w:t>
      </w:r>
      <w:r>
        <w:t xml:space="preserve"> </w:t>
      </w:r>
      <w:r w:rsidR="001302CA">
        <w:t xml:space="preserve">Israeli security forces </w:t>
      </w:r>
      <w:r>
        <w:t xml:space="preserve">arrested the director of Al-Quds </w:t>
      </w:r>
      <w:r w:rsidRPr="007F5693">
        <w:t xml:space="preserve">TV channel and two journalists working for the </w:t>
      </w:r>
      <w:r>
        <w:t xml:space="preserve">channel </w:t>
      </w:r>
      <w:r w:rsidRPr="007F5693">
        <w:t xml:space="preserve">after </w:t>
      </w:r>
      <w:r>
        <w:t xml:space="preserve">it was </w:t>
      </w:r>
      <w:r w:rsidRPr="00C84995">
        <w:t xml:space="preserve">banned by the Israeli authorities. The journalists were interrogated about their work, subjected to threats, and accused of incitement of violence. They were all released on bail within a few weeks, </w:t>
      </w:r>
      <w:r>
        <w:t>while the</w:t>
      </w:r>
      <w:r w:rsidRPr="00C84995">
        <w:t xml:space="preserve"> </w:t>
      </w:r>
      <w:r w:rsidR="000A1C71">
        <w:t xml:space="preserve">director of the </w:t>
      </w:r>
      <w:r w:rsidRPr="00C84995">
        <w:t xml:space="preserve">channel </w:t>
      </w:r>
      <w:r>
        <w:t xml:space="preserve">was </w:t>
      </w:r>
      <w:r w:rsidRPr="00C84995">
        <w:t>ban</w:t>
      </w:r>
      <w:r>
        <w:t xml:space="preserve">ned for two months </w:t>
      </w:r>
      <w:r w:rsidRPr="00C84995">
        <w:t xml:space="preserve">from leaving Ramallah </w:t>
      </w:r>
      <w:r>
        <w:t>and</w:t>
      </w:r>
      <w:r w:rsidRPr="00C84995">
        <w:t xml:space="preserve"> contacting media agencies. </w:t>
      </w:r>
    </w:p>
    <w:p w14:paraId="0F796CCE" w14:textId="77777777" w:rsidR="00EA3EB2" w:rsidRPr="00EA3EB2" w:rsidRDefault="008B3A4B" w:rsidP="00BA51E8">
      <w:pPr>
        <w:pStyle w:val="SingleTxtG"/>
        <w:tabs>
          <w:tab w:val="left" w:pos="1701"/>
        </w:tabs>
        <w:suppressAutoHyphens/>
        <w:kinsoku w:val="0"/>
        <w:overflowPunct w:val="0"/>
        <w:autoSpaceDE w:val="0"/>
        <w:autoSpaceDN w:val="0"/>
        <w:adjustRightInd w:val="0"/>
        <w:snapToGrid w:val="0"/>
        <w:outlineLvl w:val="0"/>
      </w:pPr>
      <w:r w:rsidRPr="00EA3EB2">
        <w:rPr>
          <w:rFonts w:asciiTheme="majorBidi" w:hAnsiTheme="majorBidi" w:cstheme="majorBidi"/>
          <w:b/>
        </w:rPr>
        <w:t>Restrictions of freedom of movement, and economic and social rights</w:t>
      </w:r>
    </w:p>
    <w:p w14:paraId="62BC688C" w14:textId="253F7BB4" w:rsidR="00221ED6" w:rsidRPr="00EA3EB2" w:rsidRDefault="00221ED6" w:rsidP="00BA51E8">
      <w:pPr>
        <w:pStyle w:val="SingleTxtG"/>
        <w:tabs>
          <w:tab w:val="left" w:pos="1701"/>
        </w:tabs>
        <w:suppressAutoHyphens/>
        <w:kinsoku w:val="0"/>
        <w:overflowPunct w:val="0"/>
        <w:autoSpaceDE w:val="0"/>
        <w:autoSpaceDN w:val="0"/>
        <w:adjustRightInd w:val="0"/>
        <w:snapToGrid w:val="0"/>
        <w:outlineLvl w:val="0"/>
      </w:pPr>
      <w:r w:rsidRPr="00EA3EB2">
        <w:rPr>
          <w:rFonts w:asciiTheme="majorBidi" w:hAnsiTheme="majorBidi" w:cstheme="majorBidi"/>
          <w:i/>
          <w:iCs/>
        </w:rPr>
        <w:t>Gaza</w:t>
      </w:r>
    </w:p>
    <w:p w14:paraId="53B6641C" w14:textId="50626820" w:rsidR="00E93449" w:rsidRPr="00293F69" w:rsidRDefault="00D0285D" w:rsidP="00230205">
      <w:pPr>
        <w:pStyle w:val="SingleTxtG"/>
        <w:numPr>
          <w:ilvl w:val="0"/>
          <w:numId w:val="33"/>
        </w:numPr>
        <w:tabs>
          <w:tab w:val="left" w:pos="1701"/>
        </w:tabs>
        <w:suppressAutoHyphens/>
        <w:kinsoku w:val="0"/>
        <w:overflowPunct w:val="0"/>
        <w:autoSpaceDE w:val="0"/>
        <w:autoSpaceDN w:val="0"/>
        <w:adjustRightInd w:val="0"/>
        <w:snapToGrid w:val="0"/>
        <w:ind w:left="1134" w:firstLine="0"/>
      </w:pPr>
      <w:r>
        <w:t>A</w:t>
      </w:r>
      <w:r w:rsidR="00E93449" w:rsidRPr="00293F69">
        <w:t>dding to the 11</w:t>
      </w:r>
      <w:r w:rsidR="004C3173" w:rsidRPr="00293F69">
        <w:t>-</w:t>
      </w:r>
      <w:r w:rsidR="00E93449" w:rsidRPr="00293F69">
        <w:t>year Israeli blockade and closures of Gaza</w:t>
      </w:r>
      <w:r>
        <w:t>, m</w:t>
      </w:r>
      <w:r w:rsidRPr="00293F69">
        <w:t>ovement restrictions</w:t>
      </w:r>
      <w:r w:rsidR="00E93449" w:rsidRPr="00293F69">
        <w:t xml:space="preserve"> were tightened,</w:t>
      </w:r>
      <w:r>
        <w:t xml:space="preserve"> during the reporting period,</w:t>
      </w:r>
      <w:r w:rsidR="00E93449" w:rsidRPr="00293F69">
        <w:t xml:space="preserve"> with devastating impact on rights to health, education, family life and </w:t>
      </w:r>
      <w:r>
        <w:t xml:space="preserve">an </w:t>
      </w:r>
      <w:r w:rsidR="00E93449" w:rsidRPr="00293F69">
        <w:t>adequate standard of living.</w:t>
      </w:r>
      <w:r w:rsidR="00E93449" w:rsidRPr="00ED36D4">
        <w:rPr>
          <w:vertAlign w:val="superscript"/>
        </w:rPr>
        <w:footnoteReference w:id="54"/>
      </w:r>
      <w:r w:rsidR="00E93449" w:rsidRPr="00293F69">
        <w:t xml:space="preserve"> </w:t>
      </w:r>
      <w:r>
        <w:t>S</w:t>
      </w:r>
      <w:r w:rsidR="00E93449" w:rsidRPr="00293F69">
        <w:t xml:space="preserve">tatements </w:t>
      </w:r>
      <w:r>
        <w:t xml:space="preserve">by Israeli authorities </w:t>
      </w:r>
      <w:r w:rsidR="00E93449" w:rsidRPr="00293F69">
        <w:t>suggested the</w:t>
      </w:r>
      <w:r>
        <w:t xml:space="preserve">se additional restrictions were imposed </w:t>
      </w:r>
      <w:r w:rsidR="00E93449" w:rsidRPr="00293F69">
        <w:t>in response to rocket attacks and launching of incendiary kites and balloons from Gaza to</w:t>
      </w:r>
      <w:r w:rsidR="00BF08EC" w:rsidRPr="00293F69">
        <w:t>wards</w:t>
      </w:r>
      <w:r w:rsidR="00E93449" w:rsidRPr="00293F69">
        <w:t xml:space="preserve"> Israel, raising further concerns of collective punishment.</w:t>
      </w:r>
      <w:r w:rsidR="00E93449" w:rsidRPr="00ED36D4">
        <w:rPr>
          <w:vertAlign w:val="superscript"/>
        </w:rPr>
        <w:footnoteReference w:id="55"/>
      </w:r>
      <w:r w:rsidR="00E93449" w:rsidRPr="00293F69">
        <w:t xml:space="preserve">  </w:t>
      </w:r>
    </w:p>
    <w:p w14:paraId="089F835F" w14:textId="657610B2" w:rsidR="00E93449" w:rsidRPr="00293F69" w:rsidRDefault="00E93449" w:rsidP="00260D5A">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Patients in need of often urgent medical treatment </w:t>
      </w:r>
      <w:r w:rsidR="00EF492D">
        <w:t>continued to face</w:t>
      </w:r>
      <w:r w:rsidR="00EF492D" w:rsidRPr="00293F69">
        <w:t xml:space="preserve"> </w:t>
      </w:r>
      <w:r w:rsidRPr="00293F69">
        <w:t>difficulties in obtaining permits to exit Gaza.</w:t>
      </w:r>
      <w:r w:rsidRPr="00ED36D4">
        <w:rPr>
          <w:vertAlign w:val="superscript"/>
        </w:rPr>
        <w:footnoteReference w:id="56"/>
      </w:r>
      <w:r w:rsidRPr="00293F69">
        <w:t xml:space="preserve"> Out of the 25,260 requests submitted mainly by the Palestinian Authority Civil Affairs Office on behalf of patients, 1,741 (6.9</w:t>
      </w:r>
      <w:r w:rsidR="0004601D">
        <w:t xml:space="preserve"> per</w:t>
      </w:r>
      <w:r w:rsidR="00E63884">
        <w:t xml:space="preserve"> </w:t>
      </w:r>
      <w:r w:rsidR="00D0285D">
        <w:t>cent</w:t>
      </w:r>
      <w:r w:rsidRPr="00293F69">
        <w:t>) were denied and 8,544 (33.8</w:t>
      </w:r>
      <w:r w:rsidR="0004601D">
        <w:t xml:space="preserve"> per</w:t>
      </w:r>
      <w:r w:rsidR="00E63884">
        <w:t xml:space="preserve"> </w:t>
      </w:r>
      <w:r w:rsidR="00D0285D">
        <w:t>cent</w:t>
      </w:r>
      <w:r w:rsidRPr="00293F69">
        <w:t>) delayed</w:t>
      </w:r>
      <w:r w:rsidR="001D4E2D">
        <w:t xml:space="preserve"> on average up to several months</w:t>
      </w:r>
      <w:r w:rsidRPr="00293F69">
        <w:t xml:space="preserve">. Palestinians injured during the </w:t>
      </w:r>
      <w:r w:rsidR="00BF08EC" w:rsidRPr="00293F69">
        <w:t>“</w:t>
      </w:r>
      <w:r w:rsidRPr="00293F69">
        <w:t>Great March of Return</w:t>
      </w:r>
      <w:r w:rsidR="00BF08EC" w:rsidRPr="00293F69">
        <w:t>”</w:t>
      </w:r>
      <w:r w:rsidRPr="00293F69">
        <w:t xml:space="preserve"> demonstrations were mos</w:t>
      </w:r>
      <w:r w:rsidR="00ED36D4">
        <w:t>t affected, with only 22 per</w:t>
      </w:r>
      <w:r w:rsidR="000A1C71">
        <w:t xml:space="preserve"> </w:t>
      </w:r>
      <w:r w:rsidR="00ED36D4">
        <w:t>cent</w:t>
      </w:r>
      <w:r w:rsidRPr="00ED36D4">
        <w:rPr>
          <w:vertAlign w:val="superscript"/>
        </w:rPr>
        <w:footnoteReference w:id="57"/>
      </w:r>
      <w:r w:rsidRPr="00293F69">
        <w:t xml:space="preserve"> of exit applications approved, </w:t>
      </w:r>
      <w:r w:rsidR="00D0285D">
        <w:t xml:space="preserve">compared to </w:t>
      </w:r>
      <w:r w:rsidRPr="00293F69">
        <w:t>the average monthly approval rate of 58 per</w:t>
      </w:r>
      <w:r w:rsidR="000A1C71">
        <w:t xml:space="preserve"> </w:t>
      </w:r>
      <w:r w:rsidRPr="00293F69">
        <w:t>cent for other patients.</w:t>
      </w:r>
      <w:r w:rsidRPr="00ED36D4">
        <w:rPr>
          <w:vertAlign w:val="superscript"/>
        </w:rPr>
        <w:footnoteReference w:id="58"/>
      </w:r>
      <w:r w:rsidRPr="00293F69">
        <w:t xml:space="preserve"> Some patients died after their permit was</w:t>
      </w:r>
      <w:r w:rsidR="0004601D">
        <w:t xml:space="preserve"> </w:t>
      </w:r>
      <w:r w:rsidRPr="00293F69">
        <w:t>denied</w:t>
      </w:r>
      <w:r w:rsidR="00FC731B" w:rsidRPr="00293F69">
        <w:t xml:space="preserve"> by Israel</w:t>
      </w:r>
      <w:r w:rsidRPr="00293F69">
        <w:t>, or as they were waiting for its approval.</w:t>
      </w:r>
      <w:r w:rsidRPr="00ED36D4">
        <w:rPr>
          <w:vertAlign w:val="superscript"/>
        </w:rPr>
        <w:footnoteReference w:id="59"/>
      </w:r>
    </w:p>
    <w:p w14:paraId="37B95AAA" w14:textId="0D47D9EB" w:rsidR="00221ED6" w:rsidRPr="00293F69" w:rsidRDefault="00221ED6" w:rsidP="007603D7">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For example, </w:t>
      </w:r>
      <w:r w:rsidR="0096100E" w:rsidRPr="00293F69">
        <w:t xml:space="preserve">Israeli authorities delayed issuing an exit permit to </w:t>
      </w:r>
      <w:r w:rsidRPr="00293F69">
        <w:t>a cancer patient from Gaza for a medical appointment</w:t>
      </w:r>
      <w:r w:rsidR="001302CA">
        <w:t>,</w:t>
      </w:r>
      <w:r w:rsidRPr="00293F69">
        <w:t xml:space="preserve"> </w:t>
      </w:r>
      <w:r w:rsidR="0096100E" w:rsidRPr="00293F69">
        <w:t xml:space="preserve">because he </w:t>
      </w:r>
      <w:r w:rsidR="00D0285D">
        <w:t xml:space="preserve">had </w:t>
      </w:r>
      <w:r w:rsidRPr="00293F69">
        <w:t>refus</w:t>
      </w:r>
      <w:r w:rsidR="0096100E" w:rsidRPr="00293F69">
        <w:t>ed</w:t>
      </w:r>
      <w:r w:rsidRPr="00293F69">
        <w:t xml:space="preserve"> to provide </w:t>
      </w:r>
      <w:r w:rsidR="00BF08EC" w:rsidRPr="00293F69">
        <w:t xml:space="preserve">information about </w:t>
      </w:r>
      <w:r w:rsidRPr="00293F69">
        <w:t>members of armed groups in Gaza</w:t>
      </w:r>
      <w:r w:rsidR="00ED36D4">
        <w:t>.</w:t>
      </w:r>
      <w:r w:rsidRPr="00ED36D4">
        <w:rPr>
          <w:vertAlign w:val="superscript"/>
        </w:rPr>
        <w:footnoteReference w:id="60"/>
      </w:r>
      <w:r w:rsidRPr="00293F69">
        <w:t xml:space="preserve"> Following a significant deterioration in his condition, he was </w:t>
      </w:r>
      <w:r w:rsidR="00D0285D">
        <w:t xml:space="preserve">eventually </w:t>
      </w:r>
      <w:r w:rsidRPr="00293F69">
        <w:t xml:space="preserve">allowed to </w:t>
      </w:r>
      <w:r w:rsidR="007603D7">
        <w:t>pass through</w:t>
      </w:r>
      <w:r w:rsidR="007603D7" w:rsidRPr="00293F69">
        <w:t xml:space="preserve"> </w:t>
      </w:r>
      <w:r w:rsidR="001302CA">
        <w:t xml:space="preserve">the </w:t>
      </w:r>
      <w:r w:rsidRPr="00293F69">
        <w:t xml:space="preserve">Erez </w:t>
      </w:r>
      <w:r w:rsidR="007603D7">
        <w:t xml:space="preserve">crossing </w:t>
      </w:r>
      <w:r w:rsidR="00D0285D">
        <w:t>but</w:t>
      </w:r>
      <w:r w:rsidRPr="00293F69">
        <w:t xml:space="preserve"> died </w:t>
      </w:r>
      <w:r w:rsidR="00D0285D">
        <w:t xml:space="preserve">in </w:t>
      </w:r>
      <w:r w:rsidRPr="00293F69">
        <w:t xml:space="preserve">hospital </w:t>
      </w:r>
      <w:r w:rsidR="00FB3B00" w:rsidRPr="00293F69">
        <w:t>10 days later</w:t>
      </w:r>
      <w:r w:rsidRPr="00293F69">
        <w:t>. </w:t>
      </w:r>
      <w:r w:rsidR="00D0285D">
        <w:t>A</w:t>
      </w:r>
      <w:r w:rsidRPr="00293F69">
        <w:t xml:space="preserve"> 14-year</w:t>
      </w:r>
      <w:r w:rsidR="00D0285D">
        <w:t xml:space="preserve"> </w:t>
      </w:r>
      <w:r w:rsidRPr="00293F69">
        <w:t xml:space="preserve">old boy who was shot </w:t>
      </w:r>
      <w:r w:rsidR="00D0285D">
        <w:t xml:space="preserve">in the chest </w:t>
      </w:r>
      <w:r w:rsidRPr="00293F69">
        <w:t xml:space="preserve">with live ammunition on 30 May 2018 </w:t>
      </w:r>
      <w:r w:rsidR="00D0285D">
        <w:t xml:space="preserve">died on 18 June 2018 after being </w:t>
      </w:r>
      <w:r w:rsidRPr="00293F69">
        <w:t xml:space="preserve">repeatedly denied an exit permit.   </w:t>
      </w:r>
    </w:p>
    <w:p w14:paraId="161E1633" w14:textId="53AB353F" w:rsidR="00221ED6" w:rsidRPr="00293F69" w:rsidRDefault="00221ED6"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Between 9 July and 14 August</w:t>
      </w:r>
      <w:r w:rsidR="001302CA">
        <w:t xml:space="preserve"> 2018</w:t>
      </w:r>
      <w:r w:rsidRPr="00293F69">
        <w:t>, and between 17 to 21 October</w:t>
      </w:r>
      <w:r w:rsidR="001302CA">
        <w:t xml:space="preserve"> 2018</w:t>
      </w:r>
      <w:r w:rsidRPr="00293F69">
        <w:t>, Israeli authorities banned altogether the exit of the few types and quantities of goods allowed out from Gaza, resulting in the lowest monthly export levels since 2015.</w:t>
      </w:r>
      <w:r w:rsidRPr="00ED36D4">
        <w:rPr>
          <w:vertAlign w:val="superscript"/>
        </w:rPr>
        <w:footnoteReference w:id="61"/>
      </w:r>
      <w:r w:rsidRPr="00293F69">
        <w:t xml:space="preserve"> Entry of all goods except for food, medical supplies an</w:t>
      </w:r>
      <w:r w:rsidR="005146C5" w:rsidRPr="00293F69">
        <w:t xml:space="preserve">d animal fodder </w:t>
      </w:r>
      <w:r w:rsidRPr="00293F69">
        <w:t>was halted. Between 9 July and 14</w:t>
      </w:r>
      <w:r w:rsidR="001302CA">
        <w:t xml:space="preserve"> </w:t>
      </w:r>
      <w:r w:rsidRPr="00293F69">
        <w:t xml:space="preserve"> August</w:t>
      </w:r>
      <w:r w:rsidR="001302CA">
        <w:t xml:space="preserve"> 2018</w:t>
      </w:r>
      <w:r w:rsidRPr="00293F69">
        <w:t>, fuel and cooking gas entered irregularly, and were banned again from 12 to 21 October</w:t>
      </w:r>
      <w:r w:rsidR="001302CA">
        <w:t xml:space="preserve"> 2018</w:t>
      </w:r>
      <w:r w:rsidRPr="00293F69">
        <w:t>, including U</w:t>
      </w:r>
      <w:r w:rsidR="00D0285D">
        <w:t xml:space="preserve">nited </w:t>
      </w:r>
      <w:r w:rsidRPr="00293F69">
        <w:t>N</w:t>
      </w:r>
      <w:r w:rsidR="00D0285D">
        <w:t>ations</w:t>
      </w:r>
      <w:r w:rsidRPr="00293F69">
        <w:t xml:space="preserve">-funded fuel for critical </w:t>
      </w:r>
      <w:r w:rsidR="0096100E" w:rsidRPr="00293F69">
        <w:t xml:space="preserve">water, sanitation </w:t>
      </w:r>
      <w:r w:rsidRPr="00293F69">
        <w:t>and health facilities.</w:t>
      </w:r>
    </w:p>
    <w:p w14:paraId="1B465CAD" w14:textId="62B53FC1" w:rsidR="00221ED6" w:rsidRPr="00293F69" w:rsidRDefault="00221ED6"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The unemployment rate</w:t>
      </w:r>
      <w:r w:rsidR="0096100E" w:rsidRPr="00293F69">
        <w:t xml:space="preserve"> in Gaza</w:t>
      </w:r>
      <w:r w:rsidRPr="00293F69">
        <w:t xml:space="preserve"> increased to 53</w:t>
      </w:r>
      <w:r w:rsidR="00085E63" w:rsidRPr="00293F69">
        <w:t>.</w:t>
      </w:r>
      <w:r w:rsidRPr="00293F69">
        <w:t>7 per</w:t>
      </w:r>
      <w:r w:rsidR="000A1C71">
        <w:t xml:space="preserve"> </w:t>
      </w:r>
      <w:r w:rsidRPr="00293F69">
        <w:t>cent in the second quarter of 2018, exceeding 70 per</w:t>
      </w:r>
      <w:r w:rsidR="000A1C71">
        <w:t xml:space="preserve"> </w:t>
      </w:r>
      <w:r w:rsidRPr="00293F69">
        <w:t>cent among youth and up to 78 per</w:t>
      </w:r>
      <w:r w:rsidR="00D0285D">
        <w:t xml:space="preserve"> </w:t>
      </w:r>
      <w:r w:rsidRPr="00293F69">
        <w:t>cent among women.</w:t>
      </w:r>
      <w:r w:rsidRPr="00ED36D4">
        <w:rPr>
          <w:vertAlign w:val="superscript"/>
        </w:rPr>
        <w:footnoteReference w:id="62"/>
      </w:r>
      <w:r w:rsidR="0096100E" w:rsidRPr="00293F69">
        <w:t xml:space="preserve"> </w:t>
      </w:r>
      <w:r w:rsidRPr="00293F69">
        <w:t xml:space="preserve">Per capita GDP </w:t>
      </w:r>
      <w:r w:rsidR="00CB144E" w:rsidRPr="00293F69">
        <w:t>decreased to an</w:t>
      </w:r>
      <w:r w:rsidRPr="00293F69">
        <w:t xml:space="preserve"> estimated </w:t>
      </w:r>
      <w:r w:rsidR="0096100E" w:rsidRPr="00293F69">
        <w:t>USD</w:t>
      </w:r>
      <w:r w:rsidR="00D0285D">
        <w:t xml:space="preserve"> </w:t>
      </w:r>
      <w:r w:rsidR="0081280B" w:rsidRPr="00293F69">
        <w:t>410</w:t>
      </w:r>
      <w:r w:rsidR="00CB144E" w:rsidRPr="00293F69">
        <w:t xml:space="preserve"> in</w:t>
      </w:r>
      <w:r w:rsidR="005A7704" w:rsidRPr="00293F69">
        <w:t xml:space="preserve"> 2018 </w:t>
      </w:r>
      <w:r w:rsidR="001302CA">
        <w:t>from</w:t>
      </w:r>
      <w:r w:rsidR="005A7704" w:rsidRPr="00293F69">
        <w:t xml:space="preserve"> </w:t>
      </w:r>
      <w:r w:rsidR="001302CA">
        <w:t xml:space="preserve">USD </w:t>
      </w:r>
      <w:r w:rsidR="005A7704" w:rsidRPr="00293F69">
        <w:t xml:space="preserve">450 </w:t>
      </w:r>
      <w:r w:rsidR="00CB144E" w:rsidRPr="00293F69">
        <w:t>in</w:t>
      </w:r>
      <w:r w:rsidR="005A7704" w:rsidRPr="00293F69">
        <w:t xml:space="preserve"> 2017</w:t>
      </w:r>
      <w:r w:rsidRPr="00293F69">
        <w:t>.</w:t>
      </w:r>
      <w:r w:rsidRPr="00ED36D4">
        <w:rPr>
          <w:vertAlign w:val="superscript"/>
        </w:rPr>
        <w:footnoteReference w:id="63"/>
      </w:r>
      <w:r w:rsidRPr="00293F69">
        <w:t xml:space="preserve"> The situation was compounded by a steady decline in </w:t>
      </w:r>
      <w:r w:rsidR="005A7704" w:rsidRPr="00293F69">
        <w:t>transfer of funds</w:t>
      </w:r>
      <w:r w:rsidRPr="00293F69">
        <w:t xml:space="preserve"> by the P</w:t>
      </w:r>
      <w:r w:rsidR="0096100E" w:rsidRPr="00293F69">
        <w:t>alestinian Authority,</w:t>
      </w:r>
      <w:r w:rsidR="00FB3B00" w:rsidRPr="00ED36D4">
        <w:rPr>
          <w:vertAlign w:val="superscript"/>
        </w:rPr>
        <w:footnoteReference w:id="64"/>
      </w:r>
      <w:r w:rsidRPr="00293F69">
        <w:t xml:space="preserve"> </w:t>
      </w:r>
      <w:r w:rsidR="0096100E" w:rsidRPr="00293F69">
        <w:t>a de</w:t>
      </w:r>
      <w:r w:rsidR="00D0285D">
        <w:t>crease</w:t>
      </w:r>
      <w:r w:rsidR="0096100E" w:rsidRPr="00293F69">
        <w:t xml:space="preserve"> in </w:t>
      </w:r>
      <w:r w:rsidRPr="00293F69">
        <w:t xml:space="preserve">international aid support, and </w:t>
      </w:r>
      <w:r w:rsidR="0096100E" w:rsidRPr="00293F69">
        <w:t xml:space="preserve">funding </w:t>
      </w:r>
      <w:r w:rsidRPr="00293F69">
        <w:t xml:space="preserve">cuts </w:t>
      </w:r>
      <w:r w:rsidR="0096100E" w:rsidRPr="00293F69">
        <w:t xml:space="preserve">to </w:t>
      </w:r>
      <w:r w:rsidRPr="00293F69">
        <w:t>UNRWA program</w:t>
      </w:r>
      <w:r w:rsidR="00D0285D">
        <w:t>me</w:t>
      </w:r>
      <w:r w:rsidRPr="00293F69">
        <w:t>s.</w:t>
      </w:r>
    </w:p>
    <w:p w14:paraId="33C6A0EE" w14:textId="77777777" w:rsidR="00221ED6" w:rsidRPr="00EA3EB2" w:rsidRDefault="00221ED6" w:rsidP="00ED36D4">
      <w:pPr>
        <w:pStyle w:val="SingleTxtG"/>
        <w:tabs>
          <w:tab w:val="left" w:pos="1701"/>
        </w:tabs>
        <w:suppressAutoHyphens/>
        <w:kinsoku w:val="0"/>
        <w:overflowPunct w:val="0"/>
        <w:autoSpaceDE w:val="0"/>
        <w:autoSpaceDN w:val="0"/>
        <w:adjustRightInd w:val="0"/>
        <w:snapToGrid w:val="0"/>
        <w:rPr>
          <w:i/>
        </w:rPr>
      </w:pPr>
      <w:r w:rsidRPr="00EA3EB2">
        <w:rPr>
          <w:i/>
        </w:rPr>
        <w:t>West Bank</w:t>
      </w:r>
    </w:p>
    <w:p w14:paraId="57EB8C18" w14:textId="36F83FA2" w:rsidR="00221ED6" w:rsidRPr="00293F69" w:rsidRDefault="00221ED6"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In the West Bank, Israeli restrictions on the freedom of movement of Palestinians continued</w:t>
      </w:r>
      <w:r w:rsidR="00D0285D">
        <w:t>,</w:t>
      </w:r>
      <w:r w:rsidRPr="00293F69">
        <w:t xml:space="preserve"> </w:t>
      </w:r>
      <w:r w:rsidR="00D0285D">
        <w:t>severely affecting</w:t>
      </w:r>
      <w:r w:rsidRPr="00293F69">
        <w:t xml:space="preserve"> a range of rights. A survey conducted by OCHA in July 2018 recorded 705 permanent road obstacles </w:t>
      </w:r>
      <w:r w:rsidR="007966EF" w:rsidRPr="00293F69">
        <w:t>to</w:t>
      </w:r>
      <w:r w:rsidRPr="00293F69">
        <w:t xml:space="preserve"> Palestinian vehicular and</w:t>
      </w:r>
      <w:r w:rsidR="00D0285D">
        <w:t>,</w:t>
      </w:r>
      <w:r w:rsidRPr="00293F69">
        <w:t xml:space="preserve"> in some cases</w:t>
      </w:r>
      <w:r w:rsidR="00D0285D">
        <w:t>,</w:t>
      </w:r>
      <w:r w:rsidRPr="00293F69">
        <w:t xml:space="preserve"> pedestrian movement</w:t>
      </w:r>
      <w:r w:rsidR="00D0285D">
        <w:t>,</w:t>
      </w:r>
      <w:r w:rsidRPr="00293F69">
        <w:t xml:space="preserve"> including checkpoints</w:t>
      </w:r>
      <w:r w:rsidR="007966EF" w:rsidRPr="00293F69">
        <w:t xml:space="preserve"> and </w:t>
      </w:r>
      <w:r w:rsidRPr="00293F69">
        <w:t>roadblocks. OCHA further documented 93 instances of closures of villages’ entrances between January 2017 and July 2018</w:t>
      </w:r>
      <w:r w:rsidR="00D0285D">
        <w:t>, which</w:t>
      </w:r>
      <w:r w:rsidRPr="00293F69">
        <w:t xml:space="preserve"> affect</w:t>
      </w:r>
      <w:r w:rsidR="00D0285D">
        <w:t xml:space="preserve">ed </w:t>
      </w:r>
      <w:r w:rsidRPr="00293F69">
        <w:t>30 communities.</w:t>
      </w:r>
      <w:r w:rsidRPr="00ED36D4">
        <w:rPr>
          <w:vertAlign w:val="superscript"/>
        </w:rPr>
        <w:footnoteReference w:id="65"/>
      </w:r>
      <w:r w:rsidRPr="00293F69">
        <w:t xml:space="preserve"> While such restrictions </w:t>
      </w:r>
      <w:r w:rsidR="001302CA">
        <w:t>can</w:t>
      </w:r>
      <w:r w:rsidR="001302CA" w:rsidRPr="00293F69">
        <w:t xml:space="preserve"> </w:t>
      </w:r>
      <w:r w:rsidRPr="00293F69">
        <w:t>be justified for legitimate security needs, any limitation to the right to freedom of movement has to be necessary and proportional to the end sought and should not amount to collective punishment.</w:t>
      </w:r>
      <w:r w:rsidRPr="00ED36D4">
        <w:rPr>
          <w:vertAlign w:val="superscript"/>
        </w:rPr>
        <w:footnoteReference w:id="66"/>
      </w:r>
    </w:p>
    <w:p w14:paraId="60415CD1" w14:textId="5D2DCAAC" w:rsidR="00487BA0" w:rsidRPr="00293F69" w:rsidRDefault="00221ED6"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293F69">
        <w:t xml:space="preserve">Restrictions particularly affected </w:t>
      </w:r>
      <w:r w:rsidR="00D0285D">
        <w:t xml:space="preserve">the </w:t>
      </w:r>
      <w:r w:rsidR="00487BA0" w:rsidRPr="00293F69">
        <w:t xml:space="preserve">right to health. </w:t>
      </w:r>
      <w:r w:rsidRPr="00293F69">
        <w:t>During the reporting period, 15 per</w:t>
      </w:r>
      <w:r w:rsidR="00D0285D">
        <w:t xml:space="preserve"> </w:t>
      </w:r>
      <w:r w:rsidRPr="00293F69">
        <w:t xml:space="preserve">cent of permit applications </w:t>
      </w:r>
      <w:r w:rsidR="005B78E5" w:rsidRPr="00293F69">
        <w:t xml:space="preserve">for Palestinian patients seeking healthcare in East Jerusalem hospitals or in Israel </w:t>
      </w:r>
      <w:r w:rsidRPr="00293F69">
        <w:t>were rejected. The Palestinian Red Crescent report</w:t>
      </w:r>
      <w:r w:rsidR="00D0285D">
        <w:t>ed</w:t>
      </w:r>
      <w:r w:rsidRPr="00293F69">
        <w:t xml:space="preserve"> that 84 per</w:t>
      </w:r>
      <w:r w:rsidR="00D0285D">
        <w:t xml:space="preserve"> </w:t>
      </w:r>
      <w:r w:rsidRPr="00293F69">
        <w:t xml:space="preserve">cent of its ambulances were forced to </w:t>
      </w:r>
      <w:r w:rsidR="00CF68FB" w:rsidRPr="00293F69">
        <w:t xml:space="preserve">transfer patients to an ambulance with Israeli </w:t>
      </w:r>
      <w:r w:rsidR="0096100E" w:rsidRPr="00293F69">
        <w:t xml:space="preserve">licence </w:t>
      </w:r>
      <w:r w:rsidR="00CF68FB" w:rsidRPr="00293F69">
        <w:t>plates at checkpoint, rather than</w:t>
      </w:r>
      <w:r w:rsidRPr="00293F69">
        <w:t xml:space="preserve"> allowed </w:t>
      </w:r>
      <w:r w:rsidR="00117D57" w:rsidRPr="00293F69">
        <w:t xml:space="preserve">direct </w:t>
      </w:r>
      <w:r w:rsidRPr="00293F69">
        <w:t xml:space="preserve">access to transport patients </w:t>
      </w:r>
      <w:r w:rsidR="007966EF" w:rsidRPr="00293F69">
        <w:t xml:space="preserve">from other parts of the West Bank </w:t>
      </w:r>
      <w:r w:rsidRPr="00293F69">
        <w:t>to East Jerusalem hospitals</w:t>
      </w:r>
      <w:r w:rsidR="007966EF" w:rsidRPr="00293F69">
        <w:t>,</w:t>
      </w:r>
      <w:r w:rsidRPr="00293F69">
        <w:t xml:space="preserve"> causing delays</w:t>
      </w:r>
      <w:r w:rsidR="00117D57" w:rsidRPr="00293F69">
        <w:t xml:space="preserve"> </w:t>
      </w:r>
      <w:r w:rsidR="007966EF" w:rsidRPr="00293F69">
        <w:t>and risking</w:t>
      </w:r>
      <w:r w:rsidR="00ED36D4">
        <w:t xml:space="preserve"> health complications.</w:t>
      </w:r>
      <w:r w:rsidRPr="00ED36D4">
        <w:rPr>
          <w:vertAlign w:val="superscript"/>
        </w:rPr>
        <w:footnoteReference w:id="67"/>
      </w:r>
      <w:r w:rsidRPr="00293F69">
        <w:t xml:space="preserve"> </w:t>
      </w:r>
      <w:r w:rsidR="007135C7">
        <w:t xml:space="preserve">The Palestinian Red Crescent </w:t>
      </w:r>
      <w:r w:rsidRPr="00293F69">
        <w:t xml:space="preserve">reported </w:t>
      </w:r>
      <w:r w:rsidR="005644E5">
        <w:t>30</w:t>
      </w:r>
      <w:r w:rsidRPr="00293F69">
        <w:t xml:space="preserve"> instances where ambulances were prevented access and </w:t>
      </w:r>
      <w:r w:rsidR="005644E5">
        <w:t>60</w:t>
      </w:r>
      <w:r w:rsidRPr="00293F69">
        <w:t xml:space="preserve"> assaults by </w:t>
      </w:r>
      <w:r w:rsidR="001302CA">
        <w:t>Israeli security forces or</w:t>
      </w:r>
      <w:r w:rsidR="00487BA0" w:rsidRPr="00293F69">
        <w:t xml:space="preserve"> Israeli settlers</w:t>
      </w:r>
      <w:r w:rsidRPr="00293F69">
        <w:t xml:space="preserve"> </w:t>
      </w:r>
      <w:r w:rsidR="007966EF" w:rsidRPr="00293F69">
        <w:t xml:space="preserve">on </w:t>
      </w:r>
      <w:r w:rsidRPr="00293F69">
        <w:t>its ambulances during the reporting period</w:t>
      </w:r>
      <w:r w:rsidR="008B4BB8" w:rsidRPr="00293F69">
        <w:t>.</w:t>
      </w:r>
      <w:r w:rsidR="00ED36D4" w:rsidRPr="00ED36D4">
        <w:rPr>
          <w:vertAlign w:val="superscript"/>
        </w:rPr>
        <w:footnoteReference w:id="68"/>
      </w:r>
    </w:p>
    <w:p w14:paraId="4F846714" w14:textId="7EFA3D8B" w:rsidR="00BC05E2" w:rsidRPr="00BC05E2" w:rsidRDefault="00DB09FB" w:rsidP="008E58F2">
      <w:pPr>
        <w:pStyle w:val="H23G"/>
        <w:numPr>
          <w:ilvl w:val="0"/>
          <w:numId w:val="39"/>
        </w:numPr>
        <w:ind w:left="1134" w:hanging="425"/>
      </w:pPr>
      <w:r w:rsidRPr="00157F4C">
        <w:t>Palestinian authorities</w:t>
      </w:r>
    </w:p>
    <w:p w14:paraId="00044E90" w14:textId="4D395ABB" w:rsidR="00F91675" w:rsidRPr="00ED36D4" w:rsidRDefault="00DB09FB" w:rsidP="00BA51E8">
      <w:pPr>
        <w:pStyle w:val="SingleTxtG"/>
        <w:tabs>
          <w:tab w:val="left" w:pos="1701"/>
        </w:tabs>
        <w:suppressAutoHyphens/>
        <w:kinsoku w:val="0"/>
        <w:overflowPunct w:val="0"/>
        <w:autoSpaceDE w:val="0"/>
        <w:autoSpaceDN w:val="0"/>
        <w:adjustRightInd w:val="0"/>
        <w:snapToGrid w:val="0"/>
        <w:outlineLvl w:val="0"/>
        <w:rPr>
          <w:b/>
        </w:rPr>
      </w:pPr>
      <w:r w:rsidRPr="00ED36D4">
        <w:rPr>
          <w:b/>
        </w:rPr>
        <w:t xml:space="preserve">Violations of the right to life </w:t>
      </w:r>
      <w:r w:rsidR="00911280" w:rsidRPr="00ED36D4">
        <w:rPr>
          <w:b/>
        </w:rPr>
        <w:t>and security of person</w:t>
      </w:r>
    </w:p>
    <w:p w14:paraId="44C49B0A" w14:textId="5003D11B" w:rsidR="007E17CF" w:rsidRPr="00ED36D4" w:rsidRDefault="007E17CF" w:rsidP="00230205">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 xml:space="preserve">Palestinian security forces </w:t>
      </w:r>
      <w:r w:rsidR="00FC731B" w:rsidRPr="00ED36D4">
        <w:t xml:space="preserve">(PSF) </w:t>
      </w:r>
      <w:r w:rsidRPr="00ED36D4">
        <w:t xml:space="preserve">in the West Bank and Gaza violently dispersed peaceful demonstrators calling </w:t>
      </w:r>
      <w:r w:rsidR="00334975">
        <w:t xml:space="preserve">for </w:t>
      </w:r>
      <w:r w:rsidR="00416773">
        <w:t xml:space="preserve">the </w:t>
      </w:r>
      <w:r w:rsidRPr="00ED36D4">
        <w:t>lif</w:t>
      </w:r>
      <w:r w:rsidR="0027293E" w:rsidRPr="00ED36D4">
        <w:t>t</w:t>
      </w:r>
      <w:r w:rsidR="00334975">
        <w:t>ing of</w:t>
      </w:r>
      <w:r w:rsidRPr="00ED36D4">
        <w:t xml:space="preserve"> measures imposed by the Palestinian Authority on Gaza. </w:t>
      </w:r>
    </w:p>
    <w:p w14:paraId="5BBA22D8" w14:textId="137BAFE7" w:rsidR="00EA4ABE" w:rsidRPr="00ED36D4" w:rsidRDefault="00F253FC" w:rsidP="00230205">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F253FC">
        <w:t xml:space="preserve">The authorities in Gaza </w:t>
      </w:r>
      <w:r w:rsidR="005644E5">
        <w:t xml:space="preserve">did not </w:t>
      </w:r>
      <w:r w:rsidRPr="00F253FC">
        <w:t>carr</w:t>
      </w:r>
      <w:r w:rsidR="005644E5">
        <w:t>y</w:t>
      </w:r>
      <w:r w:rsidRPr="00F253FC">
        <w:t xml:space="preserve"> out </w:t>
      </w:r>
      <w:r w:rsidR="005644E5">
        <w:t>any</w:t>
      </w:r>
      <w:r w:rsidRPr="00F253FC">
        <w:t xml:space="preserve"> executions during the reporting period, in comparison to six executions during the previous </w:t>
      </w:r>
      <w:r w:rsidR="0096100E">
        <w:t>period</w:t>
      </w:r>
      <w:r w:rsidRPr="00F253FC">
        <w:t xml:space="preserve">. </w:t>
      </w:r>
      <w:r w:rsidR="005644E5">
        <w:t>O</w:t>
      </w:r>
      <w:r w:rsidRPr="00ED36D4">
        <w:t xml:space="preserve">n 29 October 2018, a Gaza appeals court commuted </w:t>
      </w:r>
      <w:r w:rsidR="00F175FC" w:rsidRPr="00ED36D4">
        <w:t>a</w:t>
      </w:r>
      <w:r w:rsidRPr="00ED36D4">
        <w:t xml:space="preserve"> death sentence</w:t>
      </w:r>
      <w:r w:rsidR="00F175FC" w:rsidRPr="00ED36D4">
        <w:t xml:space="preserve"> to life imprisonment in the case</w:t>
      </w:r>
      <w:r w:rsidRPr="00ED36D4">
        <w:t xml:space="preserve"> </w:t>
      </w:r>
      <w:r w:rsidR="00F175FC" w:rsidRPr="00ED36D4">
        <w:t xml:space="preserve">of </w:t>
      </w:r>
      <w:r w:rsidRPr="00ED36D4">
        <w:t>a woman convicted of murder. Nonetheless</w:t>
      </w:r>
      <w:r w:rsidR="00EC1574" w:rsidRPr="00ED36D4">
        <w:t>,</w:t>
      </w:r>
      <w:r w:rsidRPr="00ED36D4">
        <w:t xml:space="preserve"> </w:t>
      </w:r>
      <w:r w:rsidRPr="00F253FC">
        <w:t>Gaza civilian and military courts hand</w:t>
      </w:r>
      <w:r w:rsidR="00EA22E8">
        <w:t>ed</w:t>
      </w:r>
      <w:r w:rsidRPr="00F253FC">
        <w:t xml:space="preserve"> down </w:t>
      </w:r>
      <w:r w:rsidR="00EA22E8">
        <w:t xml:space="preserve">eight </w:t>
      </w:r>
      <w:r w:rsidRPr="00F253FC">
        <w:t>death sentences</w:t>
      </w:r>
      <w:r w:rsidR="00F175FC">
        <w:t xml:space="preserve"> (</w:t>
      </w:r>
      <w:r w:rsidR="005644E5">
        <w:t>seven</w:t>
      </w:r>
      <w:r w:rsidR="00F175FC">
        <w:t xml:space="preserve"> men and </w:t>
      </w:r>
      <w:r w:rsidR="005644E5">
        <w:t>one</w:t>
      </w:r>
      <w:r w:rsidR="00F175FC">
        <w:t xml:space="preserve"> woman)</w:t>
      </w:r>
      <w:r w:rsidRPr="00F253FC">
        <w:t xml:space="preserve">. </w:t>
      </w:r>
      <w:r w:rsidR="00334975">
        <w:t>Serious c</w:t>
      </w:r>
      <w:r w:rsidRPr="0004601D">
        <w:t>oncerns with regard to due process and fair trial guarantees</w:t>
      </w:r>
      <w:r w:rsidR="00230205" w:rsidRPr="0004601D">
        <w:t xml:space="preserve"> were present in these cases</w:t>
      </w:r>
      <w:r w:rsidRPr="00F253FC">
        <w:t xml:space="preserve">, including the sentencing of civilians by military courts. </w:t>
      </w:r>
      <w:r w:rsidR="00EA4ABE">
        <w:t>On 6 June 2018</w:t>
      </w:r>
      <w:r w:rsidR="005644E5">
        <w:t>,</w:t>
      </w:r>
      <w:r w:rsidR="00EA4ABE">
        <w:t xml:space="preserve"> the Palestinian President signed</w:t>
      </w:r>
      <w:r w:rsidR="00F175FC">
        <w:t xml:space="preserve"> </w:t>
      </w:r>
      <w:r w:rsidR="00334975">
        <w:t xml:space="preserve">an </w:t>
      </w:r>
      <w:r w:rsidR="00EA4ABE">
        <w:t xml:space="preserve">instrument of accession to the Second Optional </w:t>
      </w:r>
      <w:r w:rsidR="00EA4ABE" w:rsidRPr="00EA4ABE">
        <w:t>Protocol to the International Covenant on Civil and Political Rights</w:t>
      </w:r>
      <w:r w:rsidR="00EA4ABE">
        <w:t xml:space="preserve">. While this is an important step towards the abolition of </w:t>
      </w:r>
      <w:r w:rsidR="00F175FC">
        <w:t xml:space="preserve">the </w:t>
      </w:r>
      <w:r w:rsidR="00EA4ABE">
        <w:t xml:space="preserve">death penalty in Palestine, </w:t>
      </w:r>
      <w:r w:rsidR="00FB786E">
        <w:t xml:space="preserve">further steps </w:t>
      </w:r>
      <w:r w:rsidR="005644E5">
        <w:t xml:space="preserve">are required </w:t>
      </w:r>
      <w:r w:rsidR="00FB786E">
        <w:t xml:space="preserve">for </w:t>
      </w:r>
      <w:r w:rsidR="005644E5">
        <w:t>accession</w:t>
      </w:r>
      <w:r w:rsidR="00FB786E">
        <w:t xml:space="preserve"> to </w:t>
      </w:r>
      <w:r w:rsidR="00334975">
        <w:t xml:space="preserve">be given full </w:t>
      </w:r>
      <w:r w:rsidR="00FB786E">
        <w:t>effect.</w:t>
      </w:r>
      <w:r w:rsidR="00C346FE">
        <w:t xml:space="preserve">      </w:t>
      </w:r>
    </w:p>
    <w:p w14:paraId="1082CF5E" w14:textId="29C4916B" w:rsidR="00DB09FB" w:rsidRPr="00ED36D4" w:rsidRDefault="0044794B" w:rsidP="00BA51E8">
      <w:pPr>
        <w:pStyle w:val="SingleTxtG"/>
        <w:tabs>
          <w:tab w:val="left" w:pos="1701"/>
        </w:tabs>
        <w:suppressAutoHyphens/>
        <w:kinsoku w:val="0"/>
        <w:overflowPunct w:val="0"/>
        <w:autoSpaceDE w:val="0"/>
        <w:autoSpaceDN w:val="0"/>
        <w:adjustRightInd w:val="0"/>
        <w:snapToGrid w:val="0"/>
        <w:outlineLvl w:val="0"/>
        <w:rPr>
          <w:b/>
        </w:rPr>
      </w:pPr>
      <w:r w:rsidRPr="00ED36D4">
        <w:rPr>
          <w:b/>
        </w:rPr>
        <w:t xml:space="preserve">Detention, torture and ill-treatment, </w:t>
      </w:r>
      <w:r w:rsidR="005644E5">
        <w:rPr>
          <w:b/>
        </w:rPr>
        <w:t xml:space="preserve">violations of the rights to a </w:t>
      </w:r>
      <w:r w:rsidRPr="00ED36D4">
        <w:rPr>
          <w:b/>
        </w:rPr>
        <w:t>fair trial</w:t>
      </w:r>
    </w:p>
    <w:p w14:paraId="466EF509" w14:textId="24944F0E" w:rsidR="005644E5" w:rsidRDefault="008F0CCD"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There were concerns of</w:t>
      </w:r>
      <w:r w:rsidR="006C1939" w:rsidRPr="00ED36D4">
        <w:t xml:space="preserve"> arbitrary detention </w:t>
      </w:r>
      <w:r w:rsidR="00334975">
        <w:t xml:space="preserve">by Palestinian authorities </w:t>
      </w:r>
      <w:r w:rsidR="006C1939" w:rsidRPr="00ED36D4">
        <w:t xml:space="preserve">in </w:t>
      </w:r>
      <w:r w:rsidR="00334975">
        <w:t xml:space="preserve">both </w:t>
      </w:r>
      <w:r w:rsidR="006C1939" w:rsidRPr="00ED36D4">
        <w:t xml:space="preserve">the West Bank and Gaza. Journalists, activists and political opponents </w:t>
      </w:r>
      <w:r w:rsidR="00EA22E8" w:rsidRPr="00ED36D4">
        <w:t>we</w:t>
      </w:r>
      <w:r w:rsidR="006C1939" w:rsidRPr="00ED36D4">
        <w:t>re</w:t>
      </w:r>
      <w:r w:rsidR="000E61E9" w:rsidRPr="00ED36D4">
        <w:t xml:space="preserve"> </w:t>
      </w:r>
      <w:r w:rsidR="00197FC4" w:rsidRPr="00ED36D4">
        <w:t>arrested</w:t>
      </w:r>
      <w:r w:rsidR="006C1939" w:rsidRPr="00ED36D4">
        <w:t xml:space="preserve"> by</w:t>
      </w:r>
      <w:r w:rsidR="006C1939" w:rsidRPr="007579F5">
        <w:t xml:space="preserve"> authorities</w:t>
      </w:r>
      <w:r w:rsidR="006C1939" w:rsidRPr="00ED36D4">
        <w:t xml:space="preserve"> </w:t>
      </w:r>
      <w:r w:rsidR="00334975">
        <w:t xml:space="preserve">in both areas </w:t>
      </w:r>
      <w:r w:rsidR="006C1939" w:rsidRPr="00ED36D4">
        <w:t xml:space="preserve">for exercising their </w:t>
      </w:r>
      <w:r w:rsidR="00EC7DE9">
        <w:t xml:space="preserve">fundamental </w:t>
      </w:r>
      <w:r w:rsidR="006C1939" w:rsidRPr="00ED36D4">
        <w:t xml:space="preserve">freedoms. </w:t>
      </w:r>
      <w:r w:rsidR="00197FC4" w:rsidRPr="00ED36D4">
        <w:t xml:space="preserve">In </w:t>
      </w:r>
      <w:r w:rsidRPr="00ED36D4">
        <w:t xml:space="preserve">September 2018, a wave of political arrests took place throughout the </w:t>
      </w:r>
      <w:r w:rsidR="00C809FE">
        <w:t>O</w:t>
      </w:r>
      <w:r w:rsidR="005644E5">
        <w:t xml:space="preserve">ccupied Palestinian </w:t>
      </w:r>
      <w:r w:rsidR="00C809FE">
        <w:t>T</w:t>
      </w:r>
      <w:r w:rsidR="005644E5">
        <w:t>erritory</w:t>
      </w:r>
      <w:r w:rsidRPr="00ED36D4">
        <w:t>, with the arrest or summon</w:t>
      </w:r>
      <w:r w:rsidR="008F3B6C" w:rsidRPr="00ED36D4">
        <w:t>s</w:t>
      </w:r>
      <w:r w:rsidRPr="00ED36D4">
        <w:t xml:space="preserve"> for interrogation of 50 Fatah affiliates in Gaza, followed by the arrests of over 100 Hamas affiliates in the West Bank</w:t>
      </w:r>
      <w:r w:rsidR="005644E5">
        <w:t>,</w:t>
      </w:r>
      <w:r w:rsidRPr="00ED36D4">
        <w:t xml:space="preserve"> in a coordinated overnight arrest operation. </w:t>
      </w:r>
    </w:p>
    <w:p w14:paraId="6F58A6B6" w14:textId="07DF7CE3" w:rsidR="00FB786E" w:rsidRPr="00ED36D4" w:rsidRDefault="008F0CCD" w:rsidP="00230205">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Other P</w:t>
      </w:r>
      <w:r w:rsidR="006C1939" w:rsidRPr="00ED36D4">
        <w:t>alestinians report</w:t>
      </w:r>
      <w:r w:rsidR="00EA22E8" w:rsidRPr="00ED36D4">
        <w:t>ed</w:t>
      </w:r>
      <w:r w:rsidR="006C1939" w:rsidRPr="00ED36D4">
        <w:t xml:space="preserve"> being arrested without legal basis, with some spending weeks and</w:t>
      </w:r>
      <w:r w:rsidR="005644E5">
        <w:t>,</w:t>
      </w:r>
      <w:r w:rsidR="006C1939" w:rsidRPr="00ED36D4">
        <w:t xml:space="preserve"> in some cases</w:t>
      </w:r>
      <w:r w:rsidR="005644E5">
        <w:t>,</w:t>
      </w:r>
      <w:r w:rsidR="006C1939" w:rsidRPr="00ED36D4">
        <w:t xml:space="preserve"> months without being formally charged, nor having their case reviewed by a competent court</w:t>
      </w:r>
      <w:r w:rsidR="008F3B6C" w:rsidRPr="00ED36D4">
        <w:t>.</w:t>
      </w:r>
      <w:r w:rsidR="006C1939" w:rsidRPr="00ED36D4">
        <w:t xml:space="preserve"> </w:t>
      </w:r>
      <w:r w:rsidR="008F3B6C" w:rsidRPr="00ED36D4">
        <w:t xml:space="preserve">Some </w:t>
      </w:r>
      <w:r w:rsidR="005644E5">
        <w:t xml:space="preserve">stated </w:t>
      </w:r>
      <w:r w:rsidR="00230205">
        <w:t>t</w:t>
      </w:r>
      <w:r w:rsidR="005644E5">
        <w:t xml:space="preserve">hey </w:t>
      </w:r>
      <w:r w:rsidR="008F3B6C" w:rsidRPr="00ED36D4">
        <w:t xml:space="preserve">were denied </w:t>
      </w:r>
      <w:r w:rsidR="006C1939" w:rsidRPr="00ED36D4">
        <w:t>procedural guarantees, including the right</w:t>
      </w:r>
      <w:r w:rsidR="00604835" w:rsidRPr="00ED36D4">
        <w:t>s</w:t>
      </w:r>
      <w:r w:rsidR="006C1939" w:rsidRPr="00ED36D4">
        <w:t xml:space="preserve"> to access legal counsel</w:t>
      </w:r>
      <w:r w:rsidR="00604835" w:rsidRPr="00ED36D4">
        <w:t xml:space="preserve"> and to contact family</w:t>
      </w:r>
      <w:r w:rsidR="006C1939" w:rsidRPr="00ED36D4">
        <w:t xml:space="preserve">. </w:t>
      </w:r>
      <w:r w:rsidR="00A15E09" w:rsidRPr="00A15E09">
        <w:rPr>
          <w:lang w:val="en-IE"/>
        </w:rPr>
        <w:t xml:space="preserve">In other reported cases </w:t>
      </w:r>
      <w:r w:rsidR="005644E5">
        <w:rPr>
          <w:lang w:val="en-IE"/>
        </w:rPr>
        <w:t xml:space="preserve">the </w:t>
      </w:r>
      <w:r w:rsidR="00A15E09" w:rsidRPr="00A15E09">
        <w:rPr>
          <w:lang w:val="en-US"/>
        </w:rPr>
        <w:t>presumed or actual sexual orientation of the individual could have been a reason for arbitrary arrest. While homosexuality is not criminalized in the West Bank, LGBTI individuals reported being subjected to arrests and accused of crimes related to c</w:t>
      </w:r>
      <w:r w:rsidR="00A15E09" w:rsidRPr="007579F5">
        <w:rPr>
          <w:lang w:val="en-US"/>
        </w:rPr>
        <w:t>ollaboration</w:t>
      </w:r>
      <w:r w:rsidR="00A15E09" w:rsidRPr="00A15E09">
        <w:rPr>
          <w:lang w:val="en-US"/>
        </w:rPr>
        <w:t xml:space="preserve">, morality, public indecency or drugs, </w:t>
      </w:r>
      <w:r w:rsidR="00334975">
        <w:rPr>
          <w:lang w:val="en-US"/>
        </w:rPr>
        <w:t>while</w:t>
      </w:r>
      <w:r w:rsidR="00334975" w:rsidRPr="00A15E09">
        <w:rPr>
          <w:lang w:val="en-US"/>
        </w:rPr>
        <w:t xml:space="preserve"> </w:t>
      </w:r>
      <w:r w:rsidR="00A15E09" w:rsidRPr="00A15E09">
        <w:rPr>
          <w:lang w:val="en-US"/>
        </w:rPr>
        <w:t>being questioned about their sexuality or asked to reveal names of LGBTI individuals</w:t>
      </w:r>
      <w:r w:rsidR="005644E5">
        <w:rPr>
          <w:lang w:val="en-US"/>
        </w:rPr>
        <w:t xml:space="preserve"> before being </w:t>
      </w:r>
      <w:r w:rsidR="00A15E09" w:rsidRPr="00A15E09">
        <w:rPr>
          <w:lang w:val="en-US"/>
        </w:rPr>
        <w:t>released without charges. In at least one case</w:t>
      </w:r>
      <w:r w:rsidR="005644E5">
        <w:rPr>
          <w:lang w:val="en-US"/>
        </w:rPr>
        <w:t>,</w:t>
      </w:r>
      <w:r w:rsidR="00A15E09" w:rsidRPr="00A15E09">
        <w:rPr>
          <w:lang w:val="en-US"/>
        </w:rPr>
        <w:t xml:space="preserve"> </w:t>
      </w:r>
      <w:r w:rsidR="00A87E59">
        <w:rPr>
          <w:lang w:val="en-US"/>
        </w:rPr>
        <w:t>a</w:t>
      </w:r>
      <w:r w:rsidR="00A15E09" w:rsidRPr="00A15E09">
        <w:rPr>
          <w:lang w:val="en-US"/>
        </w:rPr>
        <w:t xml:space="preserve"> </w:t>
      </w:r>
      <w:r w:rsidR="00A15E09" w:rsidRPr="00A15E09">
        <w:t>lawyer claimed hav</w:t>
      </w:r>
      <w:r w:rsidR="005644E5">
        <w:t>ing</w:t>
      </w:r>
      <w:r w:rsidR="00A15E09" w:rsidRPr="00A15E09">
        <w:t xml:space="preserve"> been harassed by the security forces for taking up such case.</w:t>
      </w:r>
      <w:r w:rsidR="00A15E09" w:rsidRPr="00ED36D4">
        <w:t xml:space="preserve"> </w:t>
      </w:r>
    </w:p>
    <w:p w14:paraId="65E53EF0" w14:textId="1845C354" w:rsidR="007226B1" w:rsidRPr="00ED36D4" w:rsidRDefault="00FB786E"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Many of those arrested</w:t>
      </w:r>
      <w:r w:rsidR="008F0CCD" w:rsidRPr="00ED36D4">
        <w:t xml:space="preserve"> in the West Bank</w:t>
      </w:r>
      <w:r w:rsidRPr="00ED36D4">
        <w:t xml:space="preserve"> were held in administrative detention based on </w:t>
      </w:r>
      <w:r w:rsidR="005644E5">
        <w:t xml:space="preserve">orders by </w:t>
      </w:r>
      <w:r w:rsidR="00EA22E8" w:rsidRPr="00ED36D4">
        <w:t>G</w:t>
      </w:r>
      <w:r w:rsidRPr="00ED36D4">
        <w:t>overnors</w:t>
      </w:r>
      <w:r w:rsidR="008F3B6C" w:rsidRPr="00ED36D4">
        <w:t>.</w:t>
      </w:r>
      <w:r w:rsidR="007226B1" w:rsidRPr="00ED36D4">
        <w:rPr>
          <w:vertAlign w:val="superscript"/>
        </w:rPr>
        <w:footnoteReference w:id="69"/>
      </w:r>
      <w:r w:rsidRPr="00ED36D4">
        <w:t xml:space="preserve"> </w:t>
      </w:r>
      <w:r w:rsidR="00E07C03" w:rsidRPr="00ED36D4">
        <w:t>Between 1 November 2017 and 30 September 2018, the Palestinian Independent Commission for Human Rights recorded 173 cases of administrative detention based on</w:t>
      </w:r>
      <w:r w:rsidR="00DB3689">
        <w:t xml:space="preserve"> </w:t>
      </w:r>
      <w:r w:rsidR="005644E5">
        <w:t xml:space="preserve">such </w:t>
      </w:r>
      <w:r w:rsidR="00E07C03" w:rsidRPr="00ED36D4">
        <w:t>orders</w:t>
      </w:r>
      <w:r w:rsidR="00334975">
        <w:t>, a sharp increase on the</w:t>
      </w:r>
      <w:r w:rsidR="005644E5">
        <w:t xml:space="preserve"> </w:t>
      </w:r>
      <w:r w:rsidR="00E07C03" w:rsidRPr="00ED36D4">
        <w:t>99 cases between 1 November 2016 and 31 October 2017.</w:t>
      </w:r>
      <w:r w:rsidR="007226B1" w:rsidRPr="00ED36D4">
        <w:t xml:space="preserve"> </w:t>
      </w:r>
      <w:r w:rsidR="00EA22E8" w:rsidRPr="00ED36D4">
        <w:t xml:space="preserve">In some </w:t>
      </w:r>
      <w:r w:rsidR="007226B1" w:rsidRPr="00ED36D4">
        <w:t>cases,</w:t>
      </w:r>
      <w:r w:rsidR="00B47A09" w:rsidRPr="00ED36D4">
        <w:t xml:space="preserve"> </w:t>
      </w:r>
      <w:r w:rsidR="00EA22E8" w:rsidRPr="00ED36D4">
        <w:t>i</w:t>
      </w:r>
      <w:r w:rsidR="00B47A09" w:rsidRPr="00ED36D4">
        <w:t xml:space="preserve">ndividuals </w:t>
      </w:r>
      <w:r w:rsidR="00EA22E8" w:rsidRPr="00ED36D4">
        <w:t>we</w:t>
      </w:r>
      <w:r w:rsidR="00B47A09" w:rsidRPr="00ED36D4">
        <w:t xml:space="preserve">re detained for months without any apparent intention </w:t>
      </w:r>
      <w:r w:rsidR="00933CE6" w:rsidRPr="00ED36D4">
        <w:t xml:space="preserve">by the authorities </w:t>
      </w:r>
      <w:r w:rsidR="00B47A09" w:rsidRPr="00ED36D4">
        <w:t xml:space="preserve">to charge </w:t>
      </w:r>
      <w:r w:rsidR="00933CE6" w:rsidRPr="00ED36D4">
        <w:t xml:space="preserve">them </w:t>
      </w:r>
      <w:r w:rsidR="00B47A09" w:rsidRPr="00ED36D4">
        <w:t xml:space="preserve">and without a judicial review. </w:t>
      </w:r>
      <w:r w:rsidR="00965C40" w:rsidRPr="00ED36D4">
        <w:t xml:space="preserve">In other cases, pre-trial detainees released by the Court for lack of evidence were immediately re-arrested on Governor’s orders. </w:t>
      </w:r>
      <w:r w:rsidR="00EA22E8" w:rsidRPr="00ED36D4">
        <w:t>T</w:t>
      </w:r>
      <w:r w:rsidR="00B47A09" w:rsidRPr="00ED36D4">
        <w:t xml:space="preserve">his form of administrative detention </w:t>
      </w:r>
      <w:r w:rsidR="008309DD">
        <w:t>appeared to be used</w:t>
      </w:r>
      <w:r w:rsidR="00B47A09" w:rsidRPr="00ED36D4">
        <w:t xml:space="preserve"> as an alternative to criminal proceedings</w:t>
      </w:r>
      <w:r w:rsidR="00EA22E8" w:rsidRPr="00ED36D4">
        <w:t>,</w:t>
      </w:r>
      <w:r w:rsidR="00B47A09" w:rsidRPr="00ED36D4">
        <w:t xml:space="preserve"> </w:t>
      </w:r>
      <w:r w:rsidR="00933CE6" w:rsidRPr="00ED36D4">
        <w:t xml:space="preserve">when </w:t>
      </w:r>
      <w:r w:rsidR="00B47A09" w:rsidRPr="00ED36D4">
        <w:t>evidence</w:t>
      </w:r>
      <w:r w:rsidR="00933CE6" w:rsidRPr="00ED36D4">
        <w:t xml:space="preserve"> </w:t>
      </w:r>
      <w:r w:rsidR="00EA22E8" w:rsidRPr="00ED36D4">
        <w:t>wa</w:t>
      </w:r>
      <w:r w:rsidR="00933CE6" w:rsidRPr="00ED36D4">
        <w:t>s lacking</w:t>
      </w:r>
      <w:r w:rsidR="00B47A09" w:rsidRPr="00ED36D4">
        <w:t xml:space="preserve">, </w:t>
      </w:r>
      <w:r w:rsidR="00334975">
        <w:t xml:space="preserve">which would constitute </w:t>
      </w:r>
      <w:r w:rsidR="00B47A09" w:rsidRPr="00ED36D4">
        <w:t>arbitrary deprivation of liberty.</w:t>
      </w:r>
      <w:r w:rsidR="00B47A09" w:rsidRPr="00ED36D4">
        <w:rPr>
          <w:vertAlign w:val="superscript"/>
        </w:rPr>
        <w:footnoteReference w:id="70"/>
      </w:r>
    </w:p>
    <w:p w14:paraId="49D32370" w14:textId="0337483A" w:rsidR="007226B1" w:rsidRPr="00ED36D4" w:rsidRDefault="004F3692"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In Gaza, arbitrary arrests and detention</w:t>
      </w:r>
      <w:r w:rsidR="00933CE6" w:rsidRPr="00ED36D4">
        <w:t xml:space="preserve"> also</w:t>
      </w:r>
      <w:r w:rsidRPr="00ED36D4">
        <w:t xml:space="preserve"> remained a concern</w:t>
      </w:r>
      <w:r w:rsidR="008309DD">
        <w:t>,</w:t>
      </w:r>
      <w:r w:rsidRPr="00ED36D4">
        <w:rPr>
          <w:vertAlign w:val="superscript"/>
        </w:rPr>
        <w:footnoteReference w:id="71"/>
      </w:r>
      <w:r w:rsidRPr="00ED36D4">
        <w:t xml:space="preserve"> </w:t>
      </w:r>
      <w:r w:rsidR="008309DD">
        <w:t xml:space="preserve">as illustrated by </w:t>
      </w:r>
      <w:r w:rsidR="00DE25BF" w:rsidRPr="00ED36D4">
        <w:t>an incident in</w:t>
      </w:r>
      <w:r w:rsidR="004A3AE7" w:rsidRPr="00ED36D4">
        <w:t xml:space="preserve"> </w:t>
      </w:r>
      <w:r w:rsidRPr="00ED36D4">
        <w:t>January 2018,</w:t>
      </w:r>
      <w:r w:rsidR="004A3AE7" w:rsidRPr="00ED36D4">
        <w:t xml:space="preserve"> when eight children were </w:t>
      </w:r>
      <w:r w:rsidR="00F55BE2" w:rsidRPr="00ED36D4">
        <w:t xml:space="preserve">amongst those </w:t>
      </w:r>
      <w:r w:rsidR="004A3AE7" w:rsidRPr="00ED36D4">
        <w:t xml:space="preserve">detained </w:t>
      </w:r>
      <w:r w:rsidRPr="00ED36D4">
        <w:t xml:space="preserve">by the </w:t>
      </w:r>
      <w:r w:rsidR="004A3AE7" w:rsidRPr="00ED36D4">
        <w:t>I</w:t>
      </w:r>
      <w:r w:rsidRPr="00ED36D4">
        <w:t>nternal Security Agency (ISA)</w:t>
      </w:r>
      <w:r w:rsidR="008309DD">
        <w:t xml:space="preserve">, which </w:t>
      </w:r>
      <w:r w:rsidR="003F0F6A" w:rsidRPr="00ED36D4">
        <w:t>is</w:t>
      </w:r>
      <w:r w:rsidRPr="00ED36D4">
        <w:t xml:space="preserve"> tasked </w:t>
      </w:r>
      <w:r w:rsidR="00DE25BF" w:rsidRPr="00ED36D4">
        <w:t>with maintaining</w:t>
      </w:r>
      <w:r w:rsidRPr="00ED36D4">
        <w:t xml:space="preserve"> security</w:t>
      </w:r>
      <w:r w:rsidR="003F0F6A" w:rsidRPr="00ED36D4">
        <w:t xml:space="preserve"> in Gaza</w:t>
      </w:r>
      <w:r w:rsidRPr="00ED36D4">
        <w:t xml:space="preserve">, including </w:t>
      </w:r>
      <w:r w:rsidR="00DE25BF" w:rsidRPr="00ED36D4">
        <w:t xml:space="preserve">in relation to </w:t>
      </w:r>
      <w:r w:rsidRPr="00ED36D4">
        <w:t xml:space="preserve">alleged collaborators with Israel and dissident political groups. Several of those </w:t>
      </w:r>
      <w:r w:rsidR="00F102F6" w:rsidRPr="00ED36D4">
        <w:t>arrested were</w:t>
      </w:r>
      <w:r w:rsidRPr="00ED36D4">
        <w:t xml:space="preserve"> reportedly affiliated with Fatah</w:t>
      </w:r>
      <w:r w:rsidR="00933CE6" w:rsidRPr="00ED36D4">
        <w:t>,</w:t>
      </w:r>
      <w:r w:rsidRPr="00ED36D4">
        <w:t xml:space="preserve"> Salafist groups or </w:t>
      </w:r>
      <w:r w:rsidR="00E14CAA" w:rsidRPr="00ED36D4">
        <w:t>other Islamic factions</w:t>
      </w:r>
      <w:r w:rsidRPr="00ED36D4">
        <w:t xml:space="preserve">, raising concerns that some of them were detained on the sole basis of their political affiliation. Many of the detainees held under </w:t>
      </w:r>
      <w:r w:rsidR="008309DD">
        <w:t>the</w:t>
      </w:r>
      <w:r w:rsidRPr="00ED36D4">
        <w:t xml:space="preserve"> custody </w:t>
      </w:r>
      <w:r w:rsidR="008309DD">
        <w:t xml:space="preserve">of ISA </w:t>
      </w:r>
      <w:r w:rsidRPr="00ED36D4">
        <w:t>spent significant time</w:t>
      </w:r>
      <w:r w:rsidR="00C2318F">
        <w:t xml:space="preserve">, in some cases </w:t>
      </w:r>
      <w:r w:rsidR="007579F5">
        <w:t>two or three months</w:t>
      </w:r>
      <w:r w:rsidR="00C2318F">
        <w:t>,</w:t>
      </w:r>
      <w:r w:rsidRPr="00ED36D4">
        <w:t xml:space="preserve"> without acces</w:t>
      </w:r>
      <w:r w:rsidR="007226B1" w:rsidRPr="00ED36D4">
        <w:t>s to legal aid or family.</w:t>
      </w:r>
    </w:p>
    <w:p w14:paraId="39301046" w14:textId="7F529585" w:rsidR="00FC731B" w:rsidRPr="00ED36D4" w:rsidRDefault="004F3692" w:rsidP="00DB3689">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 xml:space="preserve">In both Gaza and the West Bank, detainees continued to report ill-treatment, </w:t>
      </w:r>
      <w:r w:rsidR="00982EB2" w:rsidRPr="00ED36D4">
        <w:t>and in some cases</w:t>
      </w:r>
      <w:r w:rsidR="00F55BE2" w:rsidRPr="00ED36D4">
        <w:t xml:space="preserve"> </w:t>
      </w:r>
      <w:r w:rsidR="00933CE6" w:rsidRPr="00ED36D4">
        <w:t xml:space="preserve">torture, during interrogation, </w:t>
      </w:r>
      <w:r w:rsidR="00982EB2" w:rsidRPr="00ED36D4">
        <w:t>raising</w:t>
      </w:r>
      <w:r w:rsidR="00933CE6" w:rsidRPr="00ED36D4">
        <w:t xml:space="preserve"> strong concerns </w:t>
      </w:r>
      <w:r w:rsidR="00DE25BF" w:rsidRPr="00ED36D4">
        <w:t>of</w:t>
      </w:r>
      <w:r w:rsidR="00933CE6" w:rsidRPr="00ED36D4">
        <w:t xml:space="preserve"> extraction of confession under duress. </w:t>
      </w:r>
      <w:r w:rsidR="00FC731B" w:rsidRPr="00ED36D4">
        <w:t>In the West Bank, there was a growing concern over treatment in some detention facilities, particularly over credible allegations of ill-treatment.</w:t>
      </w:r>
      <w:r w:rsidR="00FC731B" w:rsidRPr="00ED36D4">
        <w:rPr>
          <w:vertAlign w:val="superscript"/>
        </w:rPr>
        <w:footnoteReference w:id="72"/>
      </w:r>
      <w:r w:rsidR="00FC731B" w:rsidRPr="00ED36D4">
        <w:t xml:space="preserve"> Forty-nine detainees interviewed by OHCHR reported having been subject to some form of ill-treatment, several of which </w:t>
      </w:r>
      <w:r w:rsidR="00DE25BF" w:rsidRPr="00ED36D4">
        <w:t>were</w:t>
      </w:r>
      <w:r w:rsidR="00FC731B" w:rsidRPr="00ED36D4">
        <w:t xml:space="preserve"> of such gravity that they may amount to torture. Detainees described the use of shackling, holding in stress positions for prolonged periods of time to extract confessions, beatings and other forms of physical violence, prolonged use of solitary confinement, insults, threats,</w:t>
      </w:r>
      <w:r w:rsidR="00A15E09">
        <w:t xml:space="preserve"> </w:t>
      </w:r>
      <w:r w:rsidR="00A15E09" w:rsidRPr="00A15E09">
        <w:rPr>
          <w:bCs/>
        </w:rPr>
        <w:t>humiliating questioning or threats related to sexuality,</w:t>
      </w:r>
      <w:r w:rsidR="00FC731B" w:rsidRPr="00ED36D4">
        <w:t xml:space="preserve"> sleep deprivation</w:t>
      </w:r>
      <w:r w:rsidR="008309DD">
        <w:t>,</w:t>
      </w:r>
      <w:r w:rsidR="00FC731B" w:rsidRPr="00ED36D4">
        <w:t xml:space="preserve"> and insufficient health care for severe mental health problems. Most reports concerned the interrogation period and were documented in particular at the Joint Operations Committee and the General Intelligence Service (GIS) facilities in Jericho.</w:t>
      </w:r>
      <w:r w:rsidR="00ED36D4" w:rsidRPr="00ED36D4">
        <w:rPr>
          <w:vertAlign w:val="superscript"/>
        </w:rPr>
        <w:footnoteReference w:id="73"/>
      </w:r>
      <w:r w:rsidR="00FC731B" w:rsidRPr="00ED36D4" w:rsidDel="00C52F84">
        <w:t xml:space="preserve"> </w:t>
      </w:r>
      <w:r w:rsidR="00FC731B" w:rsidRPr="00ED36D4">
        <w:t xml:space="preserve">For example, </w:t>
      </w:r>
      <w:r w:rsidR="008309DD">
        <w:t>s</w:t>
      </w:r>
      <w:r w:rsidR="008309DD" w:rsidRPr="00ED36D4">
        <w:t>everal detainees reported a practice of assault and severe beating upon arrival</w:t>
      </w:r>
      <w:r w:rsidR="008309DD" w:rsidRPr="008309DD">
        <w:t xml:space="preserve"> </w:t>
      </w:r>
      <w:r w:rsidR="008309DD" w:rsidRPr="00ED36D4">
        <w:t xml:space="preserve">at the Joint Operations </w:t>
      </w:r>
      <w:r w:rsidR="008309DD" w:rsidRPr="007579F5">
        <w:t>Committee</w:t>
      </w:r>
      <w:r w:rsidR="00DB3689" w:rsidRPr="007579F5">
        <w:t xml:space="preserve">, </w:t>
      </w:r>
      <w:r w:rsidR="0077555B" w:rsidRPr="007579F5">
        <w:t>and</w:t>
      </w:r>
      <w:r w:rsidR="00DB3689" w:rsidRPr="007579F5">
        <w:t xml:space="preserve"> several </w:t>
      </w:r>
      <w:r w:rsidR="001A138C" w:rsidRPr="007579F5">
        <w:t xml:space="preserve">reported </w:t>
      </w:r>
      <w:r w:rsidR="008309DD" w:rsidRPr="007579F5">
        <w:t xml:space="preserve">having been </w:t>
      </w:r>
      <w:r w:rsidR="001A138C" w:rsidRPr="007579F5">
        <w:t xml:space="preserve">repeatedly </w:t>
      </w:r>
      <w:r w:rsidR="00FC731B" w:rsidRPr="007579F5">
        <w:t>forced to stand handcuffed and blindfolded</w:t>
      </w:r>
      <w:r w:rsidR="008309DD" w:rsidRPr="007579F5">
        <w:t>,</w:t>
      </w:r>
      <w:r w:rsidR="00FC731B" w:rsidRPr="007579F5">
        <w:t xml:space="preserve"> with </w:t>
      </w:r>
      <w:r w:rsidR="00DB3689" w:rsidRPr="007579F5">
        <w:t xml:space="preserve">their </w:t>
      </w:r>
      <w:r w:rsidR="00FC731B" w:rsidRPr="00ED36D4">
        <w:t>legs apart</w:t>
      </w:r>
      <w:r w:rsidR="008309DD">
        <w:t>,</w:t>
      </w:r>
      <w:r w:rsidR="00FC731B" w:rsidRPr="00ED36D4">
        <w:t xml:space="preserve"> for up to </w:t>
      </w:r>
      <w:r w:rsidR="008309DD">
        <w:t>10</w:t>
      </w:r>
      <w:r w:rsidR="00FC731B" w:rsidRPr="00ED36D4">
        <w:t xml:space="preserve"> hours at a time. </w:t>
      </w:r>
    </w:p>
    <w:p w14:paraId="29D16959" w14:textId="51215DDC" w:rsidR="00EA3EB2" w:rsidRDefault="008309DD" w:rsidP="008E10A9">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7579F5">
        <w:t xml:space="preserve">In </w:t>
      </w:r>
      <w:r w:rsidR="004F3692" w:rsidRPr="007579F5">
        <w:t>Gaza</w:t>
      </w:r>
      <w:r w:rsidRPr="007579F5">
        <w:t xml:space="preserve"> </w:t>
      </w:r>
      <w:r w:rsidR="00F40E89" w:rsidRPr="007579F5">
        <w:t xml:space="preserve">practices of </w:t>
      </w:r>
      <w:r w:rsidRPr="007579F5">
        <w:t xml:space="preserve">the </w:t>
      </w:r>
      <w:r w:rsidR="00F40E89" w:rsidRPr="007579F5">
        <w:t xml:space="preserve">civil police </w:t>
      </w:r>
      <w:r w:rsidR="003651ED" w:rsidRPr="007579F5">
        <w:t xml:space="preserve">and ISA </w:t>
      </w:r>
      <w:r w:rsidR="00F40E89" w:rsidRPr="007579F5">
        <w:t>in</w:t>
      </w:r>
      <w:r w:rsidRPr="007579F5">
        <w:t xml:space="preserve">volving </w:t>
      </w:r>
      <w:r w:rsidR="00BD129F" w:rsidRPr="007579F5">
        <w:t>ill</w:t>
      </w:r>
      <w:r w:rsidR="00F40E89" w:rsidRPr="007579F5">
        <w:t xml:space="preserve">-treatment and torture </w:t>
      </w:r>
      <w:r w:rsidR="001A138C" w:rsidRPr="007579F5">
        <w:t>of detainees</w:t>
      </w:r>
      <w:r w:rsidR="008E10A9" w:rsidRPr="007579F5">
        <w:t xml:space="preserve"> continued to be reported</w:t>
      </w:r>
      <w:r w:rsidR="00F40E89" w:rsidRPr="007579F5">
        <w:t>.</w:t>
      </w:r>
      <w:r w:rsidR="004F3692" w:rsidRPr="00ED36D4">
        <w:t xml:space="preserve"> </w:t>
      </w:r>
      <w:r>
        <w:t>I</w:t>
      </w:r>
      <w:r w:rsidR="00A003B6" w:rsidRPr="00ED36D4">
        <w:t>n</w:t>
      </w:r>
      <w:r w:rsidR="004F3692" w:rsidRPr="00ED36D4">
        <w:t xml:space="preserve"> May 2018, two </w:t>
      </w:r>
      <w:r w:rsidR="00E93449" w:rsidRPr="00ED36D4">
        <w:t>brothers</w:t>
      </w:r>
      <w:r w:rsidR="004F3692" w:rsidRPr="00ED36D4">
        <w:t xml:space="preserve"> arrested by ISA over accusations of collaboration with the Palestinian Authority</w:t>
      </w:r>
      <w:r>
        <w:t xml:space="preserve"> </w:t>
      </w:r>
      <w:r w:rsidR="004F3692" w:rsidRPr="00ED36D4">
        <w:t>were subjected to ill-treatment</w:t>
      </w:r>
      <w:r>
        <w:t>,</w:t>
      </w:r>
      <w:r w:rsidR="004F3692" w:rsidRPr="00ED36D4">
        <w:t xml:space="preserve"> including beatings and </w:t>
      </w:r>
      <w:r w:rsidR="00050422">
        <w:t>‘</w:t>
      </w:r>
      <w:r w:rsidR="004F3692" w:rsidRPr="00ED36D4">
        <w:t>Shabah</w:t>
      </w:r>
      <w:r w:rsidR="00050422">
        <w:t>’</w:t>
      </w:r>
      <w:r w:rsidR="001501EF" w:rsidRPr="00ED36D4">
        <w:t xml:space="preserve">, </w:t>
      </w:r>
      <w:r w:rsidR="00653D7D" w:rsidRPr="00ED36D4">
        <w:t>which involves being forced to sit with hands tied to the back of a chair</w:t>
      </w:r>
      <w:r w:rsidR="004F3692" w:rsidRPr="00ED36D4">
        <w:t>. One of the</w:t>
      </w:r>
      <w:r>
        <w:t>m</w:t>
      </w:r>
      <w:r w:rsidR="004F3692" w:rsidRPr="00ED36D4">
        <w:t xml:space="preserve"> was release</w:t>
      </w:r>
      <w:r w:rsidR="00EF217F" w:rsidRPr="00ED36D4">
        <w:t>d</w:t>
      </w:r>
      <w:r w:rsidR="004F3692" w:rsidRPr="00ED36D4">
        <w:t xml:space="preserve"> in September 2018 while the other remain</w:t>
      </w:r>
      <w:r>
        <w:t>ed</w:t>
      </w:r>
      <w:r w:rsidR="004F3692" w:rsidRPr="00ED36D4">
        <w:t xml:space="preserve"> in detention</w:t>
      </w:r>
      <w:r>
        <w:t xml:space="preserve"> </w:t>
      </w:r>
      <w:r w:rsidR="008C27FF">
        <w:t>as of</w:t>
      </w:r>
      <w:r>
        <w:t xml:space="preserve"> the end of the reporting period</w:t>
      </w:r>
      <w:r w:rsidR="004F3692" w:rsidRPr="00ED36D4">
        <w:t xml:space="preserve">, awaiting his sentence by the military court. </w:t>
      </w:r>
    </w:p>
    <w:p w14:paraId="6D07A247" w14:textId="36BA72C3" w:rsidR="00F204F4" w:rsidRPr="00EA3EB2" w:rsidRDefault="00F204F4" w:rsidP="00EA3EB2">
      <w:pPr>
        <w:pStyle w:val="SingleTxtG"/>
        <w:tabs>
          <w:tab w:val="left" w:pos="1701"/>
        </w:tabs>
        <w:suppressAutoHyphens/>
        <w:kinsoku w:val="0"/>
        <w:overflowPunct w:val="0"/>
        <w:autoSpaceDE w:val="0"/>
        <w:autoSpaceDN w:val="0"/>
        <w:adjustRightInd w:val="0"/>
        <w:snapToGrid w:val="0"/>
      </w:pPr>
      <w:r w:rsidRPr="00EA3EB2">
        <w:rPr>
          <w:rFonts w:asciiTheme="majorBidi" w:hAnsiTheme="majorBidi" w:cstheme="majorBidi"/>
          <w:b/>
        </w:rPr>
        <w:t xml:space="preserve">Restrictions of the rights to freedoms of expression, association and peaceful assembly </w:t>
      </w:r>
    </w:p>
    <w:p w14:paraId="45E5D95C" w14:textId="2039F9DF" w:rsidR="005A3604" w:rsidRPr="00ED36D4" w:rsidRDefault="00A003B6" w:rsidP="008E10A9">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 xml:space="preserve"> There were </w:t>
      </w:r>
      <w:r w:rsidR="006C1939" w:rsidRPr="00ED36D4">
        <w:t xml:space="preserve">restrictions on the rights to freedom of expression, association and peaceful assembly </w:t>
      </w:r>
      <w:r w:rsidR="00050422">
        <w:t xml:space="preserve">imposed </w:t>
      </w:r>
      <w:r w:rsidR="006C1939" w:rsidRPr="00ED36D4">
        <w:t xml:space="preserve">by the Palestinian Authority in the West Bank. </w:t>
      </w:r>
      <w:r w:rsidR="005A3604" w:rsidRPr="00ED36D4">
        <w:t>Several journalists were arrested based on provisions of the Cybercrimes Decree-Law (2017).</w:t>
      </w:r>
      <w:r w:rsidR="005A3604" w:rsidRPr="00ED36D4">
        <w:rPr>
          <w:vertAlign w:val="superscript"/>
        </w:rPr>
        <w:footnoteReference w:id="74"/>
      </w:r>
      <w:r w:rsidR="005A3604" w:rsidRPr="00ED36D4">
        <w:t xml:space="preserve"> </w:t>
      </w:r>
      <w:r w:rsidR="008309DD">
        <w:t xml:space="preserve">For instance, on 3 April 2018, </w:t>
      </w:r>
      <w:r w:rsidR="005A3604" w:rsidRPr="00ED36D4">
        <w:t>Palestinian journalist Rami Samara was arrested and charged</w:t>
      </w:r>
      <w:r w:rsidR="008309DD">
        <w:t xml:space="preserve"> </w:t>
      </w:r>
      <w:r w:rsidR="008309DD" w:rsidRPr="00ED36D4">
        <w:t>with defamation and slander</w:t>
      </w:r>
      <w:r w:rsidR="00FF2BC2" w:rsidRPr="00ED36D4">
        <w:t>, based on the Decree-Law</w:t>
      </w:r>
      <w:r w:rsidR="005A3604" w:rsidRPr="00ED36D4">
        <w:t xml:space="preserve">. The charges were based on social media posts criticizing the head of </w:t>
      </w:r>
      <w:r w:rsidR="008309DD">
        <w:t xml:space="preserve">the </w:t>
      </w:r>
      <w:r w:rsidR="005A3604" w:rsidRPr="00ED36D4">
        <w:t xml:space="preserve">An-Najah University Media Centre for the dismissal of 17 journalists who </w:t>
      </w:r>
      <w:r w:rsidR="008309DD">
        <w:t xml:space="preserve">had </w:t>
      </w:r>
      <w:r w:rsidR="005A3604" w:rsidRPr="00ED36D4">
        <w:t xml:space="preserve">refused to express support </w:t>
      </w:r>
      <w:r w:rsidR="00FC36A3" w:rsidRPr="00ED36D4">
        <w:t xml:space="preserve">for the Prime Minister </w:t>
      </w:r>
      <w:r w:rsidR="005A3604" w:rsidRPr="00ED36D4">
        <w:t>on their social media accounts. Although the law was amended and significantly improved in May 2018</w:t>
      </w:r>
      <w:r w:rsidR="005A3604" w:rsidRPr="00ED36D4">
        <w:rPr>
          <w:vertAlign w:val="superscript"/>
        </w:rPr>
        <w:footnoteReference w:id="75"/>
      </w:r>
      <w:r w:rsidR="008309DD">
        <w:t xml:space="preserve"> -</w:t>
      </w:r>
      <w:r w:rsidR="005A3604" w:rsidRPr="00ED36D4">
        <w:t xml:space="preserve"> following strong criticism and concerns raised by civil society organizations and </w:t>
      </w:r>
      <w:r w:rsidR="00FC36A3" w:rsidRPr="00ED36D4">
        <w:t xml:space="preserve">the </w:t>
      </w:r>
      <w:r w:rsidR="005A3604" w:rsidRPr="00ED36D4">
        <w:t>international community</w:t>
      </w:r>
      <w:r w:rsidR="008309DD">
        <w:t xml:space="preserve"> -</w:t>
      </w:r>
      <w:r w:rsidR="005A3604" w:rsidRPr="00ED36D4">
        <w:t xml:space="preserve"> the proceedings against </w:t>
      </w:r>
      <w:r w:rsidR="008309DD">
        <w:t xml:space="preserve">Rami </w:t>
      </w:r>
      <w:r w:rsidR="005A3604" w:rsidRPr="00ED36D4">
        <w:t xml:space="preserve">Samara and </w:t>
      </w:r>
      <w:r w:rsidR="00FF2BC2" w:rsidRPr="00ED36D4">
        <w:t xml:space="preserve">other journalists </w:t>
      </w:r>
      <w:r w:rsidR="00916809" w:rsidRPr="00ED36D4">
        <w:t>which started before amend</w:t>
      </w:r>
      <w:r w:rsidR="00050422">
        <w:t xml:space="preserve">ment of </w:t>
      </w:r>
      <w:r w:rsidR="00916809" w:rsidRPr="00ED36D4">
        <w:t xml:space="preserve">the law </w:t>
      </w:r>
      <w:r w:rsidR="005A3604" w:rsidRPr="00ED36D4">
        <w:t>continue</w:t>
      </w:r>
      <w:r w:rsidR="008309DD">
        <w:t>d</w:t>
      </w:r>
      <w:r w:rsidR="005A3604" w:rsidRPr="00ED36D4">
        <w:t xml:space="preserve">. </w:t>
      </w:r>
      <w:r w:rsidR="007579F5">
        <w:t>T</w:t>
      </w:r>
      <w:r w:rsidR="005A3604" w:rsidRPr="00ED36D4">
        <w:t xml:space="preserve">he amended Decree-Law </w:t>
      </w:r>
      <w:r w:rsidR="00FC36A3" w:rsidRPr="00ED36D4">
        <w:t>still contains</w:t>
      </w:r>
      <w:r w:rsidR="005A3604" w:rsidRPr="00ED36D4">
        <w:t xml:space="preserve"> loosely defined provisions which </w:t>
      </w:r>
      <w:r w:rsidR="00050422">
        <w:t>risk</w:t>
      </w:r>
      <w:r w:rsidR="00050422" w:rsidRPr="00ED36D4">
        <w:t xml:space="preserve"> </w:t>
      </w:r>
      <w:r w:rsidR="005A3604" w:rsidRPr="00ED36D4">
        <w:t xml:space="preserve">undue interference with </w:t>
      </w:r>
      <w:r w:rsidR="008309DD">
        <w:t xml:space="preserve">the exercise of </w:t>
      </w:r>
      <w:r w:rsidR="005A3604" w:rsidRPr="00ED36D4">
        <w:t>freedom of expression.</w:t>
      </w:r>
    </w:p>
    <w:p w14:paraId="66DA2D6E" w14:textId="1DCA0FCC" w:rsidR="005146C5" w:rsidRPr="00ED36D4" w:rsidRDefault="009C5D47" w:rsidP="00351E28">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 xml:space="preserve">Amidst a deep division between Fatah and Hamas, protests against </w:t>
      </w:r>
      <w:r w:rsidR="008309DD">
        <w:t>punitive measure</w:t>
      </w:r>
      <w:r w:rsidR="00F37345">
        <w:t>s</w:t>
      </w:r>
      <w:r w:rsidR="008309DD">
        <w:t xml:space="preserve"> imposed by </w:t>
      </w:r>
      <w:r w:rsidRPr="00ED36D4">
        <w:t>the P</w:t>
      </w:r>
      <w:r w:rsidR="003F0F6A" w:rsidRPr="00ED36D4">
        <w:t xml:space="preserve">alestinian </w:t>
      </w:r>
      <w:r w:rsidRPr="00ED36D4">
        <w:t>A</w:t>
      </w:r>
      <w:r w:rsidR="003F0F6A" w:rsidRPr="00ED36D4">
        <w:t>uthority</w:t>
      </w:r>
      <w:r w:rsidR="00A223C8">
        <w:t xml:space="preserve"> </w:t>
      </w:r>
      <w:r w:rsidR="008309DD">
        <w:t>on</w:t>
      </w:r>
      <w:r w:rsidR="003F0F6A" w:rsidRPr="00ED36D4">
        <w:t xml:space="preserve"> Gaza</w:t>
      </w:r>
      <w:r w:rsidRPr="00ED36D4">
        <w:t xml:space="preserve"> broke out in the West Bank</w:t>
      </w:r>
      <w:r w:rsidR="008309DD">
        <w:t xml:space="preserve">. </w:t>
      </w:r>
      <w:r w:rsidR="005146C5" w:rsidRPr="00ED36D4">
        <w:t xml:space="preserve">On 13 June 2018, the </w:t>
      </w:r>
      <w:r w:rsidR="008309DD">
        <w:t xml:space="preserve">adviser of the </w:t>
      </w:r>
      <w:r w:rsidR="005146C5" w:rsidRPr="00203305">
        <w:t>Palestinian President on Provincial Affairs</w:t>
      </w:r>
      <w:r w:rsidR="005146C5">
        <w:t xml:space="preserve"> </w:t>
      </w:r>
      <w:r w:rsidR="00CE1F07">
        <w:t>temporarily banned</w:t>
      </w:r>
      <w:r w:rsidR="005146C5" w:rsidRPr="00203305">
        <w:t xml:space="preserve"> demonstrations in the West Bank</w:t>
      </w:r>
      <w:r w:rsidR="008309DD">
        <w:t xml:space="preserve"> in order to prevent </w:t>
      </w:r>
      <w:r w:rsidR="005146C5">
        <w:t xml:space="preserve">a </w:t>
      </w:r>
      <w:r w:rsidR="005146C5" w:rsidRPr="00203305">
        <w:t xml:space="preserve">demonstration </w:t>
      </w:r>
      <w:r w:rsidR="005146C5">
        <w:t>set</w:t>
      </w:r>
      <w:r w:rsidR="005146C5" w:rsidRPr="00203305">
        <w:t xml:space="preserve"> to take place</w:t>
      </w:r>
      <w:r w:rsidR="005146C5">
        <w:t xml:space="preserve"> the same </w:t>
      </w:r>
      <w:r w:rsidR="005146C5" w:rsidRPr="00203305">
        <w:t>day in Ramallah</w:t>
      </w:r>
      <w:r w:rsidR="005146C5">
        <w:t>.</w:t>
      </w:r>
      <w:r w:rsidR="005146C5" w:rsidRPr="005146C5">
        <w:t xml:space="preserve"> </w:t>
      </w:r>
      <w:r w:rsidR="005146C5" w:rsidRPr="00203305">
        <w:t xml:space="preserve">Despite the ban, approximately 200 demonstrators </w:t>
      </w:r>
      <w:r w:rsidR="008309DD">
        <w:t xml:space="preserve">peacefully </w:t>
      </w:r>
      <w:r w:rsidR="005146C5" w:rsidRPr="00203305">
        <w:t xml:space="preserve">gathered in </w:t>
      </w:r>
      <w:r w:rsidR="00257975">
        <w:t xml:space="preserve">the </w:t>
      </w:r>
      <w:r w:rsidR="005146C5" w:rsidRPr="00203305">
        <w:t>city centr</w:t>
      </w:r>
      <w:r w:rsidR="008309DD">
        <w:t>e</w:t>
      </w:r>
      <w:r w:rsidR="00F37345">
        <w:t xml:space="preserve"> but </w:t>
      </w:r>
      <w:r w:rsidR="005146C5" w:rsidRPr="00203305">
        <w:t xml:space="preserve">were violently </w:t>
      </w:r>
      <w:r w:rsidR="005146C5">
        <w:t xml:space="preserve">assaulted and dispersed by </w:t>
      </w:r>
      <w:r w:rsidR="00FC731B">
        <w:t>PSF</w:t>
      </w:r>
      <w:r w:rsidR="005146C5">
        <w:t xml:space="preserve"> and individuals in plain clothing.</w:t>
      </w:r>
      <w:r w:rsidR="005146C5" w:rsidRPr="00ED36D4">
        <w:rPr>
          <w:vertAlign w:val="superscript"/>
        </w:rPr>
        <w:footnoteReference w:id="76"/>
      </w:r>
      <w:r w:rsidR="005146C5">
        <w:t xml:space="preserve"> </w:t>
      </w:r>
      <w:r w:rsidR="00ED36D4">
        <w:t>Fifty-six</w:t>
      </w:r>
      <w:r w:rsidR="005146C5" w:rsidRPr="00203305">
        <w:t xml:space="preserve"> </w:t>
      </w:r>
      <w:r w:rsidR="005146C5">
        <w:t>people were violently arrested and</w:t>
      </w:r>
      <w:r w:rsidR="00CE1F07">
        <w:t xml:space="preserve"> released </w:t>
      </w:r>
      <w:r w:rsidR="005146C5">
        <w:t>the</w:t>
      </w:r>
      <w:r w:rsidR="005146C5" w:rsidRPr="00203305">
        <w:t xml:space="preserve"> next day</w:t>
      </w:r>
      <w:r w:rsidR="005146C5">
        <w:t xml:space="preserve"> without charges. A staff member of Amnesty International monitor</w:t>
      </w:r>
      <w:r w:rsidR="008309DD">
        <w:t>ing</w:t>
      </w:r>
      <w:r w:rsidR="005146C5">
        <w:t xml:space="preserve"> the demonstration was among those arrested and testified to hav</w:t>
      </w:r>
      <w:r w:rsidR="00257975">
        <w:t>ing</w:t>
      </w:r>
      <w:r w:rsidR="005146C5">
        <w:t xml:space="preserve"> been subjected to ill-treatment and </w:t>
      </w:r>
      <w:r w:rsidR="00682D0D">
        <w:t xml:space="preserve">having </w:t>
      </w:r>
      <w:r w:rsidR="005146C5">
        <w:t>witness</w:t>
      </w:r>
      <w:r w:rsidR="00682D0D">
        <w:t>ed</w:t>
      </w:r>
      <w:r w:rsidR="005146C5">
        <w:t xml:space="preserve"> at least 18 other detainees face similar treatment.</w:t>
      </w:r>
      <w:r w:rsidR="005146C5" w:rsidRPr="00ED36D4">
        <w:t xml:space="preserve"> </w:t>
      </w:r>
      <w:r w:rsidR="005146C5" w:rsidRPr="0099254A">
        <w:t xml:space="preserve">At least </w:t>
      </w:r>
      <w:r w:rsidR="00351E28" w:rsidRPr="0099254A">
        <w:t>1</w:t>
      </w:r>
      <w:r w:rsidR="00351E28">
        <w:t>2</w:t>
      </w:r>
      <w:r w:rsidR="00351E28" w:rsidRPr="0099254A">
        <w:t xml:space="preserve"> </w:t>
      </w:r>
      <w:r w:rsidR="005146C5" w:rsidRPr="0099254A">
        <w:t xml:space="preserve">journalists were threatened or impeded from covering the demonstration, and </w:t>
      </w:r>
      <w:r w:rsidR="00CE1F07">
        <w:t>some were physically assaulted.</w:t>
      </w:r>
      <w:r w:rsidR="00351E28">
        <w:rPr>
          <w:rStyle w:val="FootnoteReference"/>
        </w:rPr>
        <w:footnoteReference w:id="77"/>
      </w:r>
    </w:p>
    <w:p w14:paraId="78D7126D" w14:textId="4A439004" w:rsidR="00EC6B1B" w:rsidRPr="00ED36D4" w:rsidRDefault="00682D0D"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I</w:t>
      </w:r>
      <w:r w:rsidR="005146C5" w:rsidRPr="00513C4B">
        <w:t xml:space="preserve">n </w:t>
      </w:r>
      <w:r w:rsidR="00EC6B1B">
        <w:t>Tulkarem and Nablus</w:t>
      </w:r>
      <w:r w:rsidR="005146C5" w:rsidRPr="00513C4B">
        <w:t xml:space="preserve">, </w:t>
      </w:r>
      <w:r>
        <w:t xml:space="preserve">on </w:t>
      </w:r>
      <w:r w:rsidR="00EC6B1B">
        <w:t>27 and 30</w:t>
      </w:r>
      <w:r>
        <w:t xml:space="preserve"> June</w:t>
      </w:r>
      <w:r w:rsidR="00FF2BC2">
        <w:t xml:space="preserve"> 2018</w:t>
      </w:r>
      <w:r>
        <w:t xml:space="preserve"> </w:t>
      </w:r>
      <w:r w:rsidR="00EC6B1B">
        <w:t>respectively</w:t>
      </w:r>
      <w:r>
        <w:t xml:space="preserve">, </w:t>
      </w:r>
      <w:r w:rsidR="00EC6B1B">
        <w:t xml:space="preserve">two demonstrations took place during which two </w:t>
      </w:r>
      <w:r w:rsidR="005146C5" w:rsidRPr="00EC6B1B">
        <w:t xml:space="preserve">women journalists were physically assaulted by Fatah supporters, and prevented from filming the protest. In one instance, the </w:t>
      </w:r>
      <w:r w:rsidR="005146C5" w:rsidRPr="00ED36D4">
        <w:t xml:space="preserve">attack occurred in the presence of the police, who did not intervene. </w:t>
      </w:r>
      <w:r w:rsidR="00EC6B1B" w:rsidRPr="00ED36D4">
        <w:t xml:space="preserve">One of the </w:t>
      </w:r>
      <w:r w:rsidR="005146C5" w:rsidRPr="00ED36D4">
        <w:t xml:space="preserve">journalists submitted </w:t>
      </w:r>
      <w:r w:rsidR="00EC6B1B" w:rsidRPr="00ED36D4">
        <w:t>a complaint</w:t>
      </w:r>
      <w:r w:rsidR="005146C5" w:rsidRPr="00ED36D4">
        <w:t xml:space="preserve"> to the </w:t>
      </w:r>
      <w:r w:rsidR="00EC6B1B" w:rsidRPr="00ED36D4">
        <w:t>public prosecution</w:t>
      </w:r>
      <w:r w:rsidR="005146C5" w:rsidRPr="00ED36D4">
        <w:t xml:space="preserve"> which, accordin</w:t>
      </w:r>
      <w:r w:rsidR="00FF2BC2" w:rsidRPr="00ED36D4">
        <w:t>g to available information, ha</w:t>
      </w:r>
      <w:r w:rsidR="008E29C8">
        <w:t>d</w:t>
      </w:r>
      <w:r w:rsidR="005146C5" w:rsidRPr="00ED36D4">
        <w:t xml:space="preserve"> not been addressed by the authorities</w:t>
      </w:r>
      <w:r w:rsidR="003F0F6A" w:rsidRPr="00ED36D4">
        <w:t xml:space="preserve"> at the time of writing</w:t>
      </w:r>
      <w:r w:rsidR="005146C5" w:rsidRPr="00ED36D4">
        <w:t xml:space="preserve">. </w:t>
      </w:r>
      <w:r w:rsidR="005146C5" w:rsidRPr="00EC6B1B">
        <w:t>Civil society members and activists involved in organizing or monitoring the demonstrations were faced with a wave of summons and harassment by PSF.</w:t>
      </w:r>
    </w:p>
    <w:p w14:paraId="0A54FE29" w14:textId="5D847BA6" w:rsidR="006C1939" w:rsidRPr="00ED36D4" w:rsidRDefault="006C1939"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 xml:space="preserve">Similar violations were recorded in Gaza, where the security forces continued to arbitrarily arrest and </w:t>
      </w:r>
      <w:r w:rsidR="00EC6B1B" w:rsidRPr="00ED36D4">
        <w:t xml:space="preserve">subject </w:t>
      </w:r>
      <w:r w:rsidRPr="00ED36D4">
        <w:t xml:space="preserve">individuals </w:t>
      </w:r>
      <w:r w:rsidR="00EC6B1B" w:rsidRPr="00ED36D4">
        <w:t xml:space="preserve">to ill-treatment </w:t>
      </w:r>
      <w:r w:rsidRPr="00ED36D4">
        <w:t>for expressing opinions that could be considered critical of the authorities in Gaza</w:t>
      </w:r>
      <w:r w:rsidR="00D439D1" w:rsidRPr="00ED36D4">
        <w:t>.</w:t>
      </w:r>
      <w:r w:rsidR="00D439D1" w:rsidRPr="00ED36D4">
        <w:rPr>
          <w:vertAlign w:val="superscript"/>
        </w:rPr>
        <w:footnoteReference w:id="78"/>
      </w:r>
      <w:r w:rsidR="00D439D1" w:rsidRPr="00ED36D4">
        <w:t xml:space="preserve"> </w:t>
      </w:r>
      <w:r w:rsidRPr="00ED36D4">
        <w:t xml:space="preserve">In one incident, ISA reportedly detained a journalist for three days at an unknown location where he was interrogated about his political views and accused of incitement against the authorities in Gaza by planning popular protests. During interrogation, he was reportedly subjected to ill-treatment </w:t>
      </w:r>
      <w:r w:rsidR="00682D0D" w:rsidRPr="00ED36D4">
        <w:t>that may amount to</w:t>
      </w:r>
      <w:r w:rsidRPr="00ED36D4">
        <w:t xml:space="preserve"> torture, including beatings with batons and a plastic hose and Shabah. He was eventually released without charge.</w:t>
      </w:r>
    </w:p>
    <w:p w14:paraId="54AD7452" w14:textId="21A0304D" w:rsidR="00D439D1" w:rsidRPr="00ED36D4" w:rsidRDefault="006C1939"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9F3E1A">
        <w:t>From 13</w:t>
      </w:r>
      <w:r>
        <w:t xml:space="preserve"> to </w:t>
      </w:r>
      <w:r w:rsidRPr="009F3E1A">
        <w:t xml:space="preserve">15 September 2018, a journalist was summoned three times by </w:t>
      </w:r>
      <w:r w:rsidR="00CD5950">
        <w:t xml:space="preserve">the </w:t>
      </w:r>
      <w:r w:rsidRPr="009F3E1A">
        <w:t>Gaza authoritie</w:t>
      </w:r>
      <w:r w:rsidR="00682D0D">
        <w:t>s</w:t>
      </w:r>
      <w:r w:rsidRPr="009F3E1A">
        <w:t xml:space="preserve"> for posting comments on social media</w:t>
      </w:r>
      <w:r w:rsidR="00D439D1">
        <w:t xml:space="preserve"> questioning</w:t>
      </w:r>
      <w:r w:rsidRPr="009F3E1A">
        <w:t xml:space="preserve"> the</w:t>
      </w:r>
      <w:r w:rsidR="00251080">
        <w:t xml:space="preserve"> </w:t>
      </w:r>
      <w:r w:rsidR="00251080" w:rsidRPr="009F3E1A">
        <w:t>Ministry</w:t>
      </w:r>
      <w:r w:rsidRPr="009F3E1A">
        <w:t xml:space="preserve"> of </w:t>
      </w:r>
      <w:r w:rsidR="00D439D1">
        <w:t>E</w:t>
      </w:r>
      <w:r w:rsidRPr="009F3E1A">
        <w:t>conom</w:t>
      </w:r>
      <w:r w:rsidR="00251080">
        <w:t>y</w:t>
      </w:r>
      <w:r w:rsidRPr="009F3E1A">
        <w:t xml:space="preserve">. On 15 September, </w:t>
      </w:r>
      <w:r>
        <w:t xml:space="preserve">after </w:t>
      </w:r>
      <w:r w:rsidRPr="009F3E1A">
        <w:t>threat</w:t>
      </w:r>
      <w:r>
        <w:t>s</w:t>
      </w:r>
      <w:r w:rsidRPr="009F3E1A">
        <w:t xml:space="preserve"> of arrest, he removed the post and made a public apology</w:t>
      </w:r>
      <w:r w:rsidR="000D67DC">
        <w:t xml:space="preserve"> to the Ministry</w:t>
      </w:r>
      <w:r w:rsidR="00A87E59">
        <w:t xml:space="preserve"> on social media.</w:t>
      </w:r>
      <w:r w:rsidRPr="009F3E1A">
        <w:t xml:space="preserve"> </w:t>
      </w:r>
      <w:r w:rsidR="00C11862">
        <w:t>After</w:t>
      </w:r>
      <w:r w:rsidR="00C11862" w:rsidRPr="009F3E1A">
        <w:t xml:space="preserve"> </w:t>
      </w:r>
      <w:r w:rsidRPr="009F3E1A">
        <w:t xml:space="preserve">27 October 2018, </w:t>
      </w:r>
      <w:r w:rsidR="00D439D1">
        <w:t xml:space="preserve">he was summoned several times for questioning by the police and the prosecutor’s office following accusations of defamation by the </w:t>
      </w:r>
      <w:r w:rsidR="00CD5950">
        <w:t>M</w:t>
      </w:r>
      <w:r w:rsidR="00D439D1">
        <w:t>inistry. The charges were later dropped after mediation by the Governmental Media Office.</w:t>
      </w:r>
    </w:p>
    <w:p w14:paraId="673A3CAB" w14:textId="3ACB3FA4" w:rsidR="006C1939" w:rsidRPr="00ED36D4" w:rsidRDefault="006C1939"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Gaza security forces also continued to restrict the right of civilians to peaceful assembly, sometimes by forcibly dispersing demonstrations and gathering</w:t>
      </w:r>
      <w:r w:rsidR="00257975">
        <w:t>s</w:t>
      </w:r>
      <w:r>
        <w:t xml:space="preserve">. </w:t>
      </w:r>
      <w:r w:rsidRPr="00912AD2">
        <w:t xml:space="preserve">On 18 June 2018, </w:t>
      </w:r>
      <w:r w:rsidR="00CD5950">
        <w:t xml:space="preserve">they </w:t>
      </w:r>
      <w:r w:rsidRPr="00912AD2">
        <w:t xml:space="preserve">forcibly dispersed a </w:t>
      </w:r>
      <w:r w:rsidR="00D439D1">
        <w:t>demonstration</w:t>
      </w:r>
      <w:r w:rsidRPr="00912AD2">
        <w:t xml:space="preserve"> calling for the lifting of</w:t>
      </w:r>
      <w:r w:rsidR="00C11862">
        <w:t xml:space="preserve"> </w:t>
      </w:r>
      <w:r w:rsidRPr="00912AD2">
        <w:t xml:space="preserve">punitive measures </w:t>
      </w:r>
      <w:r w:rsidR="00CD5950">
        <w:t xml:space="preserve">imposed </w:t>
      </w:r>
      <w:r w:rsidRPr="00912AD2">
        <w:t>on Gaza</w:t>
      </w:r>
      <w:r w:rsidR="00CD5950">
        <w:t xml:space="preserve"> by the Palestinian Authority</w:t>
      </w:r>
      <w:r w:rsidRPr="00912AD2">
        <w:t xml:space="preserve">, despite </w:t>
      </w:r>
      <w:r w:rsidR="00257975">
        <w:t>previous authorization of the demonstration</w:t>
      </w:r>
      <w:r w:rsidRPr="00912AD2">
        <w:t>. Reportedly, about 50 plain</w:t>
      </w:r>
      <w:r w:rsidR="00C11862">
        <w:t>-</w:t>
      </w:r>
      <w:r w:rsidRPr="00912AD2">
        <w:t xml:space="preserve">clothed security personnel, some carrying batons, raided the sit-in and forcibly prevented participants from filming or photographing the event. </w:t>
      </w:r>
      <w:r w:rsidR="00CD5950">
        <w:t>The p</w:t>
      </w:r>
      <w:r w:rsidRPr="00912AD2">
        <w:t>hones of some participants were briefly confiscated and retu</w:t>
      </w:r>
      <w:r>
        <w:t>r</w:t>
      </w:r>
      <w:r w:rsidRPr="00912AD2">
        <w:t xml:space="preserve">ned to them after </w:t>
      </w:r>
      <w:r>
        <w:t>footage</w:t>
      </w:r>
      <w:r w:rsidR="00257975">
        <w:t xml:space="preserve"> of the demonstration</w:t>
      </w:r>
      <w:r w:rsidRPr="00912AD2">
        <w:t xml:space="preserve"> had been deleted by the security personnel. Gaza</w:t>
      </w:r>
      <w:r>
        <w:t>’s</w:t>
      </w:r>
      <w:r w:rsidRPr="00912AD2">
        <w:t xml:space="preserve"> Ministry of Interior denied</w:t>
      </w:r>
      <w:r>
        <w:t xml:space="preserve"> this account of events, including that participants had been arrested</w:t>
      </w:r>
      <w:r w:rsidRPr="00912AD2">
        <w:t>.</w:t>
      </w:r>
      <w:r w:rsidRPr="00ED36D4">
        <w:rPr>
          <w:vertAlign w:val="superscript"/>
        </w:rPr>
        <w:footnoteReference w:id="79"/>
      </w:r>
    </w:p>
    <w:p w14:paraId="39C0FD4E" w14:textId="2A83F49F" w:rsidR="00221C95" w:rsidRPr="00EA3EB2" w:rsidRDefault="00D669CE" w:rsidP="00D669CE">
      <w:pPr>
        <w:pStyle w:val="HChG"/>
      </w:pPr>
      <w:r>
        <w:tab/>
        <w:t>I</w:t>
      </w:r>
      <w:r w:rsidR="00B50D87">
        <w:t>II</w:t>
      </w:r>
      <w:r>
        <w:t>.</w:t>
      </w:r>
      <w:r w:rsidR="00EA3EB2">
        <w:tab/>
      </w:r>
      <w:r w:rsidR="00674E72" w:rsidRPr="00EA3EB2">
        <w:t>Conclusions and recommendations</w:t>
      </w:r>
    </w:p>
    <w:p w14:paraId="792495D9" w14:textId="5DCE427E" w:rsidR="005224D2" w:rsidRDefault="00BC38E4"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 xml:space="preserve">This report documents violations of international humanitarian law and of international human rights law in the </w:t>
      </w:r>
      <w:r w:rsidR="00251080">
        <w:t>O</w:t>
      </w:r>
      <w:r>
        <w:t xml:space="preserve">ccupied Palestinian </w:t>
      </w:r>
      <w:r w:rsidR="00251080">
        <w:t>T</w:t>
      </w:r>
      <w:r>
        <w:t xml:space="preserve">erritory by Israel, </w:t>
      </w:r>
      <w:r w:rsidR="009B4190">
        <w:t xml:space="preserve">the State of </w:t>
      </w:r>
      <w:r w:rsidR="003F0F6A">
        <w:t xml:space="preserve">Palestine </w:t>
      </w:r>
      <w:r>
        <w:t xml:space="preserve">and the authorities in Gaza. It </w:t>
      </w:r>
      <w:r w:rsidR="00CD5950">
        <w:t xml:space="preserve">shows the persistence of </w:t>
      </w:r>
      <w:r>
        <w:t>patterns previously reported by the Secretary-General and the High Commissioner</w:t>
      </w:r>
      <w:r w:rsidR="00CD5950">
        <w:t>, and</w:t>
      </w:r>
      <w:r w:rsidR="00FC30DB">
        <w:t xml:space="preserve"> which have been the subject of </w:t>
      </w:r>
      <w:r w:rsidR="00050422">
        <w:t xml:space="preserve">extensive </w:t>
      </w:r>
      <w:r w:rsidR="00CD5950">
        <w:t xml:space="preserve">past </w:t>
      </w:r>
      <w:r w:rsidR="00FC30DB">
        <w:t>recommendations</w:t>
      </w:r>
      <w:r w:rsidR="00CD5950">
        <w:t xml:space="preserve"> by various human rights mechanisms</w:t>
      </w:r>
      <w:r>
        <w:t>.</w:t>
      </w:r>
      <w:r w:rsidR="00FC30DB" w:rsidRPr="00ED36D4">
        <w:rPr>
          <w:vertAlign w:val="superscript"/>
        </w:rPr>
        <w:footnoteReference w:id="80"/>
      </w:r>
      <w:r w:rsidR="0071142F">
        <w:t xml:space="preserve"> T</w:t>
      </w:r>
      <w:r>
        <w:t xml:space="preserve">he persistent lack of accountability and the shrinking space for </w:t>
      </w:r>
      <w:r w:rsidR="00FC30DB">
        <w:t xml:space="preserve">civil society </w:t>
      </w:r>
      <w:r w:rsidR="0071142F">
        <w:t xml:space="preserve">continue to be </w:t>
      </w:r>
      <w:r w:rsidR="00982EB2">
        <w:t>of particular concern.</w:t>
      </w:r>
      <w:r w:rsidR="00CE1F07">
        <w:t xml:space="preserve"> </w:t>
      </w:r>
    </w:p>
    <w:p w14:paraId="405EC89E" w14:textId="5C717E8C" w:rsidR="00CD5950" w:rsidRDefault="00CE1F07" w:rsidP="003F3EF7">
      <w:pPr>
        <w:pStyle w:val="SingleTxtG"/>
        <w:numPr>
          <w:ilvl w:val="0"/>
          <w:numId w:val="33"/>
        </w:numPr>
        <w:tabs>
          <w:tab w:val="left" w:pos="1701"/>
        </w:tabs>
        <w:suppressAutoHyphens/>
        <w:kinsoku w:val="0"/>
        <w:overflowPunct w:val="0"/>
        <w:autoSpaceDE w:val="0"/>
        <w:autoSpaceDN w:val="0"/>
        <w:adjustRightInd w:val="0"/>
        <w:snapToGrid w:val="0"/>
        <w:ind w:left="1134" w:firstLine="0"/>
      </w:pPr>
      <w:r>
        <w:t xml:space="preserve">The High Commissioner </w:t>
      </w:r>
      <w:r w:rsidR="0071142F">
        <w:t>calls on</w:t>
      </w:r>
      <w:r>
        <w:t xml:space="preserve"> all duty</w:t>
      </w:r>
      <w:r w:rsidR="00CD5950">
        <w:t>-</w:t>
      </w:r>
      <w:r>
        <w:t xml:space="preserve">bearers </w:t>
      </w:r>
      <w:r w:rsidR="003F3EF7">
        <w:t xml:space="preserve">to </w:t>
      </w:r>
      <w:r>
        <w:t>c</w:t>
      </w:r>
      <w:r w:rsidRPr="00CE1F07">
        <w:t xml:space="preserve">omply with their international </w:t>
      </w:r>
      <w:r w:rsidR="00255830">
        <w:t xml:space="preserve">legal </w:t>
      </w:r>
      <w:r w:rsidRPr="00CE1F07">
        <w:t xml:space="preserve">obligations and ensure that all </w:t>
      </w:r>
      <w:r w:rsidR="00255830">
        <w:t xml:space="preserve">alleged </w:t>
      </w:r>
      <w:r w:rsidRPr="00CE1F07">
        <w:t>violations are promptly</w:t>
      </w:r>
      <w:r w:rsidR="00255830">
        <w:t>,</w:t>
      </w:r>
      <w:r w:rsidRPr="00CE1F07">
        <w:t xml:space="preserve"> impartially and independently investigated</w:t>
      </w:r>
      <w:r>
        <w:t xml:space="preserve">, that </w:t>
      </w:r>
      <w:r w:rsidRPr="00CE1F07">
        <w:t>those responsible are held accountable</w:t>
      </w:r>
      <w:r w:rsidR="00CD5950">
        <w:t>,</w:t>
      </w:r>
      <w:r>
        <w:t xml:space="preserve"> and </w:t>
      </w:r>
      <w:r w:rsidRPr="00CE1F07">
        <w:t>that victims are provided with effective redress</w:t>
      </w:r>
      <w:r>
        <w:t xml:space="preserve">. </w:t>
      </w:r>
    </w:p>
    <w:p w14:paraId="2AC869B1" w14:textId="51A4F52E" w:rsidR="009418E7" w:rsidRPr="005224D2" w:rsidRDefault="00CE1F07"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t>The High Commissioner further recommends the following:</w:t>
      </w:r>
    </w:p>
    <w:p w14:paraId="4535A8F2" w14:textId="77777777" w:rsidR="00FC731B" w:rsidRPr="00ED36D4" w:rsidRDefault="00FC731B"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To the Government of Israel:</w:t>
      </w:r>
    </w:p>
    <w:p w14:paraId="27A96611" w14:textId="3011E494" w:rsidR="00ED36D4" w:rsidRPr="00EA3EB2" w:rsidRDefault="00EA3EB2" w:rsidP="00EA3EB2">
      <w:pPr>
        <w:pStyle w:val="SingleTxtG"/>
        <w:tabs>
          <w:tab w:val="left" w:pos="1701"/>
        </w:tabs>
        <w:suppressAutoHyphens/>
        <w:kinsoku w:val="0"/>
        <w:overflowPunct w:val="0"/>
        <w:autoSpaceDE w:val="0"/>
        <w:autoSpaceDN w:val="0"/>
        <w:adjustRightInd w:val="0"/>
        <w:snapToGrid w:val="0"/>
      </w:pPr>
      <w:r>
        <w:tab/>
      </w:r>
      <w:r w:rsidR="00D669CE">
        <w:t>(a)</w:t>
      </w:r>
      <w:r w:rsidR="00BC38E4" w:rsidRPr="00EA3EB2">
        <w:tab/>
      </w:r>
      <w:r w:rsidR="00BC38E4" w:rsidRPr="00EA3EB2">
        <w:rPr>
          <w:b/>
        </w:rPr>
        <w:t xml:space="preserve">Ensure that the rules of engagement of </w:t>
      </w:r>
      <w:r w:rsidR="0071142F" w:rsidRPr="008C27FF">
        <w:rPr>
          <w:b/>
        </w:rPr>
        <w:t xml:space="preserve">Israeli security forces </w:t>
      </w:r>
      <w:r w:rsidR="00BC38E4" w:rsidRPr="00EA3EB2">
        <w:rPr>
          <w:b/>
        </w:rPr>
        <w:t xml:space="preserve">and their application are </w:t>
      </w:r>
      <w:r w:rsidR="0071142F">
        <w:rPr>
          <w:b/>
        </w:rPr>
        <w:t xml:space="preserve">fully </w:t>
      </w:r>
      <w:r w:rsidR="00BC38E4" w:rsidRPr="00EA3EB2">
        <w:rPr>
          <w:b/>
        </w:rPr>
        <w:t xml:space="preserve">in line with international standards; in </w:t>
      </w:r>
      <w:r w:rsidR="001E4A4C" w:rsidRPr="00EA3EB2">
        <w:rPr>
          <w:b/>
        </w:rPr>
        <w:t>particular,</w:t>
      </w:r>
      <w:r w:rsidR="00BC38E4" w:rsidRPr="00EA3EB2">
        <w:rPr>
          <w:b/>
        </w:rPr>
        <w:t xml:space="preserve"> ensure that firearms are only used in case of imminent threat of death or serious injury; take all necessary measures to prevent incidents of excessive use of force; and provide</w:t>
      </w:r>
      <w:r w:rsidR="0071142F">
        <w:rPr>
          <w:b/>
        </w:rPr>
        <w:t xml:space="preserve">, </w:t>
      </w:r>
      <w:r w:rsidR="000C6851">
        <w:rPr>
          <w:b/>
        </w:rPr>
        <w:t>at the earliest possible moment,</w:t>
      </w:r>
      <w:r w:rsidR="00BC38E4" w:rsidRPr="00EA3EB2">
        <w:rPr>
          <w:b/>
        </w:rPr>
        <w:t xml:space="preserve"> first aid to individuals injured by use of force</w:t>
      </w:r>
      <w:r w:rsidR="00CD5950">
        <w:rPr>
          <w:b/>
        </w:rPr>
        <w:t>,</w:t>
      </w:r>
      <w:r w:rsidR="00BC38E4" w:rsidRPr="00EA3EB2">
        <w:rPr>
          <w:b/>
        </w:rPr>
        <w:t xml:space="preserve"> </w:t>
      </w:r>
      <w:r w:rsidR="0071142F">
        <w:rPr>
          <w:b/>
        </w:rPr>
        <w:t>while taking no steps to</w:t>
      </w:r>
      <w:r w:rsidR="00ED36D4" w:rsidRPr="00EA3EB2">
        <w:rPr>
          <w:b/>
        </w:rPr>
        <w:t xml:space="preserve"> prevent the</w:t>
      </w:r>
      <w:r w:rsidR="0071142F">
        <w:rPr>
          <w:b/>
        </w:rPr>
        <w:t xml:space="preserve"> provision of </w:t>
      </w:r>
      <w:r w:rsidR="008C0E15">
        <w:rPr>
          <w:b/>
        </w:rPr>
        <w:t xml:space="preserve">necessary </w:t>
      </w:r>
      <w:r w:rsidR="00ED36D4" w:rsidRPr="00EA3EB2">
        <w:rPr>
          <w:b/>
        </w:rPr>
        <w:t>medical care;</w:t>
      </w:r>
    </w:p>
    <w:p w14:paraId="42691C0F" w14:textId="1FEB7E6F" w:rsidR="00BC38E4" w:rsidRPr="00EA3EB2" w:rsidRDefault="00EA3EB2" w:rsidP="00EA3EB2">
      <w:pPr>
        <w:pStyle w:val="SingleTxtG"/>
        <w:tabs>
          <w:tab w:val="left" w:pos="1701"/>
        </w:tabs>
        <w:suppressAutoHyphens/>
        <w:kinsoku w:val="0"/>
        <w:overflowPunct w:val="0"/>
        <w:autoSpaceDE w:val="0"/>
        <w:autoSpaceDN w:val="0"/>
        <w:adjustRightInd w:val="0"/>
        <w:snapToGrid w:val="0"/>
      </w:pPr>
      <w:r>
        <w:tab/>
      </w:r>
      <w:r w:rsidR="00D669CE">
        <w:t>(b)</w:t>
      </w:r>
      <w:r w:rsidR="00ED36D4" w:rsidRPr="00EA3EB2">
        <w:tab/>
      </w:r>
      <w:r w:rsidR="00BC38E4" w:rsidRPr="00EA3EB2">
        <w:rPr>
          <w:b/>
        </w:rPr>
        <w:t>Conduct prompt, thorough, independent</w:t>
      </w:r>
      <w:r w:rsidR="0071142F">
        <w:rPr>
          <w:b/>
        </w:rPr>
        <w:t xml:space="preserve">, </w:t>
      </w:r>
      <w:r w:rsidR="00BC38E4" w:rsidRPr="00EA3EB2">
        <w:rPr>
          <w:b/>
        </w:rPr>
        <w:t>impartial</w:t>
      </w:r>
      <w:r w:rsidR="0071142F">
        <w:rPr>
          <w:b/>
        </w:rPr>
        <w:t xml:space="preserve"> and effective</w:t>
      </w:r>
      <w:r w:rsidR="00BC38E4" w:rsidRPr="00EA3EB2">
        <w:rPr>
          <w:b/>
        </w:rPr>
        <w:t xml:space="preserve"> investigations into all incidents of use of force by </w:t>
      </w:r>
      <w:r w:rsidR="0071142F" w:rsidRPr="00A230DA">
        <w:rPr>
          <w:b/>
        </w:rPr>
        <w:t xml:space="preserve">Israeli security forces </w:t>
      </w:r>
      <w:r w:rsidR="00BC38E4" w:rsidRPr="00A230DA">
        <w:rPr>
          <w:b/>
        </w:rPr>
        <w:t>which</w:t>
      </w:r>
      <w:r w:rsidR="00BC38E4" w:rsidRPr="00EA3EB2">
        <w:rPr>
          <w:b/>
        </w:rPr>
        <w:t xml:space="preserve"> led to death or injury of Palestinians, especially in Gaza’s “access restricted areas”</w:t>
      </w:r>
      <w:r w:rsidR="00CD5950">
        <w:rPr>
          <w:b/>
        </w:rPr>
        <w:t>;</w:t>
      </w:r>
      <w:r w:rsidR="00BC38E4" w:rsidRPr="00EA3EB2">
        <w:rPr>
          <w:b/>
        </w:rPr>
        <w:t xml:space="preserve"> and ensure that perpetrators are held accountable</w:t>
      </w:r>
      <w:r w:rsidR="00CD5950">
        <w:rPr>
          <w:b/>
        </w:rPr>
        <w:t>,</w:t>
      </w:r>
      <w:r w:rsidR="00BC38E4" w:rsidRPr="00EA3EB2">
        <w:rPr>
          <w:b/>
        </w:rPr>
        <w:t xml:space="preserve"> and victims provided with redress;</w:t>
      </w:r>
    </w:p>
    <w:p w14:paraId="556632C8" w14:textId="0127BE78" w:rsidR="00BC38E4" w:rsidRPr="00ED36D4" w:rsidRDefault="00ED36D4" w:rsidP="00ED36D4">
      <w:pPr>
        <w:pStyle w:val="SingleTxtG"/>
        <w:tabs>
          <w:tab w:val="left" w:pos="1701"/>
        </w:tabs>
        <w:suppressAutoHyphens/>
        <w:kinsoku w:val="0"/>
        <w:overflowPunct w:val="0"/>
        <w:autoSpaceDE w:val="0"/>
        <w:autoSpaceDN w:val="0"/>
        <w:adjustRightInd w:val="0"/>
        <w:snapToGrid w:val="0"/>
        <w:rPr>
          <w:b/>
        </w:rPr>
      </w:pPr>
      <w:r>
        <w:tab/>
      </w:r>
      <w:r w:rsidR="00D669CE">
        <w:t>(c)</w:t>
      </w:r>
      <w:r w:rsidR="00BC38E4" w:rsidRPr="00ED36D4">
        <w:tab/>
      </w:r>
      <w:r w:rsidR="00BC38E4" w:rsidRPr="00ED36D4">
        <w:rPr>
          <w:b/>
        </w:rPr>
        <w:t xml:space="preserve">Ensure respect for </w:t>
      </w:r>
      <w:r w:rsidR="00CD5950">
        <w:rPr>
          <w:b/>
        </w:rPr>
        <w:t>i</w:t>
      </w:r>
      <w:r w:rsidR="00BC38E4" w:rsidRPr="00ED36D4">
        <w:rPr>
          <w:b/>
        </w:rPr>
        <w:t xml:space="preserve">nternational </w:t>
      </w:r>
      <w:r w:rsidR="00CD5950">
        <w:rPr>
          <w:b/>
        </w:rPr>
        <w:t>h</w:t>
      </w:r>
      <w:r w:rsidR="00BC38E4" w:rsidRPr="00ED36D4">
        <w:rPr>
          <w:b/>
        </w:rPr>
        <w:t>umanitarian</w:t>
      </w:r>
      <w:r w:rsidR="00CD5950">
        <w:rPr>
          <w:b/>
        </w:rPr>
        <w:t xml:space="preserve"> l</w:t>
      </w:r>
      <w:r w:rsidR="00BC38E4" w:rsidRPr="00ED36D4">
        <w:rPr>
          <w:b/>
        </w:rPr>
        <w:t>aw and conduct</w:t>
      </w:r>
      <w:r w:rsidR="0071142F">
        <w:rPr>
          <w:b/>
        </w:rPr>
        <w:t xml:space="preserve"> prompt,</w:t>
      </w:r>
      <w:r w:rsidR="00BC38E4" w:rsidRPr="00ED36D4">
        <w:rPr>
          <w:b/>
        </w:rPr>
        <w:t xml:space="preserve"> thorough, independent and impartial investigations into allegations of violations related to past and recent escalations of </w:t>
      </w:r>
      <w:r w:rsidR="009418E7" w:rsidRPr="00ED36D4">
        <w:rPr>
          <w:b/>
        </w:rPr>
        <w:t>hostilities</w:t>
      </w:r>
      <w:r w:rsidR="00CD5950">
        <w:rPr>
          <w:b/>
        </w:rPr>
        <w:t>;</w:t>
      </w:r>
      <w:r w:rsidR="00BC38E4" w:rsidRPr="00ED36D4">
        <w:rPr>
          <w:b/>
        </w:rPr>
        <w:t xml:space="preserve"> hold </w:t>
      </w:r>
      <w:r w:rsidR="009418E7" w:rsidRPr="00ED36D4">
        <w:rPr>
          <w:b/>
        </w:rPr>
        <w:t>those responsible</w:t>
      </w:r>
      <w:r w:rsidR="00BC38E4" w:rsidRPr="00ED36D4">
        <w:rPr>
          <w:b/>
        </w:rPr>
        <w:t xml:space="preserve"> accountable</w:t>
      </w:r>
      <w:r w:rsidR="00CD5950">
        <w:rPr>
          <w:b/>
        </w:rPr>
        <w:t>,</w:t>
      </w:r>
      <w:r w:rsidR="00BC38E4" w:rsidRPr="00ED36D4">
        <w:rPr>
          <w:b/>
        </w:rPr>
        <w:t xml:space="preserve"> and provide redress for victims;</w:t>
      </w:r>
    </w:p>
    <w:p w14:paraId="4CB6F97F" w14:textId="1B6606D8" w:rsidR="00BC38E4" w:rsidRPr="00ED36D4" w:rsidRDefault="00ED36D4" w:rsidP="00ED36D4">
      <w:pPr>
        <w:pStyle w:val="SingleTxtG"/>
        <w:tabs>
          <w:tab w:val="left" w:pos="1701"/>
        </w:tabs>
        <w:suppressAutoHyphens/>
        <w:kinsoku w:val="0"/>
        <w:overflowPunct w:val="0"/>
        <w:autoSpaceDE w:val="0"/>
        <w:autoSpaceDN w:val="0"/>
        <w:adjustRightInd w:val="0"/>
        <w:snapToGrid w:val="0"/>
        <w:rPr>
          <w:b/>
        </w:rPr>
      </w:pPr>
      <w:r>
        <w:tab/>
      </w:r>
      <w:r w:rsidR="00BC38E4" w:rsidRPr="00ED36D4">
        <w:t>(d)</w:t>
      </w:r>
      <w:r w:rsidR="00BC38E4" w:rsidRPr="00ED36D4">
        <w:tab/>
      </w:r>
      <w:r w:rsidR="00BC38E4" w:rsidRPr="00ED36D4">
        <w:rPr>
          <w:b/>
        </w:rPr>
        <w:t xml:space="preserve">Immediately end all practices </w:t>
      </w:r>
      <w:r w:rsidR="0071142F">
        <w:rPr>
          <w:b/>
        </w:rPr>
        <w:t xml:space="preserve">of </w:t>
      </w:r>
      <w:r w:rsidR="00BC38E4" w:rsidRPr="00ED36D4">
        <w:rPr>
          <w:b/>
        </w:rPr>
        <w:t>collective punishment; in particular, immediately lift the blockade</w:t>
      </w:r>
      <w:r w:rsidR="00126F62" w:rsidRPr="00ED36D4">
        <w:rPr>
          <w:b/>
        </w:rPr>
        <w:t xml:space="preserve"> and </w:t>
      </w:r>
      <w:r w:rsidR="0019770C" w:rsidRPr="00ED36D4">
        <w:rPr>
          <w:b/>
        </w:rPr>
        <w:t xml:space="preserve">punitive </w:t>
      </w:r>
      <w:r w:rsidR="00126F62" w:rsidRPr="00ED36D4">
        <w:rPr>
          <w:b/>
        </w:rPr>
        <w:t>closures imposed on</w:t>
      </w:r>
      <w:r w:rsidR="00BF17C8" w:rsidRPr="00ED36D4">
        <w:rPr>
          <w:b/>
        </w:rPr>
        <w:t xml:space="preserve"> </w:t>
      </w:r>
      <w:r w:rsidR="00BC38E4" w:rsidRPr="00ED36D4">
        <w:rPr>
          <w:b/>
        </w:rPr>
        <w:t>Gaza</w:t>
      </w:r>
      <w:r w:rsidR="00BF17C8" w:rsidRPr="00ED36D4">
        <w:rPr>
          <w:b/>
        </w:rPr>
        <w:t>,</w:t>
      </w:r>
      <w:r w:rsidR="00BC38E4" w:rsidRPr="00ED36D4">
        <w:rPr>
          <w:b/>
        </w:rPr>
        <w:t xml:space="preserve"> </w:t>
      </w:r>
      <w:r w:rsidR="0071142F">
        <w:rPr>
          <w:b/>
        </w:rPr>
        <w:t>allow free</w:t>
      </w:r>
      <w:r w:rsidR="00BC38E4" w:rsidRPr="00ED36D4">
        <w:rPr>
          <w:b/>
        </w:rPr>
        <w:t xml:space="preserve"> movement of Palestinians across the </w:t>
      </w:r>
      <w:r w:rsidR="00A223C8">
        <w:rPr>
          <w:b/>
        </w:rPr>
        <w:t>Occupied Palestinian T</w:t>
      </w:r>
      <w:r w:rsidR="00CD5950">
        <w:rPr>
          <w:b/>
        </w:rPr>
        <w:t>erritory</w:t>
      </w:r>
      <w:r w:rsidR="00BF17C8" w:rsidRPr="00ED36D4">
        <w:rPr>
          <w:b/>
        </w:rPr>
        <w:t>,</w:t>
      </w:r>
      <w:r w:rsidR="00BC38E4" w:rsidRPr="00ED36D4">
        <w:rPr>
          <w:b/>
        </w:rPr>
        <w:t xml:space="preserve"> </w:t>
      </w:r>
      <w:r w:rsidR="00BF17C8" w:rsidRPr="00ED36D4">
        <w:rPr>
          <w:b/>
        </w:rPr>
        <w:t xml:space="preserve">and </w:t>
      </w:r>
      <w:r w:rsidR="00BC38E4" w:rsidRPr="00ED36D4">
        <w:rPr>
          <w:b/>
        </w:rPr>
        <w:t>end punitive demolitions and the policy of withholding bodies of Palestinians;</w:t>
      </w:r>
    </w:p>
    <w:p w14:paraId="228E6AFC" w14:textId="49C268D8" w:rsidR="00BC38E4"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D669CE">
        <w:t>(e)</w:t>
      </w:r>
      <w:r w:rsidR="00BC38E4" w:rsidRPr="00ED36D4">
        <w:tab/>
      </w:r>
      <w:r w:rsidR="00BC38E4" w:rsidRPr="00ED36D4">
        <w:rPr>
          <w:b/>
        </w:rPr>
        <w:t>End practices</w:t>
      </w:r>
      <w:r w:rsidR="008C0E15">
        <w:rPr>
          <w:b/>
        </w:rPr>
        <w:t xml:space="preserve"> of administrative detention, and any form of arbitrary detention</w:t>
      </w:r>
      <w:r w:rsidR="00E44D6F">
        <w:rPr>
          <w:b/>
        </w:rPr>
        <w:t>;</w:t>
      </w:r>
      <w:r w:rsidR="008C0E15">
        <w:rPr>
          <w:b/>
        </w:rPr>
        <w:t xml:space="preserve"> </w:t>
      </w:r>
      <w:r w:rsidR="0071142F">
        <w:rPr>
          <w:b/>
        </w:rPr>
        <w:t xml:space="preserve">ensure </w:t>
      </w:r>
      <w:r w:rsidR="00BC38E4" w:rsidRPr="00ED36D4">
        <w:rPr>
          <w:b/>
        </w:rPr>
        <w:t>that all detainees are promptly ch</w:t>
      </w:r>
      <w:r w:rsidR="0002417D" w:rsidRPr="00ED36D4">
        <w:rPr>
          <w:b/>
        </w:rPr>
        <w:t>arged or released</w:t>
      </w:r>
      <w:r w:rsidR="00CD5950">
        <w:rPr>
          <w:b/>
        </w:rPr>
        <w:t>;</w:t>
      </w:r>
      <w:r w:rsidR="00BC38E4" w:rsidRPr="00ED36D4">
        <w:rPr>
          <w:b/>
        </w:rPr>
        <w:t xml:space="preserve"> and</w:t>
      </w:r>
      <w:r w:rsidR="00E44D6F">
        <w:rPr>
          <w:b/>
        </w:rPr>
        <w:t xml:space="preserve"> fully</w:t>
      </w:r>
      <w:r w:rsidR="00BC38E4" w:rsidRPr="00ED36D4">
        <w:rPr>
          <w:b/>
        </w:rPr>
        <w:t xml:space="preserve"> guarantee the right to a fair trial;</w:t>
      </w:r>
      <w:r w:rsidR="00BC38E4" w:rsidRPr="00ED36D4">
        <w:t xml:space="preserve"> </w:t>
      </w:r>
    </w:p>
    <w:p w14:paraId="710F831B" w14:textId="23D4799C" w:rsidR="001A138C"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BC38E4" w:rsidRPr="00ED36D4">
        <w:t>(f)</w:t>
      </w:r>
      <w:r w:rsidR="00BC38E4" w:rsidRPr="00ED36D4">
        <w:tab/>
      </w:r>
      <w:r w:rsidR="00BC38E4" w:rsidRPr="00ED36D4">
        <w:rPr>
          <w:b/>
        </w:rPr>
        <w:t xml:space="preserve">Ensure that conditions of detention are </w:t>
      </w:r>
      <w:r w:rsidR="0071142F">
        <w:rPr>
          <w:b/>
        </w:rPr>
        <w:t xml:space="preserve">fully </w:t>
      </w:r>
      <w:r w:rsidR="00BC38E4" w:rsidRPr="00ED36D4">
        <w:rPr>
          <w:b/>
        </w:rPr>
        <w:t>in accordance with international human rights law</w:t>
      </w:r>
      <w:r w:rsidR="00CD5950">
        <w:rPr>
          <w:b/>
        </w:rPr>
        <w:t>,</w:t>
      </w:r>
      <w:r w:rsidR="00BF17C8" w:rsidRPr="00ED36D4">
        <w:rPr>
          <w:b/>
        </w:rPr>
        <w:t xml:space="preserve"> and</w:t>
      </w:r>
      <w:r w:rsidR="00BC38E4" w:rsidRPr="00ED36D4">
        <w:rPr>
          <w:b/>
        </w:rPr>
        <w:t xml:space="preserve"> that detainees are not subjec</w:t>
      </w:r>
      <w:r w:rsidR="0092513F" w:rsidRPr="00ED36D4">
        <w:rPr>
          <w:b/>
        </w:rPr>
        <w:t xml:space="preserve">t to torture or ill-treatment; </w:t>
      </w:r>
      <w:r w:rsidR="00BC38E4" w:rsidRPr="00ED36D4">
        <w:rPr>
          <w:b/>
        </w:rPr>
        <w:t>ensure that all allegations of ill-treatment are promptly, thoroughly and effectively investigated by an independent and impartial body</w:t>
      </w:r>
      <w:r w:rsidR="00CE1F07" w:rsidRPr="00ED36D4">
        <w:rPr>
          <w:b/>
        </w:rPr>
        <w:t>;</w:t>
      </w:r>
    </w:p>
    <w:p w14:paraId="51EEA2DE" w14:textId="4FDF4BCF" w:rsidR="001A138C"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D669CE">
        <w:t>(g)</w:t>
      </w:r>
      <w:r w:rsidR="00BC38E4" w:rsidRPr="00ED36D4">
        <w:tab/>
      </w:r>
      <w:r>
        <w:rPr>
          <w:b/>
        </w:rPr>
        <w:t>E</w:t>
      </w:r>
      <w:r w:rsidR="005224D2" w:rsidRPr="00ED36D4">
        <w:rPr>
          <w:b/>
        </w:rPr>
        <w:t>nsure that the rights to freedoms of expression, association and peaceful assembly are respected and protected, and that civil society actors and journalists are allowed to conduct their</w:t>
      </w:r>
      <w:r w:rsidR="008C0E15">
        <w:rPr>
          <w:b/>
        </w:rPr>
        <w:t xml:space="preserve"> professional a</w:t>
      </w:r>
      <w:r w:rsidR="005224D2" w:rsidRPr="00ED36D4">
        <w:rPr>
          <w:b/>
        </w:rPr>
        <w:t>ctivities safely</w:t>
      </w:r>
      <w:r w:rsidR="00D669CE">
        <w:rPr>
          <w:b/>
        </w:rPr>
        <w:t>, freely and without harassment.</w:t>
      </w:r>
    </w:p>
    <w:p w14:paraId="20D72468" w14:textId="10EA5527" w:rsidR="009418E7" w:rsidRPr="00ED36D4" w:rsidRDefault="00BC38E4"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 xml:space="preserve">To the Government of the State of Palestine: </w:t>
      </w:r>
    </w:p>
    <w:p w14:paraId="4E2D190B" w14:textId="5460B16A" w:rsidR="009418E7"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D669CE">
        <w:t>(a)</w:t>
      </w:r>
      <w:r w:rsidR="009418E7" w:rsidRPr="00ED36D4">
        <w:tab/>
      </w:r>
      <w:r w:rsidR="009418E7" w:rsidRPr="00ED36D4">
        <w:rPr>
          <w:b/>
        </w:rPr>
        <w:t xml:space="preserve">Ensure compliance with </w:t>
      </w:r>
      <w:r w:rsidR="0071142F">
        <w:rPr>
          <w:b/>
        </w:rPr>
        <w:t xml:space="preserve">its </w:t>
      </w:r>
      <w:r w:rsidR="009418E7" w:rsidRPr="00ED36D4">
        <w:rPr>
          <w:b/>
        </w:rPr>
        <w:t>hum</w:t>
      </w:r>
      <w:r w:rsidR="00F8763D" w:rsidRPr="00ED36D4">
        <w:rPr>
          <w:b/>
        </w:rPr>
        <w:t xml:space="preserve">an rights obligations towards </w:t>
      </w:r>
      <w:r w:rsidR="009418E7" w:rsidRPr="00ED36D4">
        <w:rPr>
          <w:b/>
        </w:rPr>
        <w:t xml:space="preserve">all </w:t>
      </w:r>
      <w:r w:rsidR="001E4A4C" w:rsidRPr="00ED36D4">
        <w:rPr>
          <w:b/>
        </w:rPr>
        <w:t>Palestinians; immediately</w:t>
      </w:r>
      <w:r w:rsidR="009418E7" w:rsidRPr="00ED36D4">
        <w:rPr>
          <w:b/>
        </w:rPr>
        <w:t xml:space="preserve"> </w:t>
      </w:r>
      <w:r w:rsidR="0071142F">
        <w:rPr>
          <w:b/>
        </w:rPr>
        <w:t>cease</w:t>
      </w:r>
      <w:r w:rsidR="0071142F" w:rsidRPr="00ED36D4">
        <w:rPr>
          <w:b/>
        </w:rPr>
        <w:t xml:space="preserve"> </w:t>
      </w:r>
      <w:r w:rsidR="009418E7" w:rsidRPr="00ED36D4">
        <w:rPr>
          <w:b/>
        </w:rPr>
        <w:t xml:space="preserve">any measures that violate these obligations </w:t>
      </w:r>
      <w:r w:rsidR="0071142F">
        <w:rPr>
          <w:b/>
        </w:rPr>
        <w:t xml:space="preserve">or which </w:t>
      </w:r>
      <w:r w:rsidR="00BF17C8" w:rsidRPr="00ED36D4">
        <w:rPr>
          <w:b/>
        </w:rPr>
        <w:t xml:space="preserve">worsen </w:t>
      </w:r>
      <w:r w:rsidR="009418E7" w:rsidRPr="00ED36D4">
        <w:rPr>
          <w:b/>
        </w:rPr>
        <w:t>the humanitarian situation in Gaza;</w:t>
      </w:r>
    </w:p>
    <w:p w14:paraId="3326A40C" w14:textId="438AF3BF" w:rsidR="009418E7"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6722E5" w:rsidRPr="00ED36D4">
        <w:t>(b)</w:t>
      </w:r>
      <w:r w:rsidR="006722E5" w:rsidRPr="00ED36D4">
        <w:tab/>
      </w:r>
      <w:r w:rsidR="009418E7" w:rsidRPr="00ED36D4">
        <w:rPr>
          <w:b/>
        </w:rPr>
        <w:t>Ensure that the use of force in the context of law enforcement operations is consistent with international human rights standards;</w:t>
      </w:r>
    </w:p>
    <w:p w14:paraId="6C702D29" w14:textId="307C0AC0" w:rsidR="009418E7"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9418E7" w:rsidRPr="00ED36D4">
        <w:t>(</w:t>
      </w:r>
      <w:r w:rsidR="006722E5" w:rsidRPr="00ED36D4">
        <w:t>c</w:t>
      </w:r>
      <w:r w:rsidR="00D669CE">
        <w:t>)</w:t>
      </w:r>
      <w:r w:rsidR="009418E7" w:rsidRPr="00ED36D4">
        <w:tab/>
      </w:r>
      <w:r w:rsidR="0071142F">
        <w:t>A</w:t>
      </w:r>
      <w:r w:rsidR="009418E7" w:rsidRPr="00ED36D4">
        <w:rPr>
          <w:b/>
        </w:rPr>
        <w:t xml:space="preserve">nnounce </w:t>
      </w:r>
      <w:r w:rsidR="0071142F">
        <w:rPr>
          <w:b/>
        </w:rPr>
        <w:t xml:space="preserve">immediately </w:t>
      </w:r>
      <w:r w:rsidR="009418E7" w:rsidRPr="00ED36D4">
        <w:rPr>
          <w:b/>
        </w:rPr>
        <w:t xml:space="preserve">a formal moratorium on executions while </w:t>
      </w:r>
      <w:r w:rsidR="0071142F">
        <w:rPr>
          <w:b/>
        </w:rPr>
        <w:t xml:space="preserve">taking all necessary steps to give full effect to </w:t>
      </w:r>
      <w:r w:rsidR="009418E7" w:rsidRPr="00ED36D4">
        <w:rPr>
          <w:b/>
        </w:rPr>
        <w:t>the Second Optional Protocol to the International Covenant on Civil and Political Rights;</w:t>
      </w:r>
    </w:p>
    <w:p w14:paraId="26815EB4" w14:textId="193CAD44" w:rsidR="009418E7"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9418E7" w:rsidRPr="00ED36D4">
        <w:t>(</w:t>
      </w:r>
      <w:r w:rsidR="006722E5" w:rsidRPr="00ED36D4">
        <w:t>d)</w:t>
      </w:r>
      <w:r w:rsidR="009418E7" w:rsidRPr="00ED36D4">
        <w:tab/>
      </w:r>
      <w:r w:rsidR="009418E7" w:rsidRPr="00ED36D4">
        <w:rPr>
          <w:b/>
        </w:rPr>
        <w:t>End all practices that amount to arbitrary detention</w:t>
      </w:r>
      <w:r w:rsidR="00CD5950">
        <w:rPr>
          <w:b/>
        </w:rPr>
        <w:t>,</w:t>
      </w:r>
      <w:r w:rsidR="009418E7" w:rsidRPr="00ED36D4">
        <w:rPr>
          <w:b/>
        </w:rPr>
        <w:t xml:space="preserve"> and </w:t>
      </w:r>
      <w:r w:rsidR="0071142F">
        <w:rPr>
          <w:b/>
        </w:rPr>
        <w:t xml:space="preserve">fully </w:t>
      </w:r>
      <w:r w:rsidR="009418E7" w:rsidRPr="00ED36D4">
        <w:rPr>
          <w:b/>
        </w:rPr>
        <w:t>guarantee the right</w:t>
      </w:r>
      <w:r w:rsidR="0071142F">
        <w:rPr>
          <w:b/>
        </w:rPr>
        <w:t>s</w:t>
      </w:r>
      <w:r w:rsidR="009418E7" w:rsidRPr="00ED36D4">
        <w:rPr>
          <w:b/>
        </w:rPr>
        <w:t xml:space="preserve"> to</w:t>
      </w:r>
      <w:r w:rsidR="0071142F">
        <w:rPr>
          <w:b/>
        </w:rPr>
        <w:t xml:space="preserve"> due process and</w:t>
      </w:r>
      <w:r w:rsidR="009418E7" w:rsidRPr="00ED36D4">
        <w:rPr>
          <w:b/>
        </w:rPr>
        <w:t xml:space="preserve"> fair trial;</w:t>
      </w:r>
    </w:p>
    <w:p w14:paraId="78F2701F" w14:textId="483E80D4" w:rsidR="009418E7"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6722E5" w:rsidRPr="00ED36D4">
        <w:t>(e</w:t>
      </w:r>
      <w:r w:rsidR="009418E7" w:rsidRPr="00ED36D4">
        <w:t>)</w:t>
      </w:r>
      <w:r w:rsidR="009418E7" w:rsidRPr="00ED36D4">
        <w:tab/>
      </w:r>
      <w:r w:rsidR="009418E7" w:rsidRPr="00ED36D4">
        <w:rPr>
          <w:b/>
        </w:rPr>
        <w:t xml:space="preserve">Immediately end all practices that amount to torture or other cruel, inhumane and degrading treatment or punishment; ensure that allegations of </w:t>
      </w:r>
      <w:r w:rsidR="0071142F">
        <w:rPr>
          <w:b/>
        </w:rPr>
        <w:t xml:space="preserve">such </w:t>
      </w:r>
      <w:r w:rsidR="009418E7" w:rsidRPr="00ED36D4">
        <w:rPr>
          <w:b/>
        </w:rPr>
        <w:t xml:space="preserve">violations are promptly, impartially and independently investigated; hold perpetrators </w:t>
      </w:r>
      <w:r w:rsidR="006722E5" w:rsidRPr="00ED36D4">
        <w:rPr>
          <w:b/>
        </w:rPr>
        <w:t>accountable and</w:t>
      </w:r>
      <w:r w:rsidR="009418E7" w:rsidRPr="00ED36D4">
        <w:rPr>
          <w:b/>
        </w:rPr>
        <w:t xml:space="preserve"> guarantee non-repetition of such practices;</w:t>
      </w:r>
    </w:p>
    <w:p w14:paraId="576596DD" w14:textId="7320A8E1" w:rsidR="003F0F6A"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D669CE">
        <w:t>(f)</w:t>
      </w:r>
      <w:r>
        <w:tab/>
      </w:r>
      <w:r>
        <w:rPr>
          <w:b/>
        </w:rPr>
        <w:t>P</w:t>
      </w:r>
      <w:r w:rsidR="003F0F6A" w:rsidRPr="00ED36D4">
        <w:rPr>
          <w:b/>
        </w:rPr>
        <w:t>ublish, without delay, the human rights treaties acceded to by Palestine in the official government gazette</w:t>
      </w:r>
      <w:r w:rsidR="00982190">
        <w:rPr>
          <w:b/>
        </w:rPr>
        <w:t xml:space="preserve"> and take steps to make their provisions known to all Palestinians</w:t>
      </w:r>
      <w:r w:rsidR="003F0F6A" w:rsidRPr="00ED36D4">
        <w:rPr>
          <w:b/>
        </w:rPr>
        <w:t>.</w:t>
      </w:r>
    </w:p>
    <w:p w14:paraId="7ED585BD" w14:textId="08A40C3A" w:rsidR="005224D2"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D669CE">
        <w:t>(g)</w:t>
      </w:r>
      <w:r w:rsidR="005224D2" w:rsidRPr="00ED36D4">
        <w:tab/>
      </w:r>
      <w:r>
        <w:t>E</w:t>
      </w:r>
      <w:r w:rsidR="005224D2" w:rsidRPr="00ED36D4">
        <w:rPr>
          <w:b/>
        </w:rPr>
        <w:t>nsure that the rights to freedoms of expression, association and peaceful assembly are respected and protected, and that civil society actors and journalists are allowed to conduct</w:t>
      </w:r>
      <w:r w:rsidR="008C0E15">
        <w:rPr>
          <w:b/>
        </w:rPr>
        <w:t xml:space="preserve"> their professional </w:t>
      </w:r>
      <w:r w:rsidR="005224D2" w:rsidRPr="00ED36D4">
        <w:rPr>
          <w:b/>
        </w:rPr>
        <w:t>activities safely</w:t>
      </w:r>
      <w:r w:rsidR="00D669CE">
        <w:rPr>
          <w:b/>
        </w:rPr>
        <w:t>, freely and without harassment.</w:t>
      </w:r>
    </w:p>
    <w:p w14:paraId="27E0C359" w14:textId="7373BEDF" w:rsidR="002D5BF6" w:rsidRPr="00ED36D4" w:rsidRDefault="009418E7" w:rsidP="00327B36">
      <w:pPr>
        <w:pStyle w:val="SingleTxtG"/>
        <w:numPr>
          <w:ilvl w:val="0"/>
          <w:numId w:val="33"/>
        </w:numPr>
        <w:tabs>
          <w:tab w:val="left" w:pos="1701"/>
        </w:tabs>
        <w:suppressAutoHyphens/>
        <w:kinsoku w:val="0"/>
        <w:overflowPunct w:val="0"/>
        <w:autoSpaceDE w:val="0"/>
        <w:autoSpaceDN w:val="0"/>
        <w:adjustRightInd w:val="0"/>
        <w:snapToGrid w:val="0"/>
        <w:ind w:left="1134" w:firstLine="0"/>
      </w:pPr>
      <w:r w:rsidRPr="00ED36D4">
        <w:t>T</w:t>
      </w:r>
      <w:r w:rsidR="00BC38E4" w:rsidRPr="00ED36D4">
        <w:t xml:space="preserve">o </w:t>
      </w:r>
      <w:r w:rsidR="00BF17C8" w:rsidRPr="00ED36D4">
        <w:t xml:space="preserve">the </w:t>
      </w:r>
      <w:r w:rsidR="00BC38E4" w:rsidRPr="00ED36D4">
        <w:t>authorities</w:t>
      </w:r>
      <w:r w:rsidR="007D1BF8" w:rsidRPr="00ED36D4">
        <w:t xml:space="preserve"> </w:t>
      </w:r>
      <w:r w:rsidR="00BC38E4" w:rsidRPr="00ED36D4">
        <w:t xml:space="preserve">in Gaza: </w:t>
      </w:r>
    </w:p>
    <w:p w14:paraId="1388C878" w14:textId="066A099E" w:rsidR="009418E7"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D669CE">
        <w:t>(a)</w:t>
      </w:r>
      <w:r w:rsidR="009418E7" w:rsidRPr="00ED36D4">
        <w:tab/>
      </w:r>
      <w:r w:rsidR="009418E7" w:rsidRPr="00ED36D4">
        <w:rPr>
          <w:b/>
        </w:rPr>
        <w:t xml:space="preserve">Ensure, </w:t>
      </w:r>
      <w:r w:rsidR="00A21560" w:rsidRPr="00ED36D4">
        <w:rPr>
          <w:b/>
        </w:rPr>
        <w:t xml:space="preserve">along with armed groups in Gaza, </w:t>
      </w:r>
      <w:r w:rsidR="00982190">
        <w:rPr>
          <w:b/>
        </w:rPr>
        <w:t xml:space="preserve">full </w:t>
      </w:r>
      <w:r w:rsidR="009418E7" w:rsidRPr="00ED36D4">
        <w:rPr>
          <w:b/>
        </w:rPr>
        <w:t xml:space="preserve">respect </w:t>
      </w:r>
      <w:r w:rsidR="006722E5" w:rsidRPr="00ED36D4">
        <w:rPr>
          <w:b/>
        </w:rPr>
        <w:t xml:space="preserve">for </w:t>
      </w:r>
      <w:r w:rsidR="00CD5950">
        <w:rPr>
          <w:b/>
        </w:rPr>
        <w:t>i</w:t>
      </w:r>
      <w:r w:rsidR="006722E5" w:rsidRPr="00ED36D4">
        <w:rPr>
          <w:b/>
        </w:rPr>
        <w:t>nternational</w:t>
      </w:r>
      <w:r w:rsidR="009418E7" w:rsidRPr="00ED36D4">
        <w:rPr>
          <w:b/>
        </w:rPr>
        <w:t xml:space="preserve"> </w:t>
      </w:r>
      <w:r w:rsidR="00CD5950">
        <w:rPr>
          <w:b/>
        </w:rPr>
        <w:t>h</w:t>
      </w:r>
      <w:r w:rsidR="009418E7" w:rsidRPr="00ED36D4">
        <w:rPr>
          <w:b/>
        </w:rPr>
        <w:t xml:space="preserve">umanitarian </w:t>
      </w:r>
      <w:r w:rsidR="00CD5950">
        <w:rPr>
          <w:b/>
        </w:rPr>
        <w:t>l</w:t>
      </w:r>
      <w:r w:rsidR="009418E7" w:rsidRPr="00ED36D4">
        <w:rPr>
          <w:b/>
        </w:rPr>
        <w:t>aw, particularly as it pertains to the principles of distinction, proportionality and precaution, and ensure accountability</w:t>
      </w:r>
      <w:r w:rsidR="00982190">
        <w:rPr>
          <w:b/>
        </w:rPr>
        <w:t>, consistent with international standards,</w:t>
      </w:r>
      <w:r w:rsidR="009418E7" w:rsidRPr="00ED36D4">
        <w:rPr>
          <w:b/>
        </w:rPr>
        <w:t xml:space="preserve"> for grave violations;</w:t>
      </w:r>
    </w:p>
    <w:p w14:paraId="017F4D68" w14:textId="515E1D8D" w:rsidR="009418E7" w:rsidRPr="00ED36D4" w:rsidRDefault="00ED36D4" w:rsidP="00ED36D4">
      <w:pPr>
        <w:pStyle w:val="SingleTxtG"/>
        <w:tabs>
          <w:tab w:val="left" w:pos="1701"/>
        </w:tabs>
        <w:suppressAutoHyphens/>
        <w:kinsoku w:val="0"/>
        <w:overflowPunct w:val="0"/>
        <w:autoSpaceDE w:val="0"/>
        <w:autoSpaceDN w:val="0"/>
        <w:adjustRightInd w:val="0"/>
        <w:snapToGrid w:val="0"/>
        <w:rPr>
          <w:b/>
        </w:rPr>
      </w:pPr>
      <w:r>
        <w:tab/>
      </w:r>
      <w:r w:rsidR="00D669CE">
        <w:t>(b)</w:t>
      </w:r>
      <w:r w:rsidR="00D669CE">
        <w:tab/>
      </w:r>
      <w:r w:rsidR="009418E7" w:rsidRPr="00ED36D4">
        <w:rPr>
          <w:b/>
        </w:rPr>
        <w:t xml:space="preserve">Implement an immediate moratorium on the use of death penalty and cease the practice of trying civilians before military courts; </w:t>
      </w:r>
    </w:p>
    <w:p w14:paraId="0BC94FE6" w14:textId="2A99111A" w:rsidR="009418E7" w:rsidRPr="00ED36D4" w:rsidRDefault="00ED36D4" w:rsidP="00ED36D4">
      <w:pPr>
        <w:pStyle w:val="SingleTxtG"/>
        <w:tabs>
          <w:tab w:val="left" w:pos="1701"/>
        </w:tabs>
        <w:suppressAutoHyphens/>
        <w:kinsoku w:val="0"/>
        <w:overflowPunct w:val="0"/>
        <w:autoSpaceDE w:val="0"/>
        <w:autoSpaceDN w:val="0"/>
        <w:adjustRightInd w:val="0"/>
        <w:snapToGrid w:val="0"/>
      </w:pPr>
      <w:r>
        <w:tab/>
      </w:r>
      <w:r w:rsidR="00D669CE">
        <w:t>(c)</w:t>
      </w:r>
      <w:r w:rsidR="00D669CE">
        <w:tab/>
      </w:r>
      <w:r w:rsidR="009418E7" w:rsidRPr="00ED36D4">
        <w:rPr>
          <w:b/>
        </w:rPr>
        <w:t xml:space="preserve">Refrain from practices that amount to arbitrary arrest or </w:t>
      </w:r>
      <w:r w:rsidR="006722E5" w:rsidRPr="00ED36D4">
        <w:rPr>
          <w:b/>
        </w:rPr>
        <w:t>detention; immediately end</w:t>
      </w:r>
      <w:r w:rsidR="009418E7" w:rsidRPr="00ED36D4">
        <w:rPr>
          <w:b/>
        </w:rPr>
        <w:t xml:space="preserve"> all practices that may amount to torture or other cruel, inhumane and degrading treatment or punishment</w:t>
      </w:r>
      <w:r w:rsidR="00676B39">
        <w:rPr>
          <w:b/>
        </w:rPr>
        <w:t>;</w:t>
      </w:r>
      <w:r w:rsidR="009418E7" w:rsidRPr="00ED36D4">
        <w:rPr>
          <w:b/>
        </w:rPr>
        <w:t xml:space="preserve"> </w:t>
      </w:r>
      <w:r w:rsidR="006722E5" w:rsidRPr="00ED36D4">
        <w:rPr>
          <w:b/>
        </w:rPr>
        <w:t>and ensure</w:t>
      </w:r>
      <w:r w:rsidR="009418E7" w:rsidRPr="00ED36D4">
        <w:rPr>
          <w:b/>
        </w:rPr>
        <w:t xml:space="preserve"> that all allegations of violations are promptly, impartially and independently investigated, and that those found responsible are brought to justice</w:t>
      </w:r>
      <w:r w:rsidR="005224D2" w:rsidRPr="00ED36D4">
        <w:rPr>
          <w:b/>
        </w:rPr>
        <w:t>;</w:t>
      </w:r>
    </w:p>
    <w:p w14:paraId="2C52C68E" w14:textId="55555330" w:rsidR="009418E7" w:rsidRDefault="00ED36D4" w:rsidP="00ED36D4">
      <w:pPr>
        <w:pStyle w:val="SingleTxtG"/>
        <w:tabs>
          <w:tab w:val="left" w:pos="1701"/>
        </w:tabs>
        <w:suppressAutoHyphens/>
        <w:kinsoku w:val="0"/>
        <w:overflowPunct w:val="0"/>
        <w:autoSpaceDE w:val="0"/>
        <w:autoSpaceDN w:val="0"/>
        <w:adjustRightInd w:val="0"/>
        <w:snapToGrid w:val="0"/>
        <w:rPr>
          <w:b/>
        </w:rPr>
      </w:pPr>
      <w:r>
        <w:tab/>
      </w:r>
      <w:r w:rsidR="005224D2" w:rsidRPr="00ED36D4">
        <w:t>(</w:t>
      </w:r>
      <w:r w:rsidR="00BF17C8" w:rsidRPr="00ED36D4">
        <w:t>d</w:t>
      </w:r>
      <w:r w:rsidR="00D669CE">
        <w:t>)</w:t>
      </w:r>
      <w:r w:rsidR="005224D2" w:rsidRPr="00ED36D4">
        <w:tab/>
      </w:r>
      <w:r w:rsidR="00676B39">
        <w:rPr>
          <w:b/>
        </w:rPr>
        <w:t>E</w:t>
      </w:r>
      <w:r w:rsidR="005224D2" w:rsidRPr="00ED36D4">
        <w:rPr>
          <w:b/>
        </w:rPr>
        <w:t>nsure that the rights to freedoms of expression, association and peaceful assembly are respected and protected, and that civil society actors and journalists are allowed to conduct their activities safely, freely and without harassment.</w:t>
      </w:r>
    </w:p>
    <w:p w14:paraId="45652C82" w14:textId="2595223B" w:rsidR="00D669CE" w:rsidRPr="00D669CE" w:rsidRDefault="00D669CE" w:rsidP="00D669CE">
      <w:pPr>
        <w:pStyle w:val="SingleTxtG"/>
        <w:tabs>
          <w:tab w:val="left" w:pos="1701"/>
        </w:tabs>
        <w:suppressAutoHyphens/>
        <w:kinsoku w:val="0"/>
        <w:overflowPunct w:val="0"/>
        <w:autoSpaceDE w:val="0"/>
        <w:autoSpaceDN w:val="0"/>
        <w:adjustRightInd w:val="0"/>
        <w:snapToGrid w:val="0"/>
        <w:spacing w:before="240" w:after="0"/>
        <w:jc w:val="center"/>
        <w:rPr>
          <w:u w:val="single"/>
        </w:rPr>
      </w:pPr>
      <w:r>
        <w:rPr>
          <w:u w:val="single"/>
        </w:rPr>
        <w:tab/>
      </w:r>
      <w:r>
        <w:rPr>
          <w:u w:val="single"/>
        </w:rPr>
        <w:tab/>
      </w:r>
      <w:r>
        <w:rPr>
          <w:u w:val="single"/>
        </w:rPr>
        <w:tab/>
      </w:r>
    </w:p>
    <w:sectPr w:rsidR="00D669CE" w:rsidRPr="00D669CE" w:rsidSect="00442615">
      <w:headerReference w:type="even" r:id="rId9"/>
      <w:headerReference w:type="default" r:id="rId10"/>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E2CD45" w14:textId="77777777" w:rsidR="006874EC" w:rsidRDefault="006874EC" w:rsidP="00DF6E78">
      <w:pPr>
        <w:spacing w:after="0" w:line="240" w:lineRule="auto"/>
      </w:pPr>
      <w:r>
        <w:separator/>
      </w:r>
    </w:p>
  </w:endnote>
  <w:endnote w:type="continuationSeparator" w:id="0">
    <w:p w14:paraId="3664583D" w14:textId="77777777" w:rsidR="006874EC" w:rsidRDefault="006874EC" w:rsidP="00DF6E78">
      <w:pPr>
        <w:spacing w:after="0" w:line="240" w:lineRule="auto"/>
      </w:pPr>
      <w:r>
        <w:continuationSeparator/>
      </w:r>
    </w:p>
  </w:endnote>
  <w:endnote w:type="continuationNotice" w:id="1">
    <w:p w14:paraId="25F56164" w14:textId="77777777" w:rsidR="006874EC" w:rsidRDefault="00687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Gothic UI"/>
    <w:panose1 w:val="00000000000000000000"/>
    <w:charset w:val="80"/>
    <w:family w:val="roman"/>
    <w:notTrueType/>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152709"/>
      <w:docPartObj>
        <w:docPartGallery w:val="Page Numbers (Bottom of Page)"/>
        <w:docPartUnique/>
      </w:docPartObj>
    </w:sdtPr>
    <w:sdtEndPr>
      <w:rPr>
        <w:rFonts w:ascii="Times New Roman" w:hAnsi="Times New Roman" w:cs="Times New Roman"/>
        <w:noProof/>
        <w:sz w:val="18"/>
        <w:szCs w:val="18"/>
      </w:rPr>
    </w:sdtEndPr>
    <w:sdtContent>
      <w:p w14:paraId="401A9D6A" w14:textId="6703D256" w:rsidR="006874EC" w:rsidRPr="002E47BC" w:rsidRDefault="006874EC">
        <w:pPr>
          <w:pStyle w:val="Footer"/>
          <w:rPr>
            <w:rFonts w:ascii="Times New Roman" w:hAnsi="Times New Roman" w:cs="Times New Roman"/>
            <w:sz w:val="18"/>
            <w:szCs w:val="18"/>
          </w:rPr>
        </w:pPr>
        <w:r w:rsidRPr="002E47BC">
          <w:rPr>
            <w:rFonts w:ascii="Times New Roman" w:hAnsi="Times New Roman" w:cs="Times New Roman"/>
            <w:sz w:val="18"/>
            <w:szCs w:val="18"/>
          </w:rPr>
          <w:fldChar w:fldCharType="begin"/>
        </w:r>
        <w:r w:rsidRPr="002E47BC">
          <w:rPr>
            <w:rFonts w:ascii="Times New Roman" w:hAnsi="Times New Roman" w:cs="Times New Roman"/>
            <w:sz w:val="18"/>
            <w:szCs w:val="18"/>
          </w:rPr>
          <w:instrText xml:space="preserve"> PAGE   \* MERGEFORMAT </w:instrText>
        </w:r>
        <w:r w:rsidRPr="002E47BC">
          <w:rPr>
            <w:rFonts w:ascii="Times New Roman" w:hAnsi="Times New Roman" w:cs="Times New Roman"/>
            <w:sz w:val="18"/>
            <w:szCs w:val="18"/>
          </w:rPr>
          <w:fldChar w:fldCharType="separate"/>
        </w:r>
        <w:r w:rsidR="00037031">
          <w:rPr>
            <w:rFonts w:ascii="Times New Roman" w:hAnsi="Times New Roman" w:cs="Times New Roman"/>
            <w:noProof/>
            <w:sz w:val="18"/>
            <w:szCs w:val="18"/>
          </w:rPr>
          <w:t>2</w:t>
        </w:r>
        <w:r w:rsidRPr="002E47BC">
          <w:rPr>
            <w:rFonts w:ascii="Times New Roman" w:hAnsi="Times New Roman" w:cs="Times New Roman"/>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1442440089"/>
      <w:docPartObj>
        <w:docPartGallery w:val="Page Numbers (Bottom of Page)"/>
        <w:docPartUnique/>
      </w:docPartObj>
    </w:sdtPr>
    <w:sdtEndPr>
      <w:rPr>
        <w:noProof/>
      </w:rPr>
    </w:sdtEndPr>
    <w:sdtContent>
      <w:p w14:paraId="76FFBB00" w14:textId="17144038" w:rsidR="006874EC" w:rsidRPr="002E47BC" w:rsidRDefault="006874EC" w:rsidP="002E47BC">
        <w:pPr>
          <w:pStyle w:val="Footer"/>
          <w:jc w:val="right"/>
          <w:rPr>
            <w:rFonts w:ascii="Times New Roman" w:hAnsi="Times New Roman" w:cs="Times New Roman"/>
            <w:sz w:val="18"/>
            <w:szCs w:val="18"/>
          </w:rPr>
        </w:pPr>
        <w:r w:rsidRPr="002E47BC">
          <w:rPr>
            <w:rFonts w:ascii="Times New Roman" w:hAnsi="Times New Roman" w:cs="Times New Roman"/>
            <w:sz w:val="18"/>
            <w:szCs w:val="18"/>
          </w:rPr>
          <w:fldChar w:fldCharType="begin"/>
        </w:r>
        <w:r w:rsidRPr="002E47BC">
          <w:rPr>
            <w:rFonts w:ascii="Times New Roman" w:hAnsi="Times New Roman" w:cs="Times New Roman"/>
            <w:sz w:val="18"/>
            <w:szCs w:val="18"/>
          </w:rPr>
          <w:instrText xml:space="preserve"> PAGE   \* MERGEFORMAT </w:instrText>
        </w:r>
        <w:r w:rsidRPr="002E47BC">
          <w:rPr>
            <w:rFonts w:ascii="Times New Roman" w:hAnsi="Times New Roman" w:cs="Times New Roman"/>
            <w:sz w:val="18"/>
            <w:szCs w:val="18"/>
          </w:rPr>
          <w:fldChar w:fldCharType="separate"/>
        </w:r>
        <w:r w:rsidR="00037031">
          <w:rPr>
            <w:rFonts w:ascii="Times New Roman" w:hAnsi="Times New Roman" w:cs="Times New Roman"/>
            <w:noProof/>
            <w:sz w:val="18"/>
            <w:szCs w:val="18"/>
          </w:rPr>
          <w:t>17</w:t>
        </w:r>
        <w:r w:rsidRPr="002E47BC">
          <w:rPr>
            <w:rFonts w:ascii="Times New Roman" w:hAnsi="Times New Roman" w:cs="Times New Roman"/>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7F635" w14:textId="77777777" w:rsidR="006874EC" w:rsidRDefault="006874EC" w:rsidP="00DF6E78">
      <w:pPr>
        <w:spacing w:after="0" w:line="240" w:lineRule="auto"/>
      </w:pPr>
      <w:r>
        <w:separator/>
      </w:r>
    </w:p>
  </w:footnote>
  <w:footnote w:type="continuationSeparator" w:id="0">
    <w:p w14:paraId="0A70C19D" w14:textId="77777777" w:rsidR="006874EC" w:rsidRDefault="006874EC" w:rsidP="00DF6E78">
      <w:pPr>
        <w:spacing w:after="0" w:line="240" w:lineRule="auto"/>
      </w:pPr>
      <w:r>
        <w:continuationSeparator/>
      </w:r>
    </w:p>
  </w:footnote>
  <w:footnote w:type="continuationNotice" w:id="1">
    <w:p w14:paraId="4ACCCD06" w14:textId="77777777" w:rsidR="006874EC" w:rsidRDefault="006874EC">
      <w:pPr>
        <w:spacing w:after="0" w:line="240" w:lineRule="auto"/>
      </w:pPr>
    </w:p>
  </w:footnote>
  <w:footnote w:id="2">
    <w:p w14:paraId="2784F8F0" w14:textId="0F634902" w:rsidR="002547C2" w:rsidRPr="002547C2" w:rsidRDefault="002547C2" w:rsidP="002547C2">
      <w:pPr>
        <w:pStyle w:val="FootnoteText"/>
      </w:pPr>
      <w:r w:rsidRPr="002547C2">
        <w:rPr>
          <w:shd w:val="clear" w:color="auto" w:fill="FFFFFF"/>
          <w:lang w:val="en-US"/>
        </w:rPr>
        <w:tab/>
      </w:r>
      <w:r>
        <w:rPr>
          <w:shd w:val="clear" w:color="auto" w:fill="FFFFFF"/>
          <w:lang w:val="en-US"/>
        </w:rPr>
        <w:t>*</w:t>
      </w:r>
      <w:r>
        <w:rPr>
          <w:shd w:val="clear" w:color="auto" w:fill="FFFFFF"/>
          <w:lang w:val="en-US"/>
        </w:rPr>
        <w:tab/>
      </w:r>
      <w:r w:rsidRPr="0077530F">
        <w:rPr>
          <w:rFonts w:ascii="Times New Roman" w:hAnsi="Times New Roman" w:cs="Times New Roman"/>
          <w:shd w:val="clear" w:color="auto" w:fill="FFFFFF"/>
          <w:lang w:val="en-US"/>
        </w:rPr>
        <w:t>The present report was submitted after the deadline in order to reflect recent developments.</w:t>
      </w:r>
    </w:p>
  </w:footnote>
  <w:footnote w:id="3">
    <w:p w14:paraId="7942BCDB" w14:textId="75A92472" w:rsidR="006874EC" w:rsidRPr="00B70F44" w:rsidRDefault="006874EC" w:rsidP="00EA3EB2">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A/7</w:t>
      </w:r>
      <w:r w:rsidR="00F15236">
        <w:rPr>
          <w:rFonts w:asciiTheme="majorBidi" w:eastAsia="Times New Roman" w:hAnsiTheme="majorBidi" w:cstheme="majorBidi"/>
          <w:sz w:val="18"/>
          <w:szCs w:val="18"/>
          <w:shd w:val="clear" w:color="auto" w:fill="FFFFFF"/>
          <w:lang w:val="en-US"/>
        </w:rPr>
        <w:t>3/420, A/73/410, A/HRC/40/42,</w:t>
      </w:r>
      <w:r w:rsidRPr="00B70F44">
        <w:rPr>
          <w:rFonts w:asciiTheme="majorBidi" w:eastAsia="Times New Roman" w:hAnsiTheme="majorBidi" w:cstheme="majorBidi"/>
          <w:sz w:val="18"/>
          <w:szCs w:val="18"/>
          <w:shd w:val="clear" w:color="auto" w:fill="FFFFFF"/>
          <w:lang w:val="en-US"/>
        </w:rPr>
        <w:t xml:space="preserve"> A/HRC/40/43</w:t>
      </w:r>
      <w:r>
        <w:rPr>
          <w:rFonts w:asciiTheme="majorBidi" w:eastAsia="Times New Roman" w:hAnsiTheme="majorBidi" w:cstheme="majorBidi"/>
          <w:sz w:val="18"/>
          <w:szCs w:val="18"/>
          <w:shd w:val="clear" w:color="auto" w:fill="FFFFFF"/>
          <w:lang w:val="en-US"/>
        </w:rPr>
        <w:t>.</w:t>
      </w:r>
    </w:p>
  </w:footnote>
  <w:footnote w:id="4">
    <w:p w14:paraId="1DBA48B7" w14:textId="60F7F459" w:rsidR="006874EC" w:rsidRPr="00B70F44" w:rsidRDefault="006874EC" w:rsidP="00EA3EB2">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hyperlink r:id="rId1" w:history="1">
        <w:r w:rsidRPr="00B70F44">
          <w:rPr>
            <w:rFonts w:asciiTheme="majorBidi" w:eastAsia="Times New Roman" w:hAnsiTheme="majorBidi" w:cstheme="majorBidi"/>
            <w:sz w:val="18"/>
            <w:szCs w:val="18"/>
            <w:shd w:val="clear" w:color="auto" w:fill="FFFFFF"/>
          </w:rPr>
          <w:t>https://www.palestinercs.org/index.php?page=post&amp;pid=24351&amp;catid=4&amp;parentid=11186</w:t>
        </w:r>
      </w:hyperlink>
      <w:r w:rsidRPr="00B70F44">
        <w:rPr>
          <w:rFonts w:asciiTheme="majorBidi" w:eastAsia="Times New Roman" w:hAnsiTheme="majorBidi" w:cstheme="majorBidi"/>
          <w:sz w:val="18"/>
          <w:szCs w:val="18"/>
          <w:shd w:val="clear" w:color="auto" w:fill="FFFFFF"/>
          <w:lang w:val="en-US"/>
        </w:rPr>
        <w:t xml:space="preserve"> </w:t>
      </w:r>
    </w:p>
  </w:footnote>
  <w:footnote w:id="5">
    <w:p w14:paraId="717B5DA7" w14:textId="5755C627" w:rsidR="006874EC" w:rsidRPr="00B70F44" w:rsidRDefault="006874EC" w:rsidP="00EA3EB2">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Palestinian Ministry of Health</w:t>
      </w:r>
      <w:r>
        <w:rPr>
          <w:rFonts w:asciiTheme="majorBidi" w:eastAsia="Times New Roman" w:hAnsiTheme="majorBidi" w:cstheme="majorBidi"/>
          <w:sz w:val="18"/>
          <w:szCs w:val="18"/>
          <w:shd w:val="clear" w:color="auto" w:fill="FFFFFF"/>
          <w:lang w:val="en-US"/>
        </w:rPr>
        <w:t>.</w:t>
      </w:r>
    </w:p>
  </w:footnote>
  <w:footnote w:id="6">
    <w:p w14:paraId="64D87342" w14:textId="7A788998" w:rsidR="006874EC" w:rsidRPr="00B70F44" w:rsidRDefault="006874EC" w:rsidP="00EA3EB2">
      <w:pPr>
        <w:pStyle w:val="FootnoteText"/>
        <w:tabs>
          <w:tab w:val="right" w:pos="1021"/>
        </w:tabs>
        <w:spacing w:line="220" w:lineRule="exact"/>
        <w:ind w:left="1134" w:right="1134" w:hanging="1134"/>
        <w:rPr>
          <w:rFonts w:ascii="Times New Roman" w:hAnsi="Times New Roman" w:cs="Times New Roman"/>
          <w:sz w:val="18"/>
          <w:szCs w:val="18"/>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00F15236">
        <w:rPr>
          <w:rFonts w:asciiTheme="majorBidi" w:eastAsia="Times New Roman" w:hAnsiTheme="majorBidi" w:cstheme="majorBidi"/>
          <w:sz w:val="18"/>
          <w:szCs w:val="18"/>
          <w:shd w:val="clear" w:color="auto" w:fill="FFFFFF"/>
          <w:lang w:val="en-US"/>
        </w:rPr>
        <w:t>OCHA</w:t>
      </w:r>
      <w:r w:rsidRPr="00B70F44">
        <w:rPr>
          <w:rFonts w:asciiTheme="majorBidi" w:eastAsia="Times New Roman" w:hAnsiTheme="majorBidi" w:cstheme="majorBidi"/>
          <w:sz w:val="18"/>
          <w:szCs w:val="18"/>
          <w:shd w:val="clear" w:color="auto" w:fill="FFFFFF"/>
          <w:lang w:val="en-US"/>
        </w:rPr>
        <w:t>.</w:t>
      </w:r>
    </w:p>
  </w:footnote>
  <w:footnote w:id="7">
    <w:p w14:paraId="7A5508DE" w14:textId="08BFBEBB" w:rsidR="006874EC" w:rsidRPr="00F15236" w:rsidRDefault="006874EC" w:rsidP="001065C9">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fr-CH"/>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F15236">
        <w:rPr>
          <w:rFonts w:asciiTheme="majorBidi" w:eastAsia="Times New Roman" w:hAnsiTheme="majorBidi" w:cstheme="majorBidi"/>
          <w:sz w:val="18"/>
          <w:szCs w:val="18"/>
          <w:shd w:val="clear" w:color="auto" w:fill="FFFFFF"/>
          <w:lang w:val="fr-CH"/>
        </w:rPr>
        <w:t xml:space="preserve"> </w:t>
      </w:r>
      <w:r w:rsidRPr="00F15236">
        <w:rPr>
          <w:rFonts w:asciiTheme="majorBidi" w:eastAsia="Times New Roman" w:hAnsiTheme="majorBidi" w:cstheme="majorBidi"/>
          <w:sz w:val="18"/>
          <w:szCs w:val="18"/>
          <w:shd w:val="clear" w:color="auto" w:fill="FFFFFF"/>
          <w:lang w:val="fr-CH"/>
        </w:rPr>
        <w:tab/>
      </w:r>
      <w:r w:rsidR="00F15236" w:rsidRPr="00F15236">
        <w:rPr>
          <w:rFonts w:asciiTheme="majorBidi" w:eastAsia="Times New Roman" w:hAnsiTheme="majorBidi" w:cstheme="majorBidi"/>
          <w:sz w:val="18"/>
          <w:szCs w:val="18"/>
          <w:shd w:val="clear" w:color="auto" w:fill="FFFFFF"/>
          <w:lang w:val="fr-CH"/>
        </w:rPr>
        <w:t>GCIV</w:t>
      </w:r>
      <w:r w:rsidRPr="00F15236">
        <w:rPr>
          <w:rFonts w:asciiTheme="majorBidi" w:eastAsia="Times New Roman" w:hAnsiTheme="majorBidi" w:cstheme="majorBidi"/>
          <w:sz w:val="18"/>
          <w:szCs w:val="18"/>
          <w:shd w:val="clear" w:color="auto" w:fill="FFFFFF"/>
          <w:lang w:val="fr-CH"/>
        </w:rPr>
        <w:t xml:space="preserve">, Article 49(6); </w:t>
      </w:r>
      <w:r w:rsidR="00F15236" w:rsidRPr="00F15236">
        <w:rPr>
          <w:rFonts w:asciiTheme="majorBidi" w:eastAsia="Times New Roman" w:hAnsiTheme="majorBidi" w:cstheme="majorBidi"/>
          <w:sz w:val="18"/>
          <w:szCs w:val="18"/>
          <w:shd w:val="clear" w:color="auto" w:fill="FFFFFF"/>
          <w:lang w:val="fr-CH"/>
        </w:rPr>
        <w:t>Rome Statute</w:t>
      </w:r>
      <w:r w:rsidRPr="00F15236">
        <w:rPr>
          <w:rFonts w:asciiTheme="majorBidi" w:eastAsia="Times New Roman" w:hAnsiTheme="majorBidi" w:cstheme="majorBidi"/>
          <w:sz w:val="18"/>
          <w:szCs w:val="18"/>
          <w:shd w:val="clear" w:color="auto" w:fill="FFFFFF"/>
          <w:lang w:val="fr-CH"/>
        </w:rPr>
        <w:t xml:space="preserve">, Article 8(2)(b)(vii). </w:t>
      </w:r>
    </w:p>
  </w:footnote>
  <w:footnote w:id="8">
    <w:p w14:paraId="3A241534" w14:textId="6BF4351C" w:rsidR="006874EC" w:rsidRPr="00B70F44" w:rsidRDefault="006874EC" w:rsidP="001065C9">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F15236">
        <w:rPr>
          <w:rFonts w:asciiTheme="majorBidi" w:eastAsia="Times New Roman" w:hAnsiTheme="majorBidi" w:cstheme="majorBidi"/>
          <w:sz w:val="18"/>
          <w:szCs w:val="18"/>
          <w:shd w:val="clear" w:color="auto" w:fill="FFFFFF"/>
          <w:lang w:val="fr-CH"/>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OCHA.</w:t>
      </w:r>
    </w:p>
  </w:footnote>
  <w:footnote w:id="9">
    <w:p w14:paraId="31976A2A" w14:textId="5F2A77CB" w:rsidR="006874EC" w:rsidRPr="00B70F44" w:rsidRDefault="006874EC" w:rsidP="001065C9">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A/HRC/40/42</w:t>
      </w:r>
      <w:r>
        <w:rPr>
          <w:rFonts w:asciiTheme="majorBidi" w:eastAsia="Times New Roman" w:hAnsiTheme="majorBidi" w:cstheme="majorBidi"/>
          <w:sz w:val="18"/>
          <w:szCs w:val="18"/>
          <w:shd w:val="clear" w:color="auto" w:fill="FFFFFF"/>
          <w:lang w:val="en-US"/>
        </w:rPr>
        <w:t>.</w:t>
      </w:r>
    </w:p>
  </w:footnote>
  <w:footnote w:id="10">
    <w:p w14:paraId="03744B11" w14:textId="53CFB9DF" w:rsidR="006874EC" w:rsidRPr="00B70F44" w:rsidRDefault="006874EC" w:rsidP="001065C9">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OCHA.</w:t>
      </w:r>
    </w:p>
  </w:footnote>
  <w:footnote w:id="11">
    <w:p w14:paraId="2151F29E" w14:textId="73F5D9CE" w:rsidR="006874EC" w:rsidRPr="00B70F44" w:rsidRDefault="006874EC" w:rsidP="001065C9">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00F15236">
        <w:rPr>
          <w:rFonts w:asciiTheme="majorBidi" w:eastAsia="Times New Roman" w:hAnsiTheme="majorBidi" w:cstheme="majorBidi"/>
          <w:sz w:val="18"/>
          <w:szCs w:val="18"/>
          <w:shd w:val="clear" w:color="auto" w:fill="FFFFFF"/>
          <w:lang w:val="en-US"/>
        </w:rPr>
        <w:t>GCIV</w:t>
      </w:r>
      <w:r>
        <w:rPr>
          <w:rFonts w:asciiTheme="majorBidi" w:eastAsia="Times New Roman" w:hAnsiTheme="majorBidi" w:cstheme="majorBidi"/>
          <w:sz w:val="18"/>
          <w:szCs w:val="18"/>
          <w:shd w:val="clear" w:color="auto" w:fill="FFFFFF"/>
          <w:lang w:val="en-US"/>
        </w:rPr>
        <w:t>, Article 53</w:t>
      </w:r>
      <w:r w:rsidRPr="00B70F44">
        <w:rPr>
          <w:rFonts w:asciiTheme="majorBidi" w:eastAsia="Times New Roman" w:hAnsiTheme="majorBidi" w:cstheme="majorBidi"/>
          <w:sz w:val="18"/>
          <w:szCs w:val="18"/>
          <w:shd w:val="clear" w:color="auto" w:fill="FFFFFF"/>
          <w:lang w:val="en-US"/>
        </w:rPr>
        <w:t>.</w:t>
      </w:r>
    </w:p>
  </w:footnote>
  <w:footnote w:id="12">
    <w:p w14:paraId="73C9E122" w14:textId="2B685664" w:rsidR="006874EC" w:rsidRPr="00B70F44" w:rsidRDefault="006874EC" w:rsidP="001065C9">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00F15236">
        <w:rPr>
          <w:rFonts w:asciiTheme="majorBidi" w:eastAsia="Times New Roman" w:hAnsiTheme="majorBidi" w:cstheme="majorBidi"/>
          <w:sz w:val="18"/>
          <w:szCs w:val="18"/>
          <w:shd w:val="clear" w:color="auto" w:fill="FFFFFF"/>
          <w:lang w:val="en-US"/>
        </w:rPr>
        <w:t>GCIV</w:t>
      </w:r>
      <w:r w:rsidRPr="00B70F44">
        <w:rPr>
          <w:rFonts w:asciiTheme="majorBidi" w:eastAsia="Times New Roman" w:hAnsiTheme="majorBidi" w:cstheme="majorBidi"/>
          <w:sz w:val="18"/>
          <w:szCs w:val="18"/>
          <w:shd w:val="clear" w:color="auto" w:fill="FFFFFF"/>
          <w:lang w:val="en-US"/>
        </w:rPr>
        <w:t>, Art</w:t>
      </w:r>
      <w:r>
        <w:rPr>
          <w:rFonts w:asciiTheme="majorBidi" w:eastAsia="Times New Roman" w:hAnsiTheme="majorBidi" w:cstheme="majorBidi"/>
          <w:sz w:val="18"/>
          <w:szCs w:val="18"/>
          <w:shd w:val="clear" w:color="auto" w:fill="FFFFFF"/>
          <w:lang w:val="en-US"/>
        </w:rPr>
        <w:t>icles</w:t>
      </w:r>
      <w:r w:rsidRPr="00B70F44">
        <w:rPr>
          <w:rFonts w:asciiTheme="majorBidi" w:eastAsia="Times New Roman" w:hAnsiTheme="majorBidi" w:cstheme="majorBidi"/>
          <w:sz w:val="18"/>
          <w:szCs w:val="18"/>
          <w:shd w:val="clear" w:color="auto" w:fill="FFFFFF"/>
          <w:lang w:val="en-US"/>
        </w:rPr>
        <w:t xml:space="preserve"> 49(1) and 147</w:t>
      </w:r>
      <w:r>
        <w:rPr>
          <w:rFonts w:asciiTheme="majorBidi" w:eastAsia="Times New Roman" w:hAnsiTheme="majorBidi" w:cstheme="majorBidi"/>
          <w:sz w:val="18"/>
          <w:szCs w:val="18"/>
          <w:shd w:val="clear" w:color="auto" w:fill="FFFFFF"/>
          <w:lang w:val="en-US"/>
        </w:rPr>
        <w:t xml:space="preserve">; </w:t>
      </w:r>
      <w:r w:rsidR="00F15236">
        <w:rPr>
          <w:rFonts w:asciiTheme="majorBidi" w:eastAsia="Times New Roman" w:hAnsiTheme="majorBidi" w:cstheme="majorBidi"/>
          <w:sz w:val="18"/>
          <w:szCs w:val="18"/>
          <w:shd w:val="clear" w:color="auto" w:fill="FFFFFF"/>
          <w:lang w:val="en-US"/>
        </w:rPr>
        <w:t>Rome Statute</w:t>
      </w:r>
      <w:r>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Art</w:t>
      </w:r>
      <w:r>
        <w:rPr>
          <w:rFonts w:asciiTheme="majorBidi" w:eastAsia="Times New Roman" w:hAnsiTheme="majorBidi" w:cstheme="majorBidi"/>
          <w:sz w:val="18"/>
          <w:szCs w:val="18"/>
          <w:shd w:val="clear" w:color="auto" w:fill="FFFFFF"/>
          <w:lang w:val="en-US"/>
        </w:rPr>
        <w:t>icle</w:t>
      </w:r>
      <w:r w:rsidRPr="00B70F44">
        <w:rPr>
          <w:rFonts w:asciiTheme="majorBidi" w:eastAsia="Times New Roman" w:hAnsiTheme="majorBidi" w:cstheme="majorBidi"/>
          <w:sz w:val="18"/>
          <w:szCs w:val="18"/>
          <w:shd w:val="clear" w:color="auto" w:fill="FFFFFF"/>
          <w:lang w:val="en-US"/>
        </w:rPr>
        <w:t xml:space="preserve"> 8(2)(b)(vii).</w:t>
      </w:r>
    </w:p>
  </w:footnote>
  <w:footnote w:id="13">
    <w:p w14:paraId="7BBF618B" w14:textId="328FEC54" w:rsidR="006874EC" w:rsidRPr="00B70F44" w:rsidRDefault="006874EC" w:rsidP="001065C9">
      <w:pPr>
        <w:pStyle w:val="FootnoteText"/>
        <w:tabs>
          <w:tab w:val="right" w:pos="1021"/>
        </w:tabs>
        <w:spacing w:line="220" w:lineRule="exact"/>
        <w:ind w:left="1134" w:right="1134" w:hanging="1134"/>
        <w:rPr>
          <w:rFonts w:ascii="Times New Roman" w:hAnsi="Times New Roman" w:cs="Times New Roman"/>
          <w:sz w:val="18"/>
          <w:szCs w:val="18"/>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A/HRC/34/36</w:t>
      </w:r>
      <w:r>
        <w:rPr>
          <w:rFonts w:asciiTheme="majorBidi" w:eastAsia="Times New Roman" w:hAnsiTheme="majorBidi" w:cstheme="majorBidi"/>
          <w:sz w:val="18"/>
          <w:szCs w:val="18"/>
          <w:shd w:val="clear" w:color="auto" w:fill="FFFFFF"/>
          <w:lang w:val="en-US"/>
        </w:rPr>
        <w:t>, para.</w:t>
      </w:r>
      <w:r w:rsidRPr="00B70F44">
        <w:rPr>
          <w:rFonts w:asciiTheme="majorBidi" w:eastAsia="Times New Roman" w:hAnsiTheme="majorBidi" w:cstheme="majorBidi"/>
          <w:sz w:val="18"/>
          <w:szCs w:val="18"/>
          <w:shd w:val="clear" w:color="auto" w:fill="FFFFFF"/>
          <w:lang w:val="en-US"/>
        </w:rPr>
        <w:t>36, A/HRC/24/30</w:t>
      </w:r>
      <w:r>
        <w:rPr>
          <w:rFonts w:asciiTheme="majorBidi" w:eastAsia="Times New Roman" w:hAnsiTheme="majorBidi" w:cstheme="majorBidi"/>
          <w:sz w:val="18"/>
          <w:szCs w:val="18"/>
          <w:shd w:val="clear" w:color="auto" w:fill="FFFFFF"/>
          <w:lang w:val="en-US"/>
        </w:rPr>
        <w:t>, para.</w:t>
      </w:r>
      <w:r w:rsidRPr="00B70F44">
        <w:rPr>
          <w:rFonts w:asciiTheme="majorBidi" w:eastAsia="Times New Roman" w:hAnsiTheme="majorBidi" w:cstheme="majorBidi"/>
          <w:sz w:val="18"/>
          <w:szCs w:val="18"/>
          <w:shd w:val="clear" w:color="auto" w:fill="FFFFFF"/>
          <w:lang w:val="en-US"/>
        </w:rPr>
        <w:t>22</w:t>
      </w:r>
      <w:r>
        <w:rPr>
          <w:rFonts w:asciiTheme="majorBidi" w:eastAsia="Times New Roman" w:hAnsiTheme="majorBidi" w:cstheme="majorBidi"/>
          <w:sz w:val="18"/>
          <w:szCs w:val="18"/>
          <w:shd w:val="clear" w:color="auto" w:fill="FFFFFF"/>
          <w:lang w:val="en-US"/>
        </w:rPr>
        <w:t>.</w:t>
      </w:r>
    </w:p>
  </w:footnote>
  <w:footnote w:id="14">
    <w:p w14:paraId="35E911E5" w14:textId="475EE8A7"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 xml:space="preserve">The fishing zone was reduced </w:t>
      </w:r>
      <w:r>
        <w:rPr>
          <w:rFonts w:asciiTheme="majorBidi" w:eastAsia="Times New Roman" w:hAnsiTheme="majorBidi" w:cstheme="majorBidi"/>
          <w:sz w:val="18"/>
          <w:szCs w:val="18"/>
          <w:shd w:val="clear" w:color="auto" w:fill="FFFFFF"/>
          <w:lang w:val="en-US"/>
        </w:rPr>
        <w:t>four times, on 12 December 2017,</w:t>
      </w:r>
      <w:r w:rsidRPr="00B70F44">
        <w:rPr>
          <w:rFonts w:asciiTheme="majorBidi" w:eastAsia="Times New Roman" w:hAnsiTheme="majorBidi" w:cstheme="majorBidi"/>
          <w:sz w:val="18"/>
          <w:szCs w:val="18"/>
          <w:shd w:val="clear" w:color="auto" w:fill="FFFFFF"/>
          <w:lang w:val="en-US"/>
        </w:rPr>
        <w:t xml:space="preserve"> 9 and 17 July</w:t>
      </w:r>
      <w:r>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and 7 October 2018. On 31 October 2018, Israeli authorities r</w:t>
      </w:r>
      <w:r w:rsidRPr="009E5C49">
        <w:rPr>
          <w:rFonts w:asciiTheme="majorBidi" w:eastAsia="Times New Roman" w:hAnsiTheme="majorBidi" w:cstheme="majorBidi"/>
          <w:sz w:val="18"/>
          <w:szCs w:val="18"/>
          <w:shd w:val="clear" w:color="auto" w:fill="FFFFFF"/>
          <w:lang w:val="en-US"/>
        </w:rPr>
        <w:t>eportedly</w:t>
      </w:r>
      <w:r w:rsidRPr="00B70F44">
        <w:rPr>
          <w:rFonts w:asciiTheme="majorBidi" w:eastAsia="Times New Roman" w:hAnsiTheme="majorBidi" w:cstheme="majorBidi"/>
          <w:sz w:val="18"/>
          <w:szCs w:val="18"/>
          <w:shd w:val="clear" w:color="auto" w:fill="FFFFFF"/>
          <w:lang w:val="en-US"/>
        </w:rPr>
        <w:t xml:space="preserve"> decided to extend the southern sea border of Gaza from six to nine nautical miles and kept the norther</w:t>
      </w:r>
      <w:r w:rsidR="00E44D6F">
        <w:rPr>
          <w:rFonts w:asciiTheme="majorBidi" w:eastAsia="Times New Roman" w:hAnsiTheme="majorBidi" w:cstheme="majorBidi"/>
          <w:sz w:val="18"/>
          <w:szCs w:val="18"/>
          <w:shd w:val="clear" w:color="auto" w:fill="FFFFFF"/>
          <w:lang w:val="en-US"/>
        </w:rPr>
        <w:t>n</w:t>
      </w:r>
      <w:r w:rsidRPr="00B70F44">
        <w:rPr>
          <w:rFonts w:asciiTheme="majorBidi" w:eastAsia="Times New Roman" w:hAnsiTheme="majorBidi" w:cstheme="majorBidi"/>
          <w:sz w:val="18"/>
          <w:szCs w:val="18"/>
          <w:shd w:val="clear" w:color="auto" w:fill="FFFFFF"/>
          <w:lang w:val="en-US"/>
        </w:rPr>
        <w:t xml:space="preserve"> sea border at six nautical miles.</w:t>
      </w:r>
    </w:p>
  </w:footnote>
  <w:footnote w:id="15">
    <w:p w14:paraId="14B5E191" w14:textId="5EBEE930"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https://www.timesofisrael.com/liberman-orders-narrowing-of-gaza-fishing-zone-citing-border-violence/</w:t>
      </w:r>
    </w:p>
  </w:footnote>
  <w:footnote w:id="16">
    <w:p w14:paraId="5283EFCC" w14:textId="53778212"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Jerusalem Legal Aid and Human Rights Center, communication to OHCHR</w:t>
      </w:r>
    </w:p>
  </w:footnote>
  <w:footnote w:id="17">
    <w:p w14:paraId="2A933CED" w14:textId="0D2F5557"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00F15236">
        <w:rPr>
          <w:rFonts w:asciiTheme="majorBidi" w:eastAsia="Times New Roman" w:hAnsiTheme="majorBidi" w:cstheme="majorBidi"/>
          <w:sz w:val="18"/>
          <w:szCs w:val="18"/>
          <w:shd w:val="clear" w:color="auto" w:fill="FFFFFF"/>
          <w:lang w:val="en-US"/>
        </w:rPr>
        <w:t>GCIV</w:t>
      </w:r>
      <w:r>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Art</w:t>
      </w:r>
      <w:r w:rsidR="00F15236">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33; </w:t>
      </w:r>
      <w:r w:rsidR="00F15236">
        <w:rPr>
          <w:rFonts w:asciiTheme="majorBidi" w:eastAsia="Times New Roman" w:hAnsiTheme="majorBidi" w:cstheme="majorBidi"/>
          <w:sz w:val="18"/>
          <w:szCs w:val="18"/>
          <w:shd w:val="clear" w:color="auto" w:fill="FFFFFF"/>
          <w:lang w:val="en-US"/>
        </w:rPr>
        <w:t>ICCPR</w:t>
      </w:r>
      <w:r w:rsidRPr="005A715A">
        <w:rPr>
          <w:rFonts w:asciiTheme="majorBidi" w:eastAsia="Times New Roman" w:hAnsiTheme="majorBidi" w:cstheme="majorBidi"/>
          <w:sz w:val="18"/>
          <w:szCs w:val="18"/>
          <w:shd w:val="clear" w:color="auto" w:fill="FFFFFF"/>
          <w:lang w:val="en-US"/>
        </w:rPr>
        <w:t>,</w:t>
      </w:r>
      <w:r>
        <w:rPr>
          <w:rFonts w:asciiTheme="majorBidi" w:eastAsia="Times New Roman" w:hAnsiTheme="majorBidi" w:cstheme="majorBidi"/>
          <w:sz w:val="18"/>
          <w:szCs w:val="18"/>
          <w:shd w:val="clear" w:color="auto" w:fill="FFFFFF"/>
          <w:lang w:val="en-US"/>
        </w:rPr>
        <w:t xml:space="preserve"> </w:t>
      </w:r>
      <w:r w:rsidR="00F15236">
        <w:rPr>
          <w:rFonts w:asciiTheme="majorBidi" w:eastAsia="Times New Roman" w:hAnsiTheme="majorBidi" w:cstheme="majorBidi"/>
          <w:sz w:val="18"/>
          <w:szCs w:val="18"/>
          <w:shd w:val="clear" w:color="auto" w:fill="FFFFFF"/>
          <w:lang w:val="en-US"/>
        </w:rPr>
        <w:t>Art.12,</w:t>
      </w:r>
      <w:r w:rsidR="00E44D6F">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14</w:t>
      </w:r>
      <w:r w:rsidR="00F15236">
        <w:rPr>
          <w:rFonts w:asciiTheme="majorBidi" w:eastAsia="Times New Roman" w:hAnsiTheme="majorBidi" w:cstheme="majorBidi"/>
          <w:sz w:val="18"/>
          <w:szCs w:val="18"/>
          <w:shd w:val="clear" w:color="auto" w:fill="FFFFFF"/>
          <w:lang w:val="en-US"/>
        </w:rPr>
        <w:t>,</w:t>
      </w:r>
      <w:r w:rsidR="00E44D6F">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 xml:space="preserve">17; </w:t>
      </w:r>
      <w:r w:rsidR="00F15236">
        <w:rPr>
          <w:rFonts w:asciiTheme="majorBidi" w:eastAsia="Times New Roman" w:hAnsiTheme="majorBidi" w:cstheme="majorBidi"/>
          <w:sz w:val="18"/>
          <w:szCs w:val="18"/>
          <w:shd w:val="clear" w:color="auto" w:fill="FFFFFF"/>
          <w:lang w:val="en-US"/>
        </w:rPr>
        <w:t>A/HRC/37/38, para.</w:t>
      </w:r>
      <w:r w:rsidRPr="00B70F44">
        <w:rPr>
          <w:rFonts w:asciiTheme="majorBidi" w:eastAsia="Times New Roman" w:hAnsiTheme="majorBidi" w:cstheme="majorBidi"/>
          <w:sz w:val="18"/>
          <w:szCs w:val="18"/>
          <w:shd w:val="clear" w:color="auto" w:fill="FFFFFF"/>
          <w:lang w:val="en-US"/>
        </w:rPr>
        <w:t>12.</w:t>
      </w:r>
    </w:p>
  </w:footnote>
  <w:footnote w:id="18">
    <w:p w14:paraId="0837AD21" w14:textId="3E06EB1A"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ab/>
      </w:r>
      <w:r w:rsidR="00376FB7">
        <w:rPr>
          <w:rFonts w:asciiTheme="majorBidi" w:eastAsia="Times New Roman" w:hAnsiTheme="majorBidi" w:cstheme="majorBidi"/>
          <w:sz w:val="18"/>
          <w:szCs w:val="18"/>
          <w:shd w:val="clear" w:color="auto" w:fill="FFFFFF"/>
          <w:lang w:val="en-US"/>
        </w:rPr>
        <w:t xml:space="preserve">See also </w:t>
      </w:r>
      <w:r w:rsidRPr="00B70F44">
        <w:rPr>
          <w:rFonts w:asciiTheme="majorBidi" w:eastAsia="Times New Roman" w:hAnsiTheme="majorBidi" w:cstheme="majorBidi"/>
          <w:sz w:val="18"/>
          <w:szCs w:val="18"/>
          <w:shd w:val="clear" w:color="auto" w:fill="FFFFFF"/>
          <w:lang w:val="en-US"/>
        </w:rPr>
        <w:t>A/HRC/40/42</w:t>
      </w:r>
      <w:r w:rsidR="00E44D6F">
        <w:rPr>
          <w:rFonts w:asciiTheme="majorBidi" w:eastAsia="Times New Roman" w:hAnsiTheme="majorBidi" w:cstheme="majorBidi"/>
          <w:sz w:val="18"/>
          <w:szCs w:val="18"/>
          <w:shd w:val="clear" w:color="auto" w:fill="FFFFFF"/>
          <w:lang w:val="en-US"/>
        </w:rPr>
        <w:t>,</w:t>
      </w:r>
      <w:r w:rsidR="00C3415B">
        <w:rPr>
          <w:rFonts w:asciiTheme="majorBidi" w:eastAsia="Times New Roman" w:hAnsiTheme="majorBidi" w:cstheme="majorBidi"/>
          <w:sz w:val="18"/>
          <w:szCs w:val="18"/>
          <w:shd w:val="clear" w:color="auto" w:fill="FFFFFF"/>
          <w:lang w:val="en-US"/>
        </w:rPr>
        <w:t xml:space="preserve"> </w:t>
      </w:r>
      <w:r w:rsidR="00376FB7">
        <w:rPr>
          <w:rFonts w:asciiTheme="majorBidi" w:eastAsia="Times New Roman" w:hAnsiTheme="majorBidi" w:cstheme="majorBidi"/>
          <w:sz w:val="18"/>
          <w:szCs w:val="18"/>
          <w:shd w:val="clear" w:color="auto" w:fill="FFFFFF"/>
          <w:lang w:val="en-US"/>
        </w:rPr>
        <w:t>para. 13</w:t>
      </w:r>
    </w:p>
  </w:footnote>
  <w:footnote w:id="19">
    <w:p w14:paraId="71E6123C" w14:textId="6F327610"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00F15236">
        <w:rPr>
          <w:rFonts w:asciiTheme="majorBidi" w:eastAsia="Times New Roman" w:hAnsiTheme="majorBidi" w:cstheme="majorBidi"/>
          <w:sz w:val="18"/>
          <w:szCs w:val="18"/>
          <w:shd w:val="clear" w:color="auto" w:fill="FFFFFF"/>
          <w:lang w:val="en-US"/>
        </w:rPr>
        <w:t>UNDSS</w:t>
      </w:r>
    </w:p>
  </w:footnote>
  <w:footnote w:id="20">
    <w:p w14:paraId="6273C183" w14:textId="7B9676AE" w:rsidR="006874EC" w:rsidRPr="00B70F44" w:rsidRDefault="006874EC" w:rsidP="002A0BE7">
      <w:pPr>
        <w:pStyle w:val="FootnoteText"/>
        <w:tabs>
          <w:tab w:val="right" w:pos="1021"/>
        </w:tabs>
        <w:spacing w:line="220" w:lineRule="exact"/>
        <w:ind w:left="1134" w:right="1134" w:hanging="1134"/>
        <w:rPr>
          <w:rFonts w:ascii="Times New Roman" w:hAnsi="Times New Roman" w:cs="Times New Roman"/>
          <w:sz w:val="18"/>
          <w:szCs w:val="18"/>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Communication from OCHA.</w:t>
      </w:r>
    </w:p>
  </w:footnote>
  <w:footnote w:id="21">
    <w:p w14:paraId="5A4BCB1A" w14:textId="4C30020D" w:rsidR="00C3415B" w:rsidRPr="00C3415B" w:rsidRDefault="00C3415B" w:rsidP="00C3415B">
      <w:pPr>
        <w:pStyle w:val="FootnoteText"/>
        <w:tabs>
          <w:tab w:val="right" w:pos="1021"/>
        </w:tabs>
        <w:spacing w:line="220" w:lineRule="exact"/>
        <w:ind w:left="1134" w:right="1134" w:hanging="283"/>
        <w:rPr>
          <w:rFonts w:ascii="Times New Roman" w:hAnsi="Times New Roman" w:cs="Times New Roman"/>
          <w:sz w:val="18"/>
          <w:szCs w:val="18"/>
        </w:rPr>
      </w:pPr>
      <w:r>
        <w:tab/>
        <w:t xml:space="preserve"> </w:t>
      </w:r>
      <w:r w:rsidRPr="00C3415B">
        <w:rPr>
          <w:rStyle w:val="FootnoteReference"/>
          <w:sz w:val="18"/>
          <w:szCs w:val="18"/>
        </w:rPr>
        <w:footnoteRef/>
      </w:r>
      <w:r w:rsidRPr="00C3415B">
        <w:rPr>
          <w:sz w:val="18"/>
          <w:szCs w:val="18"/>
        </w:rPr>
        <w:t xml:space="preserve">   </w:t>
      </w:r>
      <w:r>
        <w:rPr>
          <w:rFonts w:ascii="Times New Roman" w:hAnsi="Times New Roman" w:cs="Times New Roman"/>
          <w:sz w:val="18"/>
          <w:szCs w:val="18"/>
        </w:rPr>
        <w:t>According to information received by OHCHR.</w:t>
      </w:r>
    </w:p>
  </w:footnote>
  <w:footnote w:id="22">
    <w:p w14:paraId="3F28938A" w14:textId="1A3D75AD"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https://www.timesofisrael.com/army-says-it-didnt-know-palestinians-targeted-on-border-were-minors/</w:t>
      </w:r>
    </w:p>
  </w:footnote>
  <w:footnote w:id="23">
    <w:p w14:paraId="34C4A2EC" w14:textId="56DF083B"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https://www.ynetnews.com/articles/0,7340,L-5118147,00.html</w:t>
      </w:r>
    </w:p>
  </w:footnote>
  <w:footnote w:id="24">
    <w:p w14:paraId="40D15B5C" w14:textId="63AB8EA8"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Including one Palestinian killed by a private security guard</w:t>
      </w:r>
      <w:r>
        <w:rPr>
          <w:rFonts w:asciiTheme="majorBidi" w:eastAsia="Times New Roman" w:hAnsiTheme="majorBidi" w:cstheme="majorBidi"/>
          <w:sz w:val="18"/>
          <w:szCs w:val="18"/>
          <w:shd w:val="clear" w:color="auto" w:fill="FFFFFF"/>
          <w:lang w:val="en-US"/>
        </w:rPr>
        <w:t>.</w:t>
      </w:r>
    </w:p>
  </w:footnote>
  <w:footnote w:id="25">
    <w:p w14:paraId="45F2D6B0" w14:textId="5E3B9848" w:rsidR="006874EC" w:rsidRPr="00B70F44" w:rsidRDefault="006874EC" w:rsidP="00A92C06">
      <w:pPr>
        <w:pStyle w:val="FootnoteText"/>
        <w:tabs>
          <w:tab w:val="right" w:pos="1021"/>
        </w:tabs>
        <w:spacing w:line="220" w:lineRule="exact"/>
        <w:ind w:left="1134" w:right="1134" w:hanging="1134"/>
        <w:rPr>
          <w:rFonts w:ascii="Times New Roman" w:hAnsi="Times New Roman" w:cs="Times New Roman"/>
          <w:sz w:val="18"/>
          <w:szCs w:val="18"/>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Pr="00623DC4">
        <w:rPr>
          <w:rFonts w:asciiTheme="majorBidi" w:eastAsia="Times New Roman" w:hAnsiTheme="majorBidi" w:cstheme="majorBidi"/>
          <w:sz w:val="18"/>
          <w:szCs w:val="18"/>
          <w:shd w:val="clear" w:color="auto" w:fill="FFFFFF"/>
          <w:lang w:val="en-US"/>
        </w:rPr>
        <w:t>Sixteen Palestinians</w:t>
      </w:r>
      <w:r>
        <w:rPr>
          <w:rFonts w:asciiTheme="majorBidi" w:eastAsia="Times New Roman" w:hAnsiTheme="majorBidi" w:cstheme="majorBidi"/>
          <w:sz w:val="18"/>
          <w:szCs w:val="18"/>
          <w:shd w:val="clear" w:color="auto" w:fill="FFFFFF"/>
          <w:lang w:val="en-US"/>
        </w:rPr>
        <w:t>,</w:t>
      </w:r>
      <w:r w:rsidRPr="00623DC4">
        <w:rPr>
          <w:rFonts w:asciiTheme="majorBidi" w:eastAsia="Times New Roman" w:hAnsiTheme="majorBidi" w:cstheme="majorBidi"/>
          <w:sz w:val="18"/>
          <w:szCs w:val="18"/>
          <w:shd w:val="clear" w:color="auto" w:fill="FFFFFF"/>
          <w:lang w:val="en-US"/>
        </w:rPr>
        <w:t xml:space="preserve"> including three children</w:t>
      </w:r>
      <w:r>
        <w:rPr>
          <w:rFonts w:asciiTheme="majorBidi" w:eastAsia="Times New Roman" w:hAnsiTheme="majorBidi" w:cstheme="majorBidi"/>
          <w:sz w:val="18"/>
          <w:szCs w:val="18"/>
          <w:shd w:val="clear" w:color="auto" w:fill="FFFFFF"/>
          <w:lang w:val="en-US"/>
        </w:rPr>
        <w:t>,</w:t>
      </w:r>
      <w:r w:rsidRPr="00623DC4">
        <w:rPr>
          <w:rFonts w:asciiTheme="majorBidi" w:eastAsia="Times New Roman" w:hAnsiTheme="majorBidi" w:cstheme="majorBidi"/>
          <w:sz w:val="18"/>
          <w:szCs w:val="18"/>
          <w:shd w:val="clear" w:color="auto" w:fill="FFFFFF"/>
          <w:lang w:val="en-US"/>
        </w:rPr>
        <w:t xml:space="preserve"> were killed in Gaza, and </w:t>
      </w:r>
      <w:r>
        <w:rPr>
          <w:rFonts w:asciiTheme="majorBidi" w:eastAsia="Times New Roman" w:hAnsiTheme="majorBidi" w:cstheme="majorBidi"/>
          <w:sz w:val="18"/>
          <w:szCs w:val="18"/>
          <w:shd w:val="clear" w:color="auto" w:fill="FFFFFF"/>
          <w:lang w:val="en-US"/>
        </w:rPr>
        <w:t>12</w:t>
      </w:r>
      <w:r w:rsidRPr="00623DC4">
        <w:rPr>
          <w:rFonts w:asciiTheme="majorBidi" w:eastAsia="Times New Roman" w:hAnsiTheme="majorBidi" w:cstheme="majorBidi"/>
          <w:sz w:val="18"/>
          <w:szCs w:val="18"/>
          <w:shd w:val="clear" w:color="auto" w:fill="FFFFFF"/>
          <w:lang w:val="en-US"/>
        </w:rPr>
        <w:t xml:space="preserve"> Palestinians</w:t>
      </w:r>
      <w:r>
        <w:rPr>
          <w:rFonts w:asciiTheme="majorBidi" w:eastAsia="Times New Roman" w:hAnsiTheme="majorBidi" w:cstheme="majorBidi"/>
          <w:sz w:val="18"/>
          <w:szCs w:val="18"/>
          <w:shd w:val="clear" w:color="auto" w:fill="FFFFFF"/>
          <w:lang w:val="en-US"/>
        </w:rPr>
        <w:t>,</w:t>
      </w:r>
      <w:r w:rsidRPr="00623DC4">
        <w:rPr>
          <w:rFonts w:asciiTheme="majorBidi" w:eastAsia="Times New Roman" w:hAnsiTheme="majorBidi" w:cstheme="majorBidi"/>
          <w:sz w:val="18"/>
          <w:szCs w:val="18"/>
          <w:shd w:val="clear" w:color="auto" w:fill="FFFFFF"/>
          <w:lang w:val="en-US"/>
        </w:rPr>
        <w:t xml:space="preserve"> including three children</w:t>
      </w:r>
      <w:r>
        <w:rPr>
          <w:rFonts w:asciiTheme="majorBidi" w:eastAsia="Times New Roman" w:hAnsiTheme="majorBidi" w:cstheme="majorBidi"/>
          <w:sz w:val="18"/>
          <w:szCs w:val="18"/>
          <w:shd w:val="clear" w:color="auto" w:fill="FFFFFF"/>
          <w:lang w:val="en-US"/>
        </w:rPr>
        <w:t>,</w:t>
      </w:r>
      <w:r w:rsidRPr="00623DC4">
        <w:rPr>
          <w:rFonts w:asciiTheme="majorBidi" w:eastAsia="Times New Roman" w:hAnsiTheme="majorBidi" w:cstheme="majorBidi"/>
          <w:sz w:val="18"/>
          <w:szCs w:val="18"/>
          <w:shd w:val="clear" w:color="auto" w:fill="FFFFFF"/>
          <w:lang w:val="en-US"/>
        </w:rPr>
        <w:t xml:space="preserve"> were killed in the West Bank. One more Palestinian was killed in the West Bank by a private security guard.</w:t>
      </w:r>
    </w:p>
  </w:footnote>
  <w:footnote w:id="26">
    <w:p w14:paraId="0CDA2482" w14:textId="32C73FA6"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https://www.ohchr.org/EN/NewsEvents/Pages/DisplayNews.aspx?NewsID=22550&amp;LangID=E</w:t>
      </w:r>
    </w:p>
  </w:footnote>
  <w:footnote w:id="27">
    <w:p w14:paraId="3E08E1CD" w14:textId="2DF8597B" w:rsidR="006874EC" w:rsidRPr="00623DC4" w:rsidRDefault="006874EC" w:rsidP="00F62965">
      <w:pPr>
        <w:pStyle w:val="FootnoteText"/>
        <w:tabs>
          <w:tab w:val="right" w:pos="1021"/>
        </w:tabs>
        <w:spacing w:line="220" w:lineRule="exact"/>
        <w:ind w:left="1134" w:right="1134" w:hanging="1134"/>
        <w:rPr>
          <w:rFonts w:ascii="Times New Roman" w:hAnsi="Times New Roman" w:cs="Times New Roman"/>
          <w:sz w:val="18"/>
          <w:szCs w:val="18"/>
        </w:rPr>
      </w:pPr>
      <w:r>
        <w:rPr>
          <w:rFonts w:asciiTheme="majorBidi" w:eastAsia="Times New Roman" w:hAnsiTheme="majorBidi" w:cstheme="majorBidi"/>
          <w:sz w:val="18"/>
          <w:szCs w:val="18"/>
          <w:shd w:val="clear" w:color="auto" w:fill="FFFFFF"/>
          <w:lang w:val="en-US"/>
        </w:rPr>
        <w:tab/>
      </w:r>
      <w:r w:rsidRPr="00F62965">
        <w:rPr>
          <w:rFonts w:asciiTheme="majorBidi" w:eastAsia="Times New Roman" w:hAnsiTheme="majorBidi" w:cstheme="majorBidi"/>
          <w:sz w:val="18"/>
          <w:szCs w:val="18"/>
          <w:shd w:val="clear" w:color="auto" w:fill="FFFFFF"/>
          <w:vertAlign w:val="superscript"/>
          <w:lang w:val="en-US"/>
        </w:rPr>
        <w:footnoteRef/>
      </w:r>
      <w:r w:rsidRPr="00F62965">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ab/>
      </w:r>
      <w:r w:rsidRPr="00F62965">
        <w:rPr>
          <w:rFonts w:asciiTheme="majorBidi" w:eastAsia="Times New Roman" w:hAnsiTheme="majorBidi" w:cstheme="majorBidi"/>
          <w:sz w:val="18"/>
          <w:szCs w:val="18"/>
          <w:shd w:val="clear" w:color="auto" w:fill="FFFFFF"/>
          <w:lang w:val="en-US"/>
        </w:rPr>
        <w:t>These demonstrations were ongoing at the end of the reporting period.</w:t>
      </w:r>
    </w:p>
  </w:footnote>
  <w:footnote w:id="28">
    <w:p w14:paraId="0BEF9E8D" w14:textId="6BDA51BF"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0072571D">
        <w:rPr>
          <w:rFonts w:asciiTheme="majorBidi" w:eastAsia="Times New Roman" w:hAnsiTheme="majorBidi" w:cstheme="majorBidi"/>
          <w:sz w:val="18"/>
          <w:szCs w:val="18"/>
          <w:shd w:val="clear" w:color="auto" w:fill="FFFFFF"/>
          <w:lang w:val="en-US"/>
        </w:rPr>
        <w:t xml:space="preserve">OCHA and </w:t>
      </w:r>
      <w:r w:rsidRPr="00B70F44">
        <w:rPr>
          <w:rFonts w:asciiTheme="majorBidi" w:eastAsia="Times New Roman" w:hAnsiTheme="majorBidi" w:cstheme="majorBidi"/>
          <w:sz w:val="18"/>
          <w:szCs w:val="18"/>
          <w:shd w:val="clear" w:color="auto" w:fill="FFFFFF"/>
          <w:lang w:val="en-US"/>
        </w:rPr>
        <w:t>Palestinian Ministry of Health.</w:t>
      </w:r>
    </w:p>
  </w:footnote>
  <w:footnote w:id="29">
    <w:p w14:paraId="281DED65" w14:textId="1F6DAB65" w:rsidR="006874EC" w:rsidRPr="00623DC4" w:rsidRDefault="006874EC" w:rsidP="00623DC4">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p</w:t>
      </w:r>
      <w:r>
        <w:rPr>
          <w:rFonts w:asciiTheme="majorBidi" w:eastAsia="Times New Roman" w:hAnsiTheme="majorBidi" w:cstheme="majorBidi"/>
          <w:sz w:val="18"/>
          <w:szCs w:val="18"/>
          <w:shd w:val="clear" w:color="auto" w:fill="FFFFFF"/>
          <w:lang w:val="en-US"/>
        </w:rPr>
        <w:t>p.</w:t>
      </w:r>
      <w:r w:rsidRPr="00B70F44">
        <w:rPr>
          <w:rFonts w:asciiTheme="majorBidi" w:eastAsia="Times New Roman" w:hAnsiTheme="majorBidi" w:cstheme="majorBidi"/>
          <w:sz w:val="18"/>
          <w:szCs w:val="18"/>
          <w:shd w:val="clear" w:color="auto" w:fill="FFFFFF"/>
          <w:lang w:val="en-US"/>
        </w:rPr>
        <w:t>2-</w:t>
      </w:r>
      <w:r>
        <w:rPr>
          <w:rFonts w:asciiTheme="majorBidi" w:eastAsia="Times New Roman" w:hAnsiTheme="majorBidi" w:cstheme="majorBidi"/>
          <w:sz w:val="18"/>
          <w:szCs w:val="18"/>
          <w:shd w:val="clear" w:color="auto" w:fill="FFFFFF"/>
          <w:lang w:val="en-US"/>
        </w:rPr>
        <w:t>3</w:t>
      </w:r>
      <w:r w:rsidRPr="00B70F44">
        <w:rPr>
          <w:rFonts w:asciiTheme="majorBidi" w:eastAsia="Times New Roman" w:hAnsiTheme="majorBidi" w:cstheme="majorBidi"/>
          <w:sz w:val="18"/>
          <w:szCs w:val="18"/>
          <w:shd w:val="clear" w:color="auto" w:fill="FFFFFF"/>
          <w:lang w:val="en-US"/>
        </w:rPr>
        <w:t xml:space="preserve"> </w:t>
      </w:r>
      <w:hyperlink r:id="rId2" w:history="1">
        <w:r w:rsidRPr="00B70F44">
          <w:rPr>
            <w:rFonts w:asciiTheme="majorBidi" w:eastAsia="Times New Roman" w:hAnsiTheme="majorBidi" w:cstheme="majorBidi"/>
            <w:sz w:val="18"/>
            <w:szCs w:val="18"/>
            <w:shd w:val="clear" w:color="auto" w:fill="FFFFFF"/>
          </w:rPr>
          <w:t>http://www.emro.who.int/images/stories/palestine/documents/WHO_Health_Cluster_SitRep_23_Sep_-6_Oct_2018.pdf?ua=1</w:t>
        </w:r>
      </w:hyperlink>
      <w:r w:rsidR="008E58F2">
        <w:rPr>
          <w:rFonts w:asciiTheme="majorBidi" w:eastAsia="Times New Roman" w:hAnsiTheme="majorBidi" w:cstheme="majorBidi"/>
          <w:sz w:val="18"/>
          <w:szCs w:val="18"/>
          <w:shd w:val="clear" w:color="auto" w:fill="FFFFFF"/>
        </w:rPr>
        <w:t>.</w:t>
      </w:r>
      <w:r w:rsidRPr="00B70F44">
        <w:rPr>
          <w:rFonts w:ascii="Times New Roman" w:hAnsi="Times New Roman" w:cs="Times New Roman"/>
          <w:sz w:val="18"/>
          <w:szCs w:val="18"/>
          <w:lang w:val="en-US"/>
        </w:rPr>
        <w:t xml:space="preserve"> </w:t>
      </w:r>
    </w:p>
  </w:footnote>
  <w:footnote w:id="30">
    <w:p w14:paraId="0FBB34E7" w14:textId="0AA53725"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ab/>
      </w:r>
      <w:hyperlink r:id="rId3" w:history="1">
        <w:r w:rsidRPr="00B70F44">
          <w:rPr>
            <w:rFonts w:asciiTheme="majorBidi" w:eastAsia="Times New Roman" w:hAnsiTheme="majorBidi" w:cstheme="majorBidi"/>
            <w:sz w:val="18"/>
            <w:szCs w:val="18"/>
            <w:shd w:val="clear" w:color="auto" w:fill="FFFFFF"/>
          </w:rPr>
          <w:t>http://www.madacenter.org/report.php?lang=1&amp;id=1840&amp;category_id=6&amp;year=2018</w:t>
        </w:r>
      </w:hyperlink>
      <w:r w:rsidR="008E58F2">
        <w:rPr>
          <w:rFonts w:asciiTheme="majorBidi" w:eastAsia="Times New Roman" w:hAnsiTheme="majorBidi" w:cstheme="majorBidi"/>
          <w:sz w:val="18"/>
          <w:szCs w:val="18"/>
          <w:shd w:val="clear" w:color="auto" w:fill="FFFFFF"/>
        </w:rPr>
        <w:t>.</w:t>
      </w:r>
      <w:r w:rsidRPr="00B70F44">
        <w:rPr>
          <w:rFonts w:asciiTheme="majorBidi" w:eastAsia="Times New Roman" w:hAnsiTheme="majorBidi" w:cstheme="majorBidi"/>
          <w:sz w:val="18"/>
          <w:szCs w:val="18"/>
          <w:shd w:val="clear" w:color="auto" w:fill="FFFFFF"/>
          <w:lang w:val="en-US"/>
        </w:rPr>
        <w:t xml:space="preserve"> </w:t>
      </w:r>
    </w:p>
  </w:footnote>
  <w:footnote w:id="31">
    <w:p w14:paraId="42C6948D" w14:textId="4ACED54A"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 xml:space="preserve">Al Mezan Center </w:t>
      </w:r>
      <w:r w:rsidR="00F15236">
        <w:rPr>
          <w:rFonts w:asciiTheme="majorBidi" w:eastAsia="Times New Roman" w:hAnsiTheme="majorBidi" w:cstheme="majorBidi"/>
          <w:sz w:val="18"/>
          <w:szCs w:val="18"/>
          <w:shd w:val="clear" w:color="auto" w:fill="FFFFFF"/>
          <w:lang w:val="en-US"/>
        </w:rPr>
        <w:t xml:space="preserve">for Human Rights, communication, </w:t>
      </w:r>
      <w:r w:rsidRPr="00B70F44">
        <w:rPr>
          <w:rFonts w:asciiTheme="majorBidi" w:eastAsia="Times New Roman" w:hAnsiTheme="majorBidi" w:cstheme="majorBidi"/>
          <w:sz w:val="18"/>
          <w:szCs w:val="18"/>
          <w:shd w:val="clear" w:color="auto" w:fill="FFFFFF"/>
          <w:lang w:val="en-US"/>
        </w:rPr>
        <w:t>13December2018.</w:t>
      </w:r>
    </w:p>
  </w:footnote>
  <w:footnote w:id="32">
    <w:p w14:paraId="1BA3CCBE" w14:textId="77EF3B9F"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Joint reporting by the Palestinian Prisoners Commission and human rights organizations</w:t>
      </w:r>
      <w:r>
        <w:rPr>
          <w:rFonts w:asciiTheme="majorBidi" w:eastAsia="Times New Roman" w:hAnsiTheme="majorBidi" w:cstheme="majorBidi"/>
          <w:sz w:val="18"/>
          <w:szCs w:val="18"/>
          <w:shd w:val="clear" w:color="auto" w:fill="FFFFFF"/>
          <w:lang w:val="en-US"/>
        </w:rPr>
        <w:t>.</w:t>
      </w:r>
    </w:p>
  </w:footnote>
  <w:footnote w:id="33">
    <w:p w14:paraId="75F24A12" w14:textId="7AE0147C" w:rsidR="006874EC" w:rsidRPr="00B70F44" w:rsidRDefault="006874EC" w:rsidP="009B3B06">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 xml:space="preserve">Data by B’tselem from the </w:t>
      </w:r>
      <w:r w:rsidRPr="0092240B">
        <w:rPr>
          <w:rFonts w:asciiTheme="majorBidi" w:eastAsia="Times New Roman" w:hAnsiTheme="majorBidi" w:cstheme="majorBidi"/>
          <w:sz w:val="18"/>
          <w:szCs w:val="18"/>
          <w:shd w:val="clear" w:color="auto" w:fill="FFFFFF"/>
          <w:lang w:val="en-US"/>
        </w:rPr>
        <w:t>IPS</w:t>
      </w:r>
      <w:r>
        <w:rPr>
          <w:rFonts w:asciiTheme="majorBidi" w:eastAsia="Times New Roman" w:hAnsiTheme="majorBidi" w:cstheme="majorBidi"/>
          <w:sz w:val="18"/>
          <w:szCs w:val="18"/>
          <w:shd w:val="clear" w:color="auto" w:fill="FFFFFF"/>
          <w:lang w:val="en-US"/>
        </w:rPr>
        <w:t>.</w:t>
      </w:r>
    </w:p>
  </w:footnote>
  <w:footnote w:id="34">
    <w:p w14:paraId="358B23D0" w14:textId="73B77310"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Al Mezan Center</w:t>
      </w:r>
      <w:r>
        <w:rPr>
          <w:rFonts w:asciiTheme="majorBidi" w:eastAsia="Times New Roman" w:hAnsiTheme="majorBidi" w:cstheme="majorBidi"/>
          <w:sz w:val="18"/>
          <w:szCs w:val="18"/>
          <w:shd w:val="clear" w:color="auto" w:fill="FFFFFF"/>
          <w:lang w:val="en-US"/>
        </w:rPr>
        <w:t>.</w:t>
      </w:r>
    </w:p>
  </w:footnote>
  <w:footnote w:id="35">
    <w:p w14:paraId="78EFF122" w14:textId="732309FB"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w:t>
      </w:r>
      <w:r w:rsidR="00F15236">
        <w:rPr>
          <w:rFonts w:asciiTheme="majorBidi" w:eastAsia="Times New Roman" w:hAnsiTheme="majorBidi" w:cstheme="majorBidi"/>
          <w:sz w:val="18"/>
          <w:szCs w:val="18"/>
          <w:shd w:val="clear" w:color="auto" w:fill="FFFFFF"/>
          <w:lang w:val="en-US"/>
        </w:rPr>
        <w:t>/HRC/37/42, para.</w:t>
      </w:r>
      <w:r w:rsidRPr="00B70F44">
        <w:rPr>
          <w:rFonts w:asciiTheme="majorBidi" w:eastAsia="Times New Roman" w:hAnsiTheme="majorBidi" w:cstheme="majorBidi"/>
          <w:sz w:val="18"/>
          <w:szCs w:val="18"/>
          <w:shd w:val="clear" w:color="auto" w:fill="FFFFFF"/>
          <w:lang w:val="en-US"/>
        </w:rPr>
        <w:t>10-14.</w:t>
      </w:r>
    </w:p>
  </w:footnote>
  <w:footnote w:id="36">
    <w:p w14:paraId="32560BBB" w14:textId="40CC6E9C"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00F15236">
        <w:rPr>
          <w:rFonts w:asciiTheme="majorBidi" w:eastAsia="Times New Roman" w:hAnsiTheme="majorBidi" w:cstheme="majorBidi"/>
          <w:sz w:val="18"/>
          <w:szCs w:val="18"/>
          <w:shd w:val="clear" w:color="auto" w:fill="FFFFFF"/>
          <w:lang w:val="en-US"/>
        </w:rPr>
        <w:t xml:space="preserve"> </w:t>
      </w:r>
      <w:r w:rsidR="00F15236">
        <w:rPr>
          <w:rFonts w:asciiTheme="majorBidi" w:eastAsia="Times New Roman" w:hAnsiTheme="majorBidi" w:cstheme="majorBidi"/>
          <w:sz w:val="18"/>
          <w:szCs w:val="18"/>
          <w:shd w:val="clear" w:color="auto" w:fill="FFFFFF"/>
          <w:lang w:val="en-US"/>
        </w:rPr>
        <w:tab/>
        <w:t>A/HRC/37/42, para.</w:t>
      </w:r>
      <w:r w:rsidRPr="00B70F44">
        <w:rPr>
          <w:rFonts w:asciiTheme="majorBidi" w:eastAsia="Times New Roman" w:hAnsiTheme="majorBidi" w:cstheme="majorBidi"/>
          <w:sz w:val="18"/>
          <w:szCs w:val="18"/>
          <w:shd w:val="clear" w:color="auto" w:fill="FFFFFF"/>
          <w:lang w:val="en-US"/>
        </w:rPr>
        <w:t>27-32.</w:t>
      </w:r>
    </w:p>
  </w:footnote>
  <w:footnote w:id="37">
    <w:p w14:paraId="505E3017" w14:textId="205628C0"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Art. 9(3) ICCPR.</w:t>
      </w:r>
    </w:p>
  </w:footnote>
  <w:footnote w:id="38">
    <w:p w14:paraId="5A5776FD" w14:textId="58D51B0B"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00F15236">
        <w:rPr>
          <w:rFonts w:asciiTheme="majorBidi" w:eastAsia="Times New Roman" w:hAnsiTheme="majorBidi" w:cstheme="majorBidi"/>
          <w:sz w:val="18"/>
          <w:szCs w:val="18"/>
          <w:shd w:val="clear" w:color="auto" w:fill="FFFFFF"/>
          <w:lang w:val="en-US"/>
        </w:rPr>
        <w:t xml:space="preserve"> </w:t>
      </w:r>
      <w:r w:rsidR="00F15236">
        <w:rPr>
          <w:rFonts w:asciiTheme="majorBidi" w:eastAsia="Times New Roman" w:hAnsiTheme="majorBidi" w:cstheme="majorBidi"/>
          <w:sz w:val="18"/>
          <w:szCs w:val="18"/>
          <w:shd w:val="clear" w:color="auto" w:fill="FFFFFF"/>
          <w:lang w:val="en-US"/>
        </w:rPr>
        <w:tab/>
        <w:t>A/HRC/37/42, para.</w:t>
      </w:r>
      <w:r w:rsidRPr="00B70F44">
        <w:rPr>
          <w:rFonts w:asciiTheme="majorBidi" w:eastAsia="Times New Roman" w:hAnsiTheme="majorBidi" w:cstheme="majorBidi"/>
          <w:sz w:val="18"/>
          <w:szCs w:val="18"/>
          <w:shd w:val="clear" w:color="auto" w:fill="FFFFFF"/>
          <w:lang w:val="en-US"/>
        </w:rPr>
        <w:t>55.</w:t>
      </w:r>
    </w:p>
  </w:footnote>
  <w:footnote w:id="39">
    <w:p w14:paraId="7FE12836" w14:textId="0380618E"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A/HRC/37/42, para.18.</w:t>
      </w:r>
    </w:p>
  </w:footnote>
  <w:footnote w:id="40">
    <w:p w14:paraId="3959E3E3" w14:textId="38DF9238"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A/HRC/34/38 and A/HRC/37/42.</w:t>
      </w:r>
    </w:p>
  </w:footnote>
  <w:footnote w:id="41">
    <w:p w14:paraId="63A737A1" w14:textId="275D79EC" w:rsidR="006874EC" w:rsidRPr="00B70F44" w:rsidRDefault="006874EC" w:rsidP="002A0BE7">
      <w:pPr>
        <w:pStyle w:val="FootnoteText"/>
        <w:tabs>
          <w:tab w:val="right" w:pos="1021"/>
        </w:tabs>
        <w:spacing w:line="220" w:lineRule="exact"/>
        <w:ind w:left="1134" w:right="1134" w:hanging="1134"/>
        <w:rPr>
          <w:rFonts w:ascii="Times New Roman" w:hAnsi="Times New Roman" w:cs="Times New Roman"/>
          <w:sz w:val="18"/>
          <w:szCs w:val="18"/>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hyperlink r:id="rId4" w:history="1">
        <w:r w:rsidRPr="00B70F44">
          <w:rPr>
            <w:rFonts w:asciiTheme="majorBidi" w:eastAsia="Times New Roman" w:hAnsiTheme="majorBidi" w:cstheme="majorBidi"/>
            <w:sz w:val="18"/>
            <w:szCs w:val="18"/>
            <w:shd w:val="clear" w:color="auto" w:fill="FFFFFF"/>
            <w:lang w:val="en-US"/>
          </w:rPr>
          <w:t>http://www.militarycourtwatch.org/files/server/BRIEFING%20PAPER%20-%20FEB%202018.pdf</w:t>
        </w:r>
      </w:hyperlink>
      <w:r w:rsidR="008E58F2">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w:t>
      </w:r>
    </w:p>
  </w:footnote>
  <w:footnote w:id="42">
    <w:p w14:paraId="4BFDADEE" w14:textId="2D91B350"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00F15236">
        <w:rPr>
          <w:rFonts w:asciiTheme="majorBidi" w:eastAsia="Times New Roman" w:hAnsiTheme="majorBidi" w:cstheme="majorBidi"/>
          <w:sz w:val="18"/>
          <w:szCs w:val="18"/>
          <w:shd w:val="clear" w:color="auto" w:fill="FFFFFF"/>
          <w:lang w:val="en-US"/>
        </w:rPr>
        <w:t xml:space="preserve"> </w:t>
      </w:r>
      <w:r w:rsidR="00F15236">
        <w:rPr>
          <w:rFonts w:asciiTheme="majorBidi" w:eastAsia="Times New Roman" w:hAnsiTheme="majorBidi" w:cstheme="majorBidi"/>
          <w:sz w:val="18"/>
          <w:szCs w:val="18"/>
          <w:shd w:val="clear" w:color="auto" w:fill="FFFFFF"/>
          <w:lang w:val="en-US"/>
        </w:rPr>
        <w:tab/>
        <w:t>Art. 3(1),</w:t>
      </w:r>
      <w:r w:rsidRPr="00B70F44">
        <w:rPr>
          <w:rFonts w:asciiTheme="majorBidi" w:eastAsia="Times New Roman" w:hAnsiTheme="majorBidi" w:cstheme="majorBidi"/>
          <w:sz w:val="18"/>
          <w:szCs w:val="18"/>
          <w:shd w:val="clear" w:color="auto" w:fill="FFFFFF"/>
          <w:lang w:val="en-US"/>
        </w:rPr>
        <w:t>37(b) CRC</w:t>
      </w:r>
      <w:r>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https://www.ohchr.org/EN/NewsEvents/Pages/DisplayNews.aspx?NewsID=22590&amp;LangID=E</w:t>
      </w:r>
      <w:r w:rsidR="008E58F2">
        <w:rPr>
          <w:rFonts w:asciiTheme="majorBidi" w:eastAsia="Times New Roman" w:hAnsiTheme="majorBidi" w:cstheme="majorBidi"/>
          <w:sz w:val="18"/>
          <w:szCs w:val="18"/>
          <w:shd w:val="clear" w:color="auto" w:fill="FFFFFF"/>
          <w:lang w:val="en-US"/>
        </w:rPr>
        <w:t>.</w:t>
      </w:r>
    </w:p>
  </w:footnote>
  <w:footnote w:id="43">
    <w:p w14:paraId="5E066D7C" w14:textId="68A631C2" w:rsidR="006874EC" w:rsidRPr="0092240B"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fr-CH"/>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92240B">
        <w:rPr>
          <w:rFonts w:asciiTheme="majorBidi" w:eastAsia="Times New Roman" w:hAnsiTheme="majorBidi" w:cstheme="majorBidi"/>
          <w:sz w:val="18"/>
          <w:szCs w:val="18"/>
          <w:shd w:val="clear" w:color="auto" w:fill="FFFFFF"/>
          <w:lang w:val="fr-CH"/>
        </w:rPr>
        <w:t xml:space="preserve"> </w:t>
      </w:r>
      <w:r w:rsidRPr="0092240B">
        <w:rPr>
          <w:rFonts w:asciiTheme="majorBidi" w:eastAsia="Times New Roman" w:hAnsiTheme="majorBidi" w:cstheme="majorBidi"/>
          <w:sz w:val="18"/>
          <w:szCs w:val="18"/>
          <w:shd w:val="clear" w:color="auto" w:fill="FFFFFF"/>
          <w:lang w:val="fr-CH"/>
        </w:rPr>
        <w:tab/>
        <w:t>PCATI.</w:t>
      </w:r>
    </w:p>
  </w:footnote>
  <w:footnote w:id="44">
    <w:p w14:paraId="37A308B6" w14:textId="19C5713E" w:rsidR="006874EC" w:rsidRPr="00FD016A"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fr-CH"/>
        </w:rPr>
      </w:pPr>
      <w:r w:rsidRPr="0092240B">
        <w:rPr>
          <w:rFonts w:asciiTheme="majorBidi" w:eastAsia="Times New Roman" w:hAnsiTheme="majorBidi" w:cstheme="majorBidi"/>
          <w:sz w:val="18"/>
          <w:szCs w:val="18"/>
          <w:shd w:val="clear" w:color="auto" w:fill="FFFFFF"/>
          <w:lang w:val="fr-CH"/>
        </w:rPr>
        <w:tab/>
      </w:r>
      <w:r w:rsidRPr="00B70F44">
        <w:rPr>
          <w:rFonts w:asciiTheme="majorBidi" w:eastAsia="Times New Roman" w:hAnsiTheme="majorBidi" w:cstheme="majorBidi"/>
          <w:sz w:val="18"/>
          <w:szCs w:val="18"/>
          <w:shd w:val="clear" w:color="auto" w:fill="FFFFFF"/>
          <w:vertAlign w:val="superscript"/>
          <w:lang w:val="en-US"/>
        </w:rPr>
        <w:footnoteRef/>
      </w:r>
      <w:r w:rsidRPr="0092240B">
        <w:rPr>
          <w:rFonts w:asciiTheme="majorBidi" w:eastAsia="Times New Roman" w:hAnsiTheme="majorBidi" w:cstheme="majorBidi"/>
          <w:sz w:val="18"/>
          <w:szCs w:val="18"/>
          <w:shd w:val="clear" w:color="auto" w:fill="FFFFFF"/>
          <w:lang w:val="fr-CH"/>
        </w:rPr>
        <w:t xml:space="preserve"> </w:t>
      </w:r>
      <w:r w:rsidRPr="0092240B">
        <w:rPr>
          <w:rFonts w:asciiTheme="majorBidi" w:eastAsia="Times New Roman" w:hAnsiTheme="majorBidi" w:cstheme="majorBidi"/>
          <w:sz w:val="18"/>
          <w:szCs w:val="18"/>
          <w:shd w:val="clear" w:color="auto" w:fill="FFFFFF"/>
          <w:lang w:val="fr-CH"/>
        </w:rPr>
        <w:tab/>
      </w:r>
      <w:hyperlink r:id="rId5" w:history="1">
        <w:r w:rsidRPr="00A230DA">
          <w:rPr>
            <w:rFonts w:asciiTheme="majorBidi" w:hAnsiTheme="majorBidi"/>
            <w:sz w:val="18"/>
            <w:shd w:val="clear" w:color="auto" w:fill="FFFFFF"/>
            <w:lang w:val="en-US"/>
          </w:rPr>
          <w:t>http://stoptorture.org.il/wp-content/uploads/2018/07/SitRep2018.pdf</w:t>
        </w:r>
      </w:hyperlink>
      <w:r w:rsidR="008E58F2">
        <w:rPr>
          <w:rFonts w:asciiTheme="majorBidi" w:hAnsiTheme="majorBidi"/>
          <w:sz w:val="18"/>
          <w:shd w:val="clear" w:color="auto" w:fill="FFFFFF"/>
          <w:lang w:val="en-US"/>
        </w:rPr>
        <w:t>.</w:t>
      </w:r>
      <w:r w:rsidRPr="00A230DA">
        <w:rPr>
          <w:rFonts w:asciiTheme="majorBidi" w:hAnsiTheme="majorBidi"/>
          <w:sz w:val="18"/>
          <w:shd w:val="clear" w:color="auto" w:fill="FFFFFF"/>
          <w:lang w:val="en-US"/>
        </w:rPr>
        <w:t xml:space="preserve"> </w:t>
      </w:r>
    </w:p>
  </w:footnote>
  <w:footnote w:id="45">
    <w:p w14:paraId="700BE1E6" w14:textId="11B6354F"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A230DA">
        <w:rPr>
          <w:rFonts w:asciiTheme="majorBidi" w:hAnsiTheme="majorBidi"/>
          <w:sz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 xml:space="preserve">61 Palestinians died in Israeli custody </w:t>
      </w:r>
      <w:r>
        <w:rPr>
          <w:rFonts w:asciiTheme="majorBidi" w:eastAsia="Times New Roman" w:hAnsiTheme="majorBidi" w:cstheme="majorBidi"/>
          <w:sz w:val="18"/>
          <w:szCs w:val="18"/>
          <w:shd w:val="clear" w:color="auto" w:fill="FFFFFF"/>
          <w:lang w:val="en-US"/>
        </w:rPr>
        <w:t>since 1967 due to</w:t>
      </w:r>
      <w:r w:rsidR="00F15236">
        <w:rPr>
          <w:rFonts w:asciiTheme="majorBidi" w:eastAsia="Times New Roman" w:hAnsiTheme="majorBidi" w:cstheme="majorBidi"/>
          <w:sz w:val="18"/>
          <w:szCs w:val="18"/>
          <w:shd w:val="clear" w:color="auto" w:fill="FFFFFF"/>
          <w:lang w:val="en-US"/>
        </w:rPr>
        <w:t xml:space="preserve"> medical negligence.</w:t>
      </w:r>
      <w:r w:rsidRPr="00B70F44">
        <w:rPr>
          <w:rFonts w:asciiTheme="majorBidi" w:eastAsia="Times New Roman" w:hAnsiTheme="majorBidi" w:cstheme="majorBidi"/>
          <w:sz w:val="18"/>
          <w:szCs w:val="18"/>
          <w:shd w:val="clear" w:color="auto" w:fill="FFFFFF"/>
          <w:lang w:val="en-US"/>
        </w:rPr>
        <w:t xml:space="preserve"> </w:t>
      </w:r>
      <w:hyperlink r:id="rId6" w:history="1">
        <w:r w:rsidRPr="00B70F44">
          <w:rPr>
            <w:rFonts w:asciiTheme="majorBidi" w:eastAsia="Times New Roman" w:hAnsiTheme="majorBidi" w:cstheme="majorBidi"/>
            <w:sz w:val="18"/>
            <w:szCs w:val="18"/>
            <w:shd w:val="clear" w:color="auto" w:fill="FFFFFF"/>
            <w:lang w:val="en-US"/>
          </w:rPr>
          <w:t>http://www.addameer.org/publications/joint-report-occupation-forces-arrested-3500-palestinians-during-first-half-2018</w:t>
        </w:r>
      </w:hyperlink>
      <w:r w:rsidR="008E58F2">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w:t>
      </w:r>
    </w:p>
  </w:footnote>
  <w:footnote w:id="46">
    <w:p w14:paraId="23635528" w14:textId="3B112333"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Pr>
          <w:rFonts w:asciiTheme="majorBidi" w:eastAsia="Times New Roman" w:hAnsiTheme="majorBidi" w:cstheme="majorBidi"/>
          <w:sz w:val="18"/>
          <w:szCs w:val="18"/>
          <w:shd w:val="clear" w:color="auto" w:fill="FFFFFF"/>
          <w:lang w:val="en-US"/>
        </w:rPr>
        <w:tab/>
      </w:r>
      <w:r w:rsidRPr="0092240B">
        <w:rPr>
          <w:rFonts w:asciiTheme="majorBidi" w:eastAsia="Times New Roman" w:hAnsiTheme="majorBidi" w:cstheme="majorBidi"/>
          <w:sz w:val="18"/>
          <w:szCs w:val="18"/>
          <w:shd w:val="clear" w:color="auto" w:fill="FFFFFF"/>
          <w:vertAlign w:val="superscript"/>
          <w:lang w:val="en-US"/>
        </w:rPr>
        <w:footnoteRef/>
      </w:r>
      <w:r>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https://www.btselem.org/routine_founded_on_violence/20181111_palestinians_arrested_to_pressure_relatives</w:t>
      </w:r>
    </w:p>
  </w:footnote>
  <w:footnote w:id="47">
    <w:p w14:paraId="56D48B6D" w14:textId="328366F7"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A/73/420, para.60-61.</w:t>
      </w:r>
    </w:p>
  </w:footnote>
  <w:footnote w:id="48">
    <w:p w14:paraId="157C1DBB" w14:textId="284C72EF"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For further information on measures targeting human rights defenders</w:t>
      </w:r>
      <w:r w:rsidR="00F15236">
        <w:rPr>
          <w:rFonts w:asciiTheme="majorBidi" w:eastAsia="Times New Roman" w:hAnsiTheme="majorBidi" w:cstheme="majorBidi"/>
          <w:sz w:val="18"/>
          <w:szCs w:val="18"/>
          <w:shd w:val="clear" w:color="auto" w:fill="FFFFFF"/>
          <w:lang w:val="en-US"/>
        </w:rPr>
        <w:t xml:space="preserve"> see </w:t>
      </w:r>
      <w:r w:rsidRPr="00B70F44">
        <w:rPr>
          <w:rFonts w:asciiTheme="majorBidi" w:eastAsia="Times New Roman" w:hAnsiTheme="majorBidi" w:cstheme="majorBidi"/>
          <w:sz w:val="18"/>
          <w:szCs w:val="18"/>
          <w:shd w:val="clear" w:color="auto" w:fill="FFFFFF"/>
          <w:lang w:val="en-US"/>
        </w:rPr>
        <w:t>A/HRC/40/43.</w:t>
      </w:r>
    </w:p>
  </w:footnote>
  <w:footnote w:id="49">
    <w:p w14:paraId="7C7B9697" w14:textId="521CD547"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hyperlink r:id="rId7" w:history="1">
        <w:r w:rsidRPr="00B70F44">
          <w:rPr>
            <w:rFonts w:asciiTheme="majorBidi" w:eastAsia="Times New Roman" w:hAnsiTheme="majorBidi" w:cstheme="majorBidi"/>
            <w:sz w:val="18"/>
            <w:szCs w:val="18"/>
            <w:shd w:val="clear" w:color="auto" w:fill="FFFFFF"/>
            <w:lang w:val="en-US"/>
          </w:rPr>
          <w:t>https://www.timesofisrael.com/netanyahu-denounces-btselem-chiefs-un-speech-as-full-of-lies/</w:t>
        </w:r>
      </w:hyperlink>
      <w:r w:rsidR="008E58F2">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w:t>
      </w:r>
    </w:p>
  </w:footnote>
  <w:footnote w:id="50">
    <w:p w14:paraId="6794CFA1" w14:textId="3BD6613E"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hyperlink r:id="rId8" w:history="1">
        <w:r w:rsidRPr="00B70F44">
          <w:rPr>
            <w:rFonts w:asciiTheme="majorBidi" w:eastAsia="Times New Roman" w:hAnsiTheme="majorBidi" w:cstheme="majorBidi"/>
            <w:sz w:val="18"/>
            <w:szCs w:val="18"/>
            <w:shd w:val="clear" w:color="auto" w:fill="FFFFFF"/>
            <w:lang w:val="en-US"/>
          </w:rPr>
          <w:t>http://www.israelnationalnews.com/News/News.aspx/241457</w:t>
        </w:r>
      </w:hyperlink>
      <w:r w:rsidR="008E58F2">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w:t>
      </w:r>
    </w:p>
  </w:footnote>
  <w:footnote w:id="51">
    <w:p w14:paraId="05FDEC66" w14:textId="42B065BC"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00F15236">
        <w:rPr>
          <w:rFonts w:asciiTheme="majorBidi" w:eastAsia="Times New Roman" w:hAnsiTheme="majorBidi" w:cstheme="majorBidi"/>
          <w:sz w:val="18"/>
          <w:szCs w:val="18"/>
          <w:shd w:val="clear" w:color="auto" w:fill="FFFFFF"/>
          <w:lang w:val="en-US"/>
        </w:rPr>
        <w:t xml:space="preserve"> </w:t>
      </w:r>
      <w:r w:rsidR="00F15236">
        <w:rPr>
          <w:rFonts w:asciiTheme="majorBidi" w:eastAsia="Times New Roman" w:hAnsiTheme="majorBidi" w:cstheme="majorBidi"/>
          <w:sz w:val="18"/>
          <w:szCs w:val="18"/>
          <w:shd w:val="clear" w:color="auto" w:fill="FFFFFF"/>
          <w:lang w:val="en-US"/>
        </w:rPr>
        <w:tab/>
        <w:t>See para.</w:t>
      </w:r>
      <w:r w:rsidRPr="00B70F44">
        <w:rPr>
          <w:rFonts w:asciiTheme="majorBidi" w:eastAsia="Times New Roman" w:hAnsiTheme="majorBidi" w:cstheme="majorBidi"/>
          <w:sz w:val="18"/>
          <w:szCs w:val="18"/>
          <w:shd w:val="clear" w:color="auto" w:fill="FFFFFF"/>
          <w:lang w:val="en-US"/>
        </w:rPr>
        <w:t>28.</w:t>
      </w:r>
    </w:p>
  </w:footnote>
  <w:footnote w:id="52">
    <w:p w14:paraId="10962B44" w14:textId="65BF831A"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Communication fr</w:t>
      </w:r>
      <w:r>
        <w:rPr>
          <w:rFonts w:asciiTheme="majorBidi" w:eastAsia="Times New Roman" w:hAnsiTheme="majorBidi" w:cstheme="majorBidi"/>
          <w:sz w:val="18"/>
          <w:szCs w:val="18"/>
          <w:shd w:val="clear" w:color="auto" w:fill="FFFFFF"/>
          <w:lang w:val="en-US"/>
        </w:rPr>
        <w:t>o</w:t>
      </w:r>
      <w:r w:rsidRPr="00B70F44">
        <w:rPr>
          <w:rFonts w:asciiTheme="majorBidi" w:eastAsia="Times New Roman" w:hAnsiTheme="majorBidi" w:cstheme="majorBidi"/>
          <w:sz w:val="18"/>
          <w:szCs w:val="18"/>
          <w:shd w:val="clear" w:color="auto" w:fill="FFFFFF"/>
          <w:lang w:val="en-US"/>
        </w:rPr>
        <w:t>m Mada Cent</w:t>
      </w:r>
      <w:r>
        <w:rPr>
          <w:rFonts w:asciiTheme="majorBidi" w:eastAsia="Times New Roman" w:hAnsiTheme="majorBidi" w:cstheme="majorBidi"/>
          <w:sz w:val="18"/>
          <w:szCs w:val="18"/>
          <w:shd w:val="clear" w:color="auto" w:fill="FFFFFF"/>
          <w:lang w:val="en-US"/>
        </w:rPr>
        <w:t>e</w:t>
      </w:r>
      <w:r w:rsidRPr="00B70F44">
        <w:rPr>
          <w:rFonts w:asciiTheme="majorBidi" w:eastAsia="Times New Roman" w:hAnsiTheme="majorBidi" w:cstheme="majorBidi"/>
          <w:sz w:val="18"/>
          <w:szCs w:val="18"/>
          <w:shd w:val="clear" w:color="auto" w:fill="FFFFFF"/>
          <w:lang w:val="en-US"/>
        </w:rPr>
        <w:t>r.</w:t>
      </w:r>
    </w:p>
  </w:footnote>
  <w:footnote w:id="53">
    <w:p w14:paraId="55771AA7" w14:textId="45072F9E" w:rsidR="006874EC" w:rsidRPr="00B70F44" w:rsidRDefault="006874EC" w:rsidP="002A0BE7">
      <w:pPr>
        <w:pStyle w:val="FootnoteText"/>
        <w:tabs>
          <w:tab w:val="right" w:pos="1021"/>
        </w:tabs>
        <w:spacing w:line="220" w:lineRule="exact"/>
        <w:ind w:left="1134" w:right="1134" w:hanging="1134"/>
        <w:rPr>
          <w:rFonts w:ascii="Times New Roman" w:hAnsi="Times New Roman" w:cs="Times New Roman"/>
          <w:sz w:val="18"/>
          <w:szCs w:val="18"/>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hyperlink r:id="rId9" w:history="1">
        <w:r w:rsidRPr="00B70F44">
          <w:rPr>
            <w:rFonts w:asciiTheme="majorBidi" w:eastAsia="Times New Roman" w:hAnsiTheme="majorBidi" w:cstheme="majorBidi"/>
            <w:sz w:val="18"/>
            <w:szCs w:val="18"/>
            <w:shd w:val="clear" w:color="auto" w:fill="FFFFFF"/>
            <w:lang w:val="en-US"/>
          </w:rPr>
          <w:t>https://twitter.com/AvigdorLiberman/status/985845422739607558</w:t>
        </w:r>
      </w:hyperlink>
      <w:r w:rsidR="008E58F2">
        <w:rPr>
          <w:rFonts w:asciiTheme="majorBidi" w:eastAsia="Times New Roman" w:hAnsiTheme="majorBidi" w:cstheme="majorBidi"/>
          <w:sz w:val="18"/>
          <w:szCs w:val="18"/>
          <w:shd w:val="clear" w:color="auto" w:fill="FFFFFF"/>
          <w:lang w:val="en-US"/>
        </w:rPr>
        <w:t>.</w:t>
      </w:r>
      <w:r w:rsidRPr="00B70F44">
        <w:rPr>
          <w:rFonts w:ascii="Times New Roman" w:hAnsi="Times New Roman" w:cs="Times New Roman"/>
          <w:sz w:val="18"/>
          <w:szCs w:val="18"/>
        </w:rPr>
        <w:t xml:space="preserve"> </w:t>
      </w:r>
    </w:p>
  </w:footnote>
  <w:footnote w:id="54">
    <w:p w14:paraId="65579F4E" w14:textId="78EF0CD3"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ab/>
        <w:t>A/73/420</w:t>
      </w:r>
      <w:r w:rsidR="00F15236">
        <w:rPr>
          <w:rFonts w:asciiTheme="majorBidi" w:eastAsia="Times New Roman" w:hAnsiTheme="majorBidi" w:cstheme="majorBidi"/>
          <w:sz w:val="18"/>
          <w:szCs w:val="18"/>
          <w:shd w:val="clear" w:color="auto" w:fill="FFFFFF"/>
          <w:lang w:val="en-US"/>
        </w:rPr>
        <w:t>, para.</w:t>
      </w:r>
      <w:r w:rsidRPr="00B70F44">
        <w:rPr>
          <w:rFonts w:asciiTheme="majorBidi" w:eastAsia="Times New Roman" w:hAnsiTheme="majorBidi" w:cstheme="majorBidi"/>
          <w:sz w:val="18"/>
          <w:szCs w:val="18"/>
          <w:shd w:val="clear" w:color="auto" w:fill="FFFFFF"/>
          <w:lang w:val="en-US"/>
        </w:rPr>
        <w:t>25.</w:t>
      </w:r>
    </w:p>
  </w:footnote>
  <w:footnote w:id="55">
    <w:p w14:paraId="6D8771F6" w14:textId="17DD7F46" w:rsidR="006874EC" w:rsidRPr="00B70F44" w:rsidRDefault="006874EC" w:rsidP="00230205">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Pr="0092240B">
        <w:rPr>
          <w:rFonts w:asciiTheme="majorBidi" w:eastAsia="Times New Roman" w:hAnsiTheme="majorBidi" w:cstheme="majorBidi"/>
          <w:sz w:val="18"/>
          <w:szCs w:val="18"/>
          <w:shd w:val="clear" w:color="auto" w:fill="FFFFFF"/>
          <w:lang w:val="en-US"/>
        </w:rPr>
        <w:t>See also para</w:t>
      </w:r>
      <w:r w:rsidR="00F15236">
        <w:rPr>
          <w:rFonts w:asciiTheme="majorBidi" w:eastAsia="Times New Roman" w:hAnsiTheme="majorBidi" w:cstheme="majorBidi"/>
          <w:sz w:val="18"/>
          <w:szCs w:val="18"/>
          <w:shd w:val="clear" w:color="auto" w:fill="FFFFFF"/>
          <w:lang w:val="en-US"/>
        </w:rPr>
        <w:t>.</w:t>
      </w:r>
      <w:r w:rsidRPr="0092240B">
        <w:rPr>
          <w:rFonts w:asciiTheme="majorBidi" w:eastAsia="Times New Roman" w:hAnsiTheme="majorBidi" w:cstheme="majorBidi"/>
          <w:sz w:val="18"/>
          <w:szCs w:val="18"/>
          <w:shd w:val="clear" w:color="auto" w:fill="FFFFFF"/>
          <w:lang w:val="en-US"/>
        </w:rPr>
        <w:t>10</w:t>
      </w:r>
      <w:r w:rsidRPr="00B70F44">
        <w:rPr>
          <w:rFonts w:asciiTheme="majorBidi" w:eastAsia="Times New Roman" w:hAnsiTheme="majorBidi" w:cstheme="majorBidi"/>
          <w:sz w:val="18"/>
          <w:szCs w:val="18"/>
          <w:shd w:val="clear" w:color="auto" w:fill="FFFFFF"/>
          <w:lang w:val="en-US"/>
        </w:rPr>
        <w:t xml:space="preserve">. </w:t>
      </w:r>
    </w:p>
  </w:footnote>
  <w:footnote w:id="56">
    <w:p w14:paraId="002BE986" w14:textId="44625A25"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lang w:val="en-US"/>
        </w:rPr>
        <w:t>A/HRC/37/38</w:t>
      </w:r>
      <w:r>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para.</w:t>
      </w:r>
      <w:r w:rsidR="00F15236">
        <w:rPr>
          <w:rFonts w:asciiTheme="majorBidi" w:eastAsia="Times New Roman" w:hAnsiTheme="majorBidi" w:cstheme="majorBidi"/>
          <w:sz w:val="18"/>
          <w:szCs w:val="18"/>
          <w:shd w:val="clear" w:color="auto" w:fill="FFFFFF"/>
          <w:lang w:val="en-US"/>
        </w:rPr>
        <w:t>45;</w:t>
      </w:r>
      <w:r w:rsidRPr="00B70F44">
        <w:rPr>
          <w:rFonts w:asciiTheme="majorBidi" w:eastAsia="Times New Roman" w:hAnsiTheme="majorBidi" w:cstheme="majorBidi"/>
          <w:sz w:val="18"/>
          <w:szCs w:val="18"/>
          <w:shd w:val="clear" w:color="auto" w:fill="FFFFFF"/>
          <w:lang w:val="en-US"/>
        </w:rPr>
        <w:t xml:space="preserve"> A/73/42</w:t>
      </w:r>
      <w:r>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para.</w:t>
      </w:r>
      <w:r w:rsidRPr="00B70F44">
        <w:rPr>
          <w:rFonts w:asciiTheme="majorBidi" w:eastAsia="Times New Roman" w:hAnsiTheme="majorBidi" w:cstheme="majorBidi"/>
          <w:sz w:val="18"/>
          <w:szCs w:val="18"/>
          <w:shd w:val="clear" w:color="auto" w:fill="FFFFFF"/>
          <w:lang w:val="en-US"/>
        </w:rPr>
        <w:t>19</w:t>
      </w:r>
      <w:r>
        <w:rPr>
          <w:rFonts w:asciiTheme="majorBidi" w:eastAsia="Times New Roman" w:hAnsiTheme="majorBidi" w:cstheme="majorBidi"/>
          <w:sz w:val="18"/>
          <w:szCs w:val="18"/>
          <w:shd w:val="clear" w:color="auto" w:fill="FFFFFF"/>
          <w:lang w:val="en-US"/>
        </w:rPr>
        <w:t>.</w:t>
      </w:r>
    </w:p>
  </w:footnote>
  <w:footnote w:id="57">
    <w:p w14:paraId="2FAA7699" w14:textId="745E8AC6"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Only 74 out of 335 of such exit applications were approved, p</w:t>
      </w:r>
      <w:r>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5 http://www.emro.who.int/images/stories/palestine/documents/WHO_Health_Cluster_SitRep_23_Sep_-6_Oct_2018.pdf?ua=1</w:t>
      </w:r>
    </w:p>
  </w:footnote>
  <w:footnote w:id="58">
    <w:p w14:paraId="399498E9" w14:textId="1138A0BE"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Pr="0004601D">
        <w:rPr>
          <w:rFonts w:asciiTheme="majorBidi" w:eastAsia="Times New Roman" w:hAnsiTheme="majorBidi" w:cstheme="majorBidi"/>
          <w:sz w:val="18"/>
          <w:szCs w:val="18"/>
          <w:shd w:val="clear" w:color="auto" w:fill="FFFFFF"/>
          <w:lang w:val="en-US"/>
        </w:rPr>
        <w:t>https://www.ochaopt.org/content/gaza-strip-early-warning-indicators-september-2018</w:t>
      </w:r>
      <w:r w:rsidRPr="00B70F44">
        <w:rPr>
          <w:rFonts w:asciiTheme="majorBidi" w:eastAsia="Times New Roman" w:hAnsiTheme="majorBidi" w:cstheme="majorBidi"/>
          <w:sz w:val="18"/>
          <w:szCs w:val="18"/>
          <w:shd w:val="clear" w:color="auto" w:fill="FFFFFF"/>
          <w:lang w:val="en-US"/>
        </w:rPr>
        <w:t xml:space="preserve">. </w:t>
      </w:r>
    </w:p>
  </w:footnote>
  <w:footnote w:id="59">
    <w:p w14:paraId="3A789D6D" w14:textId="3F120750"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A/73/420 para</w:t>
      </w:r>
      <w:r w:rsidR="00F15236">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20-21</w:t>
      </w:r>
      <w:r>
        <w:rPr>
          <w:rFonts w:asciiTheme="majorBidi" w:eastAsia="Times New Roman" w:hAnsiTheme="majorBidi" w:cstheme="majorBidi"/>
          <w:sz w:val="18"/>
          <w:szCs w:val="18"/>
          <w:shd w:val="clear" w:color="auto" w:fill="FFFFFF"/>
          <w:lang w:val="en-US"/>
        </w:rPr>
        <w:t>.</w:t>
      </w:r>
    </w:p>
  </w:footnote>
  <w:footnote w:id="60">
    <w:p w14:paraId="3DCB66CE" w14:textId="27401069"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 xml:space="preserve">A/73/420, para.18. </w:t>
      </w:r>
    </w:p>
  </w:footnote>
  <w:footnote w:id="61">
    <w:p w14:paraId="3F33D357" w14:textId="4699AFDD"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Pr="0004601D">
        <w:rPr>
          <w:rFonts w:asciiTheme="majorBidi" w:eastAsia="Times New Roman" w:hAnsiTheme="majorBidi" w:cstheme="majorBidi"/>
          <w:sz w:val="18"/>
          <w:szCs w:val="18"/>
          <w:shd w:val="clear" w:color="auto" w:fill="FFFFFF"/>
          <w:lang w:val="en-US"/>
        </w:rPr>
        <w:t>https://www.ochaopt.org/content/gaza-crossings-operations-status-monthly-update-september-2018</w:t>
      </w:r>
      <w:r w:rsidRPr="00B70F44">
        <w:rPr>
          <w:rFonts w:asciiTheme="majorBidi" w:eastAsia="Times New Roman" w:hAnsiTheme="majorBidi" w:cstheme="majorBidi"/>
          <w:sz w:val="18"/>
          <w:szCs w:val="18"/>
          <w:shd w:val="clear" w:color="auto" w:fill="FFFFFF"/>
          <w:lang w:val="en-US"/>
        </w:rPr>
        <w:t xml:space="preserve">. </w:t>
      </w:r>
    </w:p>
  </w:footnote>
  <w:footnote w:id="62">
    <w:p w14:paraId="0F5F3740" w14:textId="6C205922"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W</w:t>
      </w:r>
      <w:r>
        <w:rPr>
          <w:rFonts w:asciiTheme="majorBidi" w:eastAsia="Times New Roman" w:hAnsiTheme="majorBidi" w:cstheme="majorBidi"/>
          <w:sz w:val="18"/>
          <w:szCs w:val="18"/>
          <w:shd w:val="clear" w:color="auto" w:fill="FFFFFF"/>
          <w:lang w:val="en-US"/>
        </w:rPr>
        <w:t>orld Bank</w:t>
      </w:r>
      <w:r w:rsidRPr="00B70F44">
        <w:rPr>
          <w:rFonts w:asciiTheme="majorBidi" w:eastAsia="Times New Roman" w:hAnsiTheme="majorBidi" w:cstheme="majorBidi"/>
          <w:sz w:val="18"/>
          <w:szCs w:val="18"/>
          <w:shd w:val="clear" w:color="auto" w:fill="FFFFFF"/>
          <w:lang w:val="en-US"/>
        </w:rPr>
        <w:t>, p</w:t>
      </w:r>
      <w:r>
        <w:rPr>
          <w:rFonts w:asciiTheme="majorBidi" w:eastAsia="Times New Roman" w:hAnsiTheme="majorBidi" w:cstheme="majorBidi"/>
          <w:sz w:val="18"/>
          <w:szCs w:val="18"/>
          <w:shd w:val="clear" w:color="auto" w:fill="FFFFFF"/>
          <w:lang w:val="en-US"/>
        </w:rPr>
        <w:t>p.</w:t>
      </w:r>
      <w:r w:rsidRPr="00B70F44">
        <w:rPr>
          <w:rFonts w:asciiTheme="majorBidi" w:eastAsia="Times New Roman" w:hAnsiTheme="majorBidi" w:cstheme="majorBidi"/>
          <w:sz w:val="18"/>
          <w:szCs w:val="18"/>
          <w:shd w:val="clear" w:color="auto" w:fill="FFFFFF"/>
          <w:lang w:val="en-US"/>
        </w:rPr>
        <w:t>9</w:t>
      </w:r>
      <w:r w:rsidR="00F15236">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23.</w:t>
      </w:r>
    </w:p>
  </w:footnote>
  <w:footnote w:id="63">
    <w:p w14:paraId="52D74A4C" w14:textId="5CB77A81"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00F15236" w:rsidRPr="00F15236">
        <w:rPr>
          <w:rFonts w:asciiTheme="majorBidi" w:eastAsia="Times New Roman" w:hAnsiTheme="majorBidi" w:cstheme="majorBidi"/>
          <w:sz w:val="18"/>
          <w:szCs w:val="18"/>
          <w:shd w:val="clear" w:color="auto" w:fill="FFFFFF"/>
          <w:lang w:val="en-US"/>
        </w:rPr>
        <w:t>https://www.ochaopt.org/content/gaza-strip-early-warning-indicators-september-2018</w:t>
      </w:r>
      <w:r w:rsidRPr="00B70F44">
        <w:rPr>
          <w:rFonts w:asciiTheme="majorBidi" w:eastAsia="Times New Roman" w:hAnsiTheme="majorBidi" w:cstheme="majorBidi"/>
          <w:sz w:val="18"/>
          <w:szCs w:val="18"/>
          <w:shd w:val="clear" w:color="auto" w:fill="FFFFFF"/>
          <w:lang w:val="en-US"/>
        </w:rPr>
        <w:t xml:space="preserve">. </w:t>
      </w:r>
    </w:p>
  </w:footnote>
  <w:footnote w:id="64">
    <w:p w14:paraId="1F38BEDC" w14:textId="57AD5F67" w:rsidR="006874EC" w:rsidRPr="00B70F44" w:rsidRDefault="006874EC" w:rsidP="00230205">
      <w:pPr>
        <w:pStyle w:val="FootnoteText"/>
        <w:tabs>
          <w:tab w:val="right" w:pos="1021"/>
        </w:tabs>
        <w:spacing w:line="220" w:lineRule="exact"/>
        <w:ind w:left="1134" w:right="1134" w:hanging="1134"/>
        <w:rPr>
          <w:rFonts w:ascii="Times New Roman" w:hAnsi="Times New Roman" w:cs="Times New Roman"/>
          <w:sz w:val="18"/>
          <w:szCs w:val="18"/>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sidRPr="0004601D">
        <w:rPr>
          <w:rFonts w:asciiTheme="majorBidi" w:eastAsia="Times New Roman" w:hAnsiTheme="majorBidi" w:cstheme="majorBidi"/>
          <w:sz w:val="18"/>
          <w:szCs w:val="18"/>
          <w:shd w:val="clear" w:color="auto" w:fill="FFFFFF"/>
          <w:lang w:val="en-US"/>
        </w:rPr>
        <w:t>See para.74</w:t>
      </w:r>
      <w:r>
        <w:rPr>
          <w:rFonts w:asciiTheme="majorBidi" w:eastAsia="Times New Roman" w:hAnsiTheme="majorBidi" w:cstheme="majorBidi"/>
          <w:sz w:val="18"/>
          <w:szCs w:val="18"/>
          <w:shd w:val="clear" w:color="auto" w:fill="FFFFFF"/>
          <w:lang w:val="en-US"/>
        </w:rPr>
        <w:t xml:space="preserve"> </w:t>
      </w:r>
      <w:r w:rsidRPr="0004601D">
        <w:rPr>
          <w:rFonts w:asciiTheme="majorBidi" w:eastAsia="Times New Roman" w:hAnsiTheme="majorBidi" w:cstheme="majorBidi"/>
          <w:sz w:val="18"/>
          <w:szCs w:val="18"/>
          <w:shd w:val="clear" w:color="auto" w:fill="FFFFFF"/>
          <w:lang w:val="en-US"/>
        </w:rPr>
        <w:t>below.</w:t>
      </w:r>
      <w:r>
        <w:rPr>
          <w:rFonts w:asciiTheme="majorBidi" w:eastAsia="Times New Roman" w:hAnsiTheme="majorBidi" w:cstheme="majorBidi"/>
          <w:sz w:val="18"/>
          <w:szCs w:val="18"/>
          <w:shd w:val="clear" w:color="auto" w:fill="FFFFFF"/>
          <w:lang w:val="en-US"/>
        </w:rPr>
        <w:t xml:space="preserve"> </w:t>
      </w:r>
    </w:p>
  </w:footnote>
  <w:footnote w:id="65">
    <w:p w14:paraId="04A60B7F" w14:textId="219638BC"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hyperlink r:id="rId10" w:history="1">
        <w:r w:rsidRPr="00B70F44">
          <w:rPr>
            <w:rFonts w:asciiTheme="majorBidi" w:eastAsia="Times New Roman" w:hAnsiTheme="majorBidi" w:cstheme="majorBidi"/>
            <w:sz w:val="18"/>
            <w:szCs w:val="18"/>
            <w:shd w:val="clear" w:color="auto" w:fill="FFFFFF"/>
            <w:lang w:val="en-US"/>
          </w:rPr>
          <w:t>https://www.ochaopt.org/content/over-700-road-obstacles-control-palestinian-movement-within-west-bank</w:t>
        </w:r>
      </w:hyperlink>
      <w:r w:rsidRPr="00B70F44">
        <w:rPr>
          <w:rFonts w:asciiTheme="majorBidi" w:eastAsia="Times New Roman" w:hAnsiTheme="majorBidi" w:cstheme="majorBidi"/>
          <w:sz w:val="18"/>
          <w:szCs w:val="18"/>
          <w:shd w:val="clear" w:color="auto" w:fill="FFFFFF"/>
          <w:lang w:val="en-US"/>
        </w:rPr>
        <w:t xml:space="preserve"> </w:t>
      </w:r>
    </w:p>
  </w:footnote>
  <w:footnote w:id="66">
    <w:p w14:paraId="7113C0E7" w14:textId="3BF7CB3A"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Pr>
          <w:rFonts w:asciiTheme="majorBidi" w:eastAsia="Times New Roman" w:hAnsiTheme="majorBidi" w:cstheme="majorBidi"/>
          <w:sz w:val="18"/>
          <w:szCs w:val="18"/>
          <w:shd w:val="clear" w:color="auto" w:fill="FFFFFF"/>
          <w:lang w:val="en-US"/>
        </w:rPr>
        <w:t>See para.</w:t>
      </w:r>
      <w:r w:rsidR="00F15236">
        <w:rPr>
          <w:rFonts w:asciiTheme="majorBidi" w:eastAsia="Times New Roman" w:hAnsiTheme="majorBidi" w:cstheme="majorBidi"/>
          <w:sz w:val="18"/>
          <w:szCs w:val="18"/>
          <w:shd w:val="clear" w:color="auto" w:fill="FFFFFF"/>
          <w:lang w:val="en-US"/>
        </w:rPr>
        <w:t>13</w:t>
      </w:r>
      <w:r>
        <w:rPr>
          <w:rFonts w:asciiTheme="majorBidi" w:eastAsia="Times New Roman" w:hAnsiTheme="majorBidi" w:cstheme="majorBidi"/>
          <w:sz w:val="18"/>
          <w:szCs w:val="18"/>
          <w:shd w:val="clear" w:color="auto" w:fill="FFFFFF"/>
          <w:lang w:val="en-US"/>
        </w:rPr>
        <w:t>.</w:t>
      </w:r>
    </w:p>
  </w:footnote>
  <w:footnote w:id="67">
    <w:p w14:paraId="1DDC5FD9" w14:textId="2279A3F1"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r>
        <w:rPr>
          <w:rFonts w:asciiTheme="majorBidi" w:eastAsia="Times New Roman" w:hAnsiTheme="majorBidi" w:cstheme="majorBidi"/>
          <w:sz w:val="18"/>
          <w:szCs w:val="18"/>
          <w:shd w:val="clear" w:color="auto" w:fill="FFFFFF"/>
          <w:lang w:val="en-US"/>
        </w:rPr>
        <w:t>WHO.</w:t>
      </w:r>
    </w:p>
  </w:footnote>
  <w:footnote w:id="68">
    <w:p w14:paraId="2D763016" w14:textId="7313C4E5" w:rsidR="006874EC" w:rsidRPr="00B70F44" w:rsidRDefault="006874EC" w:rsidP="002A0BE7">
      <w:pPr>
        <w:pStyle w:val="FootnoteText"/>
        <w:tabs>
          <w:tab w:val="right" w:pos="1021"/>
        </w:tabs>
        <w:spacing w:line="220" w:lineRule="exact"/>
        <w:ind w:left="1134" w:right="1134" w:hanging="1134"/>
        <w:rPr>
          <w:rFonts w:ascii="Times New Roman" w:hAnsi="Times New Roman" w:cs="Times New Roman"/>
          <w:sz w:val="18"/>
          <w:szCs w:val="18"/>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ab/>
      </w:r>
      <w:r w:rsidR="00F15236">
        <w:rPr>
          <w:rFonts w:asciiTheme="majorBidi" w:eastAsia="Times New Roman" w:hAnsiTheme="majorBidi" w:cstheme="majorBidi"/>
          <w:sz w:val="18"/>
          <w:szCs w:val="18"/>
          <w:shd w:val="clear" w:color="auto" w:fill="FFFFFF"/>
          <w:lang w:val="en-US"/>
        </w:rPr>
        <w:t>A/HRC/40/42, para.</w:t>
      </w:r>
      <w:r w:rsidRPr="00B70F44">
        <w:rPr>
          <w:rFonts w:asciiTheme="majorBidi" w:eastAsia="Times New Roman" w:hAnsiTheme="majorBidi" w:cstheme="majorBidi"/>
          <w:sz w:val="18"/>
          <w:szCs w:val="18"/>
          <w:shd w:val="clear" w:color="auto" w:fill="FFFFFF"/>
          <w:lang w:val="en-US"/>
        </w:rPr>
        <w:t>39</w:t>
      </w:r>
      <w:r>
        <w:rPr>
          <w:rFonts w:asciiTheme="majorBidi" w:eastAsia="Times New Roman" w:hAnsiTheme="majorBidi" w:cstheme="majorBidi"/>
          <w:sz w:val="18"/>
          <w:szCs w:val="18"/>
          <w:shd w:val="clear" w:color="auto" w:fill="FFFFFF"/>
          <w:lang w:val="en-US"/>
        </w:rPr>
        <w:t>.</w:t>
      </w:r>
    </w:p>
  </w:footnote>
  <w:footnote w:id="69">
    <w:p w14:paraId="05B93AD5" w14:textId="26DBAD26"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A/HRC/37/42, para. 24-26</w:t>
      </w:r>
      <w:r w:rsidR="00D669CE">
        <w:rPr>
          <w:rFonts w:asciiTheme="majorBidi" w:eastAsia="Times New Roman" w:hAnsiTheme="majorBidi" w:cstheme="majorBidi"/>
          <w:sz w:val="18"/>
          <w:szCs w:val="18"/>
          <w:shd w:val="clear" w:color="auto" w:fill="FFFFFF"/>
          <w:lang w:val="en-US"/>
        </w:rPr>
        <w:t>.</w:t>
      </w:r>
    </w:p>
  </w:footnote>
  <w:footnote w:id="70">
    <w:p w14:paraId="1D024675" w14:textId="485E0AF4"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See A/HRC/34/38, para.</w:t>
      </w:r>
      <w:r w:rsidR="00F15236">
        <w:rPr>
          <w:rFonts w:asciiTheme="majorBidi" w:eastAsia="Times New Roman" w:hAnsiTheme="majorBidi" w:cstheme="majorBidi"/>
          <w:sz w:val="18"/>
          <w:szCs w:val="18"/>
          <w:shd w:val="clear" w:color="auto" w:fill="FFFFFF"/>
          <w:lang w:val="en-US"/>
        </w:rPr>
        <w:t>54; A/HRC/34/36, paras.55–58, 70–74; A/HRC/31/44, para.78; A/HRC/31/40, paras.56–58,</w:t>
      </w:r>
      <w:r w:rsidRPr="00B70F44">
        <w:rPr>
          <w:rFonts w:asciiTheme="majorBidi" w:eastAsia="Times New Roman" w:hAnsiTheme="majorBidi" w:cstheme="majorBidi"/>
          <w:sz w:val="18"/>
          <w:szCs w:val="18"/>
          <w:shd w:val="clear" w:color="auto" w:fill="FFFFFF"/>
          <w:lang w:val="en-US"/>
        </w:rPr>
        <w:t xml:space="preserve"> 69–70.</w:t>
      </w:r>
    </w:p>
  </w:footnote>
  <w:footnote w:id="71">
    <w:p w14:paraId="6040A6A7" w14:textId="48FB58AF"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 xml:space="preserve">A/HRC/37/42, para. 59-60. </w:t>
      </w:r>
    </w:p>
  </w:footnote>
  <w:footnote w:id="72">
    <w:p w14:paraId="383AE929" w14:textId="7D486993" w:rsidR="006874EC" w:rsidRPr="00B70F44" w:rsidRDefault="006874EC" w:rsidP="002A0BE7">
      <w:pPr>
        <w:pStyle w:val="FootnoteText"/>
        <w:tabs>
          <w:tab w:val="right" w:pos="1021"/>
        </w:tabs>
        <w:spacing w:line="220" w:lineRule="exact"/>
        <w:ind w:left="1134" w:right="1134" w:hanging="1134"/>
        <w:rPr>
          <w:rFonts w:ascii="Times New Roman" w:hAnsi="Times New Roman" w:cs="Times New Roman"/>
          <w:sz w:val="18"/>
          <w:szCs w:val="18"/>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OHCHR also observed very poor and inhumane conditions of detention, including overcrowded cells without proper ventilation and lighting, unhygienic conditions</w:t>
      </w:r>
      <w:r>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as well as detainees held in solitary confinement for prolonged periods.</w:t>
      </w:r>
    </w:p>
  </w:footnote>
  <w:footnote w:id="73">
    <w:p w14:paraId="67C51B88" w14:textId="6582A422"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 xml:space="preserve">This coordinating body </w:t>
      </w:r>
      <w:r>
        <w:rPr>
          <w:rFonts w:asciiTheme="majorBidi" w:eastAsia="Times New Roman" w:hAnsiTheme="majorBidi" w:cstheme="majorBidi"/>
          <w:sz w:val="18"/>
          <w:szCs w:val="18"/>
          <w:shd w:val="clear" w:color="auto" w:fill="FFFFFF"/>
          <w:lang w:val="en-US"/>
        </w:rPr>
        <w:t xml:space="preserve">is </w:t>
      </w:r>
      <w:r w:rsidRPr="00B70F44">
        <w:rPr>
          <w:rFonts w:asciiTheme="majorBidi" w:eastAsia="Times New Roman" w:hAnsiTheme="majorBidi" w:cstheme="majorBidi"/>
          <w:sz w:val="18"/>
          <w:szCs w:val="18"/>
          <w:shd w:val="clear" w:color="auto" w:fill="FFFFFF"/>
          <w:lang w:val="en-US"/>
        </w:rPr>
        <w:t>comprise</w:t>
      </w:r>
      <w:r>
        <w:rPr>
          <w:rFonts w:asciiTheme="majorBidi" w:eastAsia="Times New Roman" w:hAnsiTheme="majorBidi" w:cstheme="majorBidi"/>
          <w:sz w:val="18"/>
          <w:szCs w:val="18"/>
          <w:shd w:val="clear" w:color="auto" w:fill="FFFFFF"/>
          <w:lang w:val="en-US"/>
        </w:rPr>
        <w:t>d</w:t>
      </w:r>
      <w:r w:rsidRPr="00B70F44">
        <w:rPr>
          <w:rFonts w:asciiTheme="majorBidi" w:eastAsia="Times New Roman" w:hAnsiTheme="majorBidi" w:cstheme="majorBidi"/>
          <w:sz w:val="18"/>
          <w:szCs w:val="18"/>
          <w:shd w:val="clear" w:color="auto" w:fill="FFFFFF"/>
          <w:lang w:val="en-US"/>
        </w:rPr>
        <w:t xml:space="preserve"> of several Palestinian security agencies</w:t>
      </w:r>
      <w:r>
        <w:rPr>
          <w:rFonts w:asciiTheme="majorBidi" w:eastAsia="Times New Roman" w:hAnsiTheme="majorBidi" w:cstheme="majorBidi"/>
          <w:sz w:val="18"/>
          <w:szCs w:val="18"/>
          <w:shd w:val="clear" w:color="auto" w:fill="FFFFFF"/>
          <w:lang w:val="en-US"/>
        </w:rPr>
        <w:t xml:space="preserve">. It </w:t>
      </w:r>
      <w:r w:rsidRPr="00B70F44">
        <w:rPr>
          <w:rFonts w:asciiTheme="majorBidi" w:eastAsia="Times New Roman" w:hAnsiTheme="majorBidi" w:cstheme="majorBidi"/>
          <w:sz w:val="18"/>
          <w:szCs w:val="18"/>
          <w:shd w:val="clear" w:color="auto" w:fill="FFFFFF"/>
          <w:lang w:val="en-US"/>
        </w:rPr>
        <w:t>conducts joint operations and uses the Palestinian Preventive Security Headquarters in Jericho as its main detention and interrogation centr</w:t>
      </w:r>
      <w:r>
        <w:rPr>
          <w:rFonts w:asciiTheme="majorBidi" w:eastAsia="Times New Roman" w:hAnsiTheme="majorBidi" w:cstheme="majorBidi"/>
          <w:sz w:val="18"/>
          <w:szCs w:val="18"/>
          <w:shd w:val="clear" w:color="auto" w:fill="FFFFFF"/>
          <w:lang w:val="en-US"/>
        </w:rPr>
        <w:t>e</w:t>
      </w:r>
      <w:r w:rsidRPr="00B70F44">
        <w:rPr>
          <w:rFonts w:asciiTheme="majorBidi" w:eastAsia="Times New Roman" w:hAnsiTheme="majorBidi" w:cstheme="majorBidi"/>
          <w:sz w:val="18"/>
          <w:szCs w:val="18"/>
          <w:shd w:val="clear" w:color="auto" w:fill="FFFFFF"/>
          <w:lang w:val="en-US"/>
        </w:rPr>
        <w:t>.</w:t>
      </w:r>
    </w:p>
  </w:footnote>
  <w:footnote w:id="74">
    <w:p w14:paraId="00CA0BE1" w14:textId="3F46683B"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A/HRC/37/42</w:t>
      </w:r>
      <w:r>
        <w:rPr>
          <w:rFonts w:asciiTheme="majorBidi" w:eastAsia="Times New Roman" w:hAnsiTheme="majorBidi" w:cstheme="majorBidi"/>
          <w:sz w:val="18"/>
          <w:szCs w:val="18"/>
          <w:shd w:val="clear" w:color="auto" w:fill="FFFFFF"/>
          <w:lang w:val="en-US"/>
        </w:rPr>
        <w:t>,</w:t>
      </w:r>
      <w:r w:rsidRPr="00B70F44">
        <w:rPr>
          <w:rFonts w:asciiTheme="majorBidi" w:eastAsia="Times New Roman" w:hAnsiTheme="majorBidi" w:cstheme="majorBidi"/>
          <w:sz w:val="18"/>
          <w:szCs w:val="18"/>
          <w:shd w:val="clear" w:color="auto" w:fill="FFFFFF"/>
          <w:lang w:val="en-US"/>
        </w:rPr>
        <w:t xml:space="preserve"> </w:t>
      </w:r>
      <w:r>
        <w:rPr>
          <w:rFonts w:asciiTheme="majorBidi" w:eastAsia="Times New Roman" w:hAnsiTheme="majorBidi" w:cstheme="majorBidi"/>
          <w:sz w:val="18"/>
          <w:szCs w:val="18"/>
          <w:shd w:val="clear" w:color="auto" w:fill="FFFFFF"/>
          <w:lang w:val="en-US"/>
        </w:rPr>
        <w:t>p</w:t>
      </w:r>
      <w:r w:rsidRPr="00B70F44">
        <w:rPr>
          <w:rFonts w:asciiTheme="majorBidi" w:eastAsia="Times New Roman" w:hAnsiTheme="majorBidi" w:cstheme="majorBidi"/>
          <w:sz w:val="18"/>
          <w:szCs w:val="18"/>
          <w:shd w:val="clear" w:color="auto" w:fill="FFFFFF"/>
          <w:lang w:val="en-US"/>
        </w:rPr>
        <w:t>ara.42</w:t>
      </w:r>
      <w:r>
        <w:rPr>
          <w:rFonts w:asciiTheme="majorBidi" w:eastAsia="Times New Roman" w:hAnsiTheme="majorBidi" w:cstheme="majorBidi"/>
          <w:sz w:val="18"/>
          <w:szCs w:val="18"/>
          <w:shd w:val="clear" w:color="auto" w:fill="FFFFFF"/>
          <w:lang w:val="en-US"/>
        </w:rPr>
        <w:t>.</w:t>
      </w:r>
    </w:p>
  </w:footnote>
  <w:footnote w:id="75">
    <w:p w14:paraId="3A7FFDBB" w14:textId="562CE7A6"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Cybercrimes Decree-Law No.</w:t>
      </w:r>
      <w:r w:rsidR="00F15236">
        <w:rPr>
          <w:rFonts w:asciiTheme="majorBidi" w:eastAsia="Times New Roman" w:hAnsiTheme="majorBidi" w:cstheme="majorBidi"/>
          <w:sz w:val="18"/>
          <w:szCs w:val="18"/>
          <w:shd w:val="clear" w:color="auto" w:fill="FFFFFF"/>
          <w:lang w:val="en-US"/>
        </w:rPr>
        <w:t>10;</w:t>
      </w:r>
      <w:r w:rsidRPr="00B70F44">
        <w:rPr>
          <w:rFonts w:asciiTheme="majorBidi" w:eastAsia="Times New Roman" w:hAnsiTheme="majorBidi" w:cstheme="majorBidi"/>
          <w:sz w:val="18"/>
          <w:szCs w:val="18"/>
          <w:shd w:val="clear" w:color="auto" w:fill="FFFFFF"/>
          <w:lang w:val="en-US"/>
        </w:rPr>
        <w:t xml:space="preserve"> A/HRC/37/42</w:t>
      </w:r>
      <w:r>
        <w:rPr>
          <w:rFonts w:asciiTheme="majorBidi" w:eastAsia="Times New Roman" w:hAnsiTheme="majorBidi" w:cstheme="majorBidi"/>
          <w:sz w:val="18"/>
          <w:szCs w:val="18"/>
          <w:shd w:val="clear" w:color="auto" w:fill="FFFFFF"/>
          <w:lang w:val="en-US"/>
        </w:rPr>
        <w:t>, para.</w:t>
      </w:r>
      <w:r w:rsidRPr="00B70F44">
        <w:rPr>
          <w:rFonts w:asciiTheme="majorBidi" w:eastAsia="Times New Roman" w:hAnsiTheme="majorBidi" w:cstheme="majorBidi"/>
          <w:sz w:val="18"/>
          <w:szCs w:val="18"/>
          <w:shd w:val="clear" w:color="auto" w:fill="FFFFFF"/>
          <w:lang w:val="en-US"/>
        </w:rPr>
        <w:t>42.</w:t>
      </w:r>
    </w:p>
  </w:footnote>
  <w:footnote w:id="76">
    <w:p w14:paraId="256DDCF2" w14:textId="77FD7D3C" w:rsidR="006874EC" w:rsidRPr="00B70F44" w:rsidRDefault="006874EC" w:rsidP="002A0BE7">
      <w:pPr>
        <w:pStyle w:val="FootnoteText"/>
        <w:tabs>
          <w:tab w:val="right" w:pos="1021"/>
        </w:tabs>
        <w:spacing w:line="220" w:lineRule="exact"/>
        <w:ind w:left="1134" w:right="1134" w:hanging="1134"/>
        <w:rPr>
          <w:rFonts w:ascii="Times New Roman" w:hAnsi="Times New Roman" w:cs="Times New Roman"/>
          <w:sz w:val="18"/>
          <w:szCs w:val="18"/>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Violent means include the use of flash grenades, pepper spray and tear gas, in addition to brutal arrests and beatings of protestors by large groups of plain clothed individuals wearing identical caps and acting in a coordinated manner, including with uniformed officers.</w:t>
      </w:r>
    </w:p>
  </w:footnote>
  <w:footnote w:id="77">
    <w:p w14:paraId="7447CAE3" w14:textId="7A9FADAF" w:rsidR="006874EC" w:rsidRPr="00A223C8" w:rsidRDefault="006874EC" w:rsidP="00A223C8">
      <w:pPr>
        <w:pStyle w:val="FootnoteText"/>
        <w:tabs>
          <w:tab w:val="right" w:pos="1021"/>
        </w:tabs>
        <w:spacing w:line="220" w:lineRule="exact"/>
        <w:ind w:left="1134" w:right="1134" w:hanging="1134"/>
        <w:rPr>
          <w:rFonts w:ascii="Times New Roman" w:hAnsi="Times New Roman" w:cs="Times New Roman"/>
          <w:sz w:val="18"/>
          <w:szCs w:val="18"/>
          <w:lang w:val="en-US"/>
        </w:rPr>
      </w:pPr>
      <w:r w:rsidRPr="00A223C8">
        <w:rPr>
          <w:rFonts w:asciiTheme="majorBidi" w:eastAsia="Times New Roman" w:hAnsiTheme="majorBidi" w:cstheme="majorBidi"/>
          <w:sz w:val="18"/>
          <w:szCs w:val="18"/>
          <w:shd w:val="clear" w:color="auto" w:fill="FFFFFF"/>
          <w:lang w:val="en-US"/>
        </w:rPr>
        <w:tab/>
      </w:r>
      <w:r w:rsidRPr="00A223C8">
        <w:rPr>
          <w:rFonts w:asciiTheme="majorBidi" w:eastAsia="Times New Roman" w:hAnsiTheme="majorBidi" w:cstheme="majorBidi"/>
          <w:sz w:val="18"/>
          <w:szCs w:val="18"/>
          <w:shd w:val="clear" w:color="auto" w:fill="FFFFFF"/>
          <w:vertAlign w:val="superscript"/>
          <w:lang w:val="en-US"/>
        </w:rPr>
        <w:footnoteRef/>
      </w:r>
      <w:r w:rsidRPr="00A223C8">
        <w:rPr>
          <w:rFonts w:asciiTheme="majorBidi" w:eastAsia="Times New Roman" w:hAnsiTheme="majorBidi" w:cstheme="majorBidi"/>
          <w:sz w:val="18"/>
          <w:szCs w:val="18"/>
          <w:shd w:val="clear" w:color="auto" w:fill="FFFFFF"/>
          <w:lang w:val="en-US"/>
        </w:rPr>
        <w:t xml:space="preserve"> </w:t>
      </w:r>
      <w:r w:rsidRPr="00A223C8">
        <w:rPr>
          <w:rFonts w:asciiTheme="majorBidi" w:eastAsia="Times New Roman" w:hAnsiTheme="majorBidi" w:cstheme="majorBidi"/>
          <w:sz w:val="18"/>
          <w:szCs w:val="18"/>
          <w:shd w:val="clear" w:color="auto" w:fill="FFFFFF"/>
          <w:lang w:val="en-US"/>
        </w:rPr>
        <w:tab/>
        <w:t>https://www.madacenter.org/report.php?lang=2&amp;id=1799&amp;category_id=13&amp;year=</w:t>
      </w:r>
      <w:r w:rsidR="00D669CE">
        <w:rPr>
          <w:rFonts w:asciiTheme="majorBidi" w:eastAsia="Times New Roman" w:hAnsiTheme="majorBidi" w:cstheme="majorBidi"/>
          <w:sz w:val="18"/>
          <w:szCs w:val="18"/>
          <w:shd w:val="clear" w:color="auto" w:fill="FFFFFF"/>
          <w:lang w:val="en-US"/>
        </w:rPr>
        <w:t>.</w:t>
      </w:r>
      <w:r w:rsidRPr="00A223C8">
        <w:rPr>
          <w:rFonts w:ascii="Times New Roman" w:hAnsi="Times New Roman" w:cs="Times New Roman"/>
          <w:sz w:val="18"/>
          <w:szCs w:val="18"/>
          <w:lang w:val="en-US"/>
        </w:rPr>
        <w:t xml:space="preserve"> </w:t>
      </w:r>
    </w:p>
  </w:footnote>
  <w:footnote w:id="78">
    <w:p w14:paraId="7389BF6E" w14:textId="0D557515"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00F15236">
        <w:rPr>
          <w:rFonts w:asciiTheme="majorBidi" w:eastAsia="Times New Roman" w:hAnsiTheme="majorBidi" w:cstheme="majorBidi"/>
          <w:sz w:val="18"/>
          <w:szCs w:val="18"/>
          <w:shd w:val="clear" w:color="auto" w:fill="FFFFFF"/>
          <w:lang w:val="en-US"/>
        </w:rPr>
        <w:t xml:space="preserve"> </w:t>
      </w:r>
      <w:r w:rsidR="00F15236">
        <w:rPr>
          <w:rFonts w:asciiTheme="majorBidi" w:eastAsia="Times New Roman" w:hAnsiTheme="majorBidi" w:cstheme="majorBidi"/>
          <w:sz w:val="18"/>
          <w:szCs w:val="18"/>
          <w:shd w:val="clear" w:color="auto" w:fill="FFFFFF"/>
          <w:lang w:val="en-US"/>
        </w:rPr>
        <w:tab/>
        <w:t>A/HRC/37/42, paras.</w:t>
      </w:r>
      <w:r w:rsidRPr="00B70F44">
        <w:rPr>
          <w:rFonts w:asciiTheme="majorBidi" w:eastAsia="Times New Roman" w:hAnsiTheme="majorBidi" w:cstheme="majorBidi"/>
          <w:sz w:val="18"/>
          <w:szCs w:val="18"/>
          <w:shd w:val="clear" w:color="auto" w:fill="FFFFFF"/>
          <w:lang w:val="en-US"/>
        </w:rPr>
        <w:t>43-45</w:t>
      </w:r>
      <w:r>
        <w:rPr>
          <w:rFonts w:asciiTheme="majorBidi" w:eastAsia="Times New Roman" w:hAnsiTheme="majorBidi" w:cstheme="majorBidi"/>
          <w:sz w:val="18"/>
          <w:szCs w:val="18"/>
          <w:shd w:val="clear" w:color="auto" w:fill="FFFFFF"/>
          <w:lang w:val="en-US"/>
        </w:rPr>
        <w:t>.</w:t>
      </w:r>
    </w:p>
  </w:footnote>
  <w:footnote w:id="79">
    <w:p w14:paraId="21868A55" w14:textId="0AAA0EF6" w:rsidR="006874EC" w:rsidRPr="00B70F44" w:rsidRDefault="006874EC" w:rsidP="002A0BE7">
      <w:pPr>
        <w:pStyle w:val="FootnoteText"/>
        <w:tabs>
          <w:tab w:val="right" w:pos="1021"/>
        </w:tabs>
        <w:spacing w:line="220" w:lineRule="exact"/>
        <w:ind w:left="1134" w:right="1134" w:hanging="1134"/>
        <w:rPr>
          <w:rFonts w:asciiTheme="majorBidi" w:eastAsia="Times New Roman" w:hAnsiTheme="majorBidi" w:cstheme="majorBidi"/>
          <w:sz w:val="18"/>
          <w:szCs w:val="18"/>
          <w:shd w:val="clear" w:color="auto" w:fill="FFFFFF"/>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r>
      <w:hyperlink r:id="rId11" w:history="1">
        <w:r w:rsidRPr="00B70F44">
          <w:rPr>
            <w:rFonts w:asciiTheme="majorBidi" w:eastAsia="Times New Roman" w:hAnsiTheme="majorBidi" w:cstheme="majorBidi"/>
            <w:sz w:val="18"/>
            <w:szCs w:val="18"/>
            <w:shd w:val="clear" w:color="auto" w:fill="FFFFFF"/>
            <w:lang w:val="en-US"/>
          </w:rPr>
          <w:t>https://moi.gov.ps/Home/Post/123353</w:t>
        </w:r>
      </w:hyperlink>
      <w:r w:rsidRPr="00B70F44">
        <w:rPr>
          <w:rFonts w:asciiTheme="majorBidi" w:eastAsia="Times New Roman" w:hAnsiTheme="majorBidi" w:cstheme="majorBidi"/>
          <w:sz w:val="18"/>
          <w:szCs w:val="18"/>
          <w:shd w:val="clear" w:color="auto" w:fill="FFFFFF"/>
          <w:lang w:val="en-US"/>
        </w:rPr>
        <w:t xml:space="preserve"> </w:t>
      </w:r>
    </w:p>
  </w:footnote>
  <w:footnote w:id="80">
    <w:p w14:paraId="1F7795B0" w14:textId="15C5AA90" w:rsidR="006874EC" w:rsidRPr="00B70F44" w:rsidRDefault="006874EC" w:rsidP="002A0BE7">
      <w:pPr>
        <w:pStyle w:val="FootnoteText"/>
        <w:tabs>
          <w:tab w:val="right" w:pos="1021"/>
        </w:tabs>
        <w:spacing w:line="220" w:lineRule="exact"/>
        <w:ind w:left="1134" w:right="1134" w:hanging="1134"/>
        <w:rPr>
          <w:rFonts w:ascii="Times New Roman" w:hAnsi="Times New Roman" w:cs="Times New Roman"/>
          <w:sz w:val="18"/>
          <w:szCs w:val="18"/>
          <w:lang w:val="en-US"/>
        </w:rPr>
      </w:pPr>
      <w:r w:rsidRPr="00B70F44">
        <w:rPr>
          <w:rFonts w:asciiTheme="majorBidi" w:eastAsia="Times New Roman" w:hAnsiTheme="majorBidi" w:cstheme="majorBidi"/>
          <w:sz w:val="18"/>
          <w:szCs w:val="18"/>
          <w:shd w:val="clear" w:color="auto" w:fill="FFFFFF"/>
          <w:lang w:val="en-US"/>
        </w:rPr>
        <w:tab/>
      </w:r>
      <w:r w:rsidRPr="00B70F44">
        <w:rPr>
          <w:rFonts w:asciiTheme="majorBidi" w:eastAsia="Times New Roman" w:hAnsiTheme="majorBidi" w:cstheme="majorBidi"/>
          <w:sz w:val="18"/>
          <w:szCs w:val="18"/>
          <w:shd w:val="clear" w:color="auto" w:fill="FFFFFF"/>
          <w:vertAlign w:val="superscript"/>
          <w:lang w:val="en-US"/>
        </w:rPr>
        <w:footnoteRef/>
      </w:r>
      <w:r w:rsidRPr="00B70F44">
        <w:rPr>
          <w:rFonts w:asciiTheme="majorBidi" w:eastAsia="Times New Roman" w:hAnsiTheme="majorBidi" w:cstheme="majorBidi"/>
          <w:sz w:val="18"/>
          <w:szCs w:val="18"/>
          <w:shd w:val="clear" w:color="auto" w:fill="FFFFFF"/>
          <w:lang w:val="en-US"/>
        </w:rPr>
        <w:t xml:space="preserve"> </w:t>
      </w:r>
      <w:r w:rsidRPr="00B70F44">
        <w:rPr>
          <w:rFonts w:asciiTheme="majorBidi" w:eastAsia="Times New Roman" w:hAnsiTheme="majorBidi" w:cstheme="majorBidi"/>
          <w:sz w:val="18"/>
          <w:szCs w:val="18"/>
          <w:shd w:val="clear" w:color="auto" w:fill="FFFFFF"/>
          <w:lang w:val="en-US"/>
        </w:rPr>
        <w:tab/>
        <w:t>A/HRC/35/19</w:t>
      </w:r>
      <w:r>
        <w:rPr>
          <w:rFonts w:asciiTheme="majorBidi" w:eastAsia="Times New Roman" w:hAnsiTheme="majorBidi" w:cstheme="majorBidi"/>
          <w:sz w:val="18"/>
          <w:szCs w:val="18"/>
          <w:shd w:val="clear" w:color="auto" w:fill="FFFFFF"/>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B4173" w14:textId="4185E133" w:rsidR="006874EC" w:rsidRPr="00EA3EB2" w:rsidRDefault="006874EC" w:rsidP="00EA3EB2">
    <w:pPr>
      <w:pBdr>
        <w:top w:val="nil"/>
        <w:left w:val="nil"/>
        <w:bottom w:val="single" w:sz="4" w:space="0" w:color="000000"/>
        <w:right w:val="nil"/>
        <w:between w:val="nil"/>
        <w:bar w:val="nil"/>
      </w:pBdr>
      <w:suppressAutoHyphens/>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A/HRC/40/39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B4F8" w14:textId="4A5CA7F9" w:rsidR="006874EC" w:rsidRPr="00EA3EB2" w:rsidRDefault="006874EC" w:rsidP="00EA3EB2">
    <w:pPr>
      <w:pBdr>
        <w:top w:val="nil"/>
        <w:left w:val="nil"/>
        <w:bottom w:val="single" w:sz="4" w:space="0" w:color="000000"/>
        <w:right w:val="nil"/>
        <w:between w:val="nil"/>
        <w:bar w:val="nil"/>
      </w:pBdr>
      <w:suppressAutoHyphens/>
      <w:ind w:right="-279"/>
      <w:jc w:val="right"/>
      <w:rPr>
        <w:rFonts w:ascii="Times New Roman" w:eastAsia="Arial Unicode MS" w:hAnsi="Times New Roman" w:cs="Arial Unicode MS"/>
        <w:b/>
        <w:bCs/>
        <w:color w:val="000000"/>
        <w:sz w:val="18"/>
        <w:szCs w:val="18"/>
        <w:u w:color="000000"/>
        <w:bdr w:val="nil"/>
      </w:rPr>
    </w:pPr>
    <w:r>
      <w:rPr>
        <w:rFonts w:ascii="Times New Roman" w:eastAsia="Arial Unicode MS" w:hAnsi="Times New Roman" w:cs="Arial Unicode MS"/>
        <w:b/>
        <w:bCs/>
        <w:color w:val="000000"/>
        <w:sz w:val="18"/>
        <w:szCs w:val="18"/>
        <w:u w:color="000000"/>
        <w:bdr w:val="nil"/>
      </w:rPr>
      <w:t>A/HRC/40/39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6098"/>
    <w:multiLevelType w:val="hybridMultilevel"/>
    <w:tmpl w:val="B33C7330"/>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95107EC"/>
    <w:multiLevelType w:val="hybridMultilevel"/>
    <w:tmpl w:val="74382466"/>
    <w:lvl w:ilvl="0" w:tplc="E62EF4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A7B7B"/>
    <w:multiLevelType w:val="hybridMultilevel"/>
    <w:tmpl w:val="90B4DD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03E52"/>
    <w:multiLevelType w:val="hybridMultilevel"/>
    <w:tmpl w:val="A9244DF8"/>
    <w:lvl w:ilvl="0" w:tplc="5A4439BE">
      <w:start w:val="11"/>
      <w:numFmt w:val="bullet"/>
      <w:lvlText w:val=""/>
      <w:lvlJc w:val="left"/>
      <w:pPr>
        <w:ind w:left="1080" w:hanging="360"/>
      </w:pPr>
      <w:rPr>
        <w:rFonts w:ascii="Symbol" w:eastAsiaTheme="minorEastAsia" w:hAnsi="Symbol" w:cstheme="minorBidi"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E92E22"/>
    <w:multiLevelType w:val="hybridMultilevel"/>
    <w:tmpl w:val="B268CE04"/>
    <w:lvl w:ilvl="0" w:tplc="2030563E">
      <w:start w:val="1"/>
      <w:numFmt w:val="decimal"/>
      <w:lvlText w:val="%1."/>
      <w:lvlJc w:val="left"/>
      <w:pPr>
        <w:ind w:left="72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6B1430"/>
    <w:multiLevelType w:val="hybridMultilevel"/>
    <w:tmpl w:val="A6208D3E"/>
    <w:lvl w:ilvl="0" w:tplc="FF5ACF48">
      <w:start w:val="1"/>
      <w:numFmt w:val="upperRoman"/>
      <w:lvlText w:val="%1."/>
      <w:lvlJc w:val="left"/>
      <w:pPr>
        <w:ind w:left="3240" w:hanging="720"/>
      </w:pPr>
      <w:rPr>
        <w:rFonts w:hint="default"/>
        <w:sz w:val="28"/>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1F7925F6"/>
    <w:multiLevelType w:val="hybridMultilevel"/>
    <w:tmpl w:val="B5EE0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B45C1"/>
    <w:multiLevelType w:val="hybridMultilevel"/>
    <w:tmpl w:val="6EF66DCA"/>
    <w:lvl w:ilvl="0" w:tplc="0C18644E">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790033"/>
    <w:multiLevelType w:val="hybridMultilevel"/>
    <w:tmpl w:val="A07E96E2"/>
    <w:lvl w:ilvl="0" w:tplc="0409000F">
      <w:start w:val="1"/>
      <w:numFmt w:val="decimal"/>
      <w:lvlText w:val="%1."/>
      <w:lvlJc w:val="left"/>
      <w:pPr>
        <w:ind w:left="1908" w:hanging="360"/>
      </w:p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9" w15:restartNumberingAfterBreak="0">
    <w:nsid w:val="26763B74"/>
    <w:multiLevelType w:val="hybridMultilevel"/>
    <w:tmpl w:val="7D663D58"/>
    <w:lvl w:ilvl="0" w:tplc="C6FC28B8">
      <w:start w:val="11"/>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14206D"/>
    <w:multiLevelType w:val="hybridMultilevel"/>
    <w:tmpl w:val="99D29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F57008"/>
    <w:multiLevelType w:val="hybridMultilevel"/>
    <w:tmpl w:val="6E82EA7A"/>
    <w:lvl w:ilvl="0" w:tplc="8C68101E">
      <w:start w:val="1"/>
      <w:numFmt w:val="bullet"/>
      <w:lvlText w:val="-"/>
      <w:lvlJc w:val="left"/>
      <w:pPr>
        <w:ind w:left="1080" w:hanging="360"/>
      </w:pPr>
      <w:rPr>
        <w:rFonts w:ascii="Times New Roman" w:eastAsiaTheme="minorEastAsia" w:hAnsi="Times New Roman" w:cs="Times New Roman" w:hint="default"/>
        <w:b/>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C57FC"/>
    <w:multiLevelType w:val="hybridMultilevel"/>
    <w:tmpl w:val="672EB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00404"/>
    <w:multiLevelType w:val="hybridMultilevel"/>
    <w:tmpl w:val="6BD6632E"/>
    <w:lvl w:ilvl="0" w:tplc="6A34AA50">
      <w:start w:val="1"/>
      <w:numFmt w:val="decimal"/>
      <w:lvlText w:val="%1."/>
      <w:lvlJc w:val="left"/>
      <w:pPr>
        <w:ind w:left="720" w:hanging="360"/>
      </w:pPr>
      <w:rPr>
        <w:rFonts w:asciiTheme="majorBidi" w:hAnsiTheme="majorBidi" w:cstheme="majorBidi" w:hint="default"/>
        <w:b w:val="0"/>
        <w:bCs/>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F97E2B"/>
    <w:multiLevelType w:val="hybridMultilevel"/>
    <w:tmpl w:val="BDF883F2"/>
    <w:lvl w:ilvl="0" w:tplc="324876A2">
      <w:start w:val="1"/>
      <w:numFmt w:val="lowerLetter"/>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39E542F7"/>
    <w:multiLevelType w:val="hybridMultilevel"/>
    <w:tmpl w:val="A6E89168"/>
    <w:lvl w:ilvl="0" w:tplc="DED04FE6">
      <w:start w:val="1"/>
      <w:numFmt w:val="decimal"/>
      <w:lvlText w:val="%1."/>
      <w:lvlJc w:val="left"/>
      <w:pPr>
        <w:ind w:left="720" w:hanging="360"/>
      </w:pPr>
      <w:rPr>
        <w:rFonts w:asciiTheme="majorBidi" w:hAnsiTheme="majorBidi" w:cstheme="majorBidi" w:hint="default"/>
        <w:b w:val="0"/>
        <w:bCs/>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541F9"/>
    <w:multiLevelType w:val="hybridMultilevel"/>
    <w:tmpl w:val="CAD857D2"/>
    <w:lvl w:ilvl="0" w:tplc="43FEE116">
      <w:start w:val="9"/>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41982373"/>
    <w:multiLevelType w:val="hybridMultilevel"/>
    <w:tmpl w:val="0C9AD156"/>
    <w:lvl w:ilvl="0" w:tplc="66D8C806">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5F70C0"/>
    <w:multiLevelType w:val="hybridMultilevel"/>
    <w:tmpl w:val="7FEC0BEE"/>
    <w:lvl w:ilvl="0" w:tplc="22904FB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92ACA"/>
    <w:multiLevelType w:val="hybridMultilevel"/>
    <w:tmpl w:val="B8DA0070"/>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0" w15:restartNumberingAfterBreak="0">
    <w:nsid w:val="4499715F"/>
    <w:multiLevelType w:val="hybridMultilevel"/>
    <w:tmpl w:val="C742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772251"/>
    <w:multiLevelType w:val="hybridMultilevel"/>
    <w:tmpl w:val="36B4FA66"/>
    <w:lvl w:ilvl="0" w:tplc="B30EC0C6">
      <w:start w:val="1"/>
      <w:numFmt w:val="decimal"/>
      <w:lvlText w:val="%1."/>
      <w:lvlJc w:val="left"/>
      <w:pPr>
        <w:ind w:left="1423" w:hanging="855"/>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4C077285"/>
    <w:multiLevelType w:val="hybridMultilevel"/>
    <w:tmpl w:val="DAC09A7E"/>
    <w:lvl w:ilvl="0" w:tplc="464E9C5C">
      <w:start w:val="1"/>
      <w:numFmt w:val="upperRoman"/>
      <w:lvlText w:val="%1."/>
      <w:lvlJc w:val="left"/>
      <w:pPr>
        <w:ind w:left="720" w:hanging="720"/>
      </w:pPr>
      <w:rPr>
        <w:rFont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A92F09"/>
    <w:multiLevelType w:val="hybridMultilevel"/>
    <w:tmpl w:val="4430382C"/>
    <w:lvl w:ilvl="0" w:tplc="0C98653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D67214B"/>
    <w:multiLevelType w:val="hybridMultilevel"/>
    <w:tmpl w:val="E5D4B902"/>
    <w:lvl w:ilvl="0" w:tplc="C008644A">
      <w:start w:val="1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E04AE5"/>
    <w:multiLevelType w:val="hybridMultilevel"/>
    <w:tmpl w:val="CBAE7F88"/>
    <w:lvl w:ilvl="0" w:tplc="08090001">
      <w:start w:val="1"/>
      <w:numFmt w:val="bullet"/>
      <w:lvlText w:val=""/>
      <w:lvlJc w:val="left"/>
      <w:pPr>
        <w:ind w:left="1494" w:hanging="360"/>
      </w:pPr>
      <w:rPr>
        <w:rFonts w:ascii="Symbol" w:hAnsi="Symbol" w:hint="default"/>
        <w:b/>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6" w15:restartNumberingAfterBreak="0">
    <w:nsid w:val="56CD3170"/>
    <w:multiLevelType w:val="hybridMultilevel"/>
    <w:tmpl w:val="4FA28B3A"/>
    <w:lvl w:ilvl="0" w:tplc="C32CFF14">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C221F1"/>
    <w:multiLevelType w:val="hybridMultilevel"/>
    <w:tmpl w:val="0B646796"/>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9EC041F"/>
    <w:multiLevelType w:val="hybridMultilevel"/>
    <w:tmpl w:val="CFF204F2"/>
    <w:lvl w:ilvl="0" w:tplc="7F6E096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2306E0"/>
    <w:multiLevelType w:val="hybridMultilevel"/>
    <w:tmpl w:val="A7F00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E5F3758"/>
    <w:multiLevelType w:val="hybridMultilevel"/>
    <w:tmpl w:val="CB08A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5B22AA0"/>
    <w:multiLevelType w:val="hybridMultilevel"/>
    <w:tmpl w:val="7A9E9B02"/>
    <w:lvl w:ilvl="0" w:tplc="05DC093A">
      <w:start w:val="1"/>
      <w:numFmt w:val="upperRoman"/>
      <w:lvlText w:val="%1."/>
      <w:lvlJc w:val="left"/>
      <w:pPr>
        <w:ind w:left="720" w:hanging="720"/>
      </w:pPr>
      <w:rPr>
        <w:rFonts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796BE0"/>
    <w:multiLevelType w:val="hybridMultilevel"/>
    <w:tmpl w:val="B5BA1C9A"/>
    <w:lvl w:ilvl="0" w:tplc="4A12FE9E">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69A65556"/>
    <w:multiLevelType w:val="hybridMultilevel"/>
    <w:tmpl w:val="3A1E1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90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1EE0794"/>
    <w:multiLevelType w:val="hybridMultilevel"/>
    <w:tmpl w:val="35A2F8E4"/>
    <w:lvl w:ilvl="0" w:tplc="08090011">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5C12A0"/>
    <w:multiLevelType w:val="hybridMultilevel"/>
    <w:tmpl w:val="5300A42E"/>
    <w:lvl w:ilvl="0" w:tplc="E54663AA">
      <w:start w:val="9"/>
      <w:numFmt w:val="bullet"/>
      <w:lvlText w:val="-"/>
      <w:lvlJc w:val="left"/>
      <w:pPr>
        <w:ind w:left="1170" w:hanging="360"/>
      </w:pPr>
      <w:rPr>
        <w:rFonts w:ascii="Times New Roman" w:eastAsiaTheme="minorHAnsi" w:hAnsi="Times New Roman" w:cs="Times New Roman" w:hint="default"/>
        <w:b/>
        <w:bCs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7EE90F42"/>
    <w:multiLevelType w:val="hybridMultilevel"/>
    <w:tmpl w:val="1B143D48"/>
    <w:lvl w:ilvl="0" w:tplc="88CA3630">
      <w:start w:val="2"/>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C80289"/>
    <w:multiLevelType w:val="hybridMultilevel"/>
    <w:tmpl w:val="18A0373A"/>
    <w:lvl w:ilvl="0" w:tplc="9B9AF0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1"/>
  </w:num>
  <w:num w:numId="2">
    <w:abstractNumId w:val="7"/>
  </w:num>
  <w:num w:numId="3">
    <w:abstractNumId w:val="11"/>
  </w:num>
  <w:num w:numId="4">
    <w:abstractNumId w:val="35"/>
  </w:num>
  <w:num w:numId="5">
    <w:abstractNumId w:val="37"/>
  </w:num>
  <w:num w:numId="6">
    <w:abstractNumId w:val="6"/>
  </w:num>
  <w:num w:numId="7">
    <w:abstractNumId w:val="18"/>
  </w:num>
  <w:num w:numId="8">
    <w:abstractNumId w:val="29"/>
  </w:num>
  <w:num w:numId="9">
    <w:abstractNumId w:val="19"/>
  </w:num>
  <w:num w:numId="10">
    <w:abstractNumId w:val="33"/>
  </w:num>
  <w:num w:numId="11">
    <w:abstractNumId w:val="25"/>
  </w:num>
  <w:num w:numId="12">
    <w:abstractNumId w:val="15"/>
  </w:num>
  <w:num w:numId="13">
    <w:abstractNumId w:val="22"/>
  </w:num>
  <w:num w:numId="14">
    <w:abstractNumId w:val="17"/>
  </w:num>
  <w:num w:numId="15">
    <w:abstractNumId w:val="4"/>
  </w:num>
  <w:num w:numId="16">
    <w:abstractNumId w:val="28"/>
  </w:num>
  <w:num w:numId="17">
    <w:abstractNumId w:val="36"/>
  </w:num>
  <w:num w:numId="18">
    <w:abstractNumId w:val="13"/>
  </w:num>
  <w:num w:numId="19">
    <w:abstractNumId w:val="20"/>
  </w:num>
  <w:num w:numId="20">
    <w:abstractNumId w:val="1"/>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4"/>
  </w:num>
  <w:num w:numId="25">
    <w:abstractNumId w:val="12"/>
  </w:num>
  <w:num w:numId="26">
    <w:abstractNumId w:val="26"/>
  </w:num>
  <w:num w:numId="27">
    <w:abstractNumId w:val="2"/>
  </w:num>
  <w:num w:numId="28">
    <w:abstractNumId w:val="34"/>
  </w:num>
  <w:num w:numId="29">
    <w:abstractNumId w:val="32"/>
  </w:num>
  <w:num w:numId="30">
    <w:abstractNumId w:val="0"/>
  </w:num>
  <w:num w:numId="31">
    <w:abstractNumId w:val="27"/>
  </w:num>
  <w:num w:numId="32">
    <w:abstractNumId w:val="5"/>
  </w:num>
  <w:num w:numId="33">
    <w:abstractNumId w:val="23"/>
  </w:num>
  <w:num w:numId="34">
    <w:abstractNumId w:val="8"/>
  </w:num>
  <w:num w:numId="35">
    <w:abstractNumId w:val="3"/>
  </w:num>
  <w:num w:numId="36">
    <w:abstractNumId w:val="24"/>
  </w:num>
  <w:num w:numId="37">
    <w:abstractNumId w:val="9"/>
  </w:num>
  <w:num w:numId="38">
    <w:abstractNumId w:val="30"/>
  </w:num>
  <w:num w:numId="39">
    <w:abstractNumId w:val="21"/>
  </w:num>
  <w:num w:numId="4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US" w:vendorID="64" w:dllVersion="6" w:nlCheck="1" w:checkStyle="0"/>
  <w:activeWritingStyle w:appName="MSWord" w:lang="en-GB"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en-IE" w:vendorID="64" w:dllVersion="131078" w:nlCheck="1" w:checkStyle="1"/>
  <w:activeWritingStyle w:appName="MSWord" w:lang="fr-CH" w:vendorID="64" w:dllVersion="131078" w:nlCheck="1" w:checkStyle="0"/>
  <w:defaultTabStop w:val="720"/>
  <w:evenAndOddHeaders/>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7F"/>
    <w:rsid w:val="0000077A"/>
    <w:rsid w:val="00000C1C"/>
    <w:rsid w:val="00000DD7"/>
    <w:rsid w:val="0000356E"/>
    <w:rsid w:val="00003A9C"/>
    <w:rsid w:val="0000400A"/>
    <w:rsid w:val="00005771"/>
    <w:rsid w:val="00005EBE"/>
    <w:rsid w:val="00007943"/>
    <w:rsid w:val="00010A3A"/>
    <w:rsid w:val="00011BD2"/>
    <w:rsid w:val="00011D2D"/>
    <w:rsid w:val="00015DC6"/>
    <w:rsid w:val="00022880"/>
    <w:rsid w:val="00023657"/>
    <w:rsid w:val="00023BF1"/>
    <w:rsid w:val="0002417D"/>
    <w:rsid w:val="00024498"/>
    <w:rsid w:val="00025126"/>
    <w:rsid w:val="000274D6"/>
    <w:rsid w:val="00030CA4"/>
    <w:rsid w:val="000310F9"/>
    <w:rsid w:val="0003199C"/>
    <w:rsid w:val="00031EED"/>
    <w:rsid w:val="00032F11"/>
    <w:rsid w:val="00033A46"/>
    <w:rsid w:val="00034B24"/>
    <w:rsid w:val="000363F9"/>
    <w:rsid w:val="00036A30"/>
    <w:rsid w:val="00037031"/>
    <w:rsid w:val="00041070"/>
    <w:rsid w:val="000440E9"/>
    <w:rsid w:val="00044860"/>
    <w:rsid w:val="00045257"/>
    <w:rsid w:val="00045CF9"/>
    <w:rsid w:val="00045FE2"/>
    <w:rsid w:val="0004601D"/>
    <w:rsid w:val="00046203"/>
    <w:rsid w:val="00047F6C"/>
    <w:rsid w:val="00050422"/>
    <w:rsid w:val="00050800"/>
    <w:rsid w:val="00050820"/>
    <w:rsid w:val="000517DD"/>
    <w:rsid w:val="00051AE9"/>
    <w:rsid w:val="000523ED"/>
    <w:rsid w:val="00052E5F"/>
    <w:rsid w:val="000539BD"/>
    <w:rsid w:val="0005506D"/>
    <w:rsid w:val="00057109"/>
    <w:rsid w:val="000571B8"/>
    <w:rsid w:val="00061472"/>
    <w:rsid w:val="00061C56"/>
    <w:rsid w:val="00061D62"/>
    <w:rsid w:val="00061D87"/>
    <w:rsid w:val="000623E8"/>
    <w:rsid w:val="0006264E"/>
    <w:rsid w:val="00062792"/>
    <w:rsid w:val="00062C95"/>
    <w:rsid w:val="00064226"/>
    <w:rsid w:val="00064C0E"/>
    <w:rsid w:val="0006547C"/>
    <w:rsid w:val="0007036F"/>
    <w:rsid w:val="000703EA"/>
    <w:rsid w:val="00070F2C"/>
    <w:rsid w:val="00071428"/>
    <w:rsid w:val="000719A7"/>
    <w:rsid w:val="00071E28"/>
    <w:rsid w:val="00073474"/>
    <w:rsid w:val="00076590"/>
    <w:rsid w:val="0007695B"/>
    <w:rsid w:val="000800B3"/>
    <w:rsid w:val="00080BF9"/>
    <w:rsid w:val="000841AA"/>
    <w:rsid w:val="00084732"/>
    <w:rsid w:val="00084890"/>
    <w:rsid w:val="000853A6"/>
    <w:rsid w:val="00085E63"/>
    <w:rsid w:val="00086C95"/>
    <w:rsid w:val="000904B3"/>
    <w:rsid w:val="0009109D"/>
    <w:rsid w:val="00091CDC"/>
    <w:rsid w:val="00093485"/>
    <w:rsid w:val="000937CC"/>
    <w:rsid w:val="00093E19"/>
    <w:rsid w:val="000A1C37"/>
    <w:rsid w:val="000A1C71"/>
    <w:rsid w:val="000A3757"/>
    <w:rsid w:val="000A5A7E"/>
    <w:rsid w:val="000A6CEA"/>
    <w:rsid w:val="000A6D64"/>
    <w:rsid w:val="000A7DBA"/>
    <w:rsid w:val="000B03BF"/>
    <w:rsid w:val="000B1DFB"/>
    <w:rsid w:val="000B43BF"/>
    <w:rsid w:val="000C0993"/>
    <w:rsid w:val="000C390B"/>
    <w:rsid w:val="000C44F7"/>
    <w:rsid w:val="000C4F02"/>
    <w:rsid w:val="000C52A5"/>
    <w:rsid w:val="000C6851"/>
    <w:rsid w:val="000C6E77"/>
    <w:rsid w:val="000D0C3E"/>
    <w:rsid w:val="000D1582"/>
    <w:rsid w:val="000D2534"/>
    <w:rsid w:val="000D27D8"/>
    <w:rsid w:val="000D54AC"/>
    <w:rsid w:val="000D67DC"/>
    <w:rsid w:val="000D6AD7"/>
    <w:rsid w:val="000D7C97"/>
    <w:rsid w:val="000E1C68"/>
    <w:rsid w:val="000E2382"/>
    <w:rsid w:val="000E3A2F"/>
    <w:rsid w:val="000E4BC6"/>
    <w:rsid w:val="000E4D14"/>
    <w:rsid w:val="000E50FF"/>
    <w:rsid w:val="000E56DE"/>
    <w:rsid w:val="000E5D9B"/>
    <w:rsid w:val="000E61E9"/>
    <w:rsid w:val="000E6950"/>
    <w:rsid w:val="000E72D9"/>
    <w:rsid w:val="000F0193"/>
    <w:rsid w:val="000F2D41"/>
    <w:rsid w:val="000F2F5F"/>
    <w:rsid w:val="000F6137"/>
    <w:rsid w:val="000F7500"/>
    <w:rsid w:val="000F799E"/>
    <w:rsid w:val="001052C3"/>
    <w:rsid w:val="00106220"/>
    <w:rsid w:val="001065C9"/>
    <w:rsid w:val="00106C8C"/>
    <w:rsid w:val="00107127"/>
    <w:rsid w:val="001072D0"/>
    <w:rsid w:val="0011067A"/>
    <w:rsid w:val="00110A4F"/>
    <w:rsid w:val="001125F9"/>
    <w:rsid w:val="00115216"/>
    <w:rsid w:val="00116C94"/>
    <w:rsid w:val="00117D57"/>
    <w:rsid w:val="001202A8"/>
    <w:rsid w:val="00123631"/>
    <w:rsid w:val="001237DB"/>
    <w:rsid w:val="00123F0E"/>
    <w:rsid w:val="001247BA"/>
    <w:rsid w:val="00125E9C"/>
    <w:rsid w:val="00126F62"/>
    <w:rsid w:val="001273A9"/>
    <w:rsid w:val="00130045"/>
    <w:rsid w:val="001302CA"/>
    <w:rsid w:val="00132F8C"/>
    <w:rsid w:val="00133726"/>
    <w:rsid w:val="00133B19"/>
    <w:rsid w:val="00133DE5"/>
    <w:rsid w:val="0013672E"/>
    <w:rsid w:val="00143D7F"/>
    <w:rsid w:val="0014492A"/>
    <w:rsid w:val="001454C0"/>
    <w:rsid w:val="0014561F"/>
    <w:rsid w:val="001460F8"/>
    <w:rsid w:val="00146799"/>
    <w:rsid w:val="001501EF"/>
    <w:rsid w:val="00151B70"/>
    <w:rsid w:val="00151C21"/>
    <w:rsid w:val="0015297F"/>
    <w:rsid w:val="00152ECB"/>
    <w:rsid w:val="00154B33"/>
    <w:rsid w:val="001552A0"/>
    <w:rsid w:val="00155421"/>
    <w:rsid w:val="00155ADE"/>
    <w:rsid w:val="001560DA"/>
    <w:rsid w:val="00156596"/>
    <w:rsid w:val="00156A17"/>
    <w:rsid w:val="00157D73"/>
    <w:rsid w:val="00157F4C"/>
    <w:rsid w:val="00160374"/>
    <w:rsid w:val="001615A8"/>
    <w:rsid w:val="0016248F"/>
    <w:rsid w:val="001631D7"/>
    <w:rsid w:val="00163BF5"/>
    <w:rsid w:val="0016468B"/>
    <w:rsid w:val="0016559D"/>
    <w:rsid w:val="00166487"/>
    <w:rsid w:val="0016692C"/>
    <w:rsid w:val="00166DA5"/>
    <w:rsid w:val="001676DB"/>
    <w:rsid w:val="00171530"/>
    <w:rsid w:val="00172911"/>
    <w:rsid w:val="00173C53"/>
    <w:rsid w:val="001749F2"/>
    <w:rsid w:val="00174F7F"/>
    <w:rsid w:val="001768D9"/>
    <w:rsid w:val="001769E6"/>
    <w:rsid w:val="00177413"/>
    <w:rsid w:val="00177E4F"/>
    <w:rsid w:val="001813BD"/>
    <w:rsid w:val="00182A83"/>
    <w:rsid w:val="00184910"/>
    <w:rsid w:val="001850ED"/>
    <w:rsid w:val="0018534E"/>
    <w:rsid w:val="00186B80"/>
    <w:rsid w:val="00186C0B"/>
    <w:rsid w:val="00191298"/>
    <w:rsid w:val="0019254A"/>
    <w:rsid w:val="00192D0B"/>
    <w:rsid w:val="001937C1"/>
    <w:rsid w:val="0019686A"/>
    <w:rsid w:val="00196E7F"/>
    <w:rsid w:val="0019770C"/>
    <w:rsid w:val="00197C62"/>
    <w:rsid w:val="00197E59"/>
    <w:rsid w:val="00197FC4"/>
    <w:rsid w:val="001A07FC"/>
    <w:rsid w:val="001A138C"/>
    <w:rsid w:val="001A28BB"/>
    <w:rsid w:val="001A79B4"/>
    <w:rsid w:val="001B08BF"/>
    <w:rsid w:val="001B1EA1"/>
    <w:rsid w:val="001B36F4"/>
    <w:rsid w:val="001B4450"/>
    <w:rsid w:val="001B4553"/>
    <w:rsid w:val="001B6059"/>
    <w:rsid w:val="001B7D2B"/>
    <w:rsid w:val="001C1E2A"/>
    <w:rsid w:val="001C3B22"/>
    <w:rsid w:val="001C3C5D"/>
    <w:rsid w:val="001C3D28"/>
    <w:rsid w:val="001C4162"/>
    <w:rsid w:val="001C4246"/>
    <w:rsid w:val="001C4A7C"/>
    <w:rsid w:val="001C6D18"/>
    <w:rsid w:val="001C6D8C"/>
    <w:rsid w:val="001C7D56"/>
    <w:rsid w:val="001C7D7C"/>
    <w:rsid w:val="001D0298"/>
    <w:rsid w:val="001D112D"/>
    <w:rsid w:val="001D1BE3"/>
    <w:rsid w:val="001D346C"/>
    <w:rsid w:val="001D4E2D"/>
    <w:rsid w:val="001D5049"/>
    <w:rsid w:val="001D55C5"/>
    <w:rsid w:val="001D5AD0"/>
    <w:rsid w:val="001D5E23"/>
    <w:rsid w:val="001D760B"/>
    <w:rsid w:val="001D7B22"/>
    <w:rsid w:val="001D7D55"/>
    <w:rsid w:val="001E08CB"/>
    <w:rsid w:val="001E1969"/>
    <w:rsid w:val="001E22A8"/>
    <w:rsid w:val="001E293C"/>
    <w:rsid w:val="001E33EB"/>
    <w:rsid w:val="001E4042"/>
    <w:rsid w:val="001E47DB"/>
    <w:rsid w:val="001E4A4C"/>
    <w:rsid w:val="001E5223"/>
    <w:rsid w:val="001E6522"/>
    <w:rsid w:val="001E68B1"/>
    <w:rsid w:val="001F1175"/>
    <w:rsid w:val="001F1436"/>
    <w:rsid w:val="001F1A05"/>
    <w:rsid w:val="001F4689"/>
    <w:rsid w:val="00201098"/>
    <w:rsid w:val="00201A6B"/>
    <w:rsid w:val="00201FBF"/>
    <w:rsid w:val="00203305"/>
    <w:rsid w:val="0020365F"/>
    <w:rsid w:val="00203B7D"/>
    <w:rsid w:val="002045C5"/>
    <w:rsid w:val="00205435"/>
    <w:rsid w:val="00206C2D"/>
    <w:rsid w:val="00206E32"/>
    <w:rsid w:val="00207035"/>
    <w:rsid w:val="00213F21"/>
    <w:rsid w:val="00215585"/>
    <w:rsid w:val="00217379"/>
    <w:rsid w:val="002175C4"/>
    <w:rsid w:val="002201C1"/>
    <w:rsid w:val="00220965"/>
    <w:rsid w:val="002212F0"/>
    <w:rsid w:val="002216F5"/>
    <w:rsid w:val="002218C0"/>
    <w:rsid w:val="00221C95"/>
    <w:rsid w:val="00221ED6"/>
    <w:rsid w:val="00222F8B"/>
    <w:rsid w:val="00224EE3"/>
    <w:rsid w:val="00224F97"/>
    <w:rsid w:val="00225C35"/>
    <w:rsid w:val="00226FDF"/>
    <w:rsid w:val="0022772D"/>
    <w:rsid w:val="002277B7"/>
    <w:rsid w:val="00230205"/>
    <w:rsid w:val="00232497"/>
    <w:rsid w:val="0023328D"/>
    <w:rsid w:val="00234BBE"/>
    <w:rsid w:val="00235EE2"/>
    <w:rsid w:val="00236EB6"/>
    <w:rsid w:val="002374E6"/>
    <w:rsid w:val="00240698"/>
    <w:rsid w:val="00240AE8"/>
    <w:rsid w:val="0024197A"/>
    <w:rsid w:val="00241A87"/>
    <w:rsid w:val="00241FCB"/>
    <w:rsid w:val="00243696"/>
    <w:rsid w:val="00244FC0"/>
    <w:rsid w:val="00245D2C"/>
    <w:rsid w:val="0024637A"/>
    <w:rsid w:val="002468E9"/>
    <w:rsid w:val="00247B83"/>
    <w:rsid w:val="002508F7"/>
    <w:rsid w:val="00250D9D"/>
    <w:rsid w:val="00251080"/>
    <w:rsid w:val="00251E1C"/>
    <w:rsid w:val="00252F19"/>
    <w:rsid w:val="002534B9"/>
    <w:rsid w:val="00253AD7"/>
    <w:rsid w:val="002547C2"/>
    <w:rsid w:val="00255830"/>
    <w:rsid w:val="00257975"/>
    <w:rsid w:val="00260D5A"/>
    <w:rsid w:val="00262A2C"/>
    <w:rsid w:val="00262B9B"/>
    <w:rsid w:val="0026344A"/>
    <w:rsid w:val="00264023"/>
    <w:rsid w:val="00264750"/>
    <w:rsid w:val="002652E9"/>
    <w:rsid w:val="00265D4F"/>
    <w:rsid w:val="00266D6B"/>
    <w:rsid w:val="00267264"/>
    <w:rsid w:val="002706FC"/>
    <w:rsid w:val="002714A5"/>
    <w:rsid w:val="002715E1"/>
    <w:rsid w:val="0027293E"/>
    <w:rsid w:val="0027408D"/>
    <w:rsid w:val="002757DC"/>
    <w:rsid w:val="002766C3"/>
    <w:rsid w:val="0028492E"/>
    <w:rsid w:val="00284A31"/>
    <w:rsid w:val="00285F22"/>
    <w:rsid w:val="00290283"/>
    <w:rsid w:val="0029388C"/>
    <w:rsid w:val="00293ADA"/>
    <w:rsid w:val="00293F69"/>
    <w:rsid w:val="00295A46"/>
    <w:rsid w:val="00297A38"/>
    <w:rsid w:val="00297D26"/>
    <w:rsid w:val="002A0621"/>
    <w:rsid w:val="002A0639"/>
    <w:rsid w:val="002A0713"/>
    <w:rsid w:val="002A0AC8"/>
    <w:rsid w:val="002A0BE7"/>
    <w:rsid w:val="002A1037"/>
    <w:rsid w:val="002A10F6"/>
    <w:rsid w:val="002A1293"/>
    <w:rsid w:val="002A2527"/>
    <w:rsid w:val="002A3204"/>
    <w:rsid w:val="002A3345"/>
    <w:rsid w:val="002A3774"/>
    <w:rsid w:val="002A78D7"/>
    <w:rsid w:val="002B051A"/>
    <w:rsid w:val="002B056C"/>
    <w:rsid w:val="002B1561"/>
    <w:rsid w:val="002B6F6F"/>
    <w:rsid w:val="002B76D4"/>
    <w:rsid w:val="002B78E2"/>
    <w:rsid w:val="002B7CA0"/>
    <w:rsid w:val="002C0B8E"/>
    <w:rsid w:val="002C0E4B"/>
    <w:rsid w:val="002C0FED"/>
    <w:rsid w:val="002C18B4"/>
    <w:rsid w:val="002C31B5"/>
    <w:rsid w:val="002C362A"/>
    <w:rsid w:val="002C4DF5"/>
    <w:rsid w:val="002C5561"/>
    <w:rsid w:val="002C62E8"/>
    <w:rsid w:val="002D1BC9"/>
    <w:rsid w:val="002D23B6"/>
    <w:rsid w:val="002D32FF"/>
    <w:rsid w:val="002D3519"/>
    <w:rsid w:val="002D3E5E"/>
    <w:rsid w:val="002D46FF"/>
    <w:rsid w:val="002D5708"/>
    <w:rsid w:val="002D5BF6"/>
    <w:rsid w:val="002D6316"/>
    <w:rsid w:val="002E174B"/>
    <w:rsid w:val="002E21D1"/>
    <w:rsid w:val="002E2383"/>
    <w:rsid w:val="002E31A5"/>
    <w:rsid w:val="002E379A"/>
    <w:rsid w:val="002E387E"/>
    <w:rsid w:val="002E3CA9"/>
    <w:rsid w:val="002E47BC"/>
    <w:rsid w:val="002E6F09"/>
    <w:rsid w:val="002F17FE"/>
    <w:rsid w:val="002F1AB1"/>
    <w:rsid w:val="002F3D30"/>
    <w:rsid w:val="002F45CD"/>
    <w:rsid w:val="002F4FA2"/>
    <w:rsid w:val="002F624B"/>
    <w:rsid w:val="002F7758"/>
    <w:rsid w:val="002F7CFC"/>
    <w:rsid w:val="0030247D"/>
    <w:rsid w:val="003025E9"/>
    <w:rsid w:val="00302E45"/>
    <w:rsid w:val="003030D3"/>
    <w:rsid w:val="00303CA3"/>
    <w:rsid w:val="00304C39"/>
    <w:rsid w:val="003054BB"/>
    <w:rsid w:val="003056A2"/>
    <w:rsid w:val="00305D24"/>
    <w:rsid w:val="00305D8D"/>
    <w:rsid w:val="00310153"/>
    <w:rsid w:val="003107D9"/>
    <w:rsid w:val="00314460"/>
    <w:rsid w:val="00315156"/>
    <w:rsid w:val="00315158"/>
    <w:rsid w:val="0031570A"/>
    <w:rsid w:val="00316F11"/>
    <w:rsid w:val="003177FA"/>
    <w:rsid w:val="00317C11"/>
    <w:rsid w:val="0032071B"/>
    <w:rsid w:val="00320DF9"/>
    <w:rsid w:val="003245BE"/>
    <w:rsid w:val="00325FC4"/>
    <w:rsid w:val="003267A6"/>
    <w:rsid w:val="00326A61"/>
    <w:rsid w:val="00327B36"/>
    <w:rsid w:val="0033068C"/>
    <w:rsid w:val="00331BC0"/>
    <w:rsid w:val="00331E5C"/>
    <w:rsid w:val="00333AA5"/>
    <w:rsid w:val="00334975"/>
    <w:rsid w:val="00334B05"/>
    <w:rsid w:val="00334C83"/>
    <w:rsid w:val="00336C8B"/>
    <w:rsid w:val="00337888"/>
    <w:rsid w:val="00340217"/>
    <w:rsid w:val="00340865"/>
    <w:rsid w:val="00340D9D"/>
    <w:rsid w:val="003428A2"/>
    <w:rsid w:val="0034392C"/>
    <w:rsid w:val="00345D23"/>
    <w:rsid w:val="003460F4"/>
    <w:rsid w:val="00346660"/>
    <w:rsid w:val="0035199A"/>
    <w:rsid w:val="00351E28"/>
    <w:rsid w:val="003530F8"/>
    <w:rsid w:val="00354E58"/>
    <w:rsid w:val="00357175"/>
    <w:rsid w:val="003602F0"/>
    <w:rsid w:val="00363D57"/>
    <w:rsid w:val="00364512"/>
    <w:rsid w:val="00364A5B"/>
    <w:rsid w:val="00364BC9"/>
    <w:rsid w:val="003651ED"/>
    <w:rsid w:val="0037005A"/>
    <w:rsid w:val="003702BA"/>
    <w:rsid w:val="00370876"/>
    <w:rsid w:val="00370E00"/>
    <w:rsid w:val="00371B20"/>
    <w:rsid w:val="00371E14"/>
    <w:rsid w:val="003737CB"/>
    <w:rsid w:val="00374D86"/>
    <w:rsid w:val="00375430"/>
    <w:rsid w:val="00376AF0"/>
    <w:rsid w:val="00376FB7"/>
    <w:rsid w:val="0037769A"/>
    <w:rsid w:val="00377EFB"/>
    <w:rsid w:val="00380DCB"/>
    <w:rsid w:val="00381A5B"/>
    <w:rsid w:val="00382CF5"/>
    <w:rsid w:val="00382F5E"/>
    <w:rsid w:val="003836A0"/>
    <w:rsid w:val="00384889"/>
    <w:rsid w:val="00384CBC"/>
    <w:rsid w:val="00385165"/>
    <w:rsid w:val="00386951"/>
    <w:rsid w:val="003869C4"/>
    <w:rsid w:val="003869CB"/>
    <w:rsid w:val="00386B80"/>
    <w:rsid w:val="0039003B"/>
    <w:rsid w:val="003925FF"/>
    <w:rsid w:val="00392CE1"/>
    <w:rsid w:val="00392FBC"/>
    <w:rsid w:val="00393128"/>
    <w:rsid w:val="00393EE7"/>
    <w:rsid w:val="00394377"/>
    <w:rsid w:val="00394391"/>
    <w:rsid w:val="0039646E"/>
    <w:rsid w:val="00396513"/>
    <w:rsid w:val="003972C3"/>
    <w:rsid w:val="003972E2"/>
    <w:rsid w:val="00397B74"/>
    <w:rsid w:val="003A0408"/>
    <w:rsid w:val="003A20CC"/>
    <w:rsid w:val="003A3C15"/>
    <w:rsid w:val="003B0703"/>
    <w:rsid w:val="003B12A3"/>
    <w:rsid w:val="003B23C7"/>
    <w:rsid w:val="003B2B72"/>
    <w:rsid w:val="003B33D9"/>
    <w:rsid w:val="003B4046"/>
    <w:rsid w:val="003B4176"/>
    <w:rsid w:val="003B4890"/>
    <w:rsid w:val="003C000C"/>
    <w:rsid w:val="003C10E4"/>
    <w:rsid w:val="003C11D3"/>
    <w:rsid w:val="003C1B8B"/>
    <w:rsid w:val="003C3428"/>
    <w:rsid w:val="003C44A4"/>
    <w:rsid w:val="003C56DD"/>
    <w:rsid w:val="003C5EF1"/>
    <w:rsid w:val="003C75B6"/>
    <w:rsid w:val="003D0E52"/>
    <w:rsid w:val="003D36BE"/>
    <w:rsid w:val="003D3C31"/>
    <w:rsid w:val="003D3D93"/>
    <w:rsid w:val="003D3F44"/>
    <w:rsid w:val="003D42BF"/>
    <w:rsid w:val="003D4950"/>
    <w:rsid w:val="003D4B3B"/>
    <w:rsid w:val="003D7C5E"/>
    <w:rsid w:val="003E4261"/>
    <w:rsid w:val="003E4E4E"/>
    <w:rsid w:val="003E592E"/>
    <w:rsid w:val="003E6796"/>
    <w:rsid w:val="003E74A4"/>
    <w:rsid w:val="003F016C"/>
    <w:rsid w:val="003F0C9A"/>
    <w:rsid w:val="003F0F6A"/>
    <w:rsid w:val="003F11EF"/>
    <w:rsid w:val="003F1AF1"/>
    <w:rsid w:val="003F2D47"/>
    <w:rsid w:val="003F3EF7"/>
    <w:rsid w:val="003F4679"/>
    <w:rsid w:val="003F63E4"/>
    <w:rsid w:val="003F6597"/>
    <w:rsid w:val="003F664C"/>
    <w:rsid w:val="00400583"/>
    <w:rsid w:val="004013BD"/>
    <w:rsid w:val="00403560"/>
    <w:rsid w:val="00403B75"/>
    <w:rsid w:val="00404793"/>
    <w:rsid w:val="00404846"/>
    <w:rsid w:val="00405215"/>
    <w:rsid w:val="004066A0"/>
    <w:rsid w:val="00406E5F"/>
    <w:rsid w:val="004071AB"/>
    <w:rsid w:val="00411638"/>
    <w:rsid w:val="004117C8"/>
    <w:rsid w:val="004129B3"/>
    <w:rsid w:val="004129E8"/>
    <w:rsid w:val="00413238"/>
    <w:rsid w:val="004146CE"/>
    <w:rsid w:val="00414BD0"/>
    <w:rsid w:val="00414F8C"/>
    <w:rsid w:val="00415522"/>
    <w:rsid w:val="00415A30"/>
    <w:rsid w:val="00415B73"/>
    <w:rsid w:val="00416773"/>
    <w:rsid w:val="0042137B"/>
    <w:rsid w:val="004239DB"/>
    <w:rsid w:val="004243AA"/>
    <w:rsid w:val="00425808"/>
    <w:rsid w:val="004261EC"/>
    <w:rsid w:val="0042749E"/>
    <w:rsid w:val="004279B5"/>
    <w:rsid w:val="00427CC9"/>
    <w:rsid w:val="00430433"/>
    <w:rsid w:val="0043074B"/>
    <w:rsid w:val="0043222C"/>
    <w:rsid w:val="004333C0"/>
    <w:rsid w:val="00433935"/>
    <w:rsid w:val="00433AD3"/>
    <w:rsid w:val="00433F6C"/>
    <w:rsid w:val="00433FF6"/>
    <w:rsid w:val="004348CE"/>
    <w:rsid w:val="00435926"/>
    <w:rsid w:val="004361B2"/>
    <w:rsid w:val="00437923"/>
    <w:rsid w:val="00440955"/>
    <w:rsid w:val="00442615"/>
    <w:rsid w:val="00443728"/>
    <w:rsid w:val="004443BE"/>
    <w:rsid w:val="00444B49"/>
    <w:rsid w:val="00445287"/>
    <w:rsid w:val="004459F5"/>
    <w:rsid w:val="0044794B"/>
    <w:rsid w:val="00450529"/>
    <w:rsid w:val="0045077B"/>
    <w:rsid w:val="0045475B"/>
    <w:rsid w:val="0045676C"/>
    <w:rsid w:val="0045796B"/>
    <w:rsid w:val="00457D5C"/>
    <w:rsid w:val="00460864"/>
    <w:rsid w:val="00462E52"/>
    <w:rsid w:val="0046457F"/>
    <w:rsid w:val="00464E5A"/>
    <w:rsid w:val="00465116"/>
    <w:rsid w:val="00465386"/>
    <w:rsid w:val="00465A43"/>
    <w:rsid w:val="00465B98"/>
    <w:rsid w:val="00466B3C"/>
    <w:rsid w:val="00471510"/>
    <w:rsid w:val="00471E81"/>
    <w:rsid w:val="00472BBF"/>
    <w:rsid w:val="004730F1"/>
    <w:rsid w:val="00473D36"/>
    <w:rsid w:val="004743FA"/>
    <w:rsid w:val="00474979"/>
    <w:rsid w:val="00474F4C"/>
    <w:rsid w:val="004761EF"/>
    <w:rsid w:val="00476E1E"/>
    <w:rsid w:val="004770AB"/>
    <w:rsid w:val="0047763D"/>
    <w:rsid w:val="00477672"/>
    <w:rsid w:val="00481B8D"/>
    <w:rsid w:val="004823D6"/>
    <w:rsid w:val="00482A76"/>
    <w:rsid w:val="0048600D"/>
    <w:rsid w:val="00487497"/>
    <w:rsid w:val="004876EB"/>
    <w:rsid w:val="00487751"/>
    <w:rsid w:val="00487BA0"/>
    <w:rsid w:val="0049306D"/>
    <w:rsid w:val="00493C36"/>
    <w:rsid w:val="00494A05"/>
    <w:rsid w:val="004953FB"/>
    <w:rsid w:val="00495D9A"/>
    <w:rsid w:val="00496468"/>
    <w:rsid w:val="00497611"/>
    <w:rsid w:val="004A0212"/>
    <w:rsid w:val="004A144B"/>
    <w:rsid w:val="004A1A48"/>
    <w:rsid w:val="004A1B6F"/>
    <w:rsid w:val="004A29AA"/>
    <w:rsid w:val="004A351E"/>
    <w:rsid w:val="004A35EE"/>
    <w:rsid w:val="004A3607"/>
    <w:rsid w:val="004A3AE7"/>
    <w:rsid w:val="004A3D3E"/>
    <w:rsid w:val="004A3E30"/>
    <w:rsid w:val="004A451A"/>
    <w:rsid w:val="004A495A"/>
    <w:rsid w:val="004A4D93"/>
    <w:rsid w:val="004A5574"/>
    <w:rsid w:val="004A5F73"/>
    <w:rsid w:val="004A72BA"/>
    <w:rsid w:val="004A743C"/>
    <w:rsid w:val="004B070F"/>
    <w:rsid w:val="004B1E54"/>
    <w:rsid w:val="004B44EC"/>
    <w:rsid w:val="004B47CC"/>
    <w:rsid w:val="004B52A5"/>
    <w:rsid w:val="004B5995"/>
    <w:rsid w:val="004B5FCE"/>
    <w:rsid w:val="004B6213"/>
    <w:rsid w:val="004B78FE"/>
    <w:rsid w:val="004C09A8"/>
    <w:rsid w:val="004C2285"/>
    <w:rsid w:val="004C3173"/>
    <w:rsid w:val="004C3270"/>
    <w:rsid w:val="004C4C79"/>
    <w:rsid w:val="004C4ED0"/>
    <w:rsid w:val="004C59EC"/>
    <w:rsid w:val="004C637B"/>
    <w:rsid w:val="004C6FC6"/>
    <w:rsid w:val="004C733F"/>
    <w:rsid w:val="004C7545"/>
    <w:rsid w:val="004D0BC5"/>
    <w:rsid w:val="004D1C54"/>
    <w:rsid w:val="004D4355"/>
    <w:rsid w:val="004D5812"/>
    <w:rsid w:val="004D617F"/>
    <w:rsid w:val="004E018C"/>
    <w:rsid w:val="004E1423"/>
    <w:rsid w:val="004E149D"/>
    <w:rsid w:val="004E16DF"/>
    <w:rsid w:val="004E213C"/>
    <w:rsid w:val="004E26B5"/>
    <w:rsid w:val="004E2DF0"/>
    <w:rsid w:val="004E4283"/>
    <w:rsid w:val="004E6D92"/>
    <w:rsid w:val="004F0C6F"/>
    <w:rsid w:val="004F23A4"/>
    <w:rsid w:val="004F358A"/>
    <w:rsid w:val="004F3692"/>
    <w:rsid w:val="004F5225"/>
    <w:rsid w:val="004F5A6F"/>
    <w:rsid w:val="004F5AF0"/>
    <w:rsid w:val="005006CD"/>
    <w:rsid w:val="005011D0"/>
    <w:rsid w:val="0050274A"/>
    <w:rsid w:val="00504893"/>
    <w:rsid w:val="00504AE3"/>
    <w:rsid w:val="00504FB6"/>
    <w:rsid w:val="0050530C"/>
    <w:rsid w:val="0050568F"/>
    <w:rsid w:val="005105DC"/>
    <w:rsid w:val="00510F91"/>
    <w:rsid w:val="005128AA"/>
    <w:rsid w:val="00512D12"/>
    <w:rsid w:val="00513C05"/>
    <w:rsid w:val="005146C5"/>
    <w:rsid w:val="0051585D"/>
    <w:rsid w:val="005174D4"/>
    <w:rsid w:val="0052000E"/>
    <w:rsid w:val="005200CC"/>
    <w:rsid w:val="005201EB"/>
    <w:rsid w:val="00520301"/>
    <w:rsid w:val="00521520"/>
    <w:rsid w:val="005216FC"/>
    <w:rsid w:val="005224D2"/>
    <w:rsid w:val="005245CE"/>
    <w:rsid w:val="00524E6A"/>
    <w:rsid w:val="00525E90"/>
    <w:rsid w:val="00526656"/>
    <w:rsid w:val="00533F5A"/>
    <w:rsid w:val="005345DD"/>
    <w:rsid w:val="005379C7"/>
    <w:rsid w:val="00537B4D"/>
    <w:rsid w:val="00537C2D"/>
    <w:rsid w:val="005408CC"/>
    <w:rsid w:val="00541011"/>
    <w:rsid w:val="0054148B"/>
    <w:rsid w:val="005422C1"/>
    <w:rsid w:val="00542665"/>
    <w:rsid w:val="0054328F"/>
    <w:rsid w:val="00543998"/>
    <w:rsid w:val="005456E7"/>
    <w:rsid w:val="0054577C"/>
    <w:rsid w:val="00546047"/>
    <w:rsid w:val="005469F6"/>
    <w:rsid w:val="0055081D"/>
    <w:rsid w:val="00550DF3"/>
    <w:rsid w:val="0055151D"/>
    <w:rsid w:val="005525D5"/>
    <w:rsid w:val="00554264"/>
    <w:rsid w:val="00555457"/>
    <w:rsid w:val="00555E8A"/>
    <w:rsid w:val="00557837"/>
    <w:rsid w:val="00557A94"/>
    <w:rsid w:val="00561740"/>
    <w:rsid w:val="00562B61"/>
    <w:rsid w:val="00562BD1"/>
    <w:rsid w:val="005631AA"/>
    <w:rsid w:val="005638E7"/>
    <w:rsid w:val="005644E5"/>
    <w:rsid w:val="0056482F"/>
    <w:rsid w:val="005658DF"/>
    <w:rsid w:val="005707A1"/>
    <w:rsid w:val="00570B6E"/>
    <w:rsid w:val="00572699"/>
    <w:rsid w:val="00572707"/>
    <w:rsid w:val="00572D03"/>
    <w:rsid w:val="00572F06"/>
    <w:rsid w:val="005730B0"/>
    <w:rsid w:val="0057475E"/>
    <w:rsid w:val="0057527C"/>
    <w:rsid w:val="00575CEE"/>
    <w:rsid w:val="0057707F"/>
    <w:rsid w:val="00577B48"/>
    <w:rsid w:val="00577DB1"/>
    <w:rsid w:val="005803BC"/>
    <w:rsid w:val="0058040B"/>
    <w:rsid w:val="005812FF"/>
    <w:rsid w:val="0058146E"/>
    <w:rsid w:val="0058528A"/>
    <w:rsid w:val="0058554C"/>
    <w:rsid w:val="005858CE"/>
    <w:rsid w:val="00585A3B"/>
    <w:rsid w:val="00585B39"/>
    <w:rsid w:val="00586905"/>
    <w:rsid w:val="00586924"/>
    <w:rsid w:val="00586D1E"/>
    <w:rsid w:val="00586DFF"/>
    <w:rsid w:val="00591D07"/>
    <w:rsid w:val="00596F07"/>
    <w:rsid w:val="005A025F"/>
    <w:rsid w:val="005A02B3"/>
    <w:rsid w:val="005A0C94"/>
    <w:rsid w:val="005A1067"/>
    <w:rsid w:val="005A3604"/>
    <w:rsid w:val="005A3C68"/>
    <w:rsid w:val="005A3D40"/>
    <w:rsid w:val="005A4B98"/>
    <w:rsid w:val="005A4CA6"/>
    <w:rsid w:val="005A715A"/>
    <w:rsid w:val="005A7704"/>
    <w:rsid w:val="005A7BEC"/>
    <w:rsid w:val="005B0738"/>
    <w:rsid w:val="005B14FC"/>
    <w:rsid w:val="005B1E80"/>
    <w:rsid w:val="005B2C67"/>
    <w:rsid w:val="005B345E"/>
    <w:rsid w:val="005B731F"/>
    <w:rsid w:val="005B78E5"/>
    <w:rsid w:val="005B7C70"/>
    <w:rsid w:val="005C04D4"/>
    <w:rsid w:val="005C1237"/>
    <w:rsid w:val="005C1DC0"/>
    <w:rsid w:val="005C4305"/>
    <w:rsid w:val="005C727B"/>
    <w:rsid w:val="005C7740"/>
    <w:rsid w:val="005D09FB"/>
    <w:rsid w:val="005D164F"/>
    <w:rsid w:val="005D350B"/>
    <w:rsid w:val="005D3FBE"/>
    <w:rsid w:val="005D4E8B"/>
    <w:rsid w:val="005D6078"/>
    <w:rsid w:val="005D7A71"/>
    <w:rsid w:val="005D7B14"/>
    <w:rsid w:val="005D7DD9"/>
    <w:rsid w:val="005D7E3D"/>
    <w:rsid w:val="005E18CC"/>
    <w:rsid w:val="005E2523"/>
    <w:rsid w:val="005E32DA"/>
    <w:rsid w:val="005E3A4C"/>
    <w:rsid w:val="005E469A"/>
    <w:rsid w:val="005E469E"/>
    <w:rsid w:val="005E637E"/>
    <w:rsid w:val="005E6813"/>
    <w:rsid w:val="005E7710"/>
    <w:rsid w:val="005F169C"/>
    <w:rsid w:val="005F1BBF"/>
    <w:rsid w:val="005F1E32"/>
    <w:rsid w:val="005F291E"/>
    <w:rsid w:val="005F36B2"/>
    <w:rsid w:val="005F4A83"/>
    <w:rsid w:val="005F5AC7"/>
    <w:rsid w:val="005F70D0"/>
    <w:rsid w:val="005F73CF"/>
    <w:rsid w:val="0060015E"/>
    <w:rsid w:val="00600D9B"/>
    <w:rsid w:val="00601DEF"/>
    <w:rsid w:val="00601E13"/>
    <w:rsid w:val="006021D2"/>
    <w:rsid w:val="00602982"/>
    <w:rsid w:val="00604835"/>
    <w:rsid w:val="00605605"/>
    <w:rsid w:val="00605B1F"/>
    <w:rsid w:val="00605E82"/>
    <w:rsid w:val="00606FA7"/>
    <w:rsid w:val="0060738C"/>
    <w:rsid w:val="006079E1"/>
    <w:rsid w:val="00607DB7"/>
    <w:rsid w:val="00607F29"/>
    <w:rsid w:val="006113AB"/>
    <w:rsid w:val="00611608"/>
    <w:rsid w:val="006123C6"/>
    <w:rsid w:val="0061319D"/>
    <w:rsid w:val="00613A60"/>
    <w:rsid w:val="006154CB"/>
    <w:rsid w:val="006155BD"/>
    <w:rsid w:val="00616283"/>
    <w:rsid w:val="00616D26"/>
    <w:rsid w:val="00620207"/>
    <w:rsid w:val="00622623"/>
    <w:rsid w:val="00622789"/>
    <w:rsid w:val="006237BB"/>
    <w:rsid w:val="00623DC4"/>
    <w:rsid w:val="0062711A"/>
    <w:rsid w:val="0063050C"/>
    <w:rsid w:val="00630940"/>
    <w:rsid w:val="006316E0"/>
    <w:rsid w:val="00633836"/>
    <w:rsid w:val="00634EBC"/>
    <w:rsid w:val="00635BA1"/>
    <w:rsid w:val="00636784"/>
    <w:rsid w:val="00636985"/>
    <w:rsid w:val="006408A0"/>
    <w:rsid w:val="0064190A"/>
    <w:rsid w:val="0064220F"/>
    <w:rsid w:val="00642C59"/>
    <w:rsid w:val="0064327A"/>
    <w:rsid w:val="00643B52"/>
    <w:rsid w:val="00644D6A"/>
    <w:rsid w:val="00645173"/>
    <w:rsid w:val="006454AF"/>
    <w:rsid w:val="00645D41"/>
    <w:rsid w:val="00646048"/>
    <w:rsid w:val="00646597"/>
    <w:rsid w:val="00651C1B"/>
    <w:rsid w:val="00652B85"/>
    <w:rsid w:val="00652BC1"/>
    <w:rsid w:val="00652C51"/>
    <w:rsid w:val="00653D7D"/>
    <w:rsid w:val="006547A3"/>
    <w:rsid w:val="00655991"/>
    <w:rsid w:val="006559CB"/>
    <w:rsid w:val="00656BC0"/>
    <w:rsid w:val="00657BB6"/>
    <w:rsid w:val="00660B0E"/>
    <w:rsid w:val="00661EE9"/>
    <w:rsid w:val="00662297"/>
    <w:rsid w:val="0066251D"/>
    <w:rsid w:val="006642C4"/>
    <w:rsid w:val="00664FC8"/>
    <w:rsid w:val="00665DC6"/>
    <w:rsid w:val="00665DEF"/>
    <w:rsid w:val="0066682F"/>
    <w:rsid w:val="00671B38"/>
    <w:rsid w:val="006722E5"/>
    <w:rsid w:val="00674E72"/>
    <w:rsid w:val="00675545"/>
    <w:rsid w:val="0067676F"/>
    <w:rsid w:val="00676AAE"/>
    <w:rsid w:val="00676B39"/>
    <w:rsid w:val="00676CE2"/>
    <w:rsid w:val="00677390"/>
    <w:rsid w:val="00682D0D"/>
    <w:rsid w:val="00683605"/>
    <w:rsid w:val="00683927"/>
    <w:rsid w:val="00683DA1"/>
    <w:rsid w:val="00683FDD"/>
    <w:rsid w:val="00684621"/>
    <w:rsid w:val="00685796"/>
    <w:rsid w:val="0068644D"/>
    <w:rsid w:val="00687364"/>
    <w:rsid w:val="006874EC"/>
    <w:rsid w:val="006878FD"/>
    <w:rsid w:val="00690673"/>
    <w:rsid w:val="0069133F"/>
    <w:rsid w:val="0069226F"/>
    <w:rsid w:val="006925A3"/>
    <w:rsid w:val="00697C21"/>
    <w:rsid w:val="006A1D34"/>
    <w:rsid w:val="006A3C53"/>
    <w:rsid w:val="006A3F0E"/>
    <w:rsid w:val="006A3FBC"/>
    <w:rsid w:val="006A5498"/>
    <w:rsid w:val="006A788C"/>
    <w:rsid w:val="006A7D3F"/>
    <w:rsid w:val="006A7F5A"/>
    <w:rsid w:val="006A7FA6"/>
    <w:rsid w:val="006B0AA9"/>
    <w:rsid w:val="006B27EE"/>
    <w:rsid w:val="006B41FF"/>
    <w:rsid w:val="006B4EFD"/>
    <w:rsid w:val="006B5776"/>
    <w:rsid w:val="006B604C"/>
    <w:rsid w:val="006B6154"/>
    <w:rsid w:val="006B748F"/>
    <w:rsid w:val="006C0547"/>
    <w:rsid w:val="006C1939"/>
    <w:rsid w:val="006C427B"/>
    <w:rsid w:val="006C5051"/>
    <w:rsid w:val="006C543B"/>
    <w:rsid w:val="006C56F9"/>
    <w:rsid w:val="006C6727"/>
    <w:rsid w:val="006C6879"/>
    <w:rsid w:val="006C7EA5"/>
    <w:rsid w:val="006D089A"/>
    <w:rsid w:val="006D5CE9"/>
    <w:rsid w:val="006D61D6"/>
    <w:rsid w:val="006D7413"/>
    <w:rsid w:val="006E02E3"/>
    <w:rsid w:val="006E3754"/>
    <w:rsid w:val="006E4ACE"/>
    <w:rsid w:val="006E6242"/>
    <w:rsid w:val="006F26D8"/>
    <w:rsid w:val="006F3245"/>
    <w:rsid w:val="006F373A"/>
    <w:rsid w:val="006F3A44"/>
    <w:rsid w:val="006F4308"/>
    <w:rsid w:val="006F6653"/>
    <w:rsid w:val="006F7E79"/>
    <w:rsid w:val="0070040E"/>
    <w:rsid w:val="007013DA"/>
    <w:rsid w:val="007015DE"/>
    <w:rsid w:val="00701602"/>
    <w:rsid w:val="00701898"/>
    <w:rsid w:val="00704E0C"/>
    <w:rsid w:val="00704E56"/>
    <w:rsid w:val="00706F16"/>
    <w:rsid w:val="00707A61"/>
    <w:rsid w:val="007110EC"/>
    <w:rsid w:val="0071142F"/>
    <w:rsid w:val="007125DB"/>
    <w:rsid w:val="00712C29"/>
    <w:rsid w:val="007135C7"/>
    <w:rsid w:val="00713824"/>
    <w:rsid w:val="007146B3"/>
    <w:rsid w:val="00715286"/>
    <w:rsid w:val="00716640"/>
    <w:rsid w:val="007167C5"/>
    <w:rsid w:val="00717004"/>
    <w:rsid w:val="0071741D"/>
    <w:rsid w:val="007213AA"/>
    <w:rsid w:val="007226B1"/>
    <w:rsid w:val="00723D54"/>
    <w:rsid w:val="007250B8"/>
    <w:rsid w:val="007256AE"/>
    <w:rsid w:val="007256D9"/>
    <w:rsid w:val="0072571D"/>
    <w:rsid w:val="0072609E"/>
    <w:rsid w:val="0073035D"/>
    <w:rsid w:val="00730795"/>
    <w:rsid w:val="00731D04"/>
    <w:rsid w:val="00732002"/>
    <w:rsid w:val="007320DB"/>
    <w:rsid w:val="0073266F"/>
    <w:rsid w:val="00735747"/>
    <w:rsid w:val="00736979"/>
    <w:rsid w:val="00737CD2"/>
    <w:rsid w:val="00740C18"/>
    <w:rsid w:val="007411E1"/>
    <w:rsid w:val="0074154D"/>
    <w:rsid w:val="00741CF1"/>
    <w:rsid w:val="00742324"/>
    <w:rsid w:val="007426E6"/>
    <w:rsid w:val="00742FF3"/>
    <w:rsid w:val="00744C83"/>
    <w:rsid w:val="007451CA"/>
    <w:rsid w:val="00745583"/>
    <w:rsid w:val="00746553"/>
    <w:rsid w:val="00746931"/>
    <w:rsid w:val="007477D3"/>
    <w:rsid w:val="007503AB"/>
    <w:rsid w:val="00750D50"/>
    <w:rsid w:val="007536C8"/>
    <w:rsid w:val="00754A50"/>
    <w:rsid w:val="00754BEA"/>
    <w:rsid w:val="00754FAB"/>
    <w:rsid w:val="0075514A"/>
    <w:rsid w:val="007553A9"/>
    <w:rsid w:val="007560B2"/>
    <w:rsid w:val="00757102"/>
    <w:rsid w:val="007579F5"/>
    <w:rsid w:val="007601B3"/>
    <w:rsid w:val="007603D7"/>
    <w:rsid w:val="0076053F"/>
    <w:rsid w:val="00760C3D"/>
    <w:rsid w:val="00761301"/>
    <w:rsid w:val="00761371"/>
    <w:rsid w:val="007644B0"/>
    <w:rsid w:val="007649A7"/>
    <w:rsid w:val="007649BF"/>
    <w:rsid w:val="00764C6B"/>
    <w:rsid w:val="00764E49"/>
    <w:rsid w:val="007651A2"/>
    <w:rsid w:val="00765D57"/>
    <w:rsid w:val="007666FE"/>
    <w:rsid w:val="00767B46"/>
    <w:rsid w:val="00770A39"/>
    <w:rsid w:val="0077530F"/>
    <w:rsid w:val="0077555B"/>
    <w:rsid w:val="007759DE"/>
    <w:rsid w:val="00777A21"/>
    <w:rsid w:val="00777A95"/>
    <w:rsid w:val="00777D1D"/>
    <w:rsid w:val="00780467"/>
    <w:rsid w:val="00781327"/>
    <w:rsid w:val="00782883"/>
    <w:rsid w:val="00784465"/>
    <w:rsid w:val="00784A0E"/>
    <w:rsid w:val="00784CDA"/>
    <w:rsid w:val="007874B7"/>
    <w:rsid w:val="007874F4"/>
    <w:rsid w:val="0078767A"/>
    <w:rsid w:val="00790178"/>
    <w:rsid w:val="00790CFC"/>
    <w:rsid w:val="007914C5"/>
    <w:rsid w:val="007919B9"/>
    <w:rsid w:val="00794F24"/>
    <w:rsid w:val="00795101"/>
    <w:rsid w:val="00795483"/>
    <w:rsid w:val="007956D3"/>
    <w:rsid w:val="007966EF"/>
    <w:rsid w:val="00796FB7"/>
    <w:rsid w:val="0079757A"/>
    <w:rsid w:val="00797928"/>
    <w:rsid w:val="00797E30"/>
    <w:rsid w:val="007A01EF"/>
    <w:rsid w:val="007A1995"/>
    <w:rsid w:val="007A2570"/>
    <w:rsid w:val="007A3815"/>
    <w:rsid w:val="007A3A65"/>
    <w:rsid w:val="007A3A99"/>
    <w:rsid w:val="007A49B7"/>
    <w:rsid w:val="007A4E59"/>
    <w:rsid w:val="007A585F"/>
    <w:rsid w:val="007A69A9"/>
    <w:rsid w:val="007A7462"/>
    <w:rsid w:val="007A757F"/>
    <w:rsid w:val="007A7E5E"/>
    <w:rsid w:val="007B002A"/>
    <w:rsid w:val="007B1F85"/>
    <w:rsid w:val="007B3CF8"/>
    <w:rsid w:val="007B3D96"/>
    <w:rsid w:val="007B4AA5"/>
    <w:rsid w:val="007B5661"/>
    <w:rsid w:val="007B5DA2"/>
    <w:rsid w:val="007B5F62"/>
    <w:rsid w:val="007B74D8"/>
    <w:rsid w:val="007C0C42"/>
    <w:rsid w:val="007C1BF1"/>
    <w:rsid w:val="007C213B"/>
    <w:rsid w:val="007C2CF5"/>
    <w:rsid w:val="007C3944"/>
    <w:rsid w:val="007C43BA"/>
    <w:rsid w:val="007C482A"/>
    <w:rsid w:val="007C4A80"/>
    <w:rsid w:val="007C4CB1"/>
    <w:rsid w:val="007C50FB"/>
    <w:rsid w:val="007C59D0"/>
    <w:rsid w:val="007C5BF7"/>
    <w:rsid w:val="007C60B1"/>
    <w:rsid w:val="007C7874"/>
    <w:rsid w:val="007D1455"/>
    <w:rsid w:val="007D1BF8"/>
    <w:rsid w:val="007D371E"/>
    <w:rsid w:val="007D4540"/>
    <w:rsid w:val="007D5251"/>
    <w:rsid w:val="007D57AF"/>
    <w:rsid w:val="007D6F34"/>
    <w:rsid w:val="007E17CF"/>
    <w:rsid w:val="007E2173"/>
    <w:rsid w:val="007E49A6"/>
    <w:rsid w:val="007E4B13"/>
    <w:rsid w:val="007E4E46"/>
    <w:rsid w:val="007E547A"/>
    <w:rsid w:val="007E6AF5"/>
    <w:rsid w:val="007E6C83"/>
    <w:rsid w:val="007E7599"/>
    <w:rsid w:val="007F0C78"/>
    <w:rsid w:val="007F152D"/>
    <w:rsid w:val="007F29BA"/>
    <w:rsid w:val="007F38C0"/>
    <w:rsid w:val="007F3E3C"/>
    <w:rsid w:val="007F4605"/>
    <w:rsid w:val="007F5693"/>
    <w:rsid w:val="007F65A3"/>
    <w:rsid w:val="007F7793"/>
    <w:rsid w:val="00803BBA"/>
    <w:rsid w:val="008046E7"/>
    <w:rsid w:val="00805300"/>
    <w:rsid w:val="00807DB8"/>
    <w:rsid w:val="00811BAE"/>
    <w:rsid w:val="0081280B"/>
    <w:rsid w:val="00813D41"/>
    <w:rsid w:val="0081441B"/>
    <w:rsid w:val="0081507C"/>
    <w:rsid w:val="00815669"/>
    <w:rsid w:val="008171BF"/>
    <w:rsid w:val="008173AD"/>
    <w:rsid w:val="00821108"/>
    <w:rsid w:val="008220BE"/>
    <w:rsid w:val="008222DC"/>
    <w:rsid w:val="0082403F"/>
    <w:rsid w:val="00824CE2"/>
    <w:rsid w:val="00825288"/>
    <w:rsid w:val="008277A1"/>
    <w:rsid w:val="00827C84"/>
    <w:rsid w:val="008309DD"/>
    <w:rsid w:val="00830D8B"/>
    <w:rsid w:val="008356CA"/>
    <w:rsid w:val="00837F53"/>
    <w:rsid w:val="00840644"/>
    <w:rsid w:val="00841212"/>
    <w:rsid w:val="00842CB3"/>
    <w:rsid w:val="00843700"/>
    <w:rsid w:val="008457FE"/>
    <w:rsid w:val="00845B91"/>
    <w:rsid w:val="00847EA3"/>
    <w:rsid w:val="008500B6"/>
    <w:rsid w:val="0085090D"/>
    <w:rsid w:val="00850DBE"/>
    <w:rsid w:val="00853630"/>
    <w:rsid w:val="00853A23"/>
    <w:rsid w:val="00853D04"/>
    <w:rsid w:val="008547F7"/>
    <w:rsid w:val="0085526B"/>
    <w:rsid w:val="008605F6"/>
    <w:rsid w:val="00860E8F"/>
    <w:rsid w:val="0086230D"/>
    <w:rsid w:val="0086346C"/>
    <w:rsid w:val="008651E8"/>
    <w:rsid w:val="00866A0F"/>
    <w:rsid w:val="0086740A"/>
    <w:rsid w:val="00867571"/>
    <w:rsid w:val="0087104F"/>
    <w:rsid w:val="00871053"/>
    <w:rsid w:val="0087213C"/>
    <w:rsid w:val="00872ADE"/>
    <w:rsid w:val="0087332D"/>
    <w:rsid w:val="008735EB"/>
    <w:rsid w:val="008738FF"/>
    <w:rsid w:val="00875EC6"/>
    <w:rsid w:val="008760D0"/>
    <w:rsid w:val="00877CD3"/>
    <w:rsid w:val="008813A2"/>
    <w:rsid w:val="00881556"/>
    <w:rsid w:val="00881CA6"/>
    <w:rsid w:val="00882473"/>
    <w:rsid w:val="00882EE6"/>
    <w:rsid w:val="008841FC"/>
    <w:rsid w:val="008854D5"/>
    <w:rsid w:val="008868EF"/>
    <w:rsid w:val="00886D0F"/>
    <w:rsid w:val="00887A14"/>
    <w:rsid w:val="00887E7C"/>
    <w:rsid w:val="008911B5"/>
    <w:rsid w:val="00891D30"/>
    <w:rsid w:val="00893451"/>
    <w:rsid w:val="00894318"/>
    <w:rsid w:val="00895053"/>
    <w:rsid w:val="00896730"/>
    <w:rsid w:val="00896D0F"/>
    <w:rsid w:val="00896E98"/>
    <w:rsid w:val="00897BB0"/>
    <w:rsid w:val="008A1DCD"/>
    <w:rsid w:val="008A2413"/>
    <w:rsid w:val="008A49BB"/>
    <w:rsid w:val="008A524C"/>
    <w:rsid w:val="008A621C"/>
    <w:rsid w:val="008A68A2"/>
    <w:rsid w:val="008A6F54"/>
    <w:rsid w:val="008A79AD"/>
    <w:rsid w:val="008A7DFE"/>
    <w:rsid w:val="008B1771"/>
    <w:rsid w:val="008B3A4B"/>
    <w:rsid w:val="008B4BB8"/>
    <w:rsid w:val="008C0E15"/>
    <w:rsid w:val="008C15FB"/>
    <w:rsid w:val="008C25CE"/>
    <w:rsid w:val="008C266C"/>
    <w:rsid w:val="008C27FF"/>
    <w:rsid w:val="008C4660"/>
    <w:rsid w:val="008C5E19"/>
    <w:rsid w:val="008C6495"/>
    <w:rsid w:val="008C69C2"/>
    <w:rsid w:val="008C7D82"/>
    <w:rsid w:val="008D109B"/>
    <w:rsid w:val="008D2346"/>
    <w:rsid w:val="008D254C"/>
    <w:rsid w:val="008D3625"/>
    <w:rsid w:val="008D4417"/>
    <w:rsid w:val="008D723B"/>
    <w:rsid w:val="008D79B9"/>
    <w:rsid w:val="008E0F74"/>
    <w:rsid w:val="008E10A9"/>
    <w:rsid w:val="008E29C8"/>
    <w:rsid w:val="008E2E8D"/>
    <w:rsid w:val="008E3343"/>
    <w:rsid w:val="008E5875"/>
    <w:rsid w:val="008E58F2"/>
    <w:rsid w:val="008E7495"/>
    <w:rsid w:val="008E7908"/>
    <w:rsid w:val="008E7E1D"/>
    <w:rsid w:val="008F0CCD"/>
    <w:rsid w:val="008F1891"/>
    <w:rsid w:val="008F1CCB"/>
    <w:rsid w:val="008F260E"/>
    <w:rsid w:val="008F3B6C"/>
    <w:rsid w:val="009005E4"/>
    <w:rsid w:val="009037E4"/>
    <w:rsid w:val="009049FF"/>
    <w:rsid w:val="00905999"/>
    <w:rsid w:val="009061AF"/>
    <w:rsid w:val="00906A58"/>
    <w:rsid w:val="0091093E"/>
    <w:rsid w:val="00911280"/>
    <w:rsid w:val="00912AD2"/>
    <w:rsid w:val="00912E88"/>
    <w:rsid w:val="009164B1"/>
    <w:rsid w:val="00916809"/>
    <w:rsid w:val="00917290"/>
    <w:rsid w:val="0091799E"/>
    <w:rsid w:val="009217A5"/>
    <w:rsid w:val="00921BC8"/>
    <w:rsid w:val="0092240B"/>
    <w:rsid w:val="00922EF5"/>
    <w:rsid w:val="009246F0"/>
    <w:rsid w:val="0092513F"/>
    <w:rsid w:val="00930E29"/>
    <w:rsid w:val="00930EBF"/>
    <w:rsid w:val="00931499"/>
    <w:rsid w:val="009333C2"/>
    <w:rsid w:val="00933CE6"/>
    <w:rsid w:val="00933CEF"/>
    <w:rsid w:val="00934289"/>
    <w:rsid w:val="009362E9"/>
    <w:rsid w:val="00936816"/>
    <w:rsid w:val="00937E30"/>
    <w:rsid w:val="00940F26"/>
    <w:rsid w:val="00941060"/>
    <w:rsid w:val="0094147E"/>
    <w:rsid w:val="0094186A"/>
    <w:rsid w:val="009418E7"/>
    <w:rsid w:val="009422C7"/>
    <w:rsid w:val="009436C3"/>
    <w:rsid w:val="00943EB7"/>
    <w:rsid w:val="00946BCD"/>
    <w:rsid w:val="0095163D"/>
    <w:rsid w:val="00954951"/>
    <w:rsid w:val="0095542A"/>
    <w:rsid w:val="009600BD"/>
    <w:rsid w:val="0096100E"/>
    <w:rsid w:val="00961EE7"/>
    <w:rsid w:val="00963110"/>
    <w:rsid w:val="00965C40"/>
    <w:rsid w:val="0096630C"/>
    <w:rsid w:val="00966E52"/>
    <w:rsid w:val="00973A43"/>
    <w:rsid w:val="0097417C"/>
    <w:rsid w:val="00975B67"/>
    <w:rsid w:val="009761E6"/>
    <w:rsid w:val="00976B4B"/>
    <w:rsid w:val="009775ED"/>
    <w:rsid w:val="00977D1F"/>
    <w:rsid w:val="009815E7"/>
    <w:rsid w:val="00982190"/>
    <w:rsid w:val="00982373"/>
    <w:rsid w:val="00982626"/>
    <w:rsid w:val="009826AF"/>
    <w:rsid w:val="00982EB2"/>
    <w:rsid w:val="00983297"/>
    <w:rsid w:val="00984ADD"/>
    <w:rsid w:val="009862FA"/>
    <w:rsid w:val="00986719"/>
    <w:rsid w:val="009867A2"/>
    <w:rsid w:val="0098798C"/>
    <w:rsid w:val="00987A0F"/>
    <w:rsid w:val="009901A8"/>
    <w:rsid w:val="0099254A"/>
    <w:rsid w:val="00993FF4"/>
    <w:rsid w:val="009957C9"/>
    <w:rsid w:val="009969C9"/>
    <w:rsid w:val="00997E5C"/>
    <w:rsid w:val="009A16C1"/>
    <w:rsid w:val="009A1FA2"/>
    <w:rsid w:val="009A2151"/>
    <w:rsid w:val="009A35C6"/>
    <w:rsid w:val="009A4B2D"/>
    <w:rsid w:val="009A4F5F"/>
    <w:rsid w:val="009A5872"/>
    <w:rsid w:val="009A5D92"/>
    <w:rsid w:val="009A61A3"/>
    <w:rsid w:val="009A6DD1"/>
    <w:rsid w:val="009A7376"/>
    <w:rsid w:val="009B10D9"/>
    <w:rsid w:val="009B2D94"/>
    <w:rsid w:val="009B3124"/>
    <w:rsid w:val="009B38F2"/>
    <w:rsid w:val="009B394B"/>
    <w:rsid w:val="009B3B06"/>
    <w:rsid w:val="009B3D2B"/>
    <w:rsid w:val="009B4190"/>
    <w:rsid w:val="009B4B7B"/>
    <w:rsid w:val="009B54F8"/>
    <w:rsid w:val="009B563E"/>
    <w:rsid w:val="009B5B02"/>
    <w:rsid w:val="009C100D"/>
    <w:rsid w:val="009C2D38"/>
    <w:rsid w:val="009C42A9"/>
    <w:rsid w:val="009C57E9"/>
    <w:rsid w:val="009C5B68"/>
    <w:rsid w:val="009C5D47"/>
    <w:rsid w:val="009C653F"/>
    <w:rsid w:val="009C73A3"/>
    <w:rsid w:val="009C77DC"/>
    <w:rsid w:val="009C7946"/>
    <w:rsid w:val="009C79AA"/>
    <w:rsid w:val="009D0CD6"/>
    <w:rsid w:val="009D23A3"/>
    <w:rsid w:val="009D5626"/>
    <w:rsid w:val="009D585C"/>
    <w:rsid w:val="009D6461"/>
    <w:rsid w:val="009D7D10"/>
    <w:rsid w:val="009E0BC6"/>
    <w:rsid w:val="009E2EC9"/>
    <w:rsid w:val="009E2FCF"/>
    <w:rsid w:val="009E3137"/>
    <w:rsid w:val="009E54B9"/>
    <w:rsid w:val="009E5C49"/>
    <w:rsid w:val="009F026B"/>
    <w:rsid w:val="009F350E"/>
    <w:rsid w:val="009F3E1A"/>
    <w:rsid w:val="00A003B6"/>
    <w:rsid w:val="00A01A12"/>
    <w:rsid w:val="00A02C8C"/>
    <w:rsid w:val="00A054E7"/>
    <w:rsid w:val="00A05B5C"/>
    <w:rsid w:val="00A06A63"/>
    <w:rsid w:val="00A0770B"/>
    <w:rsid w:val="00A10E59"/>
    <w:rsid w:val="00A11598"/>
    <w:rsid w:val="00A123E3"/>
    <w:rsid w:val="00A1277B"/>
    <w:rsid w:val="00A15E09"/>
    <w:rsid w:val="00A1672D"/>
    <w:rsid w:val="00A17BAD"/>
    <w:rsid w:val="00A2030F"/>
    <w:rsid w:val="00A21560"/>
    <w:rsid w:val="00A215D2"/>
    <w:rsid w:val="00A21A4D"/>
    <w:rsid w:val="00A223C8"/>
    <w:rsid w:val="00A230DA"/>
    <w:rsid w:val="00A23741"/>
    <w:rsid w:val="00A248DC"/>
    <w:rsid w:val="00A24A1C"/>
    <w:rsid w:val="00A255E3"/>
    <w:rsid w:val="00A256A3"/>
    <w:rsid w:val="00A25A81"/>
    <w:rsid w:val="00A265BF"/>
    <w:rsid w:val="00A31563"/>
    <w:rsid w:val="00A32702"/>
    <w:rsid w:val="00A32777"/>
    <w:rsid w:val="00A32981"/>
    <w:rsid w:val="00A335B3"/>
    <w:rsid w:val="00A341DF"/>
    <w:rsid w:val="00A347C1"/>
    <w:rsid w:val="00A35BF6"/>
    <w:rsid w:val="00A36056"/>
    <w:rsid w:val="00A366D8"/>
    <w:rsid w:val="00A374FA"/>
    <w:rsid w:val="00A37F04"/>
    <w:rsid w:val="00A40B53"/>
    <w:rsid w:val="00A4118F"/>
    <w:rsid w:val="00A4168D"/>
    <w:rsid w:val="00A4180B"/>
    <w:rsid w:val="00A441E7"/>
    <w:rsid w:val="00A44605"/>
    <w:rsid w:val="00A449CB"/>
    <w:rsid w:val="00A45E8F"/>
    <w:rsid w:val="00A45F22"/>
    <w:rsid w:val="00A511F8"/>
    <w:rsid w:val="00A51F85"/>
    <w:rsid w:val="00A53138"/>
    <w:rsid w:val="00A53959"/>
    <w:rsid w:val="00A53F32"/>
    <w:rsid w:val="00A54273"/>
    <w:rsid w:val="00A567FA"/>
    <w:rsid w:val="00A57552"/>
    <w:rsid w:val="00A57EA0"/>
    <w:rsid w:val="00A609C6"/>
    <w:rsid w:val="00A617C7"/>
    <w:rsid w:val="00A6369E"/>
    <w:rsid w:val="00A64F5E"/>
    <w:rsid w:val="00A65B5C"/>
    <w:rsid w:val="00A67888"/>
    <w:rsid w:val="00A704DA"/>
    <w:rsid w:val="00A70E16"/>
    <w:rsid w:val="00A71EE9"/>
    <w:rsid w:val="00A73427"/>
    <w:rsid w:val="00A741BC"/>
    <w:rsid w:val="00A8087C"/>
    <w:rsid w:val="00A82E81"/>
    <w:rsid w:val="00A8317A"/>
    <w:rsid w:val="00A855B7"/>
    <w:rsid w:val="00A87E59"/>
    <w:rsid w:val="00A90172"/>
    <w:rsid w:val="00A9168D"/>
    <w:rsid w:val="00A92C06"/>
    <w:rsid w:val="00A93216"/>
    <w:rsid w:val="00A93306"/>
    <w:rsid w:val="00A93A7F"/>
    <w:rsid w:val="00A950B4"/>
    <w:rsid w:val="00A95A90"/>
    <w:rsid w:val="00A9661A"/>
    <w:rsid w:val="00A969C8"/>
    <w:rsid w:val="00A96B4E"/>
    <w:rsid w:val="00A97C6C"/>
    <w:rsid w:val="00AA0B83"/>
    <w:rsid w:val="00AA3FEC"/>
    <w:rsid w:val="00AA5326"/>
    <w:rsid w:val="00AA6019"/>
    <w:rsid w:val="00AB26F3"/>
    <w:rsid w:val="00AB2746"/>
    <w:rsid w:val="00AB2A47"/>
    <w:rsid w:val="00AB3179"/>
    <w:rsid w:val="00AB4B77"/>
    <w:rsid w:val="00AB4F6F"/>
    <w:rsid w:val="00AB6405"/>
    <w:rsid w:val="00AB6471"/>
    <w:rsid w:val="00AB6F41"/>
    <w:rsid w:val="00AC1EFE"/>
    <w:rsid w:val="00AC26C2"/>
    <w:rsid w:val="00AC49AC"/>
    <w:rsid w:val="00AC5317"/>
    <w:rsid w:val="00AC53B6"/>
    <w:rsid w:val="00AC6D7A"/>
    <w:rsid w:val="00AC7F7F"/>
    <w:rsid w:val="00AD0FCE"/>
    <w:rsid w:val="00AD333D"/>
    <w:rsid w:val="00AD6917"/>
    <w:rsid w:val="00AD727A"/>
    <w:rsid w:val="00AD797A"/>
    <w:rsid w:val="00AD7B00"/>
    <w:rsid w:val="00AE1477"/>
    <w:rsid w:val="00AE1737"/>
    <w:rsid w:val="00AE176C"/>
    <w:rsid w:val="00AE330A"/>
    <w:rsid w:val="00AE366E"/>
    <w:rsid w:val="00AE41D5"/>
    <w:rsid w:val="00AE4EA1"/>
    <w:rsid w:val="00AE62B7"/>
    <w:rsid w:val="00AE6812"/>
    <w:rsid w:val="00AE7D15"/>
    <w:rsid w:val="00AF444A"/>
    <w:rsid w:val="00AF48EF"/>
    <w:rsid w:val="00AF4E0D"/>
    <w:rsid w:val="00AF68EE"/>
    <w:rsid w:val="00AF6A63"/>
    <w:rsid w:val="00AF6D9D"/>
    <w:rsid w:val="00AF7646"/>
    <w:rsid w:val="00AF7EFF"/>
    <w:rsid w:val="00B00BED"/>
    <w:rsid w:val="00B01E51"/>
    <w:rsid w:val="00B03C18"/>
    <w:rsid w:val="00B03C47"/>
    <w:rsid w:val="00B04247"/>
    <w:rsid w:val="00B061B1"/>
    <w:rsid w:val="00B06C3C"/>
    <w:rsid w:val="00B06CFD"/>
    <w:rsid w:val="00B06FCC"/>
    <w:rsid w:val="00B105DD"/>
    <w:rsid w:val="00B11571"/>
    <w:rsid w:val="00B13C1A"/>
    <w:rsid w:val="00B150E1"/>
    <w:rsid w:val="00B16EA0"/>
    <w:rsid w:val="00B1776E"/>
    <w:rsid w:val="00B2022E"/>
    <w:rsid w:val="00B202F9"/>
    <w:rsid w:val="00B23114"/>
    <w:rsid w:val="00B23C23"/>
    <w:rsid w:val="00B246DB"/>
    <w:rsid w:val="00B24B80"/>
    <w:rsid w:val="00B26C7B"/>
    <w:rsid w:val="00B27078"/>
    <w:rsid w:val="00B27264"/>
    <w:rsid w:val="00B27669"/>
    <w:rsid w:val="00B2780A"/>
    <w:rsid w:val="00B303A0"/>
    <w:rsid w:val="00B30DAC"/>
    <w:rsid w:val="00B3146C"/>
    <w:rsid w:val="00B331F1"/>
    <w:rsid w:val="00B34C8B"/>
    <w:rsid w:val="00B36284"/>
    <w:rsid w:val="00B364B9"/>
    <w:rsid w:val="00B36727"/>
    <w:rsid w:val="00B36811"/>
    <w:rsid w:val="00B37AE6"/>
    <w:rsid w:val="00B37C22"/>
    <w:rsid w:val="00B37C24"/>
    <w:rsid w:val="00B37CF4"/>
    <w:rsid w:val="00B37FFA"/>
    <w:rsid w:val="00B409E9"/>
    <w:rsid w:val="00B40F9E"/>
    <w:rsid w:val="00B4133C"/>
    <w:rsid w:val="00B41B3C"/>
    <w:rsid w:val="00B4271E"/>
    <w:rsid w:val="00B432C2"/>
    <w:rsid w:val="00B43AAA"/>
    <w:rsid w:val="00B43FFC"/>
    <w:rsid w:val="00B4489D"/>
    <w:rsid w:val="00B44B15"/>
    <w:rsid w:val="00B44B9F"/>
    <w:rsid w:val="00B46388"/>
    <w:rsid w:val="00B46822"/>
    <w:rsid w:val="00B468AD"/>
    <w:rsid w:val="00B46CD6"/>
    <w:rsid w:val="00B47A09"/>
    <w:rsid w:val="00B47AA5"/>
    <w:rsid w:val="00B50011"/>
    <w:rsid w:val="00B50D87"/>
    <w:rsid w:val="00B52E78"/>
    <w:rsid w:val="00B53179"/>
    <w:rsid w:val="00B53743"/>
    <w:rsid w:val="00B54CF7"/>
    <w:rsid w:val="00B56F06"/>
    <w:rsid w:val="00B57CBF"/>
    <w:rsid w:val="00B608A8"/>
    <w:rsid w:val="00B64079"/>
    <w:rsid w:val="00B6502D"/>
    <w:rsid w:val="00B650E9"/>
    <w:rsid w:val="00B66F1B"/>
    <w:rsid w:val="00B6734D"/>
    <w:rsid w:val="00B67921"/>
    <w:rsid w:val="00B709D7"/>
    <w:rsid w:val="00B70F44"/>
    <w:rsid w:val="00B710D5"/>
    <w:rsid w:val="00B716A2"/>
    <w:rsid w:val="00B72997"/>
    <w:rsid w:val="00B73857"/>
    <w:rsid w:val="00B74FF9"/>
    <w:rsid w:val="00B75133"/>
    <w:rsid w:val="00B76B3F"/>
    <w:rsid w:val="00B76B42"/>
    <w:rsid w:val="00B80B47"/>
    <w:rsid w:val="00B83D15"/>
    <w:rsid w:val="00B84681"/>
    <w:rsid w:val="00B84905"/>
    <w:rsid w:val="00B84EDB"/>
    <w:rsid w:val="00B850C5"/>
    <w:rsid w:val="00B9168D"/>
    <w:rsid w:val="00B9249C"/>
    <w:rsid w:val="00B95ED9"/>
    <w:rsid w:val="00B964A7"/>
    <w:rsid w:val="00B96506"/>
    <w:rsid w:val="00B96C88"/>
    <w:rsid w:val="00BA1726"/>
    <w:rsid w:val="00BA506E"/>
    <w:rsid w:val="00BA51E8"/>
    <w:rsid w:val="00BA7245"/>
    <w:rsid w:val="00BB11A1"/>
    <w:rsid w:val="00BB1B64"/>
    <w:rsid w:val="00BB21F0"/>
    <w:rsid w:val="00BB306F"/>
    <w:rsid w:val="00BB4BB1"/>
    <w:rsid w:val="00BB5182"/>
    <w:rsid w:val="00BC05E2"/>
    <w:rsid w:val="00BC1403"/>
    <w:rsid w:val="00BC1E99"/>
    <w:rsid w:val="00BC1EA8"/>
    <w:rsid w:val="00BC358C"/>
    <w:rsid w:val="00BC38E4"/>
    <w:rsid w:val="00BC3C2B"/>
    <w:rsid w:val="00BC6B97"/>
    <w:rsid w:val="00BC70E2"/>
    <w:rsid w:val="00BC7E7B"/>
    <w:rsid w:val="00BC7FF5"/>
    <w:rsid w:val="00BD0BC6"/>
    <w:rsid w:val="00BD129F"/>
    <w:rsid w:val="00BD1333"/>
    <w:rsid w:val="00BD2135"/>
    <w:rsid w:val="00BD4431"/>
    <w:rsid w:val="00BD4BD7"/>
    <w:rsid w:val="00BD4CCD"/>
    <w:rsid w:val="00BD5C8A"/>
    <w:rsid w:val="00BD759A"/>
    <w:rsid w:val="00BD7DCC"/>
    <w:rsid w:val="00BE0F5D"/>
    <w:rsid w:val="00BE3B41"/>
    <w:rsid w:val="00BE6BAC"/>
    <w:rsid w:val="00BE70E0"/>
    <w:rsid w:val="00BE7645"/>
    <w:rsid w:val="00BF08EC"/>
    <w:rsid w:val="00BF17C8"/>
    <w:rsid w:val="00BF307E"/>
    <w:rsid w:val="00BF3289"/>
    <w:rsid w:val="00BF37DE"/>
    <w:rsid w:val="00BF3A31"/>
    <w:rsid w:val="00BF410D"/>
    <w:rsid w:val="00BF5198"/>
    <w:rsid w:val="00BF5413"/>
    <w:rsid w:val="00BF6422"/>
    <w:rsid w:val="00C002D8"/>
    <w:rsid w:val="00C05252"/>
    <w:rsid w:val="00C068E0"/>
    <w:rsid w:val="00C109BE"/>
    <w:rsid w:val="00C11862"/>
    <w:rsid w:val="00C13C56"/>
    <w:rsid w:val="00C150B9"/>
    <w:rsid w:val="00C15CFB"/>
    <w:rsid w:val="00C162CC"/>
    <w:rsid w:val="00C17327"/>
    <w:rsid w:val="00C2318F"/>
    <w:rsid w:val="00C25AAE"/>
    <w:rsid w:val="00C26E18"/>
    <w:rsid w:val="00C324FA"/>
    <w:rsid w:val="00C33146"/>
    <w:rsid w:val="00C33674"/>
    <w:rsid w:val="00C340D5"/>
    <w:rsid w:val="00C3415B"/>
    <w:rsid w:val="00C3459F"/>
    <w:rsid w:val="00C346FE"/>
    <w:rsid w:val="00C34E81"/>
    <w:rsid w:val="00C35A65"/>
    <w:rsid w:val="00C35C75"/>
    <w:rsid w:val="00C37F28"/>
    <w:rsid w:val="00C409B9"/>
    <w:rsid w:val="00C42637"/>
    <w:rsid w:val="00C44333"/>
    <w:rsid w:val="00C450BA"/>
    <w:rsid w:val="00C462C3"/>
    <w:rsid w:val="00C46FB1"/>
    <w:rsid w:val="00C4751B"/>
    <w:rsid w:val="00C47571"/>
    <w:rsid w:val="00C51486"/>
    <w:rsid w:val="00C5174D"/>
    <w:rsid w:val="00C538C3"/>
    <w:rsid w:val="00C539AD"/>
    <w:rsid w:val="00C57082"/>
    <w:rsid w:val="00C64727"/>
    <w:rsid w:val="00C64C89"/>
    <w:rsid w:val="00C65417"/>
    <w:rsid w:val="00C66C57"/>
    <w:rsid w:val="00C677DC"/>
    <w:rsid w:val="00C67B35"/>
    <w:rsid w:val="00C701B9"/>
    <w:rsid w:val="00C70442"/>
    <w:rsid w:val="00C725BB"/>
    <w:rsid w:val="00C73D6E"/>
    <w:rsid w:val="00C75875"/>
    <w:rsid w:val="00C7672C"/>
    <w:rsid w:val="00C76D27"/>
    <w:rsid w:val="00C76DA8"/>
    <w:rsid w:val="00C77DD1"/>
    <w:rsid w:val="00C77FEE"/>
    <w:rsid w:val="00C802CA"/>
    <w:rsid w:val="00C809FE"/>
    <w:rsid w:val="00C81442"/>
    <w:rsid w:val="00C81D45"/>
    <w:rsid w:val="00C8373D"/>
    <w:rsid w:val="00C840AE"/>
    <w:rsid w:val="00C84995"/>
    <w:rsid w:val="00C8569A"/>
    <w:rsid w:val="00C85F96"/>
    <w:rsid w:val="00C8628D"/>
    <w:rsid w:val="00C8694F"/>
    <w:rsid w:val="00C8725A"/>
    <w:rsid w:val="00C874FE"/>
    <w:rsid w:val="00C90B11"/>
    <w:rsid w:val="00C91F16"/>
    <w:rsid w:val="00C92980"/>
    <w:rsid w:val="00C935CD"/>
    <w:rsid w:val="00C93E75"/>
    <w:rsid w:val="00C93EA4"/>
    <w:rsid w:val="00C942D8"/>
    <w:rsid w:val="00C958B4"/>
    <w:rsid w:val="00C95CE2"/>
    <w:rsid w:val="00CA03C7"/>
    <w:rsid w:val="00CA2126"/>
    <w:rsid w:val="00CA338E"/>
    <w:rsid w:val="00CA3717"/>
    <w:rsid w:val="00CA499A"/>
    <w:rsid w:val="00CB0F93"/>
    <w:rsid w:val="00CB144E"/>
    <w:rsid w:val="00CB2528"/>
    <w:rsid w:val="00CB36DC"/>
    <w:rsid w:val="00CB4EAF"/>
    <w:rsid w:val="00CB5B84"/>
    <w:rsid w:val="00CB6046"/>
    <w:rsid w:val="00CB7E08"/>
    <w:rsid w:val="00CC258F"/>
    <w:rsid w:val="00CC3071"/>
    <w:rsid w:val="00CC44D5"/>
    <w:rsid w:val="00CC477E"/>
    <w:rsid w:val="00CC48E4"/>
    <w:rsid w:val="00CC52C6"/>
    <w:rsid w:val="00CC605F"/>
    <w:rsid w:val="00CC743B"/>
    <w:rsid w:val="00CC7FDB"/>
    <w:rsid w:val="00CD0DDD"/>
    <w:rsid w:val="00CD0E6C"/>
    <w:rsid w:val="00CD127A"/>
    <w:rsid w:val="00CD1325"/>
    <w:rsid w:val="00CD1B9F"/>
    <w:rsid w:val="00CD24B9"/>
    <w:rsid w:val="00CD2DA7"/>
    <w:rsid w:val="00CD41AC"/>
    <w:rsid w:val="00CD4CF7"/>
    <w:rsid w:val="00CD502E"/>
    <w:rsid w:val="00CD5679"/>
    <w:rsid w:val="00CD5838"/>
    <w:rsid w:val="00CD5950"/>
    <w:rsid w:val="00CD668A"/>
    <w:rsid w:val="00CD705C"/>
    <w:rsid w:val="00CE0BBC"/>
    <w:rsid w:val="00CE1F07"/>
    <w:rsid w:val="00CE1F87"/>
    <w:rsid w:val="00CE3C9D"/>
    <w:rsid w:val="00CE518B"/>
    <w:rsid w:val="00CE5522"/>
    <w:rsid w:val="00CE6165"/>
    <w:rsid w:val="00CE6EFE"/>
    <w:rsid w:val="00CF1C08"/>
    <w:rsid w:val="00CF3096"/>
    <w:rsid w:val="00CF44C1"/>
    <w:rsid w:val="00CF4E52"/>
    <w:rsid w:val="00CF629B"/>
    <w:rsid w:val="00CF68FB"/>
    <w:rsid w:val="00CF6C62"/>
    <w:rsid w:val="00D01BE0"/>
    <w:rsid w:val="00D0285D"/>
    <w:rsid w:val="00D035D7"/>
    <w:rsid w:val="00D040A5"/>
    <w:rsid w:val="00D0429D"/>
    <w:rsid w:val="00D044C1"/>
    <w:rsid w:val="00D04688"/>
    <w:rsid w:val="00D051DA"/>
    <w:rsid w:val="00D07AAE"/>
    <w:rsid w:val="00D11457"/>
    <w:rsid w:val="00D13051"/>
    <w:rsid w:val="00D14BF4"/>
    <w:rsid w:val="00D1518F"/>
    <w:rsid w:val="00D15868"/>
    <w:rsid w:val="00D16257"/>
    <w:rsid w:val="00D167D4"/>
    <w:rsid w:val="00D16BE4"/>
    <w:rsid w:val="00D16D4F"/>
    <w:rsid w:val="00D20AC1"/>
    <w:rsid w:val="00D22B63"/>
    <w:rsid w:val="00D22DF3"/>
    <w:rsid w:val="00D249D1"/>
    <w:rsid w:val="00D306F4"/>
    <w:rsid w:val="00D30ECA"/>
    <w:rsid w:val="00D328ED"/>
    <w:rsid w:val="00D333C7"/>
    <w:rsid w:val="00D34506"/>
    <w:rsid w:val="00D34C45"/>
    <w:rsid w:val="00D351BD"/>
    <w:rsid w:val="00D35A06"/>
    <w:rsid w:val="00D41536"/>
    <w:rsid w:val="00D42A1D"/>
    <w:rsid w:val="00D439D1"/>
    <w:rsid w:val="00D44944"/>
    <w:rsid w:val="00D46B77"/>
    <w:rsid w:val="00D4704A"/>
    <w:rsid w:val="00D47C09"/>
    <w:rsid w:val="00D5159C"/>
    <w:rsid w:val="00D51B83"/>
    <w:rsid w:val="00D51D97"/>
    <w:rsid w:val="00D5288E"/>
    <w:rsid w:val="00D52D8E"/>
    <w:rsid w:val="00D532B4"/>
    <w:rsid w:val="00D53312"/>
    <w:rsid w:val="00D53F16"/>
    <w:rsid w:val="00D54630"/>
    <w:rsid w:val="00D556CF"/>
    <w:rsid w:val="00D55FF8"/>
    <w:rsid w:val="00D567AA"/>
    <w:rsid w:val="00D611B4"/>
    <w:rsid w:val="00D62AA0"/>
    <w:rsid w:val="00D6403C"/>
    <w:rsid w:val="00D65676"/>
    <w:rsid w:val="00D65750"/>
    <w:rsid w:val="00D669CE"/>
    <w:rsid w:val="00D67CA7"/>
    <w:rsid w:val="00D704E9"/>
    <w:rsid w:val="00D72722"/>
    <w:rsid w:val="00D7370F"/>
    <w:rsid w:val="00D73EA6"/>
    <w:rsid w:val="00D74E2A"/>
    <w:rsid w:val="00D757C8"/>
    <w:rsid w:val="00D77C2A"/>
    <w:rsid w:val="00D802E0"/>
    <w:rsid w:val="00D80FA4"/>
    <w:rsid w:val="00D823D2"/>
    <w:rsid w:val="00D8274F"/>
    <w:rsid w:val="00D830F3"/>
    <w:rsid w:val="00D83521"/>
    <w:rsid w:val="00D86C65"/>
    <w:rsid w:val="00D86FEE"/>
    <w:rsid w:val="00D87C4A"/>
    <w:rsid w:val="00D902B7"/>
    <w:rsid w:val="00D9065A"/>
    <w:rsid w:val="00D90F48"/>
    <w:rsid w:val="00D9340D"/>
    <w:rsid w:val="00D93F89"/>
    <w:rsid w:val="00D944C6"/>
    <w:rsid w:val="00D96ADC"/>
    <w:rsid w:val="00D97316"/>
    <w:rsid w:val="00DA00B4"/>
    <w:rsid w:val="00DA052B"/>
    <w:rsid w:val="00DA0B3A"/>
    <w:rsid w:val="00DA1DCC"/>
    <w:rsid w:val="00DA5824"/>
    <w:rsid w:val="00DA5E02"/>
    <w:rsid w:val="00DA5F99"/>
    <w:rsid w:val="00DA6732"/>
    <w:rsid w:val="00DA7837"/>
    <w:rsid w:val="00DA7D7A"/>
    <w:rsid w:val="00DB014E"/>
    <w:rsid w:val="00DB09FB"/>
    <w:rsid w:val="00DB0EF7"/>
    <w:rsid w:val="00DB32C2"/>
    <w:rsid w:val="00DB350A"/>
    <w:rsid w:val="00DB3689"/>
    <w:rsid w:val="00DB368B"/>
    <w:rsid w:val="00DB53B1"/>
    <w:rsid w:val="00DC1231"/>
    <w:rsid w:val="00DC1723"/>
    <w:rsid w:val="00DC1C45"/>
    <w:rsid w:val="00DC4B42"/>
    <w:rsid w:val="00DC5791"/>
    <w:rsid w:val="00DC6983"/>
    <w:rsid w:val="00DC73AC"/>
    <w:rsid w:val="00DD1504"/>
    <w:rsid w:val="00DD1B2D"/>
    <w:rsid w:val="00DD1C1E"/>
    <w:rsid w:val="00DD1DBC"/>
    <w:rsid w:val="00DD2224"/>
    <w:rsid w:val="00DD2A31"/>
    <w:rsid w:val="00DD4B8C"/>
    <w:rsid w:val="00DD7FB9"/>
    <w:rsid w:val="00DE2362"/>
    <w:rsid w:val="00DE25BF"/>
    <w:rsid w:val="00DE376B"/>
    <w:rsid w:val="00DE5798"/>
    <w:rsid w:val="00DE5C89"/>
    <w:rsid w:val="00DE7594"/>
    <w:rsid w:val="00DF2D44"/>
    <w:rsid w:val="00DF4A39"/>
    <w:rsid w:val="00DF51CF"/>
    <w:rsid w:val="00DF59E2"/>
    <w:rsid w:val="00DF5C2D"/>
    <w:rsid w:val="00DF6E78"/>
    <w:rsid w:val="00E0140F"/>
    <w:rsid w:val="00E024F2"/>
    <w:rsid w:val="00E04404"/>
    <w:rsid w:val="00E070CB"/>
    <w:rsid w:val="00E07C03"/>
    <w:rsid w:val="00E11473"/>
    <w:rsid w:val="00E11DD0"/>
    <w:rsid w:val="00E1322F"/>
    <w:rsid w:val="00E14018"/>
    <w:rsid w:val="00E14570"/>
    <w:rsid w:val="00E14CAA"/>
    <w:rsid w:val="00E14D64"/>
    <w:rsid w:val="00E1514A"/>
    <w:rsid w:val="00E17331"/>
    <w:rsid w:val="00E1772B"/>
    <w:rsid w:val="00E17BDD"/>
    <w:rsid w:val="00E17F8B"/>
    <w:rsid w:val="00E20630"/>
    <w:rsid w:val="00E21E47"/>
    <w:rsid w:val="00E2259B"/>
    <w:rsid w:val="00E22D1E"/>
    <w:rsid w:val="00E22F16"/>
    <w:rsid w:val="00E263DB"/>
    <w:rsid w:val="00E2647E"/>
    <w:rsid w:val="00E266B9"/>
    <w:rsid w:val="00E26FA6"/>
    <w:rsid w:val="00E2734A"/>
    <w:rsid w:val="00E30B3A"/>
    <w:rsid w:val="00E31859"/>
    <w:rsid w:val="00E32E5B"/>
    <w:rsid w:val="00E33F34"/>
    <w:rsid w:val="00E35725"/>
    <w:rsid w:val="00E35BF7"/>
    <w:rsid w:val="00E369DC"/>
    <w:rsid w:val="00E40FD7"/>
    <w:rsid w:val="00E41DBB"/>
    <w:rsid w:val="00E42528"/>
    <w:rsid w:val="00E436C8"/>
    <w:rsid w:val="00E442D8"/>
    <w:rsid w:val="00E44D6F"/>
    <w:rsid w:val="00E44E48"/>
    <w:rsid w:val="00E47330"/>
    <w:rsid w:val="00E47636"/>
    <w:rsid w:val="00E5016E"/>
    <w:rsid w:val="00E5071D"/>
    <w:rsid w:val="00E51636"/>
    <w:rsid w:val="00E522F2"/>
    <w:rsid w:val="00E539AB"/>
    <w:rsid w:val="00E55419"/>
    <w:rsid w:val="00E55843"/>
    <w:rsid w:val="00E57B0A"/>
    <w:rsid w:val="00E57B1F"/>
    <w:rsid w:val="00E57E79"/>
    <w:rsid w:val="00E57FC9"/>
    <w:rsid w:val="00E621D6"/>
    <w:rsid w:val="00E62989"/>
    <w:rsid w:val="00E62F2C"/>
    <w:rsid w:val="00E63884"/>
    <w:rsid w:val="00E643BF"/>
    <w:rsid w:val="00E658B4"/>
    <w:rsid w:val="00E705CD"/>
    <w:rsid w:val="00E71962"/>
    <w:rsid w:val="00E719EE"/>
    <w:rsid w:val="00E7294B"/>
    <w:rsid w:val="00E7336A"/>
    <w:rsid w:val="00E77B33"/>
    <w:rsid w:val="00E800C6"/>
    <w:rsid w:val="00E807C6"/>
    <w:rsid w:val="00E8269E"/>
    <w:rsid w:val="00E82A6C"/>
    <w:rsid w:val="00E82AC9"/>
    <w:rsid w:val="00E82FAB"/>
    <w:rsid w:val="00E84CDC"/>
    <w:rsid w:val="00E852F8"/>
    <w:rsid w:val="00E858D6"/>
    <w:rsid w:val="00E85BC5"/>
    <w:rsid w:val="00E87980"/>
    <w:rsid w:val="00E87A9A"/>
    <w:rsid w:val="00E90E65"/>
    <w:rsid w:val="00E92943"/>
    <w:rsid w:val="00E93449"/>
    <w:rsid w:val="00E93789"/>
    <w:rsid w:val="00E94CA2"/>
    <w:rsid w:val="00E9519A"/>
    <w:rsid w:val="00E954DF"/>
    <w:rsid w:val="00E95790"/>
    <w:rsid w:val="00E9583C"/>
    <w:rsid w:val="00E974F2"/>
    <w:rsid w:val="00E9758D"/>
    <w:rsid w:val="00EA02E5"/>
    <w:rsid w:val="00EA035C"/>
    <w:rsid w:val="00EA0440"/>
    <w:rsid w:val="00EA04CE"/>
    <w:rsid w:val="00EA22BB"/>
    <w:rsid w:val="00EA22E8"/>
    <w:rsid w:val="00EA267D"/>
    <w:rsid w:val="00EA3EB2"/>
    <w:rsid w:val="00EA4ABE"/>
    <w:rsid w:val="00EA556B"/>
    <w:rsid w:val="00EA6789"/>
    <w:rsid w:val="00EA70BB"/>
    <w:rsid w:val="00EA7E1E"/>
    <w:rsid w:val="00EB0DA5"/>
    <w:rsid w:val="00EB105E"/>
    <w:rsid w:val="00EB2A1F"/>
    <w:rsid w:val="00EB2B7F"/>
    <w:rsid w:val="00EB6571"/>
    <w:rsid w:val="00EB678A"/>
    <w:rsid w:val="00EB70FC"/>
    <w:rsid w:val="00EB725B"/>
    <w:rsid w:val="00EB7590"/>
    <w:rsid w:val="00EC014B"/>
    <w:rsid w:val="00EC026E"/>
    <w:rsid w:val="00EC0AF5"/>
    <w:rsid w:val="00EC1574"/>
    <w:rsid w:val="00EC3D9B"/>
    <w:rsid w:val="00EC4859"/>
    <w:rsid w:val="00EC499B"/>
    <w:rsid w:val="00EC6B1B"/>
    <w:rsid w:val="00EC79A4"/>
    <w:rsid w:val="00EC7DE9"/>
    <w:rsid w:val="00ED24EC"/>
    <w:rsid w:val="00ED3682"/>
    <w:rsid w:val="00ED36D4"/>
    <w:rsid w:val="00ED36FF"/>
    <w:rsid w:val="00ED4D6A"/>
    <w:rsid w:val="00ED50FB"/>
    <w:rsid w:val="00ED5216"/>
    <w:rsid w:val="00ED79DA"/>
    <w:rsid w:val="00EE0167"/>
    <w:rsid w:val="00EE093E"/>
    <w:rsid w:val="00EE1889"/>
    <w:rsid w:val="00EE2F9E"/>
    <w:rsid w:val="00EE4029"/>
    <w:rsid w:val="00EE4977"/>
    <w:rsid w:val="00EE4B34"/>
    <w:rsid w:val="00EE69D7"/>
    <w:rsid w:val="00EE6A41"/>
    <w:rsid w:val="00EE734B"/>
    <w:rsid w:val="00EF07E2"/>
    <w:rsid w:val="00EF0846"/>
    <w:rsid w:val="00EF191C"/>
    <w:rsid w:val="00EF1E7F"/>
    <w:rsid w:val="00EF210C"/>
    <w:rsid w:val="00EF217F"/>
    <w:rsid w:val="00EF30A1"/>
    <w:rsid w:val="00EF3D61"/>
    <w:rsid w:val="00EF4360"/>
    <w:rsid w:val="00EF492D"/>
    <w:rsid w:val="00EF4CEF"/>
    <w:rsid w:val="00EF4F1B"/>
    <w:rsid w:val="00EF5179"/>
    <w:rsid w:val="00EF5B4F"/>
    <w:rsid w:val="00EF688A"/>
    <w:rsid w:val="00F00543"/>
    <w:rsid w:val="00F00D64"/>
    <w:rsid w:val="00F018D3"/>
    <w:rsid w:val="00F01952"/>
    <w:rsid w:val="00F019F0"/>
    <w:rsid w:val="00F01A03"/>
    <w:rsid w:val="00F02698"/>
    <w:rsid w:val="00F02952"/>
    <w:rsid w:val="00F02AF1"/>
    <w:rsid w:val="00F02CF4"/>
    <w:rsid w:val="00F03005"/>
    <w:rsid w:val="00F03F66"/>
    <w:rsid w:val="00F04B99"/>
    <w:rsid w:val="00F05C36"/>
    <w:rsid w:val="00F05FFD"/>
    <w:rsid w:val="00F06B8A"/>
    <w:rsid w:val="00F06D49"/>
    <w:rsid w:val="00F07CF6"/>
    <w:rsid w:val="00F102F6"/>
    <w:rsid w:val="00F10B3A"/>
    <w:rsid w:val="00F10EC4"/>
    <w:rsid w:val="00F13C43"/>
    <w:rsid w:val="00F15236"/>
    <w:rsid w:val="00F175FC"/>
    <w:rsid w:val="00F204F4"/>
    <w:rsid w:val="00F20820"/>
    <w:rsid w:val="00F22471"/>
    <w:rsid w:val="00F22CE6"/>
    <w:rsid w:val="00F2388B"/>
    <w:rsid w:val="00F253FC"/>
    <w:rsid w:val="00F25DA7"/>
    <w:rsid w:val="00F26BB5"/>
    <w:rsid w:val="00F315C5"/>
    <w:rsid w:val="00F32881"/>
    <w:rsid w:val="00F33E70"/>
    <w:rsid w:val="00F34068"/>
    <w:rsid w:val="00F343B1"/>
    <w:rsid w:val="00F37072"/>
    <w:rsid w:val="00F37345"/>
    <w:rsid w:val="00F40E89"/>
    <w:rsid w:val="00F4114A"/>
    <w:rsid w:val="00F42C9A"/>
    <w:rsid w:val="00F437D8"/>
    <w:rsid w:val="00F456A2"/>
    <w:rsid w:val="00F46055"/>
    <w:rsid w:val="00F46318"/>
    <w:rsid w:val="00F4664D"/>
    <w:rsid w:val="00F46771"/>
    <w:rsid w:val="00F467BA"/>
    <w:rsid w:val="00F51C80"/>
    <w:rsid w:val="00F521E6"/>
    <w:rsid w:val="00F5419E"/>
    <w:rsid w:val="00F55BE2"/>
    <w:rsid w:val="00F563A0"/>
    <w:rsid w:val="00F57123"/>
    <w:rsid w:val="00F572DD"/>
    <w:rsid w:val="00F57CBE"/>
    <w:rsid w:val="00F57E5F"/>
    <w:rsid w:val="00F616CD"/>
    <w:rsid w:val="00F6204F"/>
    <w:rsid w:val="00F62965"/>
    <w:rsid w:val="00F63524"/>
    <w:rsid w:val="00F65BCE"/>
    <w:rsid w:val="00F6663C"/>
    <w:rsid w:val="00F668BD"/>
    <w:rsid w:val="00F71FA7"/>
    <w:rsid w:val="00F72BFE"/>
    <w:rsid w:val="00F72C6F"/>
    <w:rsid w:val="00F72E05"/>
    <w:rsid w:val="00F73109"/>
    <w:rsid w:val="00F73484"/>
    <w:rsid w:val="00F7454A"/>
    <w:rsid w:val="00F74AEA"/>
    <w:rsid w:val="00F7560A"/>
    <w:rsid w:val="00F757FD"/>
    <w:rsid w:val="00F765F6"/>
    <w:rsid w:val="00F76EDB"/>
    <w:rsid w:val="00F80139"/>
    <w:rsid w:val="00F80180"/>
    <w:rsid w:val="00F80FAD"/>
    <w:rsid w:val="00F81FB9"/>
    <w:rsid w:val="00F82960"/>
    <w:rsid w:val="00F83DBF"/>
    <w:rsid w:val="00F84A67"/>
    <w:rsid w:val="00F856CD"/>
    <w:rsid w:val="00F867A8"/>
    <w:rsid w:val="00F8763D"/>
    <w:rsid w:val="00F87D4C"/>
    <w:rsid w:val="00F90086"/>
    <w:rsid w:val="00F9018F"/>
    <w:rsid w:val="00F91675"/>
    <w:rsid w:val="00F93001"/>
    <w:rsid w:val="00F93D52"/>
    <w:rsid w:val="00F95D3C"/>
    <w:rsid w:val="00F95E0C"/>
    <w:rsid w:val="00F96990"/>
    <w:rsid w:val="00F97167"/>
    <w:rsid w:val="00FA0F10"/>
    <w:rsid w:val="00FA10C0"/>
    <w:rsid w:val="00FA32D7"/>
    <w:rsid w:val="00FA38E5"/>
    <w:rsid w:val="00FB18CF"/>
    <w:rsid w:val="00FB2D48"/>
    <w:rsid w:val="00FB3284"/>
    <w:rsid w:val="00FB3309"/>
    <w:rsid w:val="00FB34A4"/>
    <w:rsid w:val="00FB368D"/>
    <w:rsid w:val="00FB3B00"/>
    <w:rsid w:val="00FB434D"/>
    <w:rsid w:val="00FB440C"/>
    <w:rsid w:val="00FB50A7"/>
    <w:rsid w:val="00FB5448"/>
    <w:rsid w:val="00FB6A2E"/>
    <w:rsid w:val="00FB6CCC"/>
    <w:rsid w:val="00FB6F53"/>
    <w:rsid w:val="00FB7146"/>
    <w:rsid w:val="00FB772E"/>
    <w:rsid w:val="00FB786E"/>
    <w:rsid w:val="00FC0447"/>
    <w:rsid w:val="00FC0BF9"/>
    <w:rsid w:val="00FC1CD1"/>
    <w:rsid w:val="00FC1FD4"/>
    <w:rsid w:val="00FC30DB"/>
    <w:rsid w:val="00FC36A3"/>
    <w:rsid w:val="00FC36BD"/>
    <w:rsid w:val="00FC3952"/>
    <w:rsid w:val="00FC39C0"/>
    <w:rsid w:val="00FC3F4C"/>
    <w:rsid w:val="00FC4321"/>
    <w:rsid w:val="00FC48DB"/>
    <w:rsid w:val="00FC71E4"/>
    <w:rsid w:val="00FC731B"/>
    <w:rsid w:val="00FC749B"/>
    <w:rsid w:val="00FC7F2D"/>
    <w:rsid w:val="00FD016A"/>
    <w:rsid w:val="00FD0337"/>
    <w:rsid w:val="00FD0FC1"/>
    <w:rsid w:val="00FD1171"/>
    <w:rsid w:val="00FD2A13"/>
    <w:rsid w:val="00FD2AA2"/>
    <w:rsid w:val="00FD2BF7"/>
    <w:rsid w:val="00FD2FE6"/>
    <w:rsid w:val="00FD54D9"/>
    <w:rsid w:val="00FD6A3F"/>
    <w:rsid w:val="00FD6F47"/>
    <w:rsid w:val="00FD7A22"/>
    <w:rsid w:val="00FD7EFE"/>
    <w:rsid w:val="00FE0697"/>
    <w:rsid w:val="00FE0C8E"/>
    <w:rsid w:val="00FE18E7"/>
    <w:rsid w:val="00FE1EB7"/>
    <w:rsid w:val="00FE2DE5"/>
    <w:rsid w:val="00FE3401"/>
    <w:rsid w:val="00FE3E83"/>
    <w:rsid w:val="00FE5826"/>
    <w:rsid w:val="00FE7233"/>
    <w:rsid w:val="00FF1B17"/>
    <w:rsid w:val="00FF2331"/>
    <w:rsid w:val="00FF2795"/>
    <w:rsid w:val="00FF2BC2"/>
    <w:rsid w:val="00FF38FB"/>
    <w:rsid w:val="00FF7014"/>
    <w:rsid w:val="00FF79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D0719A"/>
  <w15:docId w15:val="{9B2E3046-03ED-48C4-9438-1DC790CE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33C"/>
  </w:style>
  <w:style w:type="paragraph" w:styleId="Heading1">
    <w:name w:val="heading 1"/>
    <w:basedOn w:val="Normal"/>
    <w:next w:val="Normal"/>
    <w:link w:val="Heading1Char"/>
    <w:uiPriority w:val="9"/>
    <w:qFormat/>
    <w:rsid w:val="00B4133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B4133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4133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4133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4133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4133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4133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4133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4133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NRC"/>
    <w:basedOn w:val="Normal"/>
    <w:link w:val="ListParagraphChar"/>
    <w:uiPriority w:val="34"/>
    <w:qFormat/>
    <w:rsid w:val="0015297F"/>
    <w:pPr>
      <w:ind w:left="720"/>
      <w:contextualSpacing/>
    </w:pPr>
  </w:style>
  <w:style w:type="paragraph" w:styleId="FootnoteText">
    <w:name w:val="footnote text"/>
    <w:aliases w:val="5_G,Sharp - Footnote Text,Footnote Text - Sharp Char Char,Footnote Text - Sharp Char,single space,footnote text,Char, Char Char3, Char Char Char Char Char Char, Char Char Char Char,Footnote Text Char1 Char, Char Char2, Char Char Char Char1"/>
    <w:basedOn w:val="Normal"/>
    <w:link w:val="FootnoteTextChar"/>
    <w:unhideWhenUsed/>
    <w:qFormat/>
    <w:rsid w:val="00B36727"/>
    <w:pPr>
      <w:spacing w:after="0" w:line="240" w:lineRule="auto"/>
    </w:pPr>
    <w:rPr>
      <w:sz w:val="20"/>
      <w:szCs w:val="20"/>
    </w:rPr>
  </w:style>
  <w:style w:type="character" w:customStyle="1" w:styleId="FootnoteTextChar">
    <w:name w:val="Footnote Text Char"/>
    <w:aliases w:val="5_G Char,Sharp - Footnote Text Char,Footnote Text - Sharp Char Char Char,Footnote Text - Sharp Char Char1,single space Char,footnote text Char,Char Char, Char Char3 Char, Char Char Char Char Char Char Char, Char Char Char Char Char"/>
    <w:basedOn w:val="DefaultParagraphFont"/>
    <w:link w:val="FootnoteText"/>
    <w:rsid w:val="00B36727"/>
    <w:rPr>
      <w:sz w:val="20"/>
      <w:szCs w:val="20"/>
      <w:lang w:val="en-US"/>
    </w:rPr>
  </w:style>
  <w:style w:type="character" w:styleId="FootnoteReference">
    <w:name w:val="footnote reference"/>
    <w:aliases w:val="ftref,4_G,a Footnote Reference,FZ,Appel note de bas de page,Footnotes refss,Footnote number,Footnote text,16 Point,Superscript 6 Point,Superscript 6 Point + 11 pt,Ref FNs Char,Footnote Ref,[0],[,Appel note de bas de p.,callout,Ref"/>
    <w:basedOn w:val="DefaultParagraphFont"/>
    <w:link w:val="CharChar1CharCharCharChar1CharCharCharCharCharCharCharCharCharCharCharCharCharCharCharChar"/>
    <w:unhideWhenUsed/>
    <w:qFormat/>
    <w:rsid w:val="00B36727"/>
    <w:rPr>
      <w:vertAlign w:val="superscript"/>
    </w:rPr>
  </w:style>
  <w:style w:type="character" w:customStyle="1" w:styleId="Heading1Char">
    <w:name w:val="Heading 1 Char"/>
    <w:basedOn w:val="DefaultParagraphFont"/>
    <w:link w:val="Heading1"/>
    <w:uiPriority w:val="9"/>
    <w:rsid w:val="00B4133C"/>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B4133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4133C"/>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4133C"/>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4133C"/>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4133C"/>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4133C"/>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4133C"/>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4133C"/>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4133C"/>
    <w:pPr>
      <w:spacing w:line="240" w:lineRule="auto"/>
    </w:pPr>
    <w:rPr>
      <w:b/>
      <w:bCs/>
      <w:smallCaps/>
      <w:color w:val="44546A" w:themeColor="text2"/>
    </w:rPr>
  </w:style>
  <w:style w:type="paragraph" w:styleId="Title">
    <w:name w:val="Title"/>
    <w:basedOn w:val="Normal"/>
    <w:next w:val="Normal"/>
    <w:link w:val="TitleChar"/>
    <w:uiPriority w:val="10"/>
    <w:qFormat/>
    <w:rsid w:val="00B4133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4133C"/>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4133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4133C"/>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4133C"/>
    <w:rPr>
      <w:b/>
      <w:bCs/>
    </w:rPr>
  </w:style>
  <w:style w:type="character" w:styleId="Emphasis">
    <w:name w:val="Emphasis"/>
    <w:basedOn w:val="DefaultParagraphFont"/>
    <w:uiPriority w:val="20"/>
    <w:qFormat/>
    <w:rsid w:val="00B4133C"/>
    <w:rPr>
      <w:i/>
      <w:iCs/>
    </w:rPr>
  </w:style>
  <w:style w:type="paragraph" w:styleId="NoSpacing">
    <w:name w:val="No Spacing"/>
    <w:uiPriority w:val="1"/>
    <w:qFormat/>
    <w:rsid w:val="00B4133C"/>
    <w:pPr>
      <w:spacing w:after="0" w:line="240" w:lineRule="auto"/>
    </w:pPr>
  </w:style>
  <w:style w:type="paragraph" w:styleId="Quote">
    <w:name w:val="Quote"/>
    <w:basedOn w:val="Normal"/>
    <w:next w:val="Normal"/>
    <w:link w:val="QuoteChar"/>
    <w:uiPriority w:val="29"/>
    <w:qFormat/>
    <w:rsid w:val="00B4133C"/>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4133C"/>
    <w:rPr>
      <w:color w:val="44546A" w:themeColor="text2"/>
      <w:sz w:val="24"/>
      <w:szCs w:val="24"/>
    </w:rPr>
  </w:style>
  <w:style w:type="paragraph" w:styleId="IntenseQuote">
    <w:name w:val="Intense Quote"/>
    <w:basedOn w:val="Normal"/>
    <w:next w:val="Normal"/>
    <w:link w:val="IntenseQuoteChar"/>
    <w:uiPriority w:val="30"/>
    <w:qFormat/>
    <w:rsid w:val="00B4133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4133C"/>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4133C"/>
    <w:rPr>
      <w:i/>
      <w:iCs/>
      <w:color w:val="595959" w:themeColor="text1" w:themeTint="A6"/>
    </w:rPr>
  </w:style>
  <w:style w:type="character" w:styleId="IntenseEmphasis">
    <w:name w:val="Intense Emphasis"/>
    <w:basedOn w:val="DefaultParagraphFont"/>
    <w:uiPriority w:val="21"/>
    <w:qFormat/>
    <w:rsid w:val="00B4133C"/>
    <w:rPr>
      <w:b/>
      <w:bCs/>
      <w:i/>
      <w:iCs/>
    </w:rPr>
  </w:style>
  <w:style w:type="character" w:styleId="SubtleReference">
    <w:name w:val="Subtle Reference"/>
    <w:basedOn w:val="DefaultParagraphFont"/>
    <w:uiPriority w:val="31"/>
    <w:qFormat/>
    <w:rsid w:val="00B413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4133C"/>
    <w:rPr>
      <w:b/>
      <w:bCs/>
      <w:smallCaps/>
      <w:color w:val="44546A" w:themeColor="text2"/>
      <w:u w:val="single"/>
    </w:rPr>
  </w:style>
  <w:style w:type="character" w:styleId="BookTitle">
    <w:name w:val="Book Title"/>
    <w:basedOn w:val="DefaultParagraphFont"/>
    <w:uiPriority w:val="33"/>
    <w:qFormat/>
    <w:rsid w:val="00B4133C"/>
    <w:rPr>
      <w:b/>
      <w:bCs/>
      <w:smallCaps/>
      <w:spacing w:val="10"/>
    </w:rPr>
  </w:style>
  <w:style w:type="paragraph" w:styleId="TOCHeading">
    <w:name w:val="TOC Heading"/>
    <w:basedOn w:val="Heading1"/>
    <w:next w:val="Normal"/>
    <w:uiPriority w:val="39"/>
    <w:semiHidden/>
    <w:unhideWhenUsed/>
    <w:qFormat/>
    <w:rsid w:val="00B4133C"/>
    <w:pPr>
      <w:outlineLvl w:val="9"/>
    </w:pPr>
  </w:style>
  <w:style w:type="paragraph" w:styleId="Header">
    <w:name w:val="header"/>
    <w:basedOn w:val="Normal"/>
    <w:link w:val="HeaderChar"/>
    <w:uiPriority w:val="99"/>
    <w:unhideWhenUsed/>
    <w:rsid w:val="00B41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33C"/>
  </w:style>
  <w:style w:type="paragraph" w:styleId="Footer">
    <w:name w:val="footer"/>
    <w:basedOn w:val="Normal"/>
    <w:link w:val="FooterChar"/>
    <w:uiPriority w:val="99"/>
    <w:unhideWhenUsed/>
    <w:rsid w:val="00B41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33C"/>
  </w:style>
  <w:style w:type="character" w:styleId="Hyperlink">
    <w:name w:val="Hyperlink"/>
    <w:basedOn w:val="DefaultParagraphFont"/>
    <w:uiPriority w:val="99"/>
    <w:unhideWhenUsed/>
    <w:rsid w:val="00AB6471"/>
    <w:rPr>
      <w:color w:val="0563C1" w:themeColor="hyperlink"/>
      <w:u w:val="single"/>
    </w:rPr>
  </w:style>
  <w:style w:type="paragraph" w:styleId="NormalWeb">
    <w:name w:val="Normal (Web)"/>
    <w:basedOn w:val="Normal"/>
    <w:uiPriority w:val="99"/>
    <w:unhideWhenUsed/>
    <w:rsid w:val="00DC73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AF6A63"/>
    <w:pPr>
      <w:spacing w:line="240" w:lineRule="exact"/>
    </w:pPr>
    <w:rPr>
      <w:vertAlign w:val="superscript"/>
    </w:rPr>
  </w:style>
  <w:style w:type="character" w:styleId="CommentReference">
    <w:name w:val="annotation reference"/>
    <w:basedOn w:val="DefaultParagraphFont"/>
    <w:uiPriority w:val="99"/>
    <w:semiHidden/>
    <w:unhideWhenUsed/>
    <w:rsid w:val="00AF6A63"/>
    <w:rPr>
      <w:sz w:val="16"/>
      <w:szCs w:val="16"/>
    </w:rPr>
  </w:style>
  <w:style w:type="paragraph" w:styleId="CommentText">
    <w:name w:val="annotation text"/>
    <w:basedOn w:val="Normal"/>
    <w:link w:val="CommentTextChar"/>
    <w:uiPriority w:val="99"/>
    <w:unhideWhenUsed/>
    <w:rsid w:val="00AF6A63"/>
    <w:pPr>
      <w:spacing w:line="240" w:lineRule="auto"/>
    </w:pPr>
    <w:rPr>
      <w:sz w:val="20"/>
      <w:szCs w:val="20"/>
    </w:rPr>
  </w:style>
  <w:style w:type="character" w:customStyle="1" w:styleId="CommentTextChar">
    <w:name w:val="Comment Text Char"/>
    <w:basedOn w:val="DefaultParagraphFont"/>
    <w:link w:val="CommentText"/>
    <w:uiPriority w:val="99"/>
    <w:rsid w:val="00AF6A63"/>
    <w:rPr>
      <w:sz w:val="20"/>
      <w:szCs w:val="20"/>
    </w:rPr>
  </w:style>
  <w:style w:type="paragraph" w:styleId="CommentSubject">
    <w:name w:val="annotation subject"/>
    <w:basedOn w:val="CommentText"/>
    <w:next w:val="CommentText"/>
    <w:link w:val="CommentSubjectChar"/>
    <w:uiPriority w:val="99"/>
    <w:semiHidden/>
    <w:unhideWhenUsed/>
    <w:rsid w:val="00AF6A63"/>
    <w:rPr>
      <w:b/>
      <w:bCs/>
    </w:rPr>
  </w:style>
  <w:style w:type="character" w:customStyle="1" w:styleId="CommentSubjectChar">
    <w:name w:val="Comment Subject Char"/>
    <w:basedOn w:val="CommentTextChar"/>
    <w:link w:val="CommentSubject"/>
    <w:uiPriority w:val="99"/>
    <w:semiHidden/>
    <w:rsid w:val="00AF6A63"/>
    <w:rPr>
      <w:b/>
      <w:bCs/>
      <w:sz w:val="20"/>
      <w:szCs w:val="20"/>
    </w:rPr>
  </w:style>
  <w:style w:type="paragraph" w:styleId="BalloonText">
    <w:name w:val="Balloon Text"/>
    <w:basedOn w:val="Normal"/>
    <w:link w:val="BalloonTextChar"/>
    <w:uiPriority w:val="99"/>
    <w:semiHidden/>
    <w:unhideWhenUsed/>
    <w:rsid w:val="00AF6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A63"/>
    <w:rPr>
      <w:rFonts w:ascii="Segoe UI" w:hAnsi="Segoe UI" w:cs="Segoe UI"/>
      <w:sz w:val="18"/>
      <w:szCs w:val="18"/>
    </w:rPr>
  </w:style>
  <w:style w:type="paragraph" w:customStyle="1" w:styleId="Default">
    <w:name w:val="Default"/>
    <w:rsid w:val="00D351B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SingleTxtG">
    <w:name w:val="_ Single Txt_G"/>
    <w:basedOn w:val="Normal"/>
    <w:link w:val="SingleTxtGChar"/>
    <w:qFormat/>
    <w:rsid w:val="00A45E8F"/>
    <w:pPr>
      <w:spacing w:after="120" w:line="240" w:lineRule="atLeast"/>
      <w:ind w:left="1134" w:right="1134"/>
      <w:jc w:val="both"/>
    </w:pPr>
    <w:rPr>
      <w:rFonts w:ascii="Times New Roman" w:eastAsiaTheme="minorHAnsi" w:hAnsi="Times New Roman" w:cs="Times New Roman"/>
      <w:sz w:val="20"/>
      <w:szCs w:val="20"/>
    </w:rPr>
  </w:style>
  <w:style w:type="character" w:customStyle="1" w:styleId="ListParagraphChar">
    <w:name w:val="List Paragraph Char"/>
    <w:aliases w:val="List NRC Char"/>
    <w:link w:val="ListParagraph"/>
    <w:uiPriority w:val="34"/>
    <w:locked/>
    <w:rsid w:val="003F2D47"/>
  </w:style>
  <w:style w:type="character" w:styleId="FollowedHyperlink">
    <w:name w:val="FollowedHyperlink"/>
    <w:basedOn w:val="DefaultParagraphFont"/>
    <w:uiPriority w:val="99"/>
    <w:semiHidden/>
    <w:unhideWhenUsed/>
    <w:rsid w:val="00B27669"/>
    <w:rPr>
      <w:color w:val="954F72" w:themeColor="followedHyperlink"/>
      <w:u w:val="single"/>
    </w:rPr>
  </w:style>
  <w:style w:type="paragraph" w:customStyle="1" w:styleId="singletxtg0">
    <w:name w:val="singletxtg"/>
    <w:basedOn w:val="Normal"/>
    <w:rsid w:val="001D5E23"/>
    <w:pPr>
      <w:spacing w:after="0" w:line="240" w:lineRule="auto"/>
    </w:pPr>
    <w:rPr>
      <w:rFonts w:ascii="Times New Roman" w:eastAsiaTheme="minorHAnsi" w:hAnsi="Times New Roman" w:cs="Times New Roman"/>
      <w:sz w:val="24"/>
      <w:szCs w:val="24"/>
      <w:lang w:eastAsia="en-GB"/>
    </w:rPr>
  </w:style>
  <w:style w:type="character" w:customStyle="1" w:styleId="aucun">
    <w:name w:val="aucun"/>
    <w:basedOn w:val="DefaultParagraphFont"/>
    <w:rsid w:val="001D5E23"/>
  </w:style>
  <w:style w:type="paragraph" w:styleId="Revision">
    <w:name w:val="Revision"/>
    <w:hidden/>
    <w:uiPriority w:val="99"/>
    <w:semiHidden/>
    <w:rsid w:val="00E22D1E"/>
    <w:pPr>
      <w:spacing w:after="0" w:line="240" w:lineRule="auto"/>
    </w:pPr>
  </w:style>
  <w:style w:type="character" w:customStyle="1" w:styleId="lblwarning">
    <w:name w:val="lblwarning"/>
    <w:basedOn w:val="DefaultParagraphFont"/>
    <w:rsid w:val="00B96506"/>
  </w:style>
  <w:style w:type="character" w:customStyle="1" w:styleId="success">
    <w:name w:val="success"/>
    <w:basedOn w:val="DefaultParagraphFont"/>
    <w:rsid w:val="00B96506"/>
  </w:style>
  <w:style w:type="character" w:customStyle="1" w:styleId="ColorfulList-Accent1Char">
    <w:name w:val="Colorful List - Accent 1 Char"/>
    <w:link w:val="ColorfulList-Accent1"/>
    <w:uiPriority w:val="34"/>
    <w:locked/>
    <w:rsid w:val="0066251D"/>
    <w:rPr>
      <w:sz w:val="22"/>
      <w:szCs w:val="22"/>
    </w:rPr>
  </w:style>
  <w:style w:type="table" w:styleId="ColorfulList-Accent1">
    <w:name w:val="Colorful List Accent 1"/>
    <w:basedOn w:val="TableNormal"/>
    <w:link w:val="ColorfulList-Accent1Char"/>
    <w:uiPriority w:val="34"/>
    <w:semiHidden/>
    <w:unhideWhenUsed/>
    <w:rsid w:val="0066251D"/>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xmsonormal">
    <w:name w:val="x_msonormal"/>
    <w:basedOn w:val="Normal"/>
    <w:rsid w:val="009F3E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6F6653"/>
    <w:pPr>
      <w:spacing w:after="0" w:line="240" w:lineRule="auto"/>
    </w:pPr>
    <w:rPr>
      <w:rFonts w:ascii="Calibri" w:eastAsia="Calibri" w:hAnsi="Calibri" w:cs="Arial"/>
      <w:sz w:val="20"/>
      <w:szCs w:val="20"/>
      <w:lang w:val="en-US"/>
    </w:rPr>
  </w:style>
  <w:style w:type="character" w:customStyle="1" w:styleId="EndnoteTextChar">
    <w:name w:val="Endnote Text Char"/>
    <w:basedOn w:val="DefaultParagraphFont"/>
    <w:link w:val="EndnoteText"/>
    <w:uiPriority w:val="99"/>
    <w:semiHidden/>
    <w:rsid w:val="006F6653"/>
    <w:rPr>
      <w:rFonts w:ascii="Calibri" w:eastAsia="Calibri" w:hAnsi="Calibri" w:cs="Arial"/>
      <w:sz w:val="20"/>
      <w:szCs w:val="20"/>
      <w:lang w:val="en-US"/>
    </w:rPr>
  </w:style>
  <w:style w:type="character" w:styleId="EndnoteReference">
    <w:name w:val="endnote reference"/>
    <w:uiPriority w:val="99"/>
    <w:semiHidden/>
    <w:unhideWhenUsed/>
    <w:rsid w:val="006F6653"/>
    <w:rPr>
      <w:vertAlign w:val="superscript"/>
    </w:rPr>
  </w:style>
  <w:style w:type="character" w:customStyle="1" w:styleId="SingleTxtGChar">
    <w:name w:val="_ Single Txt_G Char"/>
    <w:link w:val="SingleTxtG"/>
    <w:rsid w:val="00133B19"/>
    <w:rPr>
      <w:rFonts w:ascii="Times New Roman" w:eastAsiaTheme="minorHAnsi" w:hAnsi="Times New Roman" w:cs="Times New Roman"/>
      <w:sz w:val="20"/>
      <w:szCs w:val="20"/>
    </w:rPr>
  </w:style>
  <w:style w:type="paragraph" w:customStyle="1" w:styleId="H1G">
    <w:name w:val="_ H_1_G"/>
    <w:next w:val="Normal"/>
    <w:rsid w:val="00133B19"/>
    <w:pPr>
      <w:keepNext/>
      <w:keepLines/>
      <w:pBdr>
        <w:top w:val="nil"/>
        <w:left w:val="nil"/>
        <w:bottom w:val="nil"/>
        <w:right w:val="nil"/>
        <w:between w:val="nil"/>
        <w:bar w:val="nil"/>
      </w:pBdr>
      <w:tabs>
        <w:tab w:val="right" w:pos="851"/>
      </w:tabs>
      <w:suppressAutoHyphens/>
      <w:spacing w:before="360" w:after="240" w:line="270" w:lineRule="exact"/>
      <w:ind w:left="1134" w:right="1134" w:hanging="1134"/>
    </w:pPr>
    <w:rPr>
      <w:rFonts w:ascii="Times New Roman" w:eastAsia="Times New Roman" w:hAnsi="Times New Roman" w:cs="Times New Roman"/>
      <w:b/>
      <w:bCs/>
      <w:color w:val="000000"/>
      <w:sz w:val="24"/>
      <w:szCs w:val="24"/>
      <w:u w:color="000000"/>
      <w:bdr w:val="nil"/>
      <w:lang w:val="en-US"/>
    </w:rPr>
  </w:style>
  <w:style w:type="paragraph" w:customStyle="1" w:styleId="H23G">
    <w:name w:val="_ H_2/3_G"/>
    <w:next w:val="Normal"/>
    <w:rsid w:val="00133B19"/>
    <w:pPr>
      <w:keepNext/>
      <w:keepLines/>
      <w:pBdr>
        <w:top w:val="nil"/>
        <w:left w:val="nil"/>
        <w:bottom w:val="nil"/>
        <w:right w:val="nil"/>
        <w:between w:val="nil"/>
        <w:bar w:val="nil"/>
      </w:pBdr>
      <w:tabs>
        <w:tab w:val="right" w:pos="851"/>
      </w:tabs>
      <w:suppressAutoHyphens/>
      <w:spacing w:before="240" w:after="120" w:line="240" w:lineRule="exact"/>
      <w:ind w:left="1134" w:right="1134" w:hanging="1134"/>
    </w:pPr>
    <w:rPr>
      <w:rFonts w:ascii="Times New Roman" w:eastAsia="Times New Roman" w:hAnsi="Times New Roman" w:cs="Times New Roman"/>
      <w:b/>
      <w:bCs/>
      <w:color w:val="000000"/>
      <w:sz w:val="20"/>
      <w:szCs w:val="20"/>
      <w:u w:color="000000"/>
      <w:bdr w:val="nil"/>
      <w:lang w:val="en-US"/>
    </w:rPr>
  </w:style>
  <w:style w:type="paragraph" w:customStyle="1" w:styleId="SingleTxt">
    <w:name w:val="__Single Txt"/>
    <w:basedOn w:val="Normal"/>
    <w:rsid w:val="00370E00"/>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HAnsi" w:hAnsi="Times New Roman" w:cs="Times New Roman"/>
      <w:spacing w:val="4"/>
      <w:w w:val="103"/>
      <w:kern w:val="14"/>
      <w:sz w:val="20"/>
      <w:szCs w:val="20"/>
    </w:rPr>
  </w:style>
  <w:style w:type="paragraph" w:customStyle="1" w:styleId="HChG">
    <w:name w:val="_ H _Ch_G"/>
    <w:basedOn w:val="Normal"/>
    <w:next w:val="Normal"/>
    <w:qFormat/>
    <w:rsid w:val="00EA3EB2"/>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Times New Roman" w:eastAsiaTheme="minorHAnsi" w:hAnsi="Times New Roman" w:cs="Times New Roman"/>
      <w:b/>
      <w:sz w:val="28"/>
      <w:szCs w:val="20"/>
    </w:rPr>
  </w:style>
  <w:style w:type="paragraph" w:styleId="DocumentMap">
    <w:name w:val="Document Map"/>
    <w:basedOn w:val="Normal"/>
    <w:link w:val="DocumentMapChar"/>
    <w:uiPriority w:val="99"/>
    <w:semiHidden/>
    <w:unhideWhenUsed/>
    <w:rsid w:val="00BA51E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A51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8651">
      <w:bodyDiv w:val="1"/>
      <w:marLeft w:val="0"/>
      <w:marRight w:val="0"/>
      <w:marTop w:val="0"/>
      <w:marBottom w:val="0"/>
      <w:divBdr>
        <w:top w:val="none" w:sz="0" w:space="0" w:color="auto"/>
        <w:left w:val="none" w:sz="0" w:space="0" w:color="auto"/>
        <w:bottom w:val="none" w:sz="0" w:space="0" w:color="auto"/>
        <w:right w:val="none" w:sz="0" w:space="0" w:color="auto"/>
      </w:divBdr>
    </w:div>
    <w:div w:id="81613440">
      <w:bodyDiv w:val="1"/>
      <w:marLeft w:val="0"/>
      <w:marRight w:val="0"/>
      <w:marTop w:val="0"/>
      <w:marBottom w:val="0"/>
      <w:divBdr>
        <w:top w:val="none" w:sz="0" w:space="0" w:color="auto"/>
        <w:left w:val="none" w:sz="0" w:space="0" w:color="auto"/>
        <w:bottom w:val="none" w:sz="0" w:space="0" w:color="auto"/>
        <w:right w:val="none" w:sz="0" w:space="0" w:color="auto"/>
      </w:divBdr>
    </w:div>
    <w:div w:id="127433369">
      <w:bodyDiv w:val="1"/>
      <w:marLeft w:val="0"/>
      <w:marRight w:val="0"/>
      <w:marTop w:val="0"/>
      <w:marBottom w:val="0"/>
      <w:divBdr>
        <w:top w:val="none" w:sz="0" w:space="0" w:color="auto"/>
        <w:left w:val="none" w:sz="0" w:space="0" w:color="auto"/>
        <w:bottom w:val="none" w:sz="0" w:space="0" w:color="auto"/>
        <w:right w:val="none" w:sz="0" w:space="0" w:color="auto"/>
      </w:divBdr>
    </w:div>
    <w:div w:id="174656821">
      <w:bodyDiv w:val="1"/>
      <w:marLeft w:val="0"/>
      <w:marRight w:val="0"/>
      <w:marTop w:val="0"/>
      <w:marBottom w:val="0"/>
      <w:divBdr>
        <w:top w:val="none" w:sz="0" w:space="0" w:color="auto"/>
        <w:left w:val="none" w:sz="0" w:space="0" w:color="auto"/>
        <w:bottom w:val="none" w:sz="0" w:space="0" w:color="auto"/>
        <w:right w:val="none" w:sz="0" w:space="0" w:color="auto"/>
      </w:divBdr>
    </w:div>
    <w:div w:id="207037419">
      <w:bodyDiv w:val="1"/>
      <w:marLeft w:val="0"/>
      <w:marRight w:val="0"/>
      <w:marTop w:val="0"/>
      <w:marBottom w:val="0"/>
      <w:divBdr>
        <w:top w:val="none" w:sz="0" w:space="0" w:color="auto"/>
        <w:left w:val="none" w:sz="0" w:space="0" w:color="auto"/>
        <w:bottom w:val="none" w:sz="0" w:space="0" w:color="auto"/>
        <w:right w:val="none" w:sz="0" w:space="0" w:color="auto"/>
      </w:divBdr>
    </w:div>
    <w:div w:id="225192606">
      <w:bodyDiv w:val="1"/>
      <w:marLeft w:val="0"/>
      <w:marRight w:val="0"/>
      <w:marTop w:val="0"/>
      <w:marBottom w:val="0"/>
      <w:divBdr>
        <w:top w:val="none" w:sz="0" w:space="0" w:color="auto"/>
        <w:left w:val="none" w:sz="0" w:space="0" w:color="auto"/>
        <w:bottom w:val="none" w:sz="0" w:space="0" w:color="auto"/>
        <w:right w:val="none" w:sz="0" w:space="0" w:color="auto"/>
      </w:divBdr>
    </w:div>
    <w:div w:id="269122708">
      <w:bodyDiv w:val="1"/>
      <w:marLeft w:val="0"/>
      <w:marRight w:val="0"/>
      <w:marTop w:val="0"/>
      <w:marBottom w:val="0"/>
      <w:divBdr>
        <w:top w:val="none" w:sz="0" w:space="0" w:color="auto"/>
        <w:left w:val="none" w:sz="0" w:space="0" w:color="auto"/>
        <w:bottom w:val="none" w:sz="0" w:space="0" w:color="auto"/>
        <w:right w:val="none" w:sz="0" w:space="0" w:color="auto"/>
      </w:divBdr>
    </w:div>
    <w:div w:id="312610613">
      <w:bodyDiv w:val="1"/>
      <w:marLeft w:val="0"/>
      <w:marRight w:val="0"/>
      <w:marTop w:val="0"/>
      <w:marBottom w:val="0"/>
      <w:divBdr>
        <w:top w:val="none" w:sz="0" w:space="0" w:color="auto"/>
        <w:left w:val="none" w:sz="0" w:space="0" w:color="auto"/>
        <w:bottom w:val="none" w:sz="0" w:space="0" w:color="auto"/>
        <w:right w:val="none" w:sz="0" w:space="0" w:color="auto"/>
      </w:divBdr>
    </w:div>
    <w:div w:id="389959876">
      <w:bodyDiv w:val="1"/>
      <w:marLeft w:val="0"/>
      <w:marRight w:val="0"/>
      <w:marTop w:val="0"/>
      <w:marBottom w:val="0"/>
      <w:divBdr>
        <w:top w:val="none" w:sz="0" w:space="0" w:color="auto"/>
        <w:left w:val="none" w:sz="0" w:space="0" w:color="auto"/>
        <w:bottom w:val="none" w:sz="0" w:space="0" w:color="auto"/>
        <w:right w:val="none" w:sz="0" w:space="0" w:color="auto"/>
      </w:divBdr>
    </w:div>
    <w:div w:id="398796588">
      <w:bodyDiv w:val="1"/>
      <w:marLeft w:val="0"/>
      <w:marRight w:val="0"/>
      <w:marTop w:val="0"/>
      <w:marBottom w:val="0"/>
      <w:divBdr>
        <w:top w:val="none" w:sz="0" w:space="0" w:color="auto"/>
        <w:left w:val="none" w:sz="0" w:space="0" w:color="auto"/>
        <w:bottom w:val="none" w:sz="0" w:space="0" w:color="auto"/>
        <w:right w:val="none" w:sz="0" w:space="0" w:color="auto"/>
      </w:divBdr>
    </w:div>
    <w:div w:id="405541231">
      <w:bodyDiv w:val="1"/>
      <w:marLeft w:val="0"/>
      <w:marRight w:val="0"/>
      <w:marTop w:val="0"/>
      <w:marBottom w:val="0"/>
      <w:divBdr>
        <w:top w:val="none" w:sz="0" w:space="0" w:color="auto"/>
        <w:left w:val="none" w:sz="0" w:space="0" w:color="auto"/>
        <w:bottom w:val="none" w:sz="0" w:space="0" w:color="auto"/>
        <w:right w:val="none" w:sz="0" w:space="0" w:color="auto"/>
      </w:divBdr>
    </w:div>
    <w:div w:id="497619549">
      <w:bodyDiv w:val="1"/>
      <w:marLeft w:val="0"/>
      <w:marRight w:val="0"/>
      <w:marTop w:val="0"/>
      <w:marBottom w:val="0"/>
      <w:divBdr>
        <w:top w:val="none" w:sz="0" w:space="0" w:color="auto"/>
        <w:left w:val="none" w:sz="0" w:space="0" w:color="auto"/>
        <w:bottom w:val="none" w:sz="0" w:space="0" w:color="auto"/>
        <w:right w:val="none" w:sz="0" w:space="0" w:color="auto"/>
      </w:divBdr>
    </w:div>
    <w:div w:id="538663166">
      <w:bodyDiv w:val="1"/>
      <w:marLeft w:val="0"/>
      <w:marRight w:val="0"/>
      <w:marTop w:val="0"/>
      <w:marBottom w:val="0"/>
      <w:divBdr>
        <w:top w:val="none" w:sz="0" w:space="0" w:color="auto"/>
        <w:left w:val="none" w:sz="0" w:space="0" w:color="auto"/>
        <w:bottom w:val="none" w:sz="0" w:space="0" w:color="auto"/>
        <w:right w:val="none" w:sz="0" w:space="0" w:color="auto"/>
      </w:divBdr>
    </w:div>
    <w:div w:id="549270255">
      <w:bodyDiv w:val="1"/>
      <w:marLeft w:val="0"/>
      <w:marRight w:val="0"/>
      <w:marTop w:val="0"/>
      <w:marBottom w:val="0"/>
      <w:divBdr>
        <w:top w:val="none" w:sz="0" w:space="0" w:color="auto"/>
        <w:left w:val="none" w:sz="0" w:space="0" w:color="auto"/>
        <w:bottom w:val="none" w:sz="0" w:space="0" w:color="auto"/>
        <w:right w:val="none" w:sz="0" w:space="0" w:color="auto"/>
      </w:divBdr>
    </w:div>
    <w:div w:id="581568242">
      <w:bodyDiv w:val="1"/>
      <w:marLeft w:val="0"/>
      <w:marRight w:val="0"/>
      <w:marTop w:val="0"/>
      <w:marBottom w:val="0"/>
      <w:divBdr>
        <w:top w:val="none" w:sz="0" w:space="0" w:color="auto"/>
        <w:left w:val="none" w:sz="0" w:space="0" w:color="auto"/>
        <w:bottom w:val="none" w:sz="0" w:space="0" w:color="auto"/>
        <w:right w:val="none" w:sz="0" w:space="0" w:color="auto"/>
      </w:divBdr>
    </w:div>
    <w:div w:id="627901022">
      <w:bodyDiv w:val="1"/>
      <w:marLeft w:val="0"/>
      <w:marRight w:val="0"/>
      <w:marTop w:val="0"/>
      <w:marBottom w:val="0"/>
      <w:divBdr>
        <w:top w:val="none" w:sz="0" w:space="0" w:color="auto"/>
        <w:left w:val="none" w:sz="0" w:space="0" w:color="auto"/>
        <w:bottom w:val="none" w:sz="0" w:space="0" w:color="auto"/>
        <w:right w:val="none" w:sz="0" w:space="0" w:color="auto"/>
      </w:divBdr>
    </w:div>
    <w:div w:id="655568268">
      <w:bodyDiv w:val="1"/>
      <w:marLeft w:val="0"/>
      <w:marRight w:val="0"/>
      <w:marTop w:val="0"/>
      <w:marBottom w:val="0"/>
      <w:divBdr>
        <w:top w:val="none" w:sz="0" w:space="0" w:color="auto"/>
        <w:left w:val="none" w:sz="0" w:space="0" w:color="auto"/>
        <w:bottom w:val="none" w:sz="0" w:space="0" w:color="auto"/>
        <w:right w:val="none" w:sz="0" w:space="0" w:color="auto"/>
      </w:divBdr>
    </w:div>
    <w:div w:id="657151628">
      <w:bodyDiv w:val="1"/>
      <w:marLeft w:val="0"/>
      <w:marRight w:val="0"/>
      <w:marTop w:val="0"/>
      <w:marBottom w:val="0"/>
      <w:divBdr>
        <w:top w:val="none" w:sz="0" w:space="0" w:color="auto"/>
        <w:left w:val="none" w:sz="0" w:space="0" w:color="auto"/>
        <w:bottom w:val="none" w:sz="0" w:space="0" w:color="auto"/>
        <w:right w:val="none" w:sz="0" w:space="0" w:color="auto"/>
      </w:divBdr>
    </w:div>
    <w:div w:id="660618488">
      <w:bodyDiv w:val="1"/>
      <w:marLeft w:val="0"/>
      <w:marRight w:val="0"/>
      <w:marTop w:val="0"/>
      <w:marBottom w:val="0"/>
      <w:divBdr>
        <w:top w:val="none" w:sz="0" w:space="0" w:color="auto"/>
        <w:left w:val="none" w:sz="0" w:space="0" w:color="auto"/>
        <w:bottom w:val="none" w:sz="0" w:space="0" w:color="auto"/>
        <w:right w:val="none" w:sz="0" w:space="0" w:color="auto"/>
      </w:divBdr>
    </w:div>
    <w:div w:id="691498018">
      <w:bodyDiv w:val="1"/>
      <w:marLeft w:val="0"/>
      <w:marRight w:val="0"/>
      <w:marTop w:val="0"/>
      <w:marBottom w:val="0"/>
      <w:divBdr>
        <w:top w:val="none" w:sz="0" w:space="0" w:color="auto"/>
        <w:left w:val="none" w:sz="0" w:space="0" w:color="auto"/>
        <w:bottom w:val="none" w:sz="0" w:space="0" w:color="auto"/>
        <w:right w:val="none" w:sz="0" w:space="0" w:color="auto"/>
      </w:divBdr>
    </w:div>
    <w:div w:id="700980400">
      <w:bodyDiv w:val="1"/>
      <w:marLeft w:val="0"/>
      <w:marRight w:val="0"/>
      <w:marTop w:val="0"/>
      <w:marBottom w:val="0"/>
      <w:divBdr>
        <w:top w:val="none" w:sz="0" w:space="0" w:color="auto"/>
        <w:left w:val="none" w:sz="0" w:space="0" w:color="auto"/>
        <w:bottom w:val="none" w:sz="0" w:space="0" w:color="auto"/>
        <w:right w:val="none" w:sz="0" w:space="0" w:color="auto"/>
      </w:divBdr>
    </w:div>
    <w:div w:id="728377862">
      <w:bodyDiv w:val="1"/>
      <w:marLeft w:val="0"/>
      <w:marRight w:val="0"/>
      <w:marTop w:val="0"/>
      <w:marBottom w:val="0"/>
      <w:divBdr>
        <w:top w:val="none" w:sz="0" w:space="0" w:color="auto"/>
        <w:left w:val="none" w:sz="0" w:space="0" w:color="auto"/>
        <w:bottom w:val="none" w:sz="0" w:space="0" w:color="auto"/>
        <w:right w:val="none" w:sz="0" w:space="0" w:color="auto"/>
      </w:divBdr>
    </w:div>
    <w:div w:id="759570407">
      <w:bodyDiv w:val="1"/>
      <w:marLeft w:val="0"/>
      <w:marRight w:val="0"/>
      <w:marTop w:val="0"/>
      <w:marBottom w:val="0"/>
      <w:divBdr>
        <w:top w:val="none" w:sz="0" w:space="0" w:color="auto"/>
        <w:left w:val="none" w:sz="0" w:space="0" w:color="auto"/>
        <w:bottom w:val="none" w:sz="0" w:space="0" w:color="auto"/>
        <w:right w:val="none" w:sz="0" w:space="0" w:color="auto"/>
      </w:divBdr>
    </w:div>
    <w:div w:id="775180142">
      <w:bodyDiv w:val="1"/>
      <w:marLeft w:val="0"/>
      <w:marRight w:val="0"/>
      <w:marTop w:val="0"/>
      <w:marBottom w:val="0"/>
      <w:divBdr>
        <w:top w:val="none" w:sz="0" w:space="0" w:color="auto"/>
        <w:left w:val="none" w:sz="0" w:space="0" w:color="auto"/>
        <w:bottom w:val="none" w:sz="0" w:space="0" w:color="auto"/>
        <w:right w:val="none" w:sz="0" w:space="0" w:color="auto"/>
      </w:divBdr>
    </w:div>
    <w:div w:id="904729688">
      <w:bodyDiv w:val="1"/>
      <w:marLeft w:val="0"/>
      <w:marRight w:val="0"/>
      <w:marTop w:val="0"/>
      <w:marBottom w:val="0"/>
      <w:divBdr>
        <w:top w:val="none" w:sz="0" w:space="0" w:color="auto"/>
        <w:left w:val="none" w:sz="0" w:space="0" w:color="auto"/>
        <w:bottom w:val="none" w:sz="0" w:space="0" w:color="auto"/>
        <w:right w:val="none" w:sz="0" w:space="0" w:color="auto"/>
      </w:divBdr>
    </w:div>
    <w:div w:id="927807749">
      <w:bodyDiv w:val="1"/>
      <w:marLeft w:val="0"/>
      <w:marRight w:val="0"/>
      <w:marTop w:val="0"/>
      <w:marBottom w:val="0"/>
      <w:divBdr>
        <w:top w:val="none" w:sz="0" w:space="0" w:color="auto"/>
        <w:left w:val="none" w:sz="0" w:space="0" w:color="auto"/>
        <w:bottom w:val="none" w:sz="0" w:space="0" w:color="auto"/>
        <w:right w:val="none" w:sz="0" w:space="0" w:color="auto"/>
      </w:divBdr>
    </w:div>
    <w:div w:id="944994700">
      <w:bodyDiv w:val="1"/>
      <w:marLeft w:val="0"/>
      <w:marRight w:val="0"/>
      <w:marTop w:val="0"/>
      <w:marBottom w:val="0"/>
      <w:divBdr>
        <w:top w:val="none" w:sz="0" w:space="0" w:color="auto"/>
        <w:left w:val="none" w:sz="0" w:space="0" w:color="auto"/>
        <w:bottom w:val="none" w:sz="0" w:space="0" w:color="auto"/>
        <w:right w:val="none" w:sz="0" w:space="0" w:color="auto"/>
      </w:divBdr>
    </w:div>
    <w:div w:id="1087581486">
      <w:bodyDiv w:val="1"/>
      <w:marLeft w:val="0"/>
      <w:marRight w:val="0"/>
      <w:marTop w:val="0"/>
      <w:marBottom w:val="0"/>
      <w:divBdr>
        <w:top w:val="none" w:sz="0" w:space="0" w:color="auto"/>
        <w:left w:val="none" w:sz="0" w:space="0" w:color="auto"/>
        <w:bottom w:val="none" w:sz="0" w:space="0" w:color="auto"/>
        <w:right w:val="none" w:sz="0" w:space="0" w:color="auto"/>
      </w:divBdr>
      <w:divsChild>
        <w:div w:id="1082532056">
          <w:marLeft w:val="0"/>
          <w:marRight w:val="0"/>
          <w:marTop w:val="0"/>
          <w:marBottom w:val="0"/>
          <w:divBdr>
            <w:top w:val="none" w:sz="0" w:space="0" w:color="auto"/>
            <w:left w:val="none" w:sz="0" w:space="0" w:color="auto"/>
            <w:bottom w:val="none" w:sz="0" w:space="0" w:color="auto"/>
            <w:right w:val="none" w:sz="0" w:space="0" w:color="auto"/>
          </w:divBdr>
          <w:divsChild>
            <w:div w:id="4751000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92437815">
      <w:bodyDiv w:val="1"/>
      <w:marLeft w:val="0"/>
      <w:marRight w:val="0"/>
      <w:marTop w:val="0"/>
      <w:marBottom w:val="0"/>
      <w:divBdr>
        <w:top w:val="none" w:sz="0" w:space="0" w:color="auto"/>
        <w:left w:val="none" w:sz="0" w:space="0" w:color="auto"/>
        <w:bottom w:val="none" w:sz="0" w:space="0" w:color="auto"/>
        <w:right w:val="none" w:sz="0" w:space="0" w:color="auto"/>
      </w:divBdr>
    </w:div>
    <w:div w:id="1124499368">
      <w:bodyDiv w:val="1"/>
      <w:marLeft w:val="0"/>
      <w:marRight w:val="0"/>
      <w:marTop w:val="0"/>
      <w:marBottom w:val="0"/>
      <w:divBdr>
        <w:top w:val="none" w:sz="0" w:space="0" w:color="auto"/>
        <w:left w:val="none" w:sz="0" w:space="0" w:color="auto"/>
        <w:bottom w:val="none" w:sz="0" w:space="0" w:color="auto"/>
        <w:right w:val="none" w:sz="0" w:space="0" w:color="auto"/>
      </w:divBdr>
    </w:div>
    <w:div w:id="1196846932">
      <w:bodyDiv w:val="1"/>
      <w:marLeft w:val="0"/>
      <w:marRight w:val="0"/>
      <w:marTop w:val="0"/>
      <w:marBottom w:val="0"/>
      <w:divBdr>
        <w:top w:val="none" w:sz="0" w:space="0" w:color="auto"/>
        <w:left w:val="none" w:sz="0" w:space="0" w:color="auto"/>
        <w:bottom w:val="none" w:sz="0" w:space="0" w:color="auto"/>
        <w:right w:val="none" w:sz="0" w:space="0" w:color="auto"/>
      </w:divBdr>
    </w:div>
    <w:div w:id="1198740200">
      <w:bodyDiv w:val="1"/>
      <w:marLeft w:val="0"/>
      <w:marRight w:val="0"/>
      <w:marTop w:val="0"/>
      <w:marBottom w:val="0"/>
      <w:divBdr>
        <w:top w:val="none" w:sz="0" w:space="0" w:color="auto"/>
        <w:left w:val="none" w:sz="0" w:space="0" w:color="auto"/>
        <w:bottom w:val="none" w:sz="0" w:space="0" w:color="auto"/>
        <w:right w:val="none" w:sz="0" w:space="0" w:color="auto"/>
      </w:divBdr>
    </w:div>
    <w:div w:id="1199204084">
      <w:bodyDiv w:val="1"/>
      <w:marLeft w:val="0"/>
      <w:marRight w:val="0"/>
      <w:marTop w:val="0"/>
      <w:marBottom w:val="0"/>
      <w:divBdr>
        <w:top w:val="none" w:sz="0" w:space="0" w:color="auto"/>
        <w:left w:val="none" w:sz="0" w:space="0" w:color="auto"/>
        <w:bottom w:val="none" w:sz="0" w:space="0" w:color="auto"/>
        <w:right w:val="none" w:sz="0" w:space="0" w:color="auto"/>
      </w:divBdr>
    </w:div>
    <w:div w:id="1238133883">
      <w:bodyDiv w:val="1"/>
      <w:marLeft w:val="0"/>
      <w:marRight w:val="0"/>
      <w:marTop w:val="0"/>
      <w:marBottom w:val="0"/>
      <w:divBdr>
        <w:top w:val="none" w:sz="0" w:space="0" w:color="auto"/>
        <w:left w:val="none" w:sz="0" w:space="0" w:color="auto"/>
        <w:bottom w:val="none" w:sz="0" w:space="0" w:color="auto"/>
        <w:right w:val="none" w:sz="0" w:space="0" w:color="auto"/>
      </w:divBdr>
    </w:div>
    <w:div w:id="1316300716">
      <w:bodyDiv w:val="1"/>
      <w:marLeft w:val="0"/>
      <w:marRight w:val="0"/>
      <w:marTop w:val="0"/>
      <w:marBottom w:val="0"/>
      <w:divBdr>
        <w:top w:val="none" w:sz="0" w:space="0" w:color="auto"/>
        <w:left w:val="none" w:sz="0" w:space="0" w:color="auto"/>
        <w:bottom w:val="none" w:sz="0" w:space="0" w:color="auto"/>
        <w:right w:val="none" w:sz="0" w:space="0" w:color="auto"/>
      </w:divBdr>
    </w:div>
    <w:div w:id="1344698390">
      <w:bodyDiv w:val="1"/>
      <w:marLeft w:val="0"/>
      <w:marRight w:val="0"/>
      <w:marTop w:val="0"/>
      <w:marBottom w:val="0"/>
      <w:divBdr>
        <w:top w:val="none" w:sz="0" w:space="0" w:color="auto"/>
        <w:left w:val="none" w:sz="0" w:space="0" w:color="auto"/>
        <w:bottom w:val="none" w:sz="0" w:space="0" w:color="auto"/>
        <w:right w:val="none" w:sz="0" w:space="0" w:color="auto"/>
      </w:divBdr>
    </w:div>
    <w:div w:id="1373071609">
      <w:bodyDiv w:val="1"/>
      <w:marLeft w:val="0"/>
      <w:marRight w:val="0"/>
      <w:marTop w:val="0"/>
      <w:marBottom w:val="0"/>
      <w:divBdr>
        <w:top w:val="none" w:sz="0" w:space="0" w:color="auto"/>
        <w:left w:val="none" w:sz="0" w:space="0" w:color="auto"/>
        <w:bottom w:val="none" w:sz="0" w:space="0" w:color="auto"/>
        <w:right w:val="none" w:sz="0" w:space="0" w:color="auto"/>
      </w:divBdr>
    </w:div>
    <w:div w:id="1405374736">
      <w:bodyDiv w:val="1"/>
      <w:marLeft w:val="0"/>
      <w:marRight w:val="0"/>
      <w:marTop w:val="0"/>
      <w:marBottom w:val="0"/>
      <w:divBdr>
        <w:top w:val="none" w:sz="0" w:space="0" w:color="auto"/>
        <w:left w:val="none" w:sz="0" w:space="0" w:color="auto"/>
        <w:bottom w:val="none" w:sz="0" w:space="0" w:color="auto"/>
        <w:right w:val="none" w:sz="0" w:space="0" w:color="auto"/>
      </w:divBdr>
    </w:div>
    <w:div w:id="1412267186">
      <w:bodyDiv w:val="1"/>
      <w:marLeft w:val="0"/>
      <w:marRight w:val="0"/>
      <w:marTop w:val="0"/>
      <w:marBottom w:val="0"/>
      <w:divBdr>
        <w:top w:val="none" w:sz="0" w:space="0" w:color="auto"/>
        <w:left w:val="none" w:sz="0" w:space="0" w:color="auto"/>
        <w:bottom w:val="none" w:sz="0" w:space="0" w:color="auto"/>
        <w:right w:val="none" w:sz="0" w:space="0" w:color="auto"/>
      </w:divBdr>
    </w:div>
    <w:div w:id="1444376717">
      <w:bodyDiv w:val="1"/>
      <w:marLeft w:val="0"/>
      <w:marRight w:val="0"/>
      <w:marTop w:val="0"/>
      <w:marBottom w:val="0"/>
      <w:divBdr>
        <w:top w:val="none" w:sz="0" w:space="0" w:color="auto"/>
        <w:left w:val="none" w:sz="0" w:space="0" w:color="auto"/>
        <w:bottom w:val="none" w:sz="0" w:space="0" w:color="auto"/>
        <w:right w:val="none" w:sz="0" w:space="0" w:color="auto"/>
      </w:divBdr>
    </w:div>
    <w:div w:id="1519540347">
      <w:bodyDiv w:val="1"/>
      <w:marLeft w:val="0"/>
      <w:marRight w:val="0"/>
      <w:marTop w:val="0"/>
      <w:marBottom w:val="0"/>
      <w:divBdr>
        <w:top w:val="none" w:sz="0" w:space="0" w:color="auto"/>
        <w:left w:val="none" w:sz="0" w:space="0" w:color="auto"/>
        <w:bottom w:val="none" w:sz="0" w:space="0" w:color="auto"/>
        <w:right w:val="none" w:sz="0" w:space="0" w:color="auto"/>
      </w:divBdr>
    </w:div>
    <w:div w:id="1539925301">
      <w:bodyDiv w:val="1"/>
      <w:marLeft w:val="0"/>
      <w:marRight w:val="0"/>
      <w:marTop w:val="0"/>
      <w:marBottom w:val="0"/>
      <w:divBdr>
        <w:top w:val="none" w:sz="0" w:space="0" w:color="auto"/>
        <w:left w:val="none" w:sz="0" w:space="0" w:color="auto"/>
        <w:bottom w:val="none" w:sz="0" w:space="0" w:color="auto"/>
        <w:right w:val="none" w:sz="0" w:space="0" w:color="auto"/>
      </w:divBdr>
    </w:div>
    <w:div w:id="1576932615">
      <w:bodyDiv w:val="1"/>
      <w:marLeft w:val="0"/>
      <w:marRight w:val="0"/>
      <w:marTop w:val="0"/>
      <w:marBottom w:val="0"/>
      <w:divBdr>
        <w:top w:val="none" w:sz="0" w:space="0" w:color="auto"/>
        <w:left w:val="none" w:sz="0" w:space="0" w:color="auto"/>
        <w:bottom w:val="none" w:sz="0" w:space="0" w:color="auto"/>
        <w:right w:val="none" w:sz="0" w:space="0" w:color="auto"/>
      </w:divBdr>
    </w:div>
    <w:div w:id="1580865068">
      <w:bodyDiv w:val="1"/>
      <w:marLeft w:val="0"/>
      <w:marRight w:val="0"/>
      <w:marTop w:val="0"/>
      <w:marBottom w:val="0"/>
      <w:divBdr>
        <w:top w:val="none" w:sz="0" w:space="0" w:color="auto"/>
        <w:left w:val="none" w:sz="0" w:space="0" w:color="auto"/>
        <w:bottom w:val="none" w:sz="0" w:space="0" w:color="auto"/>
        <w:right w:val="none" w:sz="0" w:space="0" w:color="auto"/>
      </w:divBdr>
    </w:div>
    <w:div w:id="1599362509">
      <w:bodyDiv w:val="1"/>
      <w:marLeft w:val="0"/>
      <w:marRight w:val="0"/>
      <w:marTop w:val="0"/>
      <w:marBottom w:val="0"/>
      <w:divBdr>
        <w:top w:val="none" w:sz="0" w:space="0" w:color="auto"/>
        <w:left w:val="none" w:sz="0" w:space="0" w:color="auto"/>
        <w:bottom w:val="none" w:sz="0" w:space="0" w:color="auto"/>
        <w:right w:val="none" w:sz="0" w:space="0" w:color="auto"/>
      </w:divBdr>
    </w:div>
    <w:div w:id="1628317634">
      <w:bodyDiv w:val="1"/>
      <w:marLeft w:val="0"/>
      <w:marRight w:val="0"/>
      <w:marTop w:val="0"/>
      <w:marBottom w:val="0"/>
      <w:divBdr>
        <w:top w:val="none" w:sz="0" w:space="0" w:color="auto"/>
        <w:left w:val="none" w:sz="0" w:space="0" w:color="auto"/>
        <w:bottom w:val="none" w:sz="0" w:space="0" w:color="auto"/>
        <w:right w:val="none" w:sz="0" w:space="0" w:color="auto"/>
      </w:divBdr>
    </w:div>
    <w:div w:id="1635670127">
      <w:bodyDiv w:val="1"/>
      <w:marLeft w:val="0"/>
      <w:marRight w:val="0"/>
      <w:marTop w:val="0"/>
      <w:marBottom w:val="0"/>
      <w:divBdr>
        <w:top w:val="none" w:sz="0" w:space="0" w:color="auto"/>
        <w:left w:val="none" w:sz="0" w:space="0" w:color="auto"/>
        <w:bottom w:val="none" w:sz="0" w:space="0" w:color="auto"/>
        <w:right w:val="none" w:sz="0" w:space="0" w:color="auto"/>
      </w:divBdr>
    </w:div>
    <w:div w:id="1662125523">
      <w:bodyDiv w:val="1"/>
      <w:marLeft w:val="0"/>
      <w:marRight w:val="0"/>
      <w:marTop w:val="0"/>
      <w:marBottom w:val="0"/>
      <w:divBdr>
        <w:top w:val="none" w:sz="0" w:space="0" w:color="auto"/>
        <w:left w:val="none" w:sz="0" w:space="0" w:color="auto"/>
        <w:bottom w:val="none" w:sz="0" w:space="0" w:color="auto"/>
        <w:right w:val="none" w:sz="0" w:space="0" w:color="auto"/>
      </w:divBdr>
    </w:div>
    <w:div w:id="1678994243">
      <w:bodyDiv w:val="1"/>
      <w:marLeft w:val="0"/>
      <w:marRight w:val="0"/>
      <w:marTop w:val="0"/>
      <w:marBottom w:val="0"/>
      <w:divBdr>
        <w:top w:val="none" w:sz="0" w:space="0" w:color="auto"/>
        <w:left w:val="none" w:sz="0" w:space="0" w:color="auto"/>
        <w:bottom w:val="none" w:sz="0" w:space="0" w:color="auto"/>
        <w:right w:val="none" w:sz="0" w:space="0" w:color="auto"/>
      </w:divBdr>
    </w:div>
    <w:div w:id="1723823060">
      <w:bodyDiv w:val="1"/>
      <w:marLeft w:val="0"/>
      <w:marRight w:val="0"/>
      <w:marTop w:val="0"/>
      <w:marBottom w:val="0"/>
      <w:divBdr>
        <w:top w:val="none" w:sz="0" w:space="0" w:color="auto"/>
        <w:left w:val="none" w:sz="0" w:space="0" w:color="auto"/>
        <w:bottom w:val="none" w:sz="0" w:space="0" w:color="auto"/>
        <w:right w:val="none" w:sz="0" w:space="0" w:color="auto"/>
      </w:divBdr>
    </w:div>
    <w:div w:id="1876850456">
      <w:bodyDiv w:val="1"/>
      <w:marLeft w:val="0"/>
      <w:marRight w:val="0"/>
      <w:marTop w:val="0"/>
      <w:marBottom w:val="0"/>
      <w:divBdr>
        <w:top w:val="none" w:sz="0" w:space="0" w:color="auto"/>
        <w:left w:val="none" w:sz="0" w:space="0" w:color="auto"/>
        <w:bottom w:val="none" w:sz="0" w:space="0" w:color="auto"/>
        <w:right w:val="none" w:sz="0" w:space="0" w:color="auto"/>
      </w:divBdr>
    </w:div>
    <w:div w:id="1883663252">
      <w:bodyDiv w:val="1"/>
      <w:marLeft w:val="0"/>
      <w:marRight w:val="0"/>
      <w:marTop w:val="0"/>
      <w:marBottom w:val="0"/>
      <w:divBdr>
        <w:top w:val="none" w:sz="0" w:space="0" w:color="auto"/>
        <w:left w:val="none" w:sz="0" w:space="0" w:color="auto"/>
        <w:bottom w:val="none" w:sz="0" w:space="0" w:color="auto"/>
        <w:right w:val="none" w:sz="0" w:space="0" w:color="auto"/>
      </w:divBdr>
    </w:div>
    <w:div w:id="1894922297">
      <w:bodyDiv w:val="1"/>
      <w:marLeft w:val="0"/>
      <w:marRight w:val="0"/>
      <w:marTop w:val="0"/>
      <w:marBottom w:val="0"/>
      <w:divBdr>
        <w:top w:val="none" w:sz="0" w:space="0" w:color="auto"/>
        <w:left w:val="none" w:sz="0" w:space="0" w:color="auto"/>
        <w:bottom w:val="none" w:sz="0" w:space="0" w:color="auto"/>
        <w:right w:val="none" w:sz="0" w:space="0" w:color="auto"/>
      </w:divBdr>
    </w:div>
    <w:div w:id="1940485454">
      <w:bodyDiv w:val="1"/>
      <w:marLeft w:val="0"/>
      <w:marRight w:val="0"/>
      <w:marTop w:val="0"/>
      <w:marBottom w:val="0"/>
      <w:divBdr>
        <w:top w:val="none" w:sz="0" w:space="0" w:color="auto"/>
        <w:left w:val="none" w:sz="0" w:space="0" w:color="auto"/>
        <w:bottom w:val="none" w:sz="0" w:space="0" w:color="auto"/>
        <w:right w:val="none" w:sz="0" w:space="0" w:color="auto"/>
      </w:divBdr>
    </w:div>
    <w:div w:id="1950119037">
      <w:bodyDiv w:val="1"/>
      <w:marLeft w:val="0"/>
      <w:marRight w:val="0"/>
      <w:marTop w:val="0"/>
      <w:marBottom w:val="0"/>
      <w:divBdr>
        <w:top w:val="none" w:sz="0" w:space="0" w:color="auto"/>
        <w:left w:val="none" w:sz="0" w:space="0" w:color="auto"/>
        <w:bottom w:val="none" w:sz="0" w:space="0" w:color="auto"/>
        <w:right w:val="none" w:sz="0" w:space="0" w:color="auto"/>
      </w:divBdr>
    </w:div>
    <w:div w:id="1992051639">
      <w:bodyDiv w:val="1"/>
      <w:marLeft w:val="0"/>
      <w:marRight w:val="0"/>
      <w:marTop w:val="0"/>
      <w:marBottom w:val="0"/>
      <w:divBdr>
        <w:top w:val="none" w:sz="0" w:space="0" w:color="auto"/>
        <w:left w:val="none" w:sz="0" w:space="0" w:color="auto"/>
        <w:bottom w:val="none" w:sz="0" w:space="0" w:color="auto"/>
        <w:right w:val="none" w:sz="0" w:space="0" w:color="auto"/>
      </w:divBdr>
    </w:div>
    <w:div w:id="2004160280">
      <w:bodyDiv w:val="1"/>
      <w:marLeft w:val="0"/>
      <w:marRight w:val="0"/>
      <w:marTop w:val="0"/>
      <w:marBottom w:val="0"/>
      <w:divBdr>
        <w:top w:val="none" w:sz="0" w:space="0" w:color="auto"/>
        <w:left w:val="none" w:sz="0" w:space="0" w:color="auto"/>
        <w:bottom w:val="none" w:sz="0" w:space="0" w:color="auto"/>
        <w:right w:val="none" w:sz="0" w:space="0" w:color="auto"/>
      </w:divBdr>
    </w:div>
    <w:div w:id="2019847718">
      <w:bodyDiv w:val="1"/>
      <w:marLeft w:val="0"/>
      <w:marRight w:val="0"/>
      <w:marTop w:val="0"/>
      <w:marBottom w:val="0"/>
      <w:divBdr>
        <w:top w:val="none" w:sz="0" w:space="0" w:color="auto"/>
        <w:left w:val="none" w:sz="0" w:space="0" w:color="auto"/>
        <w:bottom w:val="none" w:sz="0" w:space="0" w:color="auto"/>
        <w:right w:val="none" w:sz="0" w:space="0" w:color="auto"/>
      </w:divBdr>
    </w:div>
    <w:div w:id="2076973074">
      <w:bodyDiv w:val="1"/>
      <w:marLeft w:val="0"/>
      <w:marRight w:val="0"/>
      <w:marTop w:val="0"/>
      <w:marBottom w:val="0"/>
      <w:divBdr>
        <w:top w:val="none" w:sz="0" w:space="0" w:color="auto"/>
        <w:left w:val="none" w:sz="0" w:space="0" w:color="auto"/>
        <w:bottom w:val="none" w:sz="0" w:space="0" w:color="auto"/>
        <w:right w:val="none" w:sz="0" w:space="0" w:color="auto"/>
      </w:divBdr>
    </w:div>
    <w:div w:id="2091270721">
      <w:bodyDiv w:val="1"/>
      <w:marLeft w:val="0"/>
      <w:marRight w:val="0"/>
      <w:marTop w:val="0"/>
      <w:marBottom w:val="0"/>
      <w:divBdr>
        <w:top w:val="none" w:sz="0" w:space="0" w:color="auto"/>
        <w:left w:val="none" w:sz="0" w:space="0" w:color="auto"/>
        <w:bottom w:val="none" w:sz="0" w:space="0" w:color="auto"/>
        <w:right w:val="none" w:sz="0" w:space="0" w:color="auto"/>
      </w:divBdr>
    </w:div>
    <w:div w:id="20951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sraelnationalnews.com/News/News.aspx/241457" TargetMode="External"/><Relationship Id="rId3" Type="http://schemas.openxmlformats.org/officeDocument/2006/relationships/hyperlink" Target="http://www.madacenter.org/report.php?lang=1&amp;id=1840&amp;category_id=6&amp;year=2018" TargetMode="External"/><Relationship Id="rId7" Type="http://schemas.openxmlformats.org/officeDocument/2006/relationships/hyperlink" Target="https://www.timesofisrael.com/netanyahu-denounces-btselem-chiefs-un-speech-as-full-of-lies/" TargetMode="External"/><Relationship Id="rId2" Type="http://schemas.openxmlformats.org/officeDocument/2006/relationships/hyperlink" Target="http://www.emro.who.int/images/stories/palestine/documents/WHO_Health_Cluster_SitRep_23_Sep_-6_Oct_2018.pdf?ua=1" TargetMode="External"/><Relationship Id="rId1" Type="http://schemas.openxmlformats.org/officeDocument/2006/relationships/hyperlink" Target="https://www.palestinercs.org/index.php?page=post&amp;pid=24351&amp;catid=4&amp;parentid=11186" TargetMode="External"/><Relationship Id="rId6" Type="http://schemas.openxmlformats.org/officeDocument/2006/relationships/hyperlink" Target="http://www.addameer.org/publications/joint-report-occupation-forces-arrested-3500-palestinians-during-first-half-2018" TargetMode="External"/><Relationship Id="rId11" Type="http://schemas.openxmlformats.org/officeDocument/2006/relationships/hyperlink" Target="https://moi.gov.ps/Home/Post/123353" TargetMode="External"/><Relationship Id="rId5" Type="http://schemas.openxmlformats.org/officeDocument/2006/relationships/hyperlink" Target="http://stoptorture.org.il/wp-content/uploads/2018/07/SitRep2018.pdf" TargetMode="External"/><Relationship Id="rId10" Type="http://schemas.openxmlformats.org/officeDocument/2006/relationships/hyperlink" Target="https://www.ochaopt.org/content/over-700-road-obstacles-control-palestinian-movement-within-west-bank" TargetMode="External"/><Relationship Id="rId4" Type="http://schemas.openxmlformats.org/officeDocument/2006/relationships/hyperlink" Target="http://www.militarycourtwatch.org/files/server/BRIEFING%20PAPER%20-%20FEB%202018.pdf" TargetMode="External"/><Relationship Id="rId9" Type="http://schemas.openxmlformats.org/officeDocument/2006/relationships/hyperlink" Target="https://twitter.com/AvigdorLiberman/status/985845422739607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5880BE-F467-458E-BA47-74ECFF39A397}">
  <ds:schemaRefs>
    <ds:schemaRef ds:uri="http://schemas.openxmlformats.org/officeDocument/2006/bibliography"/>
  </ds:schemaRefs>
</ds:datastoreItem>
</file>

<file path=customXml/itemProps2.xml><?xml version="1.0" encoding="utf-8"?>
<ds:datastoreItem xmlns:ds="http://schemas.openxmlformats.org/officeDocument/2006/customXml" ds:itemID="{B5C8F20E-8599-478B-83E1-7909058FC0CE}">
  <ds:schemaRefs>
    <ds:schemaRef ds:uri="http://schemas.openxmlformats.org/officeDocument/2006/bibliography"/>
  </ds:schemaRefs>
</ds:datastoreItem>
</file>

<file path=customXml/itemProps3.xml><?xml version="1.0" encoding="utf-8"?>
<ds:datastoreItem xmlns:ds="http://schemas.openxmlformats.org/officeDocument/2006/customXml" ds:itemID="{5D9F88A1-D92C-4E9F-84C8-614AC888CDD4}"/>
</file>

<file path=customXml/itemProps4.xml><?xml version="1.0" encoding="utf-8"?>
<ds:datastoreItem xmlns:ds="http://schemas.openxmlformats.org/officeDocument/2006/customXml" ds:itemID="{4CD7EEA7-B548-41E2-AC39-6825DA7A00A5}"/>
</file>

<file path=customXml/itemProps5.xml><?xml version="1.0" encoding="utf-8"?>
<ds:datastoreItem xmlns:ds="http://schemas.openxmlformats.org/officeDocument/2006/customXml" ds:itemID="{A45580B3-CD1D-4331-B4A5-90C79DA24CA0}"/>
</file>

<file path=docProps/app.xml><?xml version="1.0" encoding="utf-8"?>
<Properties xmlns="http://schemas.openxmlformats.org/officeDocument/2006/extended-properties" xmlns:vt="http://schemas.openxmlformats.org/officeDocument/2006/docPropsVTypes">
  <Template>Normal.dotm</Template>
  <TotalTime>0</TotalTime>
  <Pages>17</Pages>
  <Words>7727</Words>
  <Characters>44049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Human Rights Council resolutions S-9/1 and S-12/1 - Report of the United Nations High Commissioner for Human Rights in English</dc:title>
  <dc:subject/>
  <dc:creator>Anttila</dc:creator>
  <cp:keywords/>
  <dc:description/>
  <cp:lastModifiedBy>LANZ Veronique</cp:lastModifiedBy>
  <cp:revision>2</cp:revision>
  <cp:lastPrinted>2019-01-09T16:23:00Z</cp:lastPrinted>
  <dcterms:created xsi:type="dcterms:W3CDTF">2019-03-06T10:08:00Z</dcterms:created>
  <dcterms:modified xsi:type="dcterms:W3CDTF">2019-03-06T10:08:00Z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