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C172A" w14:textId="0B2B66E2" w:rsidR="00CE575B" w:rsidRDefault="00BA5B3D" w:rsidP="0057603F">
      <w:pPr>
        <w:spacing w:after="120" w:line="240" w:lineRule="auto"/>
        <w:ind w:left="-709" w:right="-896"/>
        <w:jc w:val="center"/>
        <w:rPr>
          <w:rFonts w:cs="Arial"/>
          <w:b/>
          <w:sz w:val="24"/>
          <w:szCs w:val="24"/>
        </w:rPr>
      </w:pPr>
      <w:proofErr w:type="gramStart"/>
      <w:r>
        <w:rPr>
          <w:rFonts w:cs="Arial"/>
          <w:b/>
          <w:sz w:val="24"/>
          <w:szCs w:val="24"/>
        </w:rPr>
        <w:t>40</w:t>
      </w:r>
      <w:r w:rsidR="00274AC1">
        <w:rPr>
          <w:rFonts w:cs="Arial"/>
          <w:b/>
          <w:sz w:val="24"/>
          <w:szCs w:val="24"/>
        </w:rPr>
        <w:t>th</w:t>
      </w:r>
      <w:proofErr w:type="gramEnd"/>
      <w:r w:rsidR="007A2709" w:rsidRPr="00283924">
        <w:rPr>
          <w:rFonts w:cs="Arial"/>
          <w:b/>
          <w:sz w:val="24"/>
          <w:szCs w:val="24"/>
        </w:rPr>
        <w:t xml:space="preserve"> </w:t>
      </w:r>
      <w:r w:rsidR="004450A8" w:rsidRPr="00283924">
        <w:rPr>
          <w:rFonts w:cs="Arial"/>
          <w:b/>
          <w:sz w:val="24"/>
          <w:szCs w:val="24"/>
        </w:rPr>
        <w:t>s</w:t>
      </w:r>
      <w:r w:rsidR="007A2709" w:rsidRPr="00283924">
        <w:rPr>
          <w:rFonts w:cs="Arial"/>
          <w:b/>
          <w:sz w:val="24"/>
          <w:szCs w:val="24"/>
        </w:rPr>
        <w:t>ession of the Human Rights Council</w:t>
      </w:r>
    </w:p>
    <w:p w14:paraId="29015F0E" w14:textId="7650A572" w:rsidR="00FE39E3" w:rsidRPr="00FE39E3" w:rsidRDefault="009C5A79" w:rsidP="00FE39E3">
      <w:pPr>
        <w:spacing w:before="240" w:after="120" w:line="240" w:lineRule="auto"/>
        <w:ind w:left="-709" w:right="-896"/>
        <w:jc w:val="center"/>
        <w:rPr>
          <w:rFonts w:cs="Arial"/>
          <w:b/>
          <w:bCs/>
          <w:sz w:val="28"/>
          <w:szCs w:val="28"/>
        </w:rPr>
      </w:pPr>
      <w:r>
        <w:rPr>
          <w:rFonts w:cs="Arial"/>
          <w:b/>
          <w:bCs/>
          <w:sz w:val="32"/>
          <w:szCs w:val="32"/>
        </w:rPr>
        <w:t>A</w:t>
      </w:r>
      <w:r w:rsidRPr="00D51B4D">
        <w:rPr>
          <w:rFonts w:cs="Arial"/>
          <w:b/>
          <w:bCs/>
          <w:sz w:val="32"/>
          <w:szCs w:val="32"/>
        </w:rPr>
        <w:t>nnual interactive debate on the rights of persons with disabilities</w:t>
      </w:r>
      <w:r w:rsidR="00FE39E3" w:rsidRPr="00D51B4D">
        <w:rPr>
          <w:rFonts w:cs="Arial"/>
          <w:b/>
          <w:bCs/>
          <w:sz w:val="32"/>
          <w:szCs w:val="32"/>
        </w:rPr>
        <w:br/>
      </w:r>
      <w:r w:rsidR="00FE39E3" w:rsidRPr="00862E42">
        <w:rPr>
          <w:rFonts w:cs="Arial"/>
          <w:b/>
          <w:bCs/>
          <w:sz w:val="16"/>
          <w:szCs w:val="16"/>
        </w:rPr>
        <w:br/>
      </w:r>
      <w:r w:rsidR="00EF27C0">
        <w:rPr>
          <w:rFonts w:cs="Arial"/>
          <w:b/>
          <w:bCs/>
          <w:sz w:val="28"/>
          <w:szCs w:val="28"/>
        </w:rPr>
        <w:t xml:space="preserve">Theme: </w:t>
      </w:r>
      <w:r w:rsidR="00A256DB">
        <w:rPr>
          <w:rFonts w:cs="Arial"/>
          <w:b/>
          <w:bCs/>
          <w:sz w:val="28"/>
          <w:szCs w:val="28"/>
        </w:rPr>
        <w:t xml:space="preserve">Article </w:t>
      </w:r>
      <w:r w:rsidR="00BA5B3D">
        <w:rPr>
          <w:rFonts w:cs="Arial"/>
          <w:b/>
          <w:bCs/>
          <w:sz w:val="28"/>
          <w:szCs w:val="28"/>
        </w:rPr>
        <w:t>26</w:t>
      </w:r>
      <w:r w:rsidR="00FE39E3" w:rsidRPr="00FE39E3">
        <w:rPr>
          <w:rFonts w:cs="Arial"/>
          <w:b/>
          <w:bCs/>
          <w:sz w:val="28"/>
          <w:szCs w:val="28"/>
        </w:rPr>
        <w:t xml:space="preserve"> of the Convention on the Rights of Persons with Disabilities </w:t>
      </w:r>
      <w:r w:rsidR="001B220F">
        <w:rPr>
          <w:rFonts w:cs="Arial"/>
          <w:b/>
          <w:bCs/>
          <w:sz w:val="28"/>
          <w:szCs w:val="28"/>
        </w:rPr>
        <w:br/>
      </w:r>
      <w:r w:rsidR="00FE39E3" w:rsidRPr="00FE39E3">
        <w:rPr>
          <w:rFonts w:cs="Arial"/>
          <w:b/>
          <w:bCs/>
          <w:sz w:val="28"/>
          <w:szCs w:val="28"/>
        </w:rPr>
        <w:t xml:space="preserve">on </w:t>
      </w:r>
      <w:proofErr w:type="spellStart"/>
      <w:r w:rsidR="00BA5B3D">
        <w:rPr>
          <w:rFonts w:cs="Arial"/>
          <w:b/>
          <w:bCs/>
          <w:sz w:val="28"/>
          <w:szCs w:val="28"/>
        </w:rPr>
        <w:t>habilitation</w:t>
      </w:r>
      <w:proofErr w:type="spellEnd"/>
      <w:r w:rsidR="00BA5B3D">
        <w:rPr>
          <w:rFonts w:cs="Arial"/>
          <w:b/>
          <w:bCs/>
          <w:sz w:val="28"/>
          <w:szCs w:val="28"/>
        </w:rPr>
        <w:t xml:space="preserve"> and rehabilitation</w:t>
      </w:r>
    </w:p>
    <w:p w14:paraId="34A869CA" w14:textId="2753039B" w:rsidR="0057603F" w:rsidRPr="00700183" w:rsidRDefault="00B4016A" w:rsidP="0057603F">
      <w:pPr>
        <w:spacing w:before="240" w:after="120" w:line="240" w:lineRule="auto"/>
        <w:ind w:left="-709" w:right="-896"/>
        <w:jc w:val="center"/>
        <w:rPr>
          <w:rFonts w:cs="Arial"/>
          <w:i/>
          <w:sz w:val="16"/>
          <w:szCs w:val="16"/>
        </w:rPr>
      </w:pPr>
      <w:r>
        <w:rPr>
          <w:rFonts w:cs="Arial"/>
          <w:i/>
          <w:sz w:val="24"/>
          <w:szCs w:val="24"/>
        </w:rPr>
        <w:t>C</w:t>
      </w:r>
      <w:r w:rsidR="00C85246" w:rsidRPr="00283924">
        <w:rPr>
          <w:rFonts w:cs="Arial"/>
          <w:i/>
          <w:sz w:val="24"/>
          <w:szCs w:val="24"/>
        </w:rPr>
        <w:t xml:space="preserve">oncept </w:t>
      </w:r>
      <w:r w:rsidR="004450A8" w:rsidRPr="00283924">
        <w:rPr>
          <w:rFonts w:cs="Arial"/>
          <w:i/>
          <w:sz w:val="24"/>
          <w:szCs w:val="24"/>
        </w:rPr>
        <w:t>n</w:t>
      </w:r>
      <w:r w:rsidR="00C85246" w:rsidRPr="00283924">
        <w:rPr>
          <w:rFonts w:cs="Arial"/>
          <w:i/>
          <w:sz w:val="24"/>
          <w:szCs w:val="24"/>
        </w:rPr>
        <w:t>ote</w:t>
      </w:r>
      <w:r w:rsidR="00FF74C5" w:rsidRPr="00283924">
        <w:rPr>
          <w:rFonts w:cs="Arial"/>
          <w:i/>
          <w:sz w:val="24"/>
          <w:szCs w:val="24"/>
        </w:rPr>
        <w:t xml:space="preserve"> (as of </w:t>
      </w:r>
      <w:r w:rsidR="00D27C64">
        <w:rPr>
          <w:rFonts w:cs="Arial"/>
          <w:i/>
          <w:sz w:val="24"/>
          <w:szCs w:val="24"/>
        </w:rPr>
        <w:t>5 February</w:t>
      </w:r>
      <w:r w:rsidR="00FE39E3">
        <w:rPr>
          <w:rFonts w:cs="Arial"/>
          <w:i/>
          <w:sz w:val="24"/>
          <w:szCs w:val="24"/>
        </w:rPr>
        <w:t xml:space="preserve"> 201</w:t>
      </w:r>
      <w:r w:rsidR="00BA5B3D">
        <w:rPr>
          <w:rFonts w:cs="Arial"/>
          <w:i/>
          <w:sz w:val="24"/>
          <w:szCs w:val="24"/>
        </w:rPr>
        <w:t>9</w:t>
      </w:r>
      <w:r w:rsidR="00FF74C5" w:rsidRPr="00283924">
        <w:rPr>
          <w:rFonts w:cs="Arial"/>
          <w:i/>
          <w:sz w:val="24"/>
          <w:szCs w:val="24"/>
        </w:rPr>
        <w:t>)</w:t>
      </w:r>
      <w:r w:rsidR="0057603F">
        <w:rPr>
          <w:rFonts w:cs="Arial"/>
          <w:i/>
          <w:sz w:val="24"/>
          <w:szCs w:val="24"/>
        </w:rPr>
        <w:br/>
      </w:r>
    </w:p>
    <w:tbl>
      <w:tblPr>
        <w:tblW w:w="10206" w:type="dxa"/>
        <w:tblInd w:w="-459" w:type="dxa"/>
        <w:tblLook w:val="04A0" w:firstRow="1" w:lastRow="0" w:firstColumn="1" w:lastColumn="0" w:noHBand="0" w:noVBand="1"/>
      </w:tblPr>
      <w:tblGrid>
        <w:gridCol w:w="1450"/>
        <w:gridCol w:w="8756"/>
      </w:tblGrid>
      <w:tr w:rsidR="002F414D" w:rsidRPr="00283924" w14:paraId="1FA6A669" w14:textId="77777777" w:rsidTr="00304796">
        <w:tc>
          <w:tcPr>
            <w:tcW w:w="1450" w:type="dxa"/>
            <w:shd w:val="clear" w:color="auto" w:fill="auto"/>
          </w:tcPr>
          <w:p w14:paraId="3BEF2BB9" w14:textId="77777777" w:rsidR="002F414D" w:rsidRPr="00283924" w:rsidRDefault="002F414D" w:rsidP="004450A8">
            <w:pPr>
              <w:spacing w:after="0" w:line="240" w:lineRule="auto"/>
              <w:rPr>
                <w:rFonts w:cs="Arial"/>
                <w:b/>
              </w:rPr>
            </w:pPr>
            <w:r w:rsidRPr="00283924">
              <w:rPr>
                <w:rFonts w:cs="Arial"/>
                <w:b/>
              </w:rPr>
              <w:t xml:space="preserve">Date and </w:t>
            </w:r>
            <w:r w:rsidR="004450A8" w:rsidRPr="00283924">
              <w:rPr>
                <w:rFonts w:cs="Arial"/>
                <w:b/>
              </w:rPr>
              <w:t>v</w:t>
            </w:r>
            <w:r w:rsidRPr="00283924">
              <w:rPr>
                <w:rFonts w:cs="Arial"/>
                <w:b/>
              </w:rPr>
              <w:t>enue:</w:t>
            </w:r>
          </w:p>
        </w:tc>
        <w:tc>
          <w:tcPr>
            <w:tcW w:w="8756" w:type="dxa"/>
            <w:shd w:val="clear" w:color="auto" w:fill="auto"/>
          </w:tcPr>
          <w:p w14:paraId="616D1AAB" w14:textId="3BE13D6F" w:rsidR="002F414D" w:rsidRPr="00283924" w:rsidRDefault="0044451A" w:rsidP="004450A8">
            <w:pPr>
              <w:spacing w:after="0" w:line="240" w:lineRule="auto"/>
              <w:rPr>
                <w:rFonts w:cs="Arial"/>
                <w:b/>
              </w:rPr>
            </w:pPr>
            <w:r>
              <w:rPr>
                <w:rFonts w:cs="Arial"/>
                <w:b/>
              </w:rPr>
              <w:t>Wednesday</w:t>
            </w:r>
            <w:r w:rsidR="00BD71E6">
              <w:rPr>
                <w:rFonts w:cs="Arial"/>
                <w:b/>
              </w:rPr>
              <w:t xml:space="preserve">, </w:t>
            </w:r>
            <w:r w:rsidR="00BA5B3D">
              <w:rPr>
                <w:rFonts w:cs="Arial"/>
                <w:b/>
              </w:rPr>
              <w:t>6</w:t>
            </w:r>
            <w:r w:rsidR="002F414D" w:rsidRPr="00283924">
              <w:rPr>
                <w:rFonts w:cs="Arial"/>
                <w:b/>
              </w:rPr>
              <w:t xml:space="preserve"> March 2016, </w:t>
            </w:r>
            <w:r w:rsidR="0007720A">
              <w:rPr>
                <w:rFonts w:cs="Arial"/>
                <w:b/>
              </w:rPr>
              <w:t xml:space="preserve">4 - 6 </w:t>
            </w:r>
            <w:r w:rsidR="0007720A" w:rsidRPr="0007720A">
              <w:rPr>
                <w:rFonts w:cs="Arial"/>
                <w:b/>
              </w:rPr>
              <w:t xml:space="preserve">p.m., </w:t>
            </w:r>
            <w:r w:rsidR="002F414D" w:rsidRPr="0007720A">
              <w:rPr>
                <w:rFonts w:cs="Arial"/>
                <w:b/>
              </w:rPr>
              <w:t xml:space="preserve">Palais des Nations, Room </w:t>
            </w:r>
            <w:r w:rsidR="004450A8" w:rsidRPr="0007720A">
              <w:rPr>
                <w:rFonts w:cs="Arial"/>
                <w:b/>
              </w:rPr>
              <w:t>XX</w:t>
            </w:r>
            <w:r w:rsidR="002F414D" w:rsidRPr="0007720A">
              <w:rPr>
                <w:rFonts w:cs="Arial"/>
                <w:b/>
              </w:rPr>
              <w:t>, Geneva</w:t>
            </w:r>
            <w:r w:rsidR="002F414D" w:rsidRPr="00283924">
              <w:rPr>
                <w:rFonts w:cs="Arial"/>
                <w:b/>
              </w:rPr>
              <w:t xml:space="preserve"> </w:t>
            </w:r>
          </w:p>
          <w:p w14:paraId="31A4F062" w14:textId="77777777" w:rsidR="002F414D" w:rsidRPr="00283924" w:rsidRDefault="002F414D" w:rsidP="00DB08FA">
            <w:pPr>
              <w:spacing w:after="120" w:line="240" w:lineRule="auto"/>
              <w:rPr>
                <w:rFonts w:cs="Arial"/>
                <w:i/>
              </w:rPr>
            </w:pPr>
            <w:r w:rsidRPr="00283924">
              <w:rPr>
                <w:rFonts w:cs="Arial"/>
                <w:i/>
              </w:rPr>
              <w:t xml:space="preserve">(will be broadcast live and archived on </w:t>
            </w:r>
            <w:hyperlink r:id="rId11" w:history="1">
              <w:r w:rsidR="004450A8" w:rsidRPr="00283924">
                <w:rPr>
                  <w:rStyle w:val="Hyperlink"/>
                  <w:rFonts w:cs="Arial"/>
                  <w:i/>
                </w:rPr>
                <w:t>http://webtv.un.org</w:t>
              </w:r>
            </w:hyperlink>
            <w:r w:rsidRPr="00283924">
              <w:rPr>
                <w:rFonts w:cs="Arial"/>
                <w:i/>
              </w:rPr>
              <w:t>)</w:t>
            </w:r>
          </w:p>
        </w:tc>
      </w:tr>
      <w:tr w:rsidR="002F414D" w:rsidRPr="00283924" w14:paraId="790393C7" w14:textId="77777777" w:rsidTr="00304796">
        <w:tc>
          <w:tcPr>
            <w:tcW w:w="1450" w:type="dxa"/>
            <w:shd w:val="clear" w:color="auto" w:fill="auto"/>
          </w:tcPr>
          <w:p w14:paraId="574AD692" w14:textId="77777777" w:rsidR="002F414D" w:rsidRPr="00283924" w:rsidRDefault="002F414D" w:rsidP="00304796">
            <w:pPr>
              <w:spacing w:after="0" w:line="240" w:lineRule="auto"/>
              <w:rPr>
                <w:rFonts w:cs="Arial"/>
                <w:b/>
              </w:rPr>
            </w:pPr>
            <w:r w:rsidRPr="00283924">
              <w:rPr>
                <w:rFonts w:cs="Arial"/>
                <w:b/>
              </w:rPr>
              <w:t>Objectives:</w:t>
            </w:r>
          </w:p>
        </w:tc>
        <w:tc>
          <w:tcPr>
            <w:tcW w:w="8756" w:type="dxa"/>
            <w:shd w:val="clear" w:color="auto" w:fill="auto"/>
          </w:tcPr>
          <w:p w14:paraId="6D16835E" w14:textId="2F0F34B7" w:rsidR="002F414D" w:rsidRPr="00283924" w:rsidRDefault="002F414D" w:rsidP="00C40671">
            <w:pPr>
              <w:spacing w:after="120" w:line="240" w:lineRule="auto"/>
              <w:rPr>
                <w:rFonts w:cs="Arial"/>
              </w:rPr>
            </w:pPr>
            <w:r w:rsidRPr="00283924">
              <w:rPr>
                <w:rFonts w:cs="Arial"/>
              </w:rPr>
              <w:t>Th</w:t>
            </w:r>
            <w:r w:rsidR="00C34D82" w:rsidRPr="00283924">
              <w:rPr>
                <w:rFonts w:cs="Arial"/>
              </w:rPr>
              <w:t>is</w:t>
            </w:r>
            <w:r w:rsidRPr="00283924">
              <w:rPr>
                <w:rFonts w:cs="Arial"/>
              </w:rPr>
              <w:t xml:space="preserve"> panel discussion will </w:t>
            </w:r>
            <w:r w:rsidR="00C34D82" w:rsidRPr="00283924">
              <w:rPr>
                <w:rFonts w:cs="Arial"/>
              </w:rPr>
              <w:t>address</w:t>
            </w:r>
            <w:r w:rsidRPr="00283924">
              <w:rPr>
                <w:rFonts w:cs="Arial"/>
              </w:rPr>
              <w:t xml:space="preserve"> the </w:t>
            </w:r>
            <w:r w:rsidR="00FE39E3">
              <w:rPr>
                <w:rFonts w:cs="Arial"/>
              </w:rPr>
              <w:t xml:space="preserve">human rights of persons with disabilities </w:t>
            </w:r>
            <w:r w:rsidR="00A256DB">
              <w:rPr>
                <w:rFonts w:cs="Arial"/>
              </w:rPr>
              <w:t xml:space="preserve">with regard to </w:t>
            </w:r>
            <w:r w:rsidR="00BA5B3D">
              <w:rPr>
                <w:rFonts w:cs="Arial"/>
              </w:rPr>
              <w:t>the obligation to</w:t>
            </w:r>
            <w:r w:rsidR="00C40671">
              <w:rPr>
                <w:rFonts w:cs="Arial"/>
              </w:rPr>
              <w:t xml:space="preserve"> p</w:t>
            </w:r>
            <w:r w:rsidR="00C40671" w:rsidRPr="00C40671">
              <w:rPr>
                <w:rFonts w:cs="Arial"/>
              </w:rPr>
              <w:t xml:space="preserve">rovide </w:t>
            </w:r>
            <w:proofErr w:type="spellStart"/>
            <w:r w:rsidR="00C40671" w:rsidRPr="00C40671">
              <w:rPr>
                <w:rFonts w:cs="Arial"/>
              </w:rPr>
              <w:t>habilitation</w:t>
            </w:r>
            <w:proofErr w:type="spellEnd"/>
            <w:r w:rsidR="00C40671" w:rsidRPr="00C40671">
              <w:rPr>
                <w:rFonts w:cs="Arial"/>
              </w:rPr>
              <w:t xml:space="preserve"> and rehabilitation under article 26 of the Convention on the Rights of Persons with Disabilities</w:t>
            </w:r>
            <w:r w:rsidR="005E3FDC">
              <w:rPr>
                <w:rFonts w:cs="Arial"/>
              </w:rPr>
              <w:t xml:space="preserve"> (</w:t>
            </w:r>
            <w:r w:rsidR="006C2003" w:rsidRPr="006C2003">
              <w:rPr>
                <w:rFonts w:cs="Arial"/>
              </w:rPr>
              <w:t>hereinafter</w:t>
            </w:r>
            <w:r w:rsidR="006C2003">
              <w:rPr>
                <w:rFonts w:cs="Arial"/>
              </w:rPr>
              <w:t xml:space="preserve"> “Convention”</w:t>
            </w:r>
            <w:r w:rsidR="005E3FDC">
              <w:rPr>
                <w:rFonts w:cs="Arial"/>
              </w:rPr>
              <w:t>)</w:t>
            </w:r>
            <w:r w:rsidR="00C40671" w:rsidRPr="00C40671">
              <w:rPr>
                <w:rFonts w:cs="Arial"/>
              </w:rPr>
              <w:t xml:space="preserve">. </w:t>
            </w:r>
            <w:r w:rsidRPr="00283924">
              <w:rPr>
                <w:rFonts w:cs="Arial"/>
              </w:rPr>
              <w:t xml:space="preserve">The </w:t>
            </w:r>
            <w:r w:rsidR="00C34D82" w:rsidRPr="00283924">
              <w:rPr>
                <w:rFonts w:cs="Arial"/>
                <w:b/>
              </w:rPr>
              <w:t xml:space="preserve">objectives </w:t>
            </w:r>
            <w:r w:rsidR="00C34D82" w:rsidRPr="00187036">
              <w:rPr>
                <w:rFonts w:cs="Arial"/>
              </w:rPr>
              <w:t>are</w:t>
            </w:r>
            <w:r w:rsidRPr="00187036">
              <w:rPr>
                <w:rFonts w:cs="Arial"/>
              </w:rPr>
              <w:t>:</w:t>
            </w:r>
            <w:r w:rsidRPr="00283924">
              <w:rPr>
                <w:rFonts w:cs="Arial"/>
              </w:rPr>
              <w:t xml:space="preserve"> </w:t>
            </w:r>
          </w:p>
          <w:p w14:paraId="3083BC91" w14:textId="75661EED" w:rsidR="005E3FDC" w:rsidRDefault="005E3FDC" w:rsidP="006F76CB">
            <w:pPr>
              <w:numPr>
                <w:ilvl w:val="0"/>
                <w:numId w:val="6"/>
              </w:numPr>
              <w:spacing w:after="60" w:line="240" w:lineRule="auto"/>
              <w:ind w:hanging="357"/>
              <w:rPr>
                <w:rFonts w:cs="Arial"/>
                <w:b/>
              </w:rPr>
            </w:pPr>
            <w:r>
              <w:rPr>
                <w:rFonts w:cs="Arial"/>
                <w:b/>
              </w:rPr>
              <w:t xml:space="preserve">To bring greater understanding </w:t>
            </w:r>
            <w:r>
              <w:rPr>
                <w:rFonts w:cs="Arial"/>
              </w:rPr>
              <w:t xml:space="preserve">to what </w:t>
            </w:r>
            <w:proofErr w:type="spellStart"/>
            <w:r>
              <w:rPr>
                <w:rFonts w:cs="Arial"/>
              </w:rPr>
              <w:t>habilitation</w:t>
            </w:r>
            <w:proofErr w:type="spellEnd"/>
            <w:r>
              <w:rPr>
                <w:rFonts w:cs="Arial"/>
              </w:rPr>
              <w:t xml:space="preserve"> and rehabilitation for persons </w:t>
            </w:r>
            <w:r w:rsidR="00AE6E07">
              <w:rPr>
                <w:rFonts w:cs="Arial"/>
              </w:rPr>
              <w:t xml:space="preserve">with disabilities </w:t>
            </w:r>
            <w:r>
              <w:rPr>
                <w:rFonts w:cs="Arial"/>
              </w:rPr>
              <w:t>entails</w:t>
            </w:r>
            <w:r w:rsidR="0050106C">
              <w:rPr>
                <w:rFonts w:cs="Arial"/>
              </w:rPr>
              <w:t xml:space="preserve"> and how the obligation</w:t>
            </w:r>
            <w:r w:rsidR="00C828AC">
              <w:rPr>
                <w:rFonts w:cs="Arial"/>
              </w:rPr>
              <w:t xml:space="preserve"> under </w:t>
            </w:r>
            <w:r w:rsidR="00440942">
              <w:rPr>
                <w:rFonts w:cs="Arial"/>
              </w:rPr>
              <w:t>a</w:t>
            </w:r>
            <w:r w:rsidR="00C828AC">
              <w:rPr>
                <w:rFonts w:cs="Arial"/>
              </w:rPr>
              <w:t>rticle 26</w:t>
            </w:r>
            <w:r w:rsidR="00AE6E07">
              <w:rPr>
                <w:rFonts w:cs="Arial"/>
              </w:rPr>
              <w:t xml:space="preserve"> intersects with other rights and</w:t>
            </w:r>
            <w:r>
              <w:rPr>
                <w:rFonts w:cs="Arial"/>
              </w:rPr>
              <w:t xml:space="preserve"> </w:t>
            </w:r>
            <w:proofErr w:type="gramStart"/>
            <w:r>
              <w:rPr>
                <w:rFonts w:cs="Arial"/>
              </w:rPr>
              <w:t>is reflected</w:t>
            </w:r>
            <w:proofErr w:type="gramEnd"/>
            <w:r>
              <w:rPr>
                <w:rFonts w:cs="Arial"/>
              </w:rPr>
              <w:t xml:space="preserve"> in the international human rights framework.  </w:t>
            </w:r>
          </w:p>
          <w:p w14:paraId="0DA0ACED" w14:textId="69BD711E" w:rsidR="005E3FDC" w:rsidRDefault="005E3FDC" w:rsidP="005E3FDC">
            <w:pPr>
              <w:numPr>
                <w:ilvl w:val="0"/>
                <w:numId w:val="6"/>
              </w:numPr>
              <w:spacing w:after="60" w:line="240" w:lineRule="auto"/>
              <w:ind w:hanging="357"/>
              <w:rPr>
                <w:rFonts w:cs="Arial"/>
              </w:rPr>
            </w:pPr>
            <w:r>
              <w:rPr>
                <w:rFonts w:cs="Arial"/>
                <w:b/>
              </w:rPr>
              <w:t>To d</w:t>
            </w:r>
            <w:r w:rsidRPr="00FE39E3">
              <w:rPr>
                <w:rFonts w:cs="Arial"/>
                <w:b/>
              </w:rPr>
              <w:t xml:space="preserve">iscuss the main barriers </w:t>
            </w:r>
            <w:r w:rsidRPr="00FE39E3">
              <w:rPr>
                <w:rFonts w:cs="Arial"/>
              </w:rPr>
              <w:t xml:space="preserve">that persons with disabilities face in </w:t>
            </w:r>
            <w:r>
              <w:rPr>
                <w:rFonts w:cs="Arial"/>
              </w:rPr>
              <w:t xml:space="preserve">accessing </w:t>
            </w:r>
            <w:proofErr w:type="spellStart"/>
            <w:r>
              <w:rPr>
                <w:rFonts w:cs="Arial"/>
              </w:rPr>
              <w:t>habilitation</w:t>
            </w:r>
            <w:proofErr w:type="spellEnd"/>
            <w:r>
              <w:rPr>
                <w:rFonts w:cs="Arial"/>
              </w:rPr>
              <w:t xml:space="preserve"> and rehabilitation</w:t>
            </w:r>
            <w:r w:rsidR="00AE6E07">
              <w:rPr>
                <w:rFonts w:cs="Arial"/>
              </w:rPr>
              <w:t xml:space="preserve"> and how the </w:t>
            </w:r>
            <w:r w:rsidR="006C2003">
              <w:rPr>
                <w:rFonts w:cs="Arial"/>
              </w:rPr>
              <w:t>Convent</w:t>
            </w:r>
            <w:bookmarkStart w:id="0" w:name="_GoBack"/>
            <w:bookmarkEnd w:id="0"/>
            <w:r w:rsidR="006C2003">
              <w:rPr>
                <w:rFonts w:cs="Arial"/>
              </w:rPr>
              <w:t>ion</w:t>
            </w:r>
            <w:r w:rsidR="00AE6E07">
              <w:rPr>
                <w:rFonts w:cs="Arial"/>
              </w:rPr>
              <w:t xml:space="preserve"> contributes to overcoming those barriers and ensuring a human rights based approach to providing </w:t>
            </w:r>
            <w:proofErr w:type="spellStart"/>
            <w:r w:rsidR="00AE6E07">
              <w:rPr>
                <w:rFonts w:cs="Arial"/>
              </w:rPr>
              <w:t>habilitation</w:t>
            </w:r>
            <w:proofErr w:type="spellEnd"/>
            <w:r w:rsidR="00AE6E07">
              <w:rPr>
                <w:rFonts w:cs="Arial"/>
              </w:rPr>
              <w:t xml:space="preserve"> and rehabilitation.</w:t>
            </w:r>
          </w:p>
          <w:p w14:paraId="0899C041" w14:textId="08D5E187" w:rsidR="00AE6E07" w:rsidRDefault="00AE6E07" w:rsidP="005E3FDC">
            <w:pPr>
              <w:numPr>
                <w:ilvl w:val="0"/>
                <w:numId w:val="6"/>
              </w:numPr>
              <w:spacing w:after="60" w:line="240" w:lineRule="auto"/>
              <w:ind w:hanging="357"/>
              <w:rPr>
                <w:rFonts w:cs="Arial"/>
                <w:b/>
              </w:rPr>
            </w:pPr>
            <w:r>
              <w:rPr>
                <w:rFonts w:cs="Arial"/>
                <w:b/>
              </w:rPr>
              <w:t xml:space="preserve">To analyse </w:t>
            </w:r>
            <w:r>
              <w:rPr>
                <w:rFonts w:cs="Arial"/>
              </w:rPr>
              <w:t xml:space="preserve">the evolution of the approach to </w:t>
            </w:r>
            <w:proofErr w:type="spellStart"/>
            <w:r>
              <w:rPr>
                <w:rFonts w:cs="Arial"/>
              </w:rPr>
              <w:t>habilitation</w:t>
            </w:r>
            <w:proofErr w:type="spellEnd"/>
            <w:r>
              <w:rPr>
                <w:rFonts w:cs="Arial"/>
              </w:rPr>
              <w:t xml:space="preserve"> and rehabilitation and its role in contributing to community based inclusive development for persons with disabilities.</w:t>
            </w:r>
          </w:p>
          <w:p w14:paraId="0141FC21" w14:textId="23A97207" w:rsidR="00FE39E3" w:rsidRPr="005E3FDC" w:rsidRDefault="00EF27C0" w:rsidP="005E3FDC">
            <w:pPr>
              <w:numPr>
                <w:ilvl w:val="0"/>
                <w:numId w:val="6"/>
              </w:numPr>
              <w:spacing w:after="60" w:line="240" w:lineRule="auto"/>
              <w:ind w:hanging="357"/>
              <w:rPr>
                <w:rFonts w:cs="Arial"/>
                <w:b/>
              </w:rPr>
            </w:pPr>
            <w:r>
              <w:rPr>
                <w:rFonts w:cs="Arial"/>
                <w:b/>
              </w:rPr>
              <w:t>To s</w:t>
            </w:r>
            <w:r w:rsidR="00FE39E3" w:rsidRPr="00FE39E3">
              <w:rPr>
                <w:rFonts w:cs="Arial"/>
                <w:b/>
              </w:rPr>
              <w:t xml:space="preserve">hare experiences, lessons learned and good practices </w:t>
            </w:r>
            <w:r w:rsidR="00FE39E3" w:rsidRPr="00FE39E3">
              <w:rPr>
                <w:rFonts w:cs="Arial"/>
              </w:rPr>
              <w:t xml:space="preserve">in the implementation of </w:t>
            </w:r>
            <w:r w:rsidR="000C6EBE">
              <w:rPr>
                <w:rFonts w:cs="Arial"/>
              </w:rPr>
              <w:t>a</w:t>
            </w:r>
            <w:r w:rsidR="00A256DB">
              <w:rPr>
                <w:rFonts w:cs="Arial"/>
              </w:rPr>
              <w:t xml:space="preserve">rticle </w:t>
            </w:r>
            <w:r w:rsidR="00C40671">
              <w:rPr>
                <w:rFonts w:cs="Arial"/>
              </w:rPr>
              <w:t>26</w:t>
            </w:r>
            <w:r w:rsidR="00FE39E3" w:rsidRPr="00FE39E3">
              <w:rPr>
                <w:rFonts w:cs="Arial"/>
              </w:rPr>
              <w:t xml:space="preserve"> of the </w:t>
            </w:r>
            <w:r w:rsidR="006C2003">
              <w:rPr>
                <w:rFonts w:cs="Arial"/>
              </w:rPr>
              <w:t>Convention</w:t>
            </w:r>
            <w:r w:rsidR="005E3FDC">
              <w:rPr>
                <w:rFonts w:cs="Arial"/>
              </w:rPr>
              <w:t xml:space="preserve">, drawing on experiences from the </w:t>
            </w:r>
            <w:r w:rsidR="00AE6E07">
              <w:rPr>
                <w:rFonts w:cs="Arial"/>
              </w:rPr>
              <w:t xml:space="preserve">global and </w:t>
            </w:r>
            <w:r w:rsidR="005E3FDC">
              <w:rPr>
                <w:rFonts w:cs="Arial"/>
              </w:rPr>
              <w:t>national level</w:t>
            </w:r>
            <w:r w:rsidR="00AE6E07">
              <w:rPr>
                <w:rFonts w:cs="Arial"/>
              </w:rPr>
              <w:t>s</w:t>
            </w:r>
            <w:r w:rsidR="005E3FDC">
              <w:rPr>
                <w:rFonts w:cs="Arial"/>
              </w:rPr>
              <w:t>.</w:t>
            </w:r>
          </w:p>
          <w:p w14:paraId="02B1C5F2" w14:textId="2410CD57" w:rsidR="00AE6E07" w:rsidRPr="006F5801" w:rsidRDefault="00EF27C0" w:rsidP="00DE532F">
            <w:pPr>
              <w:numPr>
                <w:ilvl w:val="0"/>
                <w:numId w:val="6"/>
              </w:numPr>
              <w:spacing w:after="120" w:line="240" w:lineRule="auto"/>
              <w:ind w:left="363" w:hanging="357"/>
              <w:rPr>
                <w:rFonts w:cs="Arial"/>
              </w:rPr>
            </w:pPr>
            <w:r>
              <w:rPr>
                <w:rFonts w:cs="Arial"/>
                <w:b/>
              </w:rPr>
              <w:t>To p</w:t>
            </w:r>
            <w:r w:rsidR="00FE39E3" w:rsidRPr="00FE39E3">
              <w:rPr>
                <w:rFonts w:cs="Arial"/>
                <w:b/>
              </w:rPr>
              <w:t>ropose</w:t>
            </w:r>
            <w:r w:rsidR="00FE39E3" w:rsidRPr="00FE39E3">
              <w:rPr>
                <w:rFonts w:cs="Arial"/>
              </w:rPr>
              <w:t xml:space="preserve"> </w:t>
            </w:r>
            <w:r w:rsidR="00FE39E3" w:rsidRPr="00AE6E07">
              <w:rPr>
                <w:rFonts w:cs="Arial"/>
                <w:b/>
              </w:rPr>
              <w:t>strategies</w:t>
            </w:r>
            <w:r w:rsidR="00AE6E07">
              <w:rPr>
                <w:rFonts w:cs="Arial"/>
                <w:b/>
              </w:rPr>
              <w:t xml:space="preserve"> </w:t>
            </w:r>
            <w:r w:rsidR="00AE6E07">
              <w:rPr>
                <w:rFonts w:cs="Arial"/>
              </w:rPr>
              <w:t xml:space="preserve">for strengthened implementation of </w:t>
            </w:r>
            <w:r w:rsidR="00440942">
              <w:rPr>
                <w:rFonts w:cs="Arial"/>
              </w:rPr>
              <w:t>a</w:t>
            </w:r>
            <w:r w:rsidR="00AE6E07">
              <w:rPr>
                <w:rFonts w:cs="Arial"/>
              </w:rPr>
              <w:t xml:space="preserve">rticle 26 of the </w:t>
            </w:r>
            <w:r w:rsidR="006C2003">
              <w:rPr>
                <w:rFonts w:cs="Arial"/>
              </w:rPr>
              <w:t>Convention</w:t>
            </w:r>
            <w:r w:rsidR="00AE6E07">
              <w:rPr>
                <w:rFonts w:cs="Arial"/>
              </w:rPr>
              <w:t xml:space="preserve"> at national level and to align actions undertaken under international law to improve national standards.</w:t>
            </w:r>
          </w:p>
        </w:tc>
      </w:tr>
      <w:tr w:rsidR="003C687A" w:rsidRPr="00283924" w14:paraId="08FDFC8C" w14:textId="77777777" w:rsidTr="00304796">
        <w:tc>
          <w:tcPr>
            <w:tcW w:w="1450" w:type="dxa"/>
            <w:shd w:val="clear" w:color="auto" w:fill="auto"/>
          </w:tcPr>
          <w:p w14:paraId="19492259" w14:textId="77777777" w:rsidR="003C687A" w:rsidRPr="00283924" w:rsidRDefault="003C687A" w:rsidP="00304796">
            <w:pPr>
              <w:spacing w:after="0" w:line="240" w:lineRule="auto"/>
              <w:rPr>
                <w:rFonts w:cs="Arial"/>
                <w:b/>
              </w:rPr>
            </w:pPr>
            <w:r w:rsidRPr="00283924">
              <w:rPr>
                <w:rFonts w:cs="Arial"/>
                <w:b/>
              </w:rPr>
              <w:t xml:space="preserve">Chair: </w:t>
            </w:r>
          </w:p>
        </w:tc>
        <w:tc>
          <w:tcPr>
            <w:tcW w:w="8756" w:type="dxa"/>
            <w:shd w:val="clear" w:color="auto" w:fill="auto"/>
          </w:tcPr>
          <w:p w14:paraId="25B76DDA" w14:textId="113E0F6F" w:rsidR="003C687A" w:rsidRPr="00283924" w:rsidRDefault="00A07D68" w:rsidP="00D27C64">
            <w:pPr>
              <w:spacing w:after="120" w:line="240" w:lineRule="auto"/>
              <w:rPr>
                <w:rFonts w:cs="Arial"/>
              </w:rPr>
            </w:pPr>
            <w:r>
              <w:rPr>
                <w:rFonts w:cs="Arial"/>
                <w:b/>
              </w:rPr>
              <w:t xml:space="preserve">H.E. Mr. Coly </w:t>
            </w:r>
            <w:proofErr w:type="spellStart"/>
            <w:r>
              <w:rPr>
                <w:rFonts w:cs="Arial"/>
                <w:b/>
              </w:rPr>
              <w:t>Seck</w:t>
            </w:r>
            <w:proofErr w:type="spellEnd"/>
            <w:r w:rsidRPr="00E172F9">
              <w:rPr>
                <w:rFonts w:cs="Arial"/>
              </w:rPr>
              <w:t>,</w:t>
            </w:r>
            <w:r w:rsidR="00C40671">
              <w:rPr>
                <w:rFonts w:cs="Arial"/>
              </w:rPr>
              <w:t xml:space="preserve"> </w:t>
            </w:r>
            <w:r w:rsidR="00165849" w:rsidRPr="00165849">
              <w:rPr>
                <w:rFonts w:cs="Arial"/>
              </w:rPr>
              <w:t>President of the Human Rights Council</w:t>
            </w:r>
          </w:p>
        </w:tc>
      </w:tr>
      <w:tr w:rsidR="00625399" w:rsidRPr="00283924" w14:paraId="75C5CF23" w14:textId="77777777" w:rsidTr="00304796">
        <w:tc>
          <w:tcPr>
            <w:tcW w:w="1450" w:type="dxa"/>
            <w:shd w:val="clear" w:color="auto" w:fill="auto"/>
          </w:tcPr>
          <w:p w14:paraId="12CE2AC1" w14:textId="77777777" w:rsidR="00625399" w:rsidRPr="00283924" w:rsidRDefault="00625399" w:rsidP="00DB08FA">
            <w:pPr>
              <w:spacing w:after="120" w:line="240" w:lineRule="auto"/>
              <w:rPr>
                <w:rFonts w:cs="Arial"/>
                <w:b/>
              </w:rPr>
            </w:pPr>
            <w:r>
              <w:rPr>
                <w:rFonts w:cs="Arial"/>
                <w:b/>
              </w:rPr>
              <w:t xml:space="preserve">Opening statement: </w:t>
            </w:r>
          </w:p>
        </w:tc>
        <w:tc>
          <w:tcPr>
            <w:tcW w:w="8756" w:type="dxa"/>
            <w:shd w:val="clear" w:color="auto" w:fill="auto"/>
          </w:tcPr>
          <w:p w14:paraId="0A4AE1D1" w14:textId="78E04AEF" w:rsidR="00625399" w:rsidRPr="00625399" w:rsidRDefault="00B920BF" w:rsidP="00C40671">
            <w:pPr>
              <w:spacing w:after="0" w:line="240" w:lineRule="auto"/>
              <w:rPr>
                <w:rFonts w:cs="Arial"/>
              </w:rPr>
            </w:pPr>
            <w:r>
              <w:rPr>
                <w:rFonts w:cs="Arial"/>
                <w:b/>
                <w:bCs/>
                <w:lang w:val="en-US"/>
              </w:rPr>
              <w:t>M</w:t>
            </w:r>
            <w:r w:rsidR="009C05D5">
              <w:rPr>
                <w:rFonts w:cs="Arial"/>
                <w:b/>
                <w:bCs/>
                <w:lang w:val="en-US"/>
              </w:rPr>
              <w:t xml:space="preserve">s. </w:t>
            </w:r>
            <w:r w:rsidR="00C40671">
              <w:rPr>
                <w:rFonts w:cs="Arial"/>
                <w:b/>
                <w:bCs/>
                <w:lang w:val="en-US"/>
              </w:rPr>
              <w:t>Michelle Bachelet</w:t>
            </w:r>
            <w:r w:rsidR="00471F51" w:rsidRPr="009C06DD">
              <w:rPr>
                <w:rFonts w:cs="Arial"/>
                <w:bCs/>
                <w:lang w:val="en-US"/>
              </w:rPr>
              <w:t>,</w:t>
            </w:r>
            <w:r w:rsidR="00471F51" w:rsidRPr="00471F51">
              <w:rPr>
                <w:rFonts w:cs="Arial"/>
                <w:b/>
                <w:bCs/>
                <w:lang w:val="en-US"/>
              </w:rPr>
              <w:t xml:space="preserve"> </w:t>
            </w:r>
            <w:r w:rsidR="00270795" w:rsidRPr="00270795">
              <w:rPr>
                <w:rFonts w:cs="Arial"/>
                <w:bCs/>
                <w:lang w:val="en-US"/>
              </w:rPr>
              <w:t xml:space="preserve">United Nations </w:t>
            </w:r>
            <w:r w:rsidR="009C05D5">
              <w:rPr>
                <w:rFonts w:cs="Arial"/>
                <w:bCs/>
                <w:lang w:val="en-US"/>
              </w:rPr>
              <w:t>High Commissioner for</w:t>
            </w:r>
            <w:r w:rsidR="00471F51" w:rsidRPr="00471F51">
              <w:rPr>
                <w:rFonts w:cs="Arial"/>
                <w:bCs/>
                <w:lang w:val="en-US"/>
              </w:rPr>
              <w:t xml:space="preserve"> Human Rights</w:t>
            </w:r>
          </w:p>
        </w:tc>
      </w:tr>
      <w:tr w:rsidR="00625399" w:rsidRPr="00283924" w14:paraId="150FBDDC" w14:textId="77777777" w:rsidTr="00304796">
        <w:tc>
          <w:tcPr>
            <w:tcW w:w="1450" w:type="dxa"/>
            <w:shd w:val="clear" w:color="auto" w:fill="auto"/>
          </w:tcPr>
          <w:p w14:paraId="40A8651B" w14:textId="77777777" w:rsidR="00625399" w:rsidRPr="00283924" w:rsidRDefault="00625399" w:rsidP="00304796">
            <w:pPr>
              <w:spacing w:after="0" w:line="240" w:lineRule="auto"/>
              <w:rPr>
                <w:rFonts w:cs="Arial"/>
                <w:b/>
              </w:rPr>
            </w:pPr>
            <w:r w:rsidRPr="00283924">
              <w:rPr>
                <w:rFonts w:cs="Arial"/>
                <w:b/>
              </w:rPr>
              <w:t>Panellists:</w:t>
            </w:r>
          </w:p>
        </w:tc>
        <w:tc>
          <w:tcPr>
            <w:tcW w:w="8756" w:type="dxa"/>
            <w:shd w:val="clear" w:color="auto" w:fill="auto"/>
          </w:tcPr>
          <w:p w14:paraId="4FEDE0E2" w14:textId="77777777" w:rsidR="00C40671" w:rsidRPr="00283924" w:rsidRDefault="00274AC1" w:rsidP="00E172F9">
            <w:pPr>
              <w:numPr>
                <w:ilvl w:val="0"/>
                <w:numId w:val="6"/>
              </w:numPr>
              <w:spacing w:after="120" w:line="240" w:lineRule="auto"/>
              <w:ind w:left="357" w:hanging="357"/>
              <w:rPr>
                <w:rFonts w:cs="Arial"/>
                <w:b/>
              </w:rPr>
            </w:pPr>
            <w:hyperlink r:id="rId12" w:history="1">
              <w:r w:rsidR="00C40671" w:rsidRPr="001B7BB9">
                <w:rPr>
                  <w:rStyle w:val="Hyperlink"/>
                  <w:rFonts w:cs="Arial"/>
                  <w:b/>
                  <w:bCs/>
                  <w:color w:val="auto"/>
                  <w:u w:val="none"/>
                  <w:lang w:eastAsia="en-GB"/>
                </w:rPr>
                <w:t>M</w:t>
              </w:r>
              <w:r w:rsidR="00C40671">
                <w:rPr>
                  <w:rStyle w:val="Hyperlink"/>
                  <w:rFonts w:cs="Arial"/>
                  <w:b/>
                  <w:bCs/>
                  <w:color w:val="auto"/>
                  <w:u w:val="none"/>
                  <w:lang w:eastAsia="en-GB"/>
                </w:rPr>
                <w:t xml:space="preserve">s. Catalina </w:t>
              </w:r>
              <w:proofErr w:type="spellStart"/>
              <w:r w:rsidR="00C40671">
                <w:rPr>
                  <w:rStyle w:val="Hyperlink"/>
                  <w:rFonts w:cs="Arial"/>
                  <w:b/>
                  <w:bCs/>
                  <w:color w:val="auto"/>
                  <w:u w:val="none"/>
                  <w:lang w:eastAsia="en-GB"/>
                </w:rPr>
                <w:t>Devandas</w:t>
              </w:r>
              <w:proofErr w:type="spellEnd"/>
              <w:r w:rsidR="00C40671">
                <w:rPr>
                  <w:rStyle w:val="Hyperlink"/>
                  <w:rFonts w:cs="Arial"/>
                  <w:b/>
                  <w:bCs/>
                  <w:color w:val="auto"/>
                  <w:u w:val="none"/>
                  <w:lang w:eastAsia="en-GB"/>
                </w:rPr>
                <w:t xml:space="preserve"> Aguilar</w:t>
              </w:r>
            </w:hyperlink>
            <w:r w:rsidR="00C40671" w:rsidRPr="00283924">
              <w:rPr>
                <w:rFonts w:cs="Arial"/>
                <w:color w:val="000000"/>
                <w:lang w:eastAsia="en-GB"/>
              </w:rPr>
              <w:t xml:space="preserve">, </w:t>
            </w:r>
            <w:r w:rsidR="00C40671" w:rsidRPr="00020D92">
              <w:rPr>
                <w:rFonts w:cs="Arial"/>
                <w:color w:val="000000"/>
                <w:lang w:eastAsia="en-GB"/>
              </w:rPr>
              <w:t xml:space="preserve">Special Rapporteur on the </w:t>
            </w:r>
            <w:r w:rsidR="00C40671">
              <w:rPr>
                <w:rFonts w:cs="Arial"/>
                <w:color w:val="000000"/>
                <w:lang w:eastAsia="en-GB"/>
              </w:rPr>
              <w:t>rights of persons with disabilities</w:t>
            </w:r>
          </w:p>
          <w:p w14:paraId="7D1F0074" w14:textId="4DA36D5F" w:rsidR="0036235A" w:rsidRPr="00277A97" w:rsidRDefault="00B82A87" w:rsidP="00E172F9">
            <w:pPr>
              <w:numPr>
                <w:ilvl w:val="0"/>
                <w:numId w:val="6"/>
              </w:numPr>
              <w:spacing w:after="120" w:line="240" w:lineRule="auto"/>
              <w:ind w:left="357" w:hanging="357"/>
              <w:rPr>
                <w:rFonts w:cs="Arial"/>
                <w:b/>
              </w:rPr>
            </w:pPr>
            <w:r w:rsidRPr="00B82A87">
              <w:rPr>
                <w:rFonts w:cs="Arial"/>
                <w:b/>
                <w:lang w:eastAsia="en-GB"/>
              </w:rPr>
              <w:t>M</w:t>
            </w:r>
            <w:r w:rsidRPr="00B82A87">
              <w:rPr>
                <w:rFonts w:asciiTheme="minorHAnsi" w:hAnsiTheme="minorHAnsi" w:cstheme="minorHAnsi"/>
                <w:b/>
                <w:lang w:eastAsia="en-GB"/>
              </w:rPr>
              <w:t>r</w:t>
            </w:r>
            <w:r w:rsidR="00C40671">
              <w:rPr>
                <w:rFonts w:asciiTheme="minorHAnsi" w:hAnsiTheme="minorHAnsi" w:cstheme="minorHAnsi"/>
                <w:b/>
                <w:lang w:eastAsia="en-GB"/>
              </w:rPr>
              <w:t xml:space="preserve">. </w:t>
            </w:r>
            <w:proofErr w:type="spellStart"/>
            <w:r w:rsidR="00C40671">
              <w:rPr>
                <w:rFonts w:asciiTheme="minorHAnsi" w:hAnsiTheme="minorHAnsi" w:cstheme="minorHAnsi"/>
                <w:b/>
                <w:lang w:eastAsia="en-GB"/>
              </w:rPr>
              <w:t>Lauro</w:t>
            </w:r>
            <w:proofErr w:type="spellEnd"/>
            <w:r w:rsidR="00C40671">
              <w:rPr>
                <w:rFonts w:asciiTheme="minorHAnsi" w:hAnsiTheme="minorHAnsi" w:cstheme="minorHAnsi"/>
                <w:b/>
                <w:lang w:eastAsia="en-GB"/>
              </w:rPr>
              <w:t xml:space="preserve"> </w:t>
            </w:r>
            <w:proofErr w:type="spellStart"/>
            <w:r w:rsidR="00C40671">
              <w:rPr>
                <w:rFonts w:asciiTheme="minorHAnsi" w:hAnsiTheme="minorHAnsi" w:cstheme="minorHAnsi"/>
                <w:b/>
                <w:lang w:eastAsia="en-GB"/>
              </w:rPr>
              <w:t>Purcil</w:t>
            </w:r>
            <w:proofErr w:type="spellEnd"/>
            <w:r w:rsidR="00C40671" w:rsidRPr="00E172F9">
              <w:rPr>
                <w:rFonts w:asciiTheme="minorHAnsi" w:hAnsiTheme="minorHAnsi" w:cstheme="minorHAnsi"/>
                <w:lang w:eastAsia="en-GB"/>
              </w:rPr>
              <w:t>,</w:t>
            </w:r>
            <w:r w:rsidR="00165849">
              <w:rPr>
                <w:rFonts w:cs="Arial"/>
                <w:color w:val="000000"/>
                <w:lang w:eastAsia="en-GB"/>
              </w:rPr>
              <w:t xml:space="preserve"> </w:t>
            </w:r>
            <w:r w:rsidR="009C05D5">
              <w:rPr>
                <w:rFonts w:cs="Arial"/>
                <w:color w:val="000000"/>
                <w:lang w:eastAsia="en-GB"/>
              </w:rPr>
              <w:t xml:space="preserve">International </w:t>
            </w:r>
            <w:r w:rsidR="002A646E">
              <w:rPr>
                <w:rFonts w:cs="Arial"/>
                <w:color w:val="000000"/>
                <w:lang w:eastAsia="en-GB"/>
              </w:rPr>
              <w:t xml:space="preserve">Disability </w:t>
            </w:r>
            <w:r w:rsidR="009C05D5">
              <w:rPr>
                <w:rFonts w:cs="Arial"/>
                <w:color w:val="000000"/>
                <w:lang w:eastAsia="en-GB"/>
              </w:rPr>
              <w:t>Alliance</w:t>
            </w:r>
          </w:p>
          <w:p w14:paraId="6DED2771" w14:textId="7ED637E9" w:rsidR="00625399" w:rsidRPr="005E3FDC" w:rsidRDefault="00EB1A20" w:rsidP="00FA00F2">
            <w:pPr>
              <w:numPr>
                <w:ilvl w:val="0"/>
                <w:numId w:val="6"/>
              </w:numPr>
              <w:spacing w:after="120" w:line="240" w:lineRule="auto"/>
              <w:rPr>
                <w:rFonts w:cs="Arial"/>
                <w:b/>
              </w:rPr>
            </w:pPr>
            <w:r>
              <w:rPr>
                <w:rFonts w:cs="Arial"/>
                <w:b/>
                <w:color w:val="000000"/>
                <w:lang w:eastAsia="en-GB"/>
              </w:rPr>
              <w:t xml:space="preserve">Ms. </w:t>
            </w:r>
            <w:proofErr w:type="spellStart"/>
            <w:r w:rsidR="0036235A" w:rsidRPr="00277A97">
              <w:rPr>
                <w:rFonts w:cs="Arial"/>
                <w:b/>
                <w:color w:val="000000"/>
                <w:lang w:eastAsia="en-GB"/>
              </w:rPr>
              <w:t>A</w:t>
            </w:r>
            <w:r w:rsidR="00C40671">
              <w:rPr>
                <w:rFonts w:cs="Arial"/>
                <w:b/>
                <w:color w:val="000000"/>
                <w:lang w:eastAsia="en-GB"/>
              </w:rPr>
              <w:t>larcos</w:t>
            </w:r>
            <w:proofErr w:type="spellEnd"/>
            <w:r w:rsidR="00C40671">
              <w:rPr>
                <w:rFonts w:cs="Arial"/>
                <w:b/>
                <w:color w:val="000000"/>
                <w:lang w:eastAsia="en-GB"/>
              </w:rPr>
              <w:t xml:space="preserve"> </w:t>
            </w:r>
            <w:proofErr w:type="spellStart"/>
            <w:r w:rsidR="00C40671">
              <w:rPr>
                <w:rFonts w:cs="Arial"/>
                <w:b/>
                <w:color w:val="000000"/>
                <w:lang w:eastAsia="en-GB"/>
              </w:rPr>
              <w:t>Cieza</w:t>
            </w:r>
            <w:proofErr w:type="spellEnd"/>
            <w:r w:rsidR="00C40671" w:rsidRPr="00FA00F2">
              <w:rPr>
                <w:rFonts w:cs="Arial"/>
                <w:color w:val="000000"/>
                <w:lang w:eastAsia="en-GB"/>
              </w:rPr>
              <w:t xml:space="preserve">, </w:t>
            </w:r>
            <w:r w:rsidR="00FA00F2" w:rsidRPr="00FA00F2">
              <w:rPr>
                <w:rFonts w:cs="Arial"/>
                <w:color w:val="000000"/>
                <w:lang w:eastAsia="en-GB"/>
              </w:rPr>
              <w:t>Coordinator of the Disability and Rehabilitation Team</w:t>
            </w:r>
            <w:r w:rsidR="00FA00F2">
              <w:rPr>
                <w:rFonts w:cs="Arial"/>
                <w:color w:val="000000"/>
                <w:lang w:eastAsia="en-GB"/>
              </w:rPr>
              <w:t>,</w:t>
            </w:r>
            <w:r w:rsidR="00FA00F2" w:rsidRPr="00FA00F2">
              <w:rPr>
                <w:rFonts w:cs="Arial"/>
                <w:b/>
                <w:color w:val="000000"/>
                <w:lang w:eastAsia="en-GB"/>
              </w:rPr>
              <w:t xml:space="preserve"> </w:t>
            </w:r>
            <w:r w:rsidR="00C40671">
              <w:rPr>
                <w:rFonts w:cs="Arial"/>
                <w:color w:val="000000"/>
                <w:lang w:eastAsia="en-GB"/>
              </w:rPr>
              <w:t>World Health Organization</w:t>
            </w:r>
          </w:p>
          <w:p w14:paraId="29614E90" w14:textId="0EF751F5" w:rsidR="005E3FDC" w:rsidRPr="00283924" w:rsidRDefault="005E3FDC" w:rsidP="000669F1">
            <w:pPr>
              <w:numPr>
                <w:ilvl w:val="0"/>
                <w:numId w:val="6"/>
              </w:numPr>
              <w:spacing w:after="120" w:line="240" w:lineRule="auto"/>
              <w:rPr>
                <w:rFonts w:cs="Arial"/>
                <w:b/>
              </w:rPr>
            </w:pPr>
            <w:r>
              <w:rPr>
                <w:rFonts w:cs="Arial"/>
                <w:b/>
                <w:color w:val="000000"/>
                <w:lang w:eastAsia="en-GB"/>
              </w:rPr>
              <w:t xml:space="preserve">Mr. </w:t>
            </w:r>
            <w:proofErr w:type="spellStart"/>
            <w:r>
              <w:rPr>
                <w:rFonts w:cs="Arial"/>
                <w:b/>
                <w:color w:val="000000"/>
                <w:lang w:eastAsia="en-GB"/>
              </w:rPr>
              <w:t>Jörg</w:t>
            </w:r>
            <w:proofErr w:type="spellEnd"/>
            <w:r>
              <w:rPr>
                <w:rFonts w:cs="Arial"/>
                <w:b/>
                <w:color w:val="000000"/>
                <w:lang w:eastAsia="en-GB"/>
              </w:rPr>
              <w:t xml:space="preserve"> Weber</w:t>
            </w:r>
            <w:r>
              <w:rPr>
                <w:rFonts w:cs="Arial"/>
                <w:color w:val="000000"/>
                <w:lang w:eastAsia="en-GB"/>
              </w:rPr>
              <w:t xml:space="preserve">, </w:t>
            </w:r>
            <w:r w:rsidR="000669F1" w:rsidRPr="000669F1">
              <w:rPr>
                <w:rFonts w:cs="Arial"/>
                <w:color w:val="000000"/>
                <w:lang w:eastAsia="en-GB"/>
              </w:rPr>
              <w:t>Global Advisor</w:t>
            </w:r>
            <w:r w:rsidR="000669F1">
              <w:rPr>
                <w:rFonts w:cs="Arial"/>
                <w:color w:val="000000"/>
                <w:lang w:eastAsia="en-GB"/>
              </w:rPr>
              <w:t xml:space="preserve">, </w:t>
            </w:r>
            <w:r>
              <w:rPr>
                <w:rFonts w:cs="Arial"/>
                <w:color w:val="000000"/>
                <w:lang w:eastAsia="en-GB"/>
              </w:rPr>
              <w:t>CBM</w:t>
            </w:r>
            <w:r w:rsidR="006356E1">
              <w:rPr>
                <w:rFonts w:cs="Arial"/>
                <w:color w:val="000000"/>
                <w:lang w:eastAsia="en-GB"/>
              </w:rPr>
              <w:t xml:space="preserve"> International</w:t>
            </w:r>
          </w:p>
        </w:tc>
      </w:tr>
      <w:tr w:rsidR="00625399" w:rsidRPr="00283924" w14:paraId="7BD53753" w14:textId="77777777" w:rsidTr="00304796">
        <w:tc>
          <w:tcPr>
            <w:tcW w:w="1450" w:type="dxa"/>
            <w:shd w:val="clear" w:color="auto" w:fill="auto"/>
          </w:tcPr>
          <w:p w14:paraId="17F368B5" w14:textId="77777777" w:rsidR="00625399" w:rsidRPr="00283924" w:rsidRDefault="00625399" w:rsidP="00304796">
            <w:pPr>
              <w:spacing w:after="0" w:line="240" w:lineRule="auto"/>
              <w:rPr>
                <w:rFonts w:cs="Arial"/>
                <w:b/>
              </w:rPr>
            </w:pPr>
            <w:r w:rsidRPr="00283924">
              <w:rPr>
                <w:rFonts w:cs="Arial"/>
                <w:b/>
              </w:rPr>
              <w:t>Outcome:</w:t>
            </w:r>
          </w:p>
        </w:tc>
        <w:tc>
          <w:tcPr>
            <w:tcW w:w="8756" w:type="dxa"/>
            <w:shd w:val="clear" w:color="auto" w:fill="auto"/>
          </w:tcPr>
          <w:p w14:paraId="70049BAD" w14:textId="72B96183" w:rsidR="00625399" w:rsidRPr="00283924" w:rsidRDefault="00AE6E07" w:rsidP="00BB4A58">
            <w:pPr>
              <w:spacing w:line="240" w:lineRule="auto"/>
              <w:jc w:val="both"/>
              <w:rPr>
                <w:rFonts w:cs="Arial"/>
              </w:rPr>
            </w:pPr>
            <w:r>
              <w:rPr>
                <w:lang w:val="en-AU"/>
              </w:rPr>
              <w:t xml:space="preserve">The debate will seek to bring greater understanding to the content of the obligation to provide </w:t>
            </w:r>
            <w:proofErr w:type="spellStart"/>
            <w:proofErr w:type="gramStart"/>
            <w:r>
              <w:rPr>
                <w:lang w:val="en-AU"/>
              </w:rPr>
              <w:t>habilitation</w:t>
            </w:r>
            <w:proofErr w:type="spellEnd"/>
            <w:r>
              <w:rPr>
                <w:lang w:val="en-AU"/>
              </w:rPr>
              <w:t xml:space="preserve"> and rehabilitation to persons with disabilities and how to ensure a human rights</w:t>
            </w:r>
            <w:r w:rsidR="00BB4A58">
              <w:rPr>
                <w:lang w:val="en-AU"/>
              </w:rPr>
              <w:t>-</w:t>
            </w:r>
            <w:r>
              <w:rPr>
                <w:lang w:val="en-AU"/>
              </w:rPr>
              <w:t>based approach for its effective implementation</w:t>
            </w:r>
            <w:proofErr w:type="gramEnd"/>
            <w:r>
              <w:rPr>
                <w:lang w:val="en-AU"/>
              </w:rPr>
              <w:t xml:space="preserve">. </w:t>
            </w:r>
            <w:r w:rsidR="009C05D5">
              <w:rPr>
                <w:lang w:val="en-AU"/>
              </w:rPr>
              <w:t>In addition</w:t>
            </w:r>
            <w:r w:rsidR="00CD3539" w:rsidRPr="00445652">
              <w:rPr>
                <w:lang w:val="en-AU"/>
              </w:rPr>
              <w:t xml:space="preserve">, the debate will </w:t>
            </w:r>
            <w:r>
              <w:rPr>
                <w:lang w:val="en-AU"/>
              </w:rPr>
              <w:t xml:space="preserve">identify good practices and strategies in ensuring </w:t>
            </w:r>
            <w:proofErr w:type="spellStart"/>
            <w:r>
              <w:rPr>
                <w:lang w:val="en-AU"/>
              </w:rPr>
              <w:t>habilitation</w:t>
            </w:r>
            <w:proofErr w:type="spellEnd"/>
            <w:r>
              <w:rPr>
                <w:lang w:val="en-AU"/>
              </w:rPr>
              <w:t xml:space="preserve"> and rehabilitation to persons with disabilities, particularly in low resource settings</w:t>
            </w:r>
            <w:r w:rsidR="00997E6F">
              <w:rPr>
                <w:lang w:val="en-AU"/>
              </w:rPr>
              <w:t xml:space="preserve"> as well as in situations of humanitarian emergencies.</w:t>
            </w:r>
            <w:r w:rsidR="00CD3539" w:rsidRPr="00445652">
              <w:rPr>
                <w:lang w:val="en-AU"/>
              </w:rPr>
              <w:t xml:space="preserve"> An informal summary of the interactive debate </w:t>
            </w:r>
            <w:proofErr w:type="gramStart"/>
            <w:r w:rsidR="00CD3539" w:rsidRPr="00445652">
              <w:rPr>
                <w:lang w:val="en-AU"/>
              </w:rPr>
              <w:t xml:space="preserve">will be prepared by the Office of the </w:t>
            </w:r>
            <w:r w:rsidR="006A0398">
              <w:rPr>
                <w:lang w:val="en-AU"/>
              </w:rPr>
              <w:t xml:space="preserve">United Nations </w:t>
            </w:r>
            <w:r w:rsidR="00CD3539" w:rsidRPr="00445652">
              <w:rPr>
                <w:lang w:val="en-AU"/>
              </w:rPr>
              <w:t xml:space="preserve">High Commissioner for Human Rights </w:t>
            </w:r>
            <w:r w:rsidR="006A0398">
              <w:rPr>
                <w:lang w:val="en-AU"/>
              </w:rPr>
              <w:t xml:space="preserve">(OHCHR) </w:t>
            </w:r>
            <w:r w:rsidR="00CD3539" w:rsidRPr="00445652">
              <w:rPr>
                <w:lang w:val="en-AU"/>
              </w:rPr>
              <w:t>and posted on the OHCHR website</w:t>
            </w:r>
            <w:proofErr w:type="gramEnd"/>
            <w:r w:rsidR="00CD3539" w:rsidRPr="00445652">
              <w:rPr>
                <w:lang w:val="en-AU"/>
              </w:rPr>
              <w:t>.</w:t>
            </w:r>
          </w:p>
        </w:tc>
      </w:tr>
      <w:tr w:rsidR="00625399" w:rsidRPr="00283924" w14:paraId="4FB70327" w14:textId="77777777" w:rsidTr="00304796">
        <w:tc>
          <w:tcPr>
            <w:tcW w:w="1450" w:type="dxa"/>
            <w:shd w:val="clear" w:color="auto" w:fill="auto"/>
          </w:tcPr>
          <w:p w14:paraId="3DB8788B" w14:textId="77777777" w:rsidR="00625399" w:rsidRPr="00E758A9" w:rsidRDefault="00625399" w:rsidP="00304796">
            <w:pPr>
              <w:spacing w:after="0" w:line="240" w:lineRule="auto"/>
              <w:rPr>
                <w:rFonts w:cs="Arial"/>
                <w:b/>
              </w:rPr>
            </w:pPr>
            <w:r w:rsidRPr="00E758A9">
              <w:rPr>
                <w:rFonts w:cs="Arial"/>
                <w:b/>
              </w:rPr>
              <w:t xml:space="preserve">Mandate: </w:t>
            </w:r>
          </w:p>
        </w:tc>
        <w:tc>
          <w:tcPr>
            <w:tcW w:w="8756" w:type="dxa"/>
            <w:shd w:val="clear" w:color="auto" w:fill="auto"/>
          </w:tcPr>
          <w:p w14:paraId="68F53D0B" w14:textId="02E8EA6A" w:rsidR="00CD3539" w:rsidRPr="00E758A9" w:rsidRDefault="00C40671" w:rsidP="00C40671">
            <w:pPr>
              <w:spacing w:after="120" w:line="240" w:lineRule="auto"/>
              <w:jc w:val="both"/>
              <w:rPr>
                <w:lang w:val="en-AU"/>
              </w:rPr>
            </w:pPr>
            <w:r w:rsidRPr="00E758A9">
              <w:t xml:space="preserve">In its resolution 37/22, the Human Rights Council </w:t>
            </w:r>
            <w:r w:rsidRPr="00E758A9">
              <w:rPr>
                <w:lang w:val="en-AU"/>
              </w:rPr>
              <w:t xml:space="preserve">decided that the annual interactive debate on the rights of persons with disabilities to </w:t>
            </w:r>
            <w:proofErr w:type="gramStart"/>
            <w:r w:rsidRPr="00E758A9">
              <w:rPr>
                <w:lang w:val="en-AU"/>
              </w:rPr>
              <w:t>be held</w:t>
            </w:r>
            <w:proofErr w:type="gramEnd"/>
            <w:r w:rsidRPr="00E758A9">
              <w:rPr>
                <w:lang w:val="en-AU"/>
              </w:rPr>
              <w:t xml:space="preserve"> at its fortieth session would focus on </w:t>
            </w:r>
            <w:r w:rsidRPr="00E758A9">
              <w:t xml:space="preserve">article 26 of the Convention on Rights of Persons with Disabilities regarding </w:t>
            </w:r>
            <w:proofErr w:type="spellStart"/>
            <w:r w:rsidRPr="00E758A9">
              <w:t>habilitation</w:t>
            </w:r>
            <w:proofErr w:type="spellEnd"/>
            <w:r w:rsidRPr="00E758A9">
              <w:t xml:space="preserve"> and rehabilitation, </w:t>
            </w:r>
            <w:r w:rsidR="000D0318" w:rsidRPr="00E758A9">
              <w:rPr>
                <w:lang w:val="en-AU"/>
              </w:rPr>
              <w:t xml:space="preserve">and </w:t>
            </w:r>
            <w:r w:rsidR="00E85BC1" w:rsidRPr="00E758A9">
              <w:rPr>
                <w:lang w:val="en-AU"/>
              </w:rPr>
              <w:t>would</w:t>
            </w:r>
            <w:r w:rsidR="000D0318" w:rsidRPr="00E758A9">
              <w:rPr>
                <w:lang w:val="en-AU"/>
              </w:rPr>
              <w:t xml:space="preserve"> have international sign interpretation and captioning</w:t>
            </w:r>
            <w:r w:rsidR="00CD3539" w:rsidRPr="00E758A9">
              <w:rPr>
                <w:lang w:val="en-AU"/>
              </w:rPr>
              <w:t xml:space="preserve">. </w:t>
            </w:r>
            <w:proofErr w:type="gramStart"/>
            <w:r w:rsidR="00CD3539" w:rsidRPr="00E758A9">
              <w:rPr>
                <w:lang w:val="en-AU"/>
              </w:rPr>
              <w:t xml:space="preserve">The Council requested the OHCHR </w:t>
            </w:r>
            <w:r w:rsidR="000D0318" w:rsidRPr="00E758A9">
              <w:rPr>
                <w:lang w:val="en-AU"/>
              </w:rPr>
              <w:t xml:space="preserve">to prepare </w:t>
            </w:r>
            <w:r w:rsidR="00611D7F" w:rsidRPr="00E758A9">
              <w:rPr>
                <w:lang w:val="en-AU"/>
              </w:rPr>
              <w:t xml:space="preserve">the </w:t>
            </w:r>
            <w:r w:rsidR="000D0318" w:rsidRPr="00E758A9">
              <w:rPr>
                <w:lang w:val="en-AU"/>
              </w:rPr>
              <w:t xml:space="preserve">annual study </w:t>
            </w:r>
            <w:r w:rsidR="00611D7F" w:rsidRPr="00E758A9">
              <w:rPr>
                <w:lang w:val="en-AU"/>
              </w:rPr>
              <w:t>on the rights of persons with disabilities for its</w:t>
            </w:r>
            <w:r w:rsidRPr="00E758A9">
              <w:rPr>
                <w:lang w:val="en-AU"/>
              </w:rPr>
              <w:t xml:space="preserve"> fortieth</w:t>
            </w:r>
            <w:r w:rsidR="00611D7F" w:rsidRPr="00E758A9">
              <w:rPr>
                <w:lang w:val="en-AU"/>
              </w:rPr>
              <w:t xml:space="preserve"> session </w:t>
            </w:r>
            <w:r w:rsidR="000D0318" w:rsidRPr="00E758A9">
              <w:rPr>
                <w:lang w:val="en-AU"/>
              </w:rPr>
              <w:t xml:space="preserve">on article </w:t>
            </w:r>
            <w:r w:rsidRPr="00E758A9">
              <w:rPr>
                <w:lang w:val="en-AU"/>
              </w:rPr>
              <w:t>26</w:t>
            </w:r>
            <w:r w:rsidR="000D0318" w:rsidRPr="00E758A9">
              <w:rPr>
                <w:lang w:val="en-AU"/>
              </w:rPr>
              <w:t xml:space="preserve"> of the Convention, in consultation with States and other relevant </w:t>
            </w:r>
            <w:r w:rsidR="000D0318" w:rsidRPr="00E758A9">
              <w:rPr>
                <w:lang w:val="en-AU"/>
              </w:rPr>
              <w:lastRenderedPageBreak/>
              <w:t>stakeholders, regional organizations, the Special Rapporteur on the rights of persons with disabilities, civil society organizations, including organizations of persons with disabilities, and national human rights institutions, requiring contributions to be submitted in an accessible format, and request</w:t>
            </w:r>
            <w:r w:rsidR="00932A24" w:rsidRPr="00E758A9">
              <w:rPr>
                <w:lang w:val="en-AU"/>
              </w:rPr>
              <w:t>ed</w:t>
            </w:r>
            <w:r w:rsidR="000D0318" w:rsidRPr="00E758A9">
              <w:rPr>
                <w:lang w:val="en-AU"/>
              </w:rPr>
              <w:t xml:space="preserve"> that such stakeholder contributions, the study and an easy-to-read-version of it, be made available on the website of the Office, in an accessi</w:t>
            </w:r>
            <w:r w:rsidRPr="00E758A9">
              <w:rPr>
                <w:lang w:val="en-AU"/>
              </w:rPr>
              <w:t xml:space="preserve">ble format, prior to the fortieth </w:t>
            </w:r>
            <w:r w:rsidR="000D0318" w:rsidRPr="00E758A9">
              <w:rPr>
                <w:lang w:val="en-AU"/>
              </w:rPr>
              <w:t>session of the Human Rights Council</w:t>
            </w:r>
            <w:r w:rsidR="002F7161" w:rsidRPr="00E758A9">
              <w:rPr>
                <w:lang w:val="en-AU"/>
              </w:rPr>
              <w:t>.</w:t>
            </w:r>
            <w:proofErr w:type="gramEnd"/>
            <w:r w:rsidR="00CD3539" w:rsidRPr="00E758A9">
              <w:rPr>
                <w:lang w:val="en-AU"/>
              </w:rPr>
              <w:t xml:space="preserve"> </w:t>
            </w:r>
          </w:p>
          <w:p w14:paraId="2333B2F4" w14:textId="191C35F0" w:rsidR="00625399" w:rsidRPr="00E758A9" w:rsidRDefault="00CD3539" w:rsidP="00A07D68">
            <w:pPr>
              <w:spacing w:line="240" w:lineRule="auto"/>
              <w:jc w:val="both"/>
              <w:rPr>
                <w:rFonts w:ascii="Times New Roman" w:hAnsi="Times New Roman"/>
                <w:b/>
                <w:bCs/>
                <w:sz w:val="23"/>
                <w:szCs w:val="23"/>
                <w:u w:val="single"/>
                <w:lang w:val="en-US"/>
              </w:rPr>
            </w:pPr>
            <w:r w:rsidRPr="00E758A9">
              <w:rPr>
                <w:lang w:val="en-AU"/>
              </w:rPr>
              <w:t xml:space="preserve">To this end, OHCHR </w:t>
            </w:r>
            <w:r w:rsidR="00932A24" w:rsidRPr="00E758A9">
              <w:rPr>
                <w:lang w:val="en-AU"/>
              </w:rPr>
              <w:t>invited</w:t>
            </w:r>
            <w:r w:rsidRPr="00E758A9">
              <w:rPr>
                <w:lang w:val="en-AU"/>
              </w:rPr>
              <w:t xml:space="preserve"> States and all the aforementioned stakeholders</w:t>
            </w:r>
            <w:r w:rsidR="00932A24" w:rsidRPr="00E758A9">
              <w:rPr>
                <w:lang w:val="en-AU"/>
              </w:rPr>
              <w:t xml:space="preserve"> to provide</w:t>
            </w:r>
            <w:r w:rsidRPr="00E758A9">
              <w:rPr>
                <w:lang w:val="en-AU"/>
              </w:rPr>
              <w:t xml:space="preserve"> responses to a set of questions concerning existing legislation, policies and practices ensuring a human rights-based approach to </w:t>
            </w:r>
            <w:proofErr w:type="spellStart"/>
            <w:r w:rsidR="00C40671" w:rsidRPr="00E758A9">
              <w:rPr>
                <w:lang w:val="en-AU"/>
              </w:rPr>
              <w:t>habilitation</w:t>
            </w:r>
            <w:proofErr w:type="spellEnd"/>
            <w:r w:rsidR="00C40671" w:rsidRPr="00E758A9">
              <w:rPr>
                <w:lang w:val="en-AU"/>
              </w:rPr>
              <w:t xml:space="preserve"> and rehabilitation</w:t>
            </w:r>
            <w:r w:rsidRPr="00E758A9">
              <w:rPr>
                <w:lang w:val="en-AU"/>
              </w:rPr>
              <w:t xml:space="preserve">. OHCHR </w:t>
            </w:r>
            <w:r w:rsidR="00E37C8F" w:rsidRPr="00E758A9">
              <w:rPr>
                <w:lang w:val="en-AU"/>
              </w:rPr>
              <w:t xml:space="preserve">received </w:t>
            </w:r>
            <w:r w:rsidR="00C40671" w:rsidRPr="00E758A9">
              <w:rPr>
                <w:lang w:val="en-AU"/>
              </w:rPr>
              <w:t>17</w:t>
            </w:r>
            <w:r w:rsidR="00E37C8F" w:rsidRPr="00E758A9">
              <w:rPr>
                <w:lang w:val="en-AU"/>
              </w:rPr>
              <w:t xml:space="preserve"> responses from S</w:t>
            </w:r>
            <w:r w:rsidR="00A07D68" w:rsidRPr="00E758A9">
              <w:rPr>
                <w:lang w:val="en-AU"/>
              </w:rPr>
              <w:t>tates</w:t>
            </w:r>
            <w:r w:rsidR="00E37C8F" w:rsidRPr="00E758A9">
              <w:rPr>
                <w:lang w:val="en-AU"/>
              </w:rPr>
              <w:t xml:space="preserve"> </w:t>
            </w:r>
            <w:r w:rsidR="00A07D68" w:rsidRPr="00E758A9">
              <w:rPr>
                <w:lang w:val="en-AU"/>
              </w:rPr>
              <w:t>and 3</w:t>
            </w:r>
            <w:r w:rsidR="009542C1" w:rsidRPr="00E758A9">
              <w:rPr>
                <w:lang w:val="en-AU"/>
              </w:rPr>
              <w:t xml:space="preserve"> responses</w:t>
            </w:r>
            <w:r w:rsidR="00E37C8F" w:rsidRPr="00E758A9">
              <w:rPr>
                <w:lang w:val="en-AU"/>
              </w:rPr>
              <w:t xml:space="preserve"> </w:t>
            </w:r>
            <w:r w:rsidRPr="00E758A9">
              <w:rPr>
                <w:lang w:val="en-AU"/>
              </w:rPr>
              <w:t>from civil society organizations.</w:t>
            </w:r>
            <w:r w:rsidRPr="00E758A9">
              <w:rPr>
                <w:vertAlign w:val="superscript"/>
                <w:lang w:val="en-AU"/>
              </w:rPr>
              <w:footnoteReference w:id="1"/>
            </w:r>
          </w:p>
        </w:tc>
      </w:tr>
      <w:tr w:rsidR="00625399" w:rsidRPr="00283924" w14:paraId="7B31A97F" w14:textId="77777777" w:rsidTr="00EC0DE0">
        <w:trPr>
          <w:trHeight w:val="80"/>
        </w:trPr>
        <w:tc>
          <w:tcPr>
            <w:tcW w:w="1450" w:type="dxa"/>
            <w:shd w:val="clear" w:color="auto" w:fill="auto"/>
          </w:tcPr>
          <w:p w14:paraId="3B00D239" w14:textId="77777777" w:rsidR="00625399" w:rsidRPr="00283924" w:rsidRDefault="00625399" w:rsidP="00304796">
            <w:pPr>
              <w:spacing w:after="0" w:line="240" w:lineRule="auto"/>
              <w:rPr>
                <w:rFonts w:cs="Arial"/>
                <w:b/>
              </w:rPr>
            </w:pPr>
            <w:r w:rsidRPr="00283924">
              <w:rPr>
                <w:rFonts w:cs="Arial"/>
                <w:b/>
              </w:rPr>
              <w:lastRenderedPageBreak/>
              <w:t xml:space="preserve">Format: </w:t>
            </w:r>
          </w:p>
        </w:tc>
        <w:tc>
          <w:tcPr>
            <w:tcW w:w="8756" w:type="dxa"/>
            <w:shd w:val="clear" w:color="auto" w:fill="auto"/>
          </w:tcPr>
          <w:p w14:paraId="298DB37E" w14:textId="2CD95CBC" w:rsidR="0007720A" w:rsidRPr="00E97E94" w:rsidRDefault="0007720A" w:rsidP="0007720A">
            <w:pPr>
              <w:spacing w:after="120" w:line="240" w:lineRule="auto"/>
              <w:jc w:val="both"/>
              <w:rPr>
                <w:rFonts w:cs="Calibri"/>
                <w:bCs/>
              </w:rPr>
            </w:pPr>
            <w:r w:rsidRPr="00E97E94">
              <w:rPr>
                <w:rFonts w:cs="Calibri"/>
                <w:bCs/>
              </w:rPr>
              <w:t>The duration of the</w:t>
            </w:r>
            <w:r w:rsidR="0088434B">
              <w:rPr>
                <w:rFonts w:cs="Calibri"/>
                <w:bCs/>
              </w:rPr>
              <w:t xml:space="preserve"> annual</w:t>
            </w:r>
            <w:r w:rsidRPr="00E97E94">
              <w:rPr>
                <w:rFonts w:cs="Calibri"/>
                <w:bCs/>
              </w:rPr>
              <w:t xml:space="preserve"> </w:t>
            </w:r>
            <w:r>
              <w:rPr>
                <w:rFonts w:cs="Calibri"/>
                <w:bCs/>
              </w:rPr>
              <w:t>debate</w:t>
            </w:r>
            <w:r w:rsidRPr="00E97E94">
              <w:rPr>
                <w:rFonts w:cs="Calibri"/>
                <w:bCs/>
              </w:rPr>
              <w:t xml:space="preserve"> will be limited to two hours. </w:t>
            </w:r>
            <w:r w:rsidR="00B85386">
              <w:rPr>
                <w:rFonts w:cs="Calibri"/>
                <w:bCs/>
              </w:rPr>
              <w:t xml:space="preserve">The opening statement and initial presentations by the panellists </w:t>
            </w:r>
            <w:proofErr w:type="gramStart"/>
            <w:r w:rsidR="00B85386">
              <w:rPr>
                <w:rFonts w:cs="Calibri"/>
                <w:bCs/>
              </w:rPr>
              <w:t>will be followed</w:t>
            </w:r>
            <w:proofErr w:type="gramEnd"/>
            <w:r w:rsidR="00B85386">
              <w:rPr>
                <w:rFonts w:cs="Calibri"/>
                <w:bCs/>
              </w:rPr>
              <w:t xml:space="preserve"> by an interactive discussion divided into two slots. </w:t>
            </w:r>
            <w:r w:rsidRPr="00E97E94">
              <w:rPr>
                <w:rFonts w:cs="Calibri"/>
                <w:bCs/>
              </w:rPr>
              <w:t>A maximum of</w:t>
            </w:r>
            <w:r w:rsidRPr="00E97E94">
              <w:rPr>
                <w:rFonts w:cs="Calibri"/>
              </w:rPr>
              <w:t xml:space="preserve"> </w:t>
            </w:r>
            <w:r w:rsidRPr="00E97E94">
              <w:rPr>
                <w:rFonts w:cs="Calibri"/>
                <w:bCs/>
              </w:rPr>
              <w:t xml:space="preserve">one hour will be set aside for the podium, including opening </w:t>
            </w:r>
            <w:r w:rsidRPr="00E97E94">
              <w:rPr>
                <w:rFonts w:cs="Calibri"/>
                <w:bCs/>
                <w:color w:val="000000"/>
              </w:rPr>
              <w:t xml:space="preserve">statements, panellist presentations and their responses to </w:t>
            </w:r>
            <w:r w:rsidRPr="00E97E94">
              <w:rPr>
                <w:rFonts w:cs="Calibri"/>
                <w:bCs/>
              </w:rPr>
              <w:t xml:space="preserve">questions and concluding remarks. </w:t>
            </w:r>
            <w:r w:rsidR="00B85386">
              <w:rPr>
                <w:rFonts w:cs="Calibri"/>
                <w:bCs/>
              </w:rPr>
              <w:t>The remaining hour</w:t>
            </w:r>
            <w:r w:rsidR="00B85386">
              <w:t xml:space="preserve"> </w:t>
            </w:r>
            <w:proofErr w:type="gramStart"/>
            <w:r w:rsidR="00B85386" w:rsidRPr="00B85386">
              <w:rPr>
                <w:rFonts w:cs="Calibri"/>
                <w:bCs/>
              </w:rPr>
              <w:t>will be reserved</w:t>
            </w:r>
            <w:proofErr w:type="gramEnd"/>
            <w:r w:rsidR="00B85386" w:rsidRPr="00B85386">
              <w:rPr>
                <w:rFonts w:cs="Calibri"/>
                <w:bCs/>
              </w:rPr>
              <w:t xml:space="preserve"> for interventions from the floor, divided into two slots, for Member States and observers (2x12), national human rights institutions (2x1) and non-governmental organizations (2x2). The possibility for panellists to intervene between the two slots will depend on the amount of time used at the start of the </w:t>
            </w:r>
            <w:r w:rsidR="00B85386">
              <w:rPr>
                <w:rFonts w:cs="Calibri"/>
                <w:bCs/>
              </w:rPr>
              <w:t>debate</w:t>
            </w:r>
            <w:r w:rsidR="00B85386" w:rsidRPr="00B85386">
              <w:rPr>
                <w:rFonts w:cs="Calibri"/>
                <w:bCs/>
              </w:rPr>
              <w:t>.</w:t>
            </w:r>
          </w:p>
          <w:p w14:paraId="1D5FB1B8" w14:textId="3293BFDB" w:rsidR="00625399" w:rsidRPr="000B2188" w:rsidRDefault="0007720A" w:rsidP="0007720A">
            <w:pPr>
              <w:spacing w:line="240" w:lineRule="auto"/>
              <w:jc w:val="both"/>
              <w:rPr>
                <w:rFonts w:ascii="Times New Roman" w:hAnsi="Times New Roman"/>
                <w:bCs/>
                <w:sz w:val="23"/>
                <w:szCs w:val="23"/>
                <w:lang w:val="en-US"/>
              </w:rPr>
            </w:pPr>
            <w:r w:rsidRPr="00E97E94">
              <w:rPr>
                <w:rFonts w:cs="Calibri"/>
                <w:bCs/>
              </w:rPr>
              <w:t xml:space="preserve">The list of speakers for the discussion </w:t>
            </w:r>
            <w:proofErr w:type="gramStart"/>
            <w:r w:rsidRPr="00E97E94">
              <w:rPr>
                <w:rFonts w:cs="Calibri"/>
                <w:bCs/>
              </w:rPr>
              <w:t>will be established</w:t>
            </w:r>
            <w:proofErr w:type="gramEnd"/>
            <w:r w:rsidRPr="00E97E94">
              <w:rPr>
                <w:rFonts w:cs="Calibri"/>
                <w:bCs/>
              </w:rPr>
              <w:t xml:space="preserve"> at the beginning of the </w:t>
            </w:r>
            <w:r w:rsidR="0088434B">
              <w:rPr>
                <w:rFonts w:cs="Calibri"/>
                <w:bCs/>
              </w:rPr>
              <w:t>debate</w:t>
            </w:r>
            <w:r w:rsidRPr="00E97E94">
              <w:rPr>
                <w:rFonts w:cs="Calibri"/>
                <w:bCs/>
              </w:rPr>
              <w:t xml:space="preserve"> and, as per practice, statements by high-level dignitaries and groups will be moved to the beginning of the list. </w:t>
            </w:r>
            <w:r w:rsidR="00C815DC" w:rsidRPr="00E97E94">
              <w:rPr>
                <w:rFonts w:cs="Calibri"/>
                <w:bCs/>
              </w:rPr>
              <w:t>Each speaker will have two minutes to raise issues and to ask panellists questions.</w:t>
            </w:r>
            <w:r w:rsidR="00C815DC">
              <w:rPr>
                <w:rFonts w:cs="Calibri"/>
                <w:bCs/>
              </w:rPr>
              <w:t xml:space="preserve"> </w:t>
            </w:r>
            <w:r w:rsidRPr="00E97E94">
              <w:rPr>
                <w:rFonts w:cs="Calibri"/>
                <w:bCs/>
              </w:rPr>
              <w:t xml:space="preserve">Interpretation </w:t>
            </w:r>
            <w:proofErr w:type="gramStart"/>
            <w:r w:rsidRPr="00E97E94">
              <w:rPr>
                <w:rFonts w:cs="Calibri"/>
                <w:bCs/>
              </w:rPr>
              <w:t>will be provided</w:t>
            </w:r>
            <w:proofErr w:type="gramEnd"/>
            <w:r w:rsidRPr="00E97E94">
              <w:rPr>
                <w:rFonts w:cs="Calibri"/>
                <w:bCs/>
              </w:rPr>
              <w:t xml:space="preserve"> in the six United Nations official languages (Arabic, Chinese, English, French, Russian and Spanish).</w:t>
            </w:r>
          </w:p>
        </w:tc>
      </w:tr>
      <w:tr w:rsidR="003E4646" w:rsidRPr="00283924" w14:paraId="03038CA2" w14:textId="77777777" w:rsidTr="00304796">
        <w:tc>
          <w:tcPr>
            <w:tcW w:w="1450" w:type="dxa"/>
            <w:shd w:val="clear" w:color="auto" w:fill="auto"/>
          </w:tcPr>
          <w:p w14:paraId="3B405C2E" w14:textId="77777777" w:rsidR="003E4646" w:rsidRPr="003E4646" w:rsidRDefault="003E4646" w:rsidP="003E4646">
            <w:pPr>
              <w:spacing w:after="0" w:line="240" w:lineRule="auto"/>
              <w:rPr>
                <w:rFonts w:cs="Arial"/>
                <w:b/>
                <w:bCs/>
              </w:rPr>
            </w:pPr>
            <w:r w:rsidRPr="003E4646">
              <w:rPr>
                <w:rFonts w:cs="Arial"/>
                <w:b/>
                <w:bCs/>
              </w:rPr>
              <w:t>Accessibility</w:t>
            </w:r>
            <w:r w:rsidR="00E85BC1">
              <w:rPr>
                <w:rFonts w:cs="Arial"/>
                <w:b/>
                <w:bCs/>
              </w:rPr>
              <w:t>:</w:t>
            </w:r>
          </w:p>
          <w:p w14:paraId="2F1D320B" w14:textId="77777777" w:rsidR="003E4646" w:rsidRPr="00283924" w:rsidRDefault="003E4646" w:rsidP="00304796">
            <w:pPr>
              <w:spacing w:after="0" w:line="240" w:lineRule="auto"/>
              <w:rPr>
                <w:rFonts w:cs="Arial"/>
                <w:b/>
              </w:rPr>
            </w:pPr>
          </w:p>
        </w:tc>
        <w:tc>
          <w:tcPr>
            <w:tcW w:w="8756" w:type="dxa"/>
            <w:shd w:val="clear" w:color="auto" w:fill="auto"/>
          </w:tcPr>
          <w:p w14:paraId="0E15A7F7" w14:textId="4451B003" w:rsidR="003E4646" w:rsidRPr="00445652" w:rsidRDefault="00084ADC" w:rsidP="000265D9">
            <w:pPr>
              <w:spacing w:line="240" w:lineRule="auto"/>
              <w:jc w:val="both"/>
              <w:rPr>
                <w:bCs/>
                <w:lang w:val="en-US"/>
              </w:rPr>
            </w:pPr>
            <w:r w:rsidRPr="00084ADC">
              <w:rPr>
                <w:bCs/>
                <w:lang w:val="en-US"/>
              </w:rPr>
              <w:t xml:space="preserve">In an effort to render the Human Rights Council more accessible to persons with disabilities and to promote their full participation in the work of the Council on an equal basis with others, the </w:t>
            </w:r>
            <w:r w:rsidR="000265D9">
              <w:rPr>
                <w:bCs/>
                <w:lang w:val="en-US"/>
              </w:rPr>
              <w:t>event</w:t>
            </w:r>
            <w:r w:rsidRPr="00084ADC">
              <w:rPr>
                <w:bCs/>
                <w:lang w:val="en-US"/>
              </w:rPr>
              <w:t xml:space="preserve"> </w:t>
            </w:r>
            <w:proofErr w:type="gramStart"/>
            <w:r w:rsidRPr="00084ADC">
              <w:rPr>
                <w:bCs/>
                <w:lang w:val="en-US"/>
              </w:rPr>
              <w:t>will be made</w:t>
            </w:r>
            <w:proofErr w:type="gramEnd"/>
            <w:r w:rsidRPr="00084ADC">
              <w:rPr>
                <w:bCs/>
                <w:lang w:val="en-US"/>
              </w:rPr>
              <w:t xml:space="preserve"> </w:t>
            </w:r>
            <w:r w:rsidR="003F6C68">
              <w:rPr>
                <w:bCs/>
                <w:lang w:val="en-US"/>
              </w:rPr>
              <w:t xml:space="preserve">fully </w:t>
            </w:r>
            <w:r w:rsidRPr="00084ADC">
              <w:rPr>
                <w:bCs/>
                <w:lang w:val="en-US"/>
              </w:rPr>
              <w:t xml:space="preserve">accessible. During the debate, international sign interpretation and real-time captioning </w:t>
            </w:r>
            <w:r w:rsidR="006F5801">
              <w:rPr>
                <w:bCs/>
                <w:lang w:val="en-US"/>
              </w:rPr>
              <w:t xml:space="preserve">in English </w:t>
            </w:r>
            <w:r w:rsidRPr="00084ADC">
              <w:rPr>
                <w:bCs/>
                <w:lang w:val="en-US"/>
              </w:rPr>
              <w:t xml:space="preserve">will be provided and webcasted. In </w:t>
            </w:r>
            <w:r w:rsidR="00507391">
              <w:rPr>
                <w:bCs/>
                <w:lang w:val="en-US"/>
              </w:rPr>
              <w:t>R</w:t>
            </w:r>
            <w:r w:rsidRPr="00084ADC">
              <w:rPr>
                <w:bCs/>
                <w:lang w:val="en-US"/>
              </w:rPr>
              <w:t xml:space="preserve">oom XX, four seats </w:t>
            </w:r>
            <w:proofErr w:type="gramStart"/>
            <w:r w:rsidRPr="00084ADC">
              <w:rPr>
                <w:bCs/>
                <w:lang w:val="en-US"/>
              </w:rPr>
              <w:t>are reserved</w:t>
            </w:r>
            <w:proofErr w:type="gramEnd"/>
            <w:r w:rsidRPr="00084ADC">
              <w:rPr>
                <w:bCs/>
                <w:lang w:val="en-US"/>
              </w:rPr>
              <w:t xml:space="preserve"> for participants using wheelchairs, in the seventh (last) row. Hearing loops are available for collection from the Accessibility focal point at the Secretariat desk. Oral statements </w:t>
            </w:r>
            <w:proofErr w:type="gramStart"/>
            <w:r w:rsidRPr="00084ADC">
              <w:rPr>
                <w:bCs/>
                <w:lang w:val="en-US"/>
              </w:rPr>
              <w:t>may be embossed</w:t>
            </w:r>
            <w:proofErr w:type="gramEnd"/>
            <w:r w:rsidRPr="00084ADC">
              <w:rPr>
                <w:bCs/>
                <w:lang w:val="en-US"/>
              </w:rPr>
              <w:t xml:space="preserve"> in Braille from any of the six official languages of the United Nations, upon request and following the procedure described in the “Accessibility guide to the Human Rights Council for persons w</w:t>
            </w:r>
            <w:r>
              <w:rPr>
                <w:bCs/>
                <w:lang w:val="en-US"/>
              </w:rPr>
              <w:t xml:space="preserve">ith </w:t>
            </w:r>
            <w:r w:rsidRPr="00AF4B70">
              <w:rPr>
                <w:bCs/>
                <w:lang w:val="en-US"/>
              </w:rPr>
              <w:t>disabilities”.</w:t>
            </w:r>
            <w:r w:rsidRPr="00AF4B70">
              <w:rPr>
                <w:rStyle w:val="FootnoteReference"/>
                <w:bCs/>
                <w:lang w:val="en-US"/>
              </w:rPr>
              <w:footnoteReference w:id="2"/>
            </w:r>
          </w:p>
        </w:tc>
      </w:tr>
      <w:tr w:rsidR="00625399" w:rsidRPr="00283924" w14:paraId="19CEE151" w14:textId="77777777" w:rsidTr="00304796">
        <w:tc>
          <w:tcPr>
            <w:tcW w:w="1450" w:type="dxa"/>
            <w:shd w:val="clear" w:color="auto" w:fill="auto"/>
          </w:tcPr>
          <w:p w14:paraId="3A36E7B6" w14:textId="77777777" w:rsidR="00625399" w:rsidRPr="00283924" w:rsidRDefault="00625399" w:rsidP="00304796">
            <w:pPr>
              <w:spacing w:after="0" w:line="240" w:lineRule="auto"/>
              <w:rPr>
                <w:rFonts w:cs="Arial"/>
                <w:b/>
              </w:rPr>
            </w:pPr>
            <w:r w:rsidRPr="00283924">
              <w:rPr>
                <w:rFonts w:cs="Arial"/>
                <w:b/>
              </w:rPr>
              <w:t>Background:</w:t>
            </w:r>
          </w:p>
        </w:tc>
        <w:tc>
          <w:tcPr>
            <w:tcW w:w="8756" w:type="dxa"/>
            <w:shd w:val="clear" w:color="auto" w:fill="auto"/>
          </w:tcPr>
          <w:p w14:paraId="315770DD" w14:textId="5B01F801" w:rsidR="00E9722D" w:rsidRDefault="006D7CAA" w:rsidP="00D2209B">
            <w:pPr>
              <w:spacing w:line="240" w:lineRule="auto"/>
              <w:jc w:val="both"/>
              <w:rPr>
                <w:rStyle w:val="NoneA"/>
              </w:rPr>
            </w:pPr>
            <w:r>
              <w:rPr>
                <w:bCs/>
              </w:rPr>
              <w:t xml:space="preserve">For the first time in the international legal framework, the obligation to provide </w:t>
            </w:r>
            <w:proofErr w:type="spellStart"/>
            <w:r>
              <w:rPr>
                <w:bCs/>
              </w:rPr>
              <w:t>habilitation</w:t>
            </w:r>
            <w:proofErr w:type="spellEnd"/>
            <w:r>
              <w:rPr>
                <w:bCs/>
              </w:rPr>
              <w:t xml:space="preserve"> and rehabilitation to persons with disabilities is enshrined in a stand</w:t>
            </w:r>
            <w:r w:rsidR="009A2FC3">
              <w:rPr>
                <w:bCs/>
              </w:rPr>
              <w:t>-</w:t>
            </w:r>
            <w:r>
              <w:rPr>
                <w:bCs/>
              </w:rPr>
              <w:t xml:space="preserve">alone provision. </w:t>
            </w:r>
            <w:proofErr w:type="gramStart"/>
            <w:r>
              <w:rPr>
                <w:bCs/>
              </w:rPr>
              <w:t xml:space="preserve">While it has been referred to in other human rights instruments as an element of the right to health or as a component of services conducive to the fullest possible development of children with </w:t>
            </w:r>
            <w:r w:rsidR="00E9722D">
              <w:rPr>
                <w:bCs/>
              </w:rPr>
              <w:t>disabilities,</w:t>
            </w:r>
            <w:r>
              <w:rPr>
                <w:bCs/>
              </w:rPr>
              <w:t xml:space="preserve"> </w:t>
            </w:r>
            <w:r w:rsidR="00440942">
              <w:rPr>
                <w:bCs/>
              </w:rPr>
              <w:t>a</w:t>
            </w:r>
            <w:r>
              <w:rPr>
                <w:bCs/>
              </w:rPr>
              <w:t xml:space="preserve">rticle 26 of the Convention on the Rights of Persons with Disabilities increases the visibility of the </w:t>
            </w:r>
            <w:r w:rsidR="00E9722D">
              <w:rPr>
                <w:bCs/>
              </w:rPr>
              <w:t>obligation</w:t>
            </w:r>
            <w:r>
              <w:rPr>
                <w:bCs/>
              </w:rPr>
              <w:t xml:space="preserve"> to provide </w:t>
            </w:r>
            <w:proofErr w:type="spellStart"/>
            <w:r>
              <w:rPr>
                <w:bCs/>
              </w:rPr>
              <w:t>habilitation</w:t>
            </w:r>
            <w:proofErr w:type="spellEnd"/>
            <w:r>
              <w:rPr>
                <w:bCs/>
              </w:rPr>
              <w:t xml:space="preserve"> and rehabilitation as an </w:t>
            </w:r>
            <w:r w:rsidRPr="008A763E">
              <w:rPr>
                <w:rStyle w:val="NoneA"/>
              </w:rPr>
              <w:t>important strategy for ensuring the inclusion and participation of persons with disabilities to attain, maintain, and maximize their independence, full physical, mental, social, and vocational ability, and full inclusion and participation in all aspects of life.</w:t>
            </w:r>
            <w:proofErr w:type="gramEnd"/>
            <w:r w:rsidR="00E9722D">
              <w:rPr>
                <w:rStyle w:val="NoneA"/>
              </w:rPr>
              <w:t xml:space="preserve">  </w:t>
            </w:r>
          </w:p>
          <w:p w14:paraId="13B3C834" w14:textId="75942456" w:rsidR="00E9722D" w:rsidRDefault="00861631" w:rsidP="00D2209B">
            <w:pPr>
              <w:spacing w:line="240" w:lineRule="auto"/>
              <w:jc w:val="both"/>
              <w:rPr>
                <w:rStyle w:val="NoneA"/>
              </w:rPr>
            </w:pPr>
            <w:r>
              <w:rPr>
                <w:rStyle w:val="NoneA"/>
              </w:rPr>
              <w:t xml:space="preserve">In many countries, </w:t>
            </w:r>
            <w:proofErr w:type="spellStart"/>
            <w:r>
              <w:rPr>
                <w:rStyle w:val="NoneA"/>
              </w:rPr>
              <w:t>habilitation</w:t>
            </w:r>
            <w:proofErr w:type="spellEnd"/>
            <w:r>
              <w:rPr>
                <w:rStyle w:val="NoneA"/>
              </w:rPr>
              <w:t xml:space="preserve"> and rehabilitation interventions </w:t>
            </w:r>
            <w:r w:rsidR="00B32267">
              <w:rPr>
                <w:rStyle w:val="NoneA"/>
              </w:rPr>
              <w:t>constituted</w:t>
            </w:r>
            <w:r w:rsidR="00D906E7" w:rsidRPr="00D906E7">
              <w:rPr>
                <w:rStyle w:val="NoneA"/>
              </w:rPr>
              <w:t xml:space="preserve"> </w:t>
            </w:r>
            <w:r>
              <w:rPr>
                <w:rStyle w:val="NoneA"/>
              </w:rPr>
              <w:t xml:space="preserve">the first efforts and actions </w:t>
            </w:r>
            <w:r w:rsidR="00D906E7">
              <w:rPr>
                <w:rStyle w:val="NoneA"/>
              </w:rPr>
              <w:t xml:space="preserve">taken </w:t>
            </w:r>
            <w:r>
              <w:rPr>
                <w:rStyle w:val="NoneA"/>
              </w:rPr>
              <w:t>relating to persons with disabilities, and</w:t>
            </w:r>
            <w:r w:rsidR="00D906E7">
              <w:rPr>
                <w:rStyle w:val="NoneA"/>
              </w:rPr>
              <w:t xml:space="preserve"> over the years they grew into wider strategies for </w:t>
            </w:r>
            <w:r>
              <w:rPr>
                <w:rStyle w:val="NoneA"/>
              </w:rPr>
              <w:t xml:space="preserve">community based inclusive development </w:t>
            </w:r>
            <w:r w:rsidR="00D906E7">
              <w:rPr>
                <w:rStyle w:val="NoneA"/>
              </w:rPr>
              <w:t xml:space="preserve">relating to persons with disabilities. It is important to delineate the content and scope of </w:t>
            </w:r>
            <w:proofErr w:type="spellStart"/>
            <w:r w:rsidR="00D906E7">
              <w:rPr>
                <w:rStyle w:val="NoneA"/>
              </w:rPr>
              <w:t>habilitation</w:t>
            </w:r>
            <w:proofErr w:type="spellEnd"/>
            <w:r w:rsidR="00D906E7">
              <w:rPr>
                <w:rStyle w:val="NoneA"/>
              </w:rPr>
              <w:t xml:space="preserve"> and rehabilitation interventions in order for them not to be confused as constituting any and all strategies for the inclusion of persons with disabilities, or vice versa.</w:t>
            </w:r>
            <w:r>
              <w:rPr>
                <w:rStyle w:val="NoneA"/>
              </w:rPr>
              <w:t xml:space="preserve"> </w:t>
            </w:r>
            <w:proofErr w:type="spellStart"/>
            <w:r w:rsidR="00E9722D">
              <w:rPr>
                <w:rStyle w:val="NoneA"/>
              </w:rPr>
              <w:t>H</w:t>
            </w:r>
            <w:r w:rsidR="00E9722D" w:rsidRPr="008A763E">
              <w:rPr>
                <w:rStyle w:val="NoneA"/>
              </w:rPr>
              <w:t>abilitation</w:t>
            </w:r>
            <w:proofErr w:type="spellEnd"/>
            <w:r w:rsidR="00E9722D" w:rsidRPr="008A763E">
              <w:rPr>
                <w:rStyle w:val="NoneA"/>
              </w:rPr>
              <w:t xml:space="preserve"> and rehabilitation </w:t>
            </w:r>
            <w:proofErr w:type="gramStart"/>
            <w:r w:rsidR="00E9722D" w:rsidRPr="008A763E">
              <w:rPr>
                <w:rStyle w:val="NoneA"/>
              </w:rPr>
              <w:t>are understood</w:t>
            </w:r>
            <w:proofErr w:type="gramEnd"/>
            <w:r w:rsidR="00E9722D" w:rsidRPr="008A763E">
              <w:rPr>
                <w:rStyle w:val="NoneA"/>
              </w:rPr>
              <w:t xml:space="preserve"> as a set of interventions </w:t>
            </w:r>
            <w:r w:rsidR="00E9722D" w:rsidRPr="003B14A1">
              <w:rPr>
                <w:rStyle w:val="NoneA"/>
              </w:rPr>
              <w:t xml:space="preserve">designed to optimize functioning of individuals with impairments in interaction </w:t>
            </w:r>
            <w:r w:rsidR="00E9722D" w:rsidRPr="003B14A1">
              <w:rPr>
                <w:rStyle w:val="NoneA"/>
              </w:rPr>
              <w:lastRenderedPageBreak/>
              <w:t xml:space="preserve">with their environment. </w:t>
            </w:r>
            <w:proofErr w:type="spellStart"/>
            <w:r w:rsidR="00E9722D" w:rsidRPr="003B14A1">
              <w:rPr>
                <w:rStyle w:val="NoneA"/>
              </w:rPr>
              <w:t>Habilitation</w:t>
            </w:r>
            <w:proofErr w:type="spellEnd"/>
            <w:r w:rsidR="00E9722D" w:rsidRPr="003B14A1">
              <w:rPr>
                <w:rStyle w:val="NoneA"/>
              </w:rPr>
              <w:t xml:space="preserve"> aims to assist individuals who acquire impairments congenitally or in early childhood to learn how </w:t>
            </w:r>
            <w:proofErr w:type="gramStart"/>
            <w:r w:rsidR="00E9722D" w:rsidRPr="003B14A1">
              <w:rPr>
                <w:rStyle w:val="NoneA"/>
              </w:rPr>
              <w:t>to better function</w:t>
            </w:r>
            <w:proofErr w:type="gramEnd"/>
            <w:r w:rsidR="00E9722D" w:rsidRPr="003B14A1">
              <w:rPr>
                <w:rStyle w:val="NoneA"/>
              </w:rPr>
              <w:t xml:space="preserve"> with them. Rehabilitation, in the strict sense, aims to assist those who experience a loss in function </w:t>
            </w:r>
            <w:proofErr w:type="gramStart"/>
            <w:r w:rsidR="00E9722D" w:rsidRPr="003B14A1">
              <w:rPr>
                <w:rStyle w:val="NoneA"/>
              </w:rPr>
              <w:t>as a result</w:t>
            </w:r>
            <w:proofErr w:type="gramEnd"/>
            <w:r w:rsidR="00E9722D" w:rsidRPr="003B14A1">
              <w:rPr>
                <w:rStyle w:val="NoneA"/>
              </w:rPr>
              <w:t xml:space="preserve"> of acquiring an impairment to relearn how to perform daily activities to regain maximal function. By providing and/or restoring functions, or compensating for the loss or absence of a function or a functional limitation, </w:t>
            </w:r>
            <w:proofErr w:type="spellStart"/>
            <w:r w:rsidR="00E9722D" w:rsidRPr="003B14A1">
              <w:rPr>
                <w:rStyle w:val="NoneA"/>
              </w:rPr>
              <w:t>habilitation</w:t>
            </w:r>
            <w:proofErr w:type="spellEnd"/>
            <w:r w:rsidR="00E9722D" w:rsidRPr="003B14A1">
              <w:rPr>
                <w:rStyle w:val="NoneA"/>
              </w:rPr>
              <w:t xml:space="preserve"> and rehabilitation ultimately equip persons with disabilities to achieve a higher level of independence.</w:t>
            </w:r>
          </w:p>
          <w:p w14:paraId="0D92E36D" w14:textId="4F42FF9C" w:rsidR="00D2209B" w:rsidRPr="001E335E" w:rsidRDefault="001E335E" w:rsidP="00D2209B">
            <w:pPr>
              <w:spacing w:line="240" w:lineRule="auto"/>
              <w:jc w:val="both"/>
            </w:pPr>
            <w:r w:rsidRPr="001E335E">
              <w:rPr>
                <w:rStyle w:val="NoneA"/>
              </w:rPr>
              <w:t>The Convention on the Rights of Persons with Disabilities recognizes and reinforces a cross-sectoral approach to rehabilitation.</w:t>
            </w:r>
            <w:r w:rsidR="00861631">
              <w:rPr>
                <w:rStyle w:val="NoneA"/>
              </w:rPr>
              <w:t xml:space="preserve"> </w:t>
            </w:r>
            <w:proofErr w:type="gramStart"/>
            <w:r>
              <w:rPr>
                <w:rStyle w:val="NoneA"/>
              </w:rPr>
              <w:t xml:space="preserve">While </w:t>
            </w:r>
            <w:proofErr w:type="spellStart"/>
            <w:r>
              <w:rPr>
                <w:rStyle w:val="NoneA"/>
              </w:rPr>
              <w:t>habilitation</w:t>
            </w:r>
            <w:proofErr w:type="spellEnd"/>
            <w:r>
              <w:rPr>
                <w:rStyle w:val="NoneA"/>
              </w:rPr>
              <w:t xml:space="preserve"> and rehabilitation </w:t>
            </w:r>
            <w:r w:rsidR="00861631">
              <w:rPr>
                <w:rStyle w:val="NoneA"/>
              </w:rPr>
              <w:t>also figure as</w:t>
            </w:r>
            <w:r>
              <w:rPr>
                <w:rStyle w:val="NoneA"/>
              </w:rPr>
              <w:t xml:space="preserve"> components of other Convention rights relating to health, employment and education, </w:t>
            </w:r>
            <w:r w:rsidR="00440942">
              <w:rPr>
                <w:rStyle w:val="NoneA"/>
              </w:rPr>
              <w:t>a</w:t>
            </w:r>
            <w:r>
              <w:rPr>
                <w:rStyle w:val="NoneA"/>
              </w:rPr>
              <w:t>rticle 26</w:t>
            </w:r>
            <w:r w:rsidR="006D7CAA" w:rsidRPr="008A763E">
              <w:rPr>
                <w:rStyle w:val="NoneA"/>
              </w:rPr>
              <w:t xml:space="preserve"> </w:t>
            </w:r>
            <w:r>
              <w:rPr>
                <w:rStyle w:val="NoneA"/>
              </w:rPr>
              <w:t>establishes</w:t>
            </w:r>
            <w:r w:rsidR="006D7CAA" w:rsidRPr="008A763E">
              <w:rPr>
                <w:rStyle w:val="NoneA"/>
              </w:rPr>
              <w:t xml:space="preserve"> a unifying framework for the provision of coordinated and comprehensive </w:t>
            </w:r>
            <w:proofErr w:type="spellStart"/>
            <w:r w:rsidR="000B1CE2">
              <w:rPr>
                <w:rStyle w:val="NoneA"/>
              </w:rPr>
              <w:t>habilitation</w:t>
            </w:r>
            <w:proofErr w:type="spellEnd"/>
            <w:r w:rsidR="000B1CE2">
              <w:rPr>
                <w:rStyle w:val="NoneA"/>
              </w:rPr>
              <w:t xml:space="preserve"> and </w:t>
            </w:r>
            <w:r w:rsidR="006D7CAA" w:rsidRPr="008A763E">
              <w:rPr>
                <w:rStyle w:val="NoneA"/>
              </w:rPr>
              <w:t>rehabilitation services that are voluntary, individualize</w:t>
            </w:r>
            <w:r w:rsidR="000B1CE2">
              <w:rPr>
                <w:rStyle w:val="NoneA"/>
              </w:rPr>
              <w:t>d and community-based, and which are embedded in human rights through respect for free and informed consent</w:t>
            </w:r>
            <w:r w:rsidR="00D2209B" w:rsidRPr="00D2209B">
              <w:rPr>
                <w:bCs/>
                <w:lang w:val="en-US"/>
              </w:rPr>
              <w:t>, non-discrimination, participation, availability, afford</w:t>
            </w:r>
            <w:r w:rsidR="000B1CE2">
              <w:rPr>
                <w:bCs/>
                <w:lang w:val="en-US"/>
              </w:rPr>
              <w:t>ability and accessibility</w:t>
            </w:r>
            <w:r w:rsidR="00D2209B" w:rsidRPr="00D2209B">
              <w:rPr>
                <w:bCs/>
                <w:lang w:val="en-US"/>
              </w:rPr>
              <w:t>.</w:t>
            </w:r>
            <w:proofErr w:type="gramEnd"/>
            <w:r w:rsidR="00861631">
              <w:rPr>
                <w:bCs/>
                <w:lang w:val="en-US"/>
              </w:rPr>
              <w:t xml:space="preserve"> </w:t>
            </w:r>
            <w:r>
              <w:rPr>
                <w:bCs/>
                <w:lang w:val="en-US"/>
              </w:rPr>
              <w:t xml:space="preserve">Habilitation and rehabilitation are an important element of community based inclusive development strategies </w:t>
            </w:r>
          </w:p>
          <w:p w14:paraId="4C093F51" w14:textId="5854F3FD" w:rsidR="00625399" w:rsidRPr="003373C5" w:rsidRDefault="000B1CE2" w:rsidP="00440942">
            <w:pPr>
              <w:spacing w:line="240" w:lineRule="auto"/>
              <w:jc w:val="both"/>
              <w:rPr>
                <w:bCs/>
                <w:lang w:val="en-US"/>
              </w:rPr>
            </w:pPr>
            <w:proofErr w:type="gramStart"/>
            <w:r>
              <w:rPr>
                <w:bCs/>
                <w:lang w:val="en-US"/>
              </w:rPr>
              <w:t xml:space="preserve">In order to implement </w:t>
            </w:r>
            <w:r w:rsidR="00440942">
              <w:rPr>
                <w:bCs/>
                <w:lang w:val="en-US"/>
              </w:rPr>
              <w:t>a</w:t>
            </w:r>
            <w:r>
              <w:rPr>
                <w:bCs/>
                <w:lang w:val="en-US"/>
              </w:rPr>
              <w:t>rticle 26 of the Convention, States should take measures to: review</w:t>
            </w:r>
            <w:r w:rsidR="00D2209B" w:rsidRPr="00D2209B">
              <w:rPr>
                <w:bCs/>
                <w:lang w:val="en-US"/>
              </w:rPr>
              <w:t xml:space="preserve"> their legal and</w:t>
            </w:r>
            <w:r>
              <w:rPr>
                <w:bCs/>
                <w:lang w:val="en-US"/>
              </w:rPr>
              <w:t xml:space="preserve"> policy frameworks; ensure</w:t>
            </w:r>
            <w:r w:rsidR="00D2209B" w:rsidRPr="00D2209B">
              <w:rPr>
                <w:bCs/>
                <w:lang w:val="en-US"/>
              </w:rPr>
              <w:t xml:space="preserve"> cross-s</w:t>
            </w:r>
            <w:r>
              <w:rPr>
                <w:bCs/>
                <w:lang w:val="en-US"/>
              </w:rPr>
              <w:t>ectoral coordination; develop</w:t>
            </w:r>
            <w:r w:rsidR="00D2209B" w:rsidRPr="00D2209B">
              <w:rPr>
                <w:bCs/>
                <w:lang w:val="en-US"/>
              </w:rPr>
              <w:t xml:space="preserve"> a multidisciplinary and trained rehabi</w:t>
            </w:r>
            <w:r>
              <w:rPr>
                <w:bCs/>
                <w:lang w:val="en-US"/>
              </w:rPr>
              <w:t>litation workforce; establish</w:t>
            </w:r>
            <w:r w:rsidR="00D2209B" w:rsidRPr="00D2209B">
              <w:rPr>
                <w:bCs/>
                <w:lang w:val="en-US"/>
              </w:rPr>
              <w:t xml:space="preserve"> funding mechanisms to ensure adequate access to affordable rehabilitation services; </w:t>
            </w:r>
            <w:r>
              <w:rPr>
                <w:bCs/>
                <w:lang w:val="en-US"/>
              </w:rPr>
              <w:t xml:space="preserve">conduct </w:t>
            </w:r>
            <w:r w:rsidR="00D2209B" w:rsidRPr="00D2209B">
              <w:rPr>
                <w:bCs/>
                <w:lang w:val="en-US"/>
              </w:rPr>
              <w:t xml:space="preserve">awareness-raising with a human rights based approach; and </w:t>
            </w:r>
            <w:r>
              <w:rPr>
                <w:bCs/>
                <w:lang w:val="en-US"/>
              </w:rPr>
              <w:t xml:space="preserve">carry out </w:t>
            </w:r>
            <w:r w:rsidR="00D2209B" w:rsidRPr="00D2209B">
              <w:rPr>
                <w:bCs/>
                <w:lang w:val="en-US"/>
              </w:rPr>
              <w:t>reliable research and data collection</w:t>
            </w:r>
            <w:r>
              <w:rPr>
                <w:bCs/>
                <w:lang w:val="en-US"/>
              </w:rPr>
              <w:t xml:space="preserve"> for improving the quality of, and access to services</w:t>
            </w:r>
            <w:r w:rsidR="00D2209B" w:rsidRPr="00D2209B">
              <w:rPr>
                <w:bCs/>
                <w:lang w:val="en-US"/>
              </w:rPr>
              <w:t>.</w:t>
            </w:r>
            <w:proofErr w:type="gramEnd"/>
            <w:r w:rsidR="00625399" w:rsidRPr="00445652">
              <w:rPr>
                <w:bCs/>
                <w:lang w:val="en-US"/>
              </w:rPr>
              <w:t xml:space="preserve"> </w:t>
            </w:r>
          </w:p>
        </w:tc>
      </w:tr>
      <w:tr w:rsidR="00625399" w:rsidRPr="00283924" w14:paraId="35B4B10D" w14:textId="77777777" w:rsidTr="00304796">
        <w:tc>
          <w:tcPr>
            <w:tcW w:w="1450" w:type="dxa"/>
            <w:shd w:val="clear" w:color="auto" w:fill="auto"/>
          </w:tcPr>
          <w:p w14:paraId="30A6A091" w14:textId="77777777" w:rsidR="00625399" w:rsidRPr="00283924" w:rsidRDefault="00625399" w:rsidP="004450A8">
            <w:pPr>
              <w:spacing w:after="0" w:line="240" w:lineRule="auto"/>
              <w:rPr>
                <w:rFonts w:cs="Arial"/>
                <w:b/>
              </w:rPr>
            </w:pPr>
            <w:r w:rsidRPr="00283924">
              <w:rPr>
                <w:rFonts w:cs="Arial"/>
                <w:b/>
              </w:rPr>
              <w:lastRenderedPageBreak/>
              <w:t>Background documents:</w:t>
            </w:r>
          </w:p>
        </w:tc>
        <w:tc>
          <w:tcPr>
            <w:tcW w:w="8756" w:type="dxa"/>
            <w:shd w:val="clear" w:color="auto" w:fill="auto"/>
          </w:tcPr>
          <w:p w14:paraId="036AA0BD" w14:textId="77777777" w:rsidR="00FE02CA" w:rsidRDefault="00274AC1" w:rsidP="006F76CB">
            <w:pPr>
              <w:numPr>
                <w:ilvl w:val="0"/>
                <w:numId w:val="7"/>
              </w:numPr>
              <w:spacing w:after="60" w:line="240" w:lineRule="auto"/>
              <w:ind w:left="357" w:hanging="357"/>
              <w:rPr>
                <w:bCs/>
                <w:lang w:val="en-US"/>
              </w:rPr>
            </w:pPr>
            <w:hyperlink r:id="rId13" w:history="1">
              <w:r w:rsidR="00FE02CA" w:rsidRPr="00FE02CA">
                <w:rPr>
                  <w:rStyle w:val="Hyperlink"/>
                  <w:bCs/>
                  <w:lang w:val="en-US"/>
                </w:rPr>
                <w:t>Human Rights Council resolution 7/9</w:t>
              </w:r>
            </w:hyperlink>
            <w:r w:rsidR="00FE02CA">
              <w:rPr>
                <w:bCs/>
                <w:lang w:val="en-US"/>
              </w:rPr>
              <w:t xml:space="preserve"> </w:t>
            </w:r>
            <w:r w:rsidR="00B81D93">
              <w:rPr>
                <w:bCs/>
                <w:lang w:val="en-US"/>
              </w:rPr>
              <w:t xml:space="preserve">of </w:t>
            </w:r>
            <w:r w:rsidR="00B81D93" w:rsidRPr="00B81D93">
              <w:rPr>
                <w:bCs/>
                <w:lang w:val="en-US"/>
              </w:rPr>
              <w:t>27 March 2008</w:t>
            </w:r>
            <w:r w:rsidR="00B81D93">
              <w:rPr>
                <w:bCs/>
                <w:lang w:val="en-US"/>
              </w:rPr>
              <w:t xml:space="preserve"> </w:t>
            </w:r>
            <w:r w:rsidR="00FE02CA">
              <w:rPr>
                <w:bCs/>
                <w:lang w:val="en-US"/>
              </w:rPr>
              <w:t>on h</w:t>
            </w:r>
            <w:r w:rsidR="00FE02CA" w:rsidRPr="00FE02CA">
              <w:rPr>
                <w:bCs/>
                <w:lang w:val="en-US"/>
              </w:rPr>
              <w:t>uman rights of persons with disabilities</w:t>
            </w:r>
          </w:p>
          <w:p w14:paraId="0B4F085F" w14:textId="7FBB75DF" w:rsidR="0056770A" w:rsidRPr="0056770A" w:rsidRDefault="00274AC1" w:rsidP="0056770A">
            <w:pPr>
              <w:numPr>
                <w:ilvl w:val="0"/>
                <w:numId w:val="7"/>
              </w:numPr>
              <w:spacing w:after="60" w:line="240" w:lineRule="auto"/>
              <w:ind w:left="357" w:hanging="357"/>
              <w:rPr>
                <w:bCs/>
                <w:lang w:val="en-US"/>
              </w:rPr>
            </w:pPr>
            <w:hyperlink r:id="rId14" w:history="1">
              <w:r w:rsidR="000B2188" w:rsidRPr="00440942">
                <w:rPr>
                  <w:rStyle w:val="Hyperlink"/>
                  <w:bCs/>
                  <w:lang w:val="en-US"/>
                </w:rPr>
                <w:t xml:space="preserve">Human Rights Council resolution </w:t>
              </w:r>
              <w:r w:rsidR="0056770A" w:rsidRPr="00440942">
                <w:rPr>
                  <w:rStyle w:val="Hyperlink"/>
                  <w:bCs/>
                  <w:lang w:val="en-US"/>
                </w:rPr>
                <w:t>37</w:t>
              </w:r>
              <w:r w:rsidR="00DA5418" w:rsidRPr="00440942">
                <w:rPr>
                  <w:rStyle w:val="Hyperlink"/>
                  <w:bCs/>
                  <w:lang w:val="en-US"/>
                </w:rPr>
                <w:t>/</w:t>
              </w:r>
              <w:r w:rsidR="0056770A" w:rsidRPr="00440942">
                <w:rPr>
                  <w:rStyle w:val="Hyperlink"/>
                  <w:bCs/>
                  <w:lang w:val="en-US"/>
                </w:rPr>
                <w:t>22</w:t>
              </w:r>
            </w:hyperlink>
            <w:r w:rsidR="000B2188" w:rsidRPr="00445652">
              <w:rPr>
                <w:bCs/>
                <w:lang w:val="en-US"/>
              </w:rPr>
              <w:t xml:space="preserve"> </w:t>
            </w:r>
            <w:r w:rsidR="00B81D93">
              <w:rPr>
                <w:bCs/>
                <w:lang w:val="en-US"/>
              </w:rPr>
              <w:t xml:space="preserve">of </w:t>
            </w:r>
            <w:r w:rsidR="00B81D93" w:rsidRPr="00B81D93">
              <w:rPr>
                <w:bCs/>
                <w:lang w:val="en-US"/>
              </w:rPr>
              <w:t>2</w:t>
            </w:r>
            <w:r w:rsidR="0056770A">
              <w:rPr>
                <w:bCs/>
                <w:lang w:val="en-US"/>
              </w:rPr>
              <w:t>0 March 2018</w:t>
            </w:r>
            <w:r w:rsidR="00B81D93">
              <w:rPr>
                <w:bCs/>
                <w:lang w:val="en-US"/>
              </w:rPr>
              <w:t xml:space="preserve"> </w:t>
            </w:r>
            <w:r w:rsidR="000B2188" w:rsidRPr="00445652">
              <w:rPr>
                <w:bCs/>
                <w:lang w:val="en-US"/>
              </w:rPr>
              <w:t xml:space="preserve">on </w:t>
            </w:r>
            <w:r w:rsidR="0056770A">
              <w:rPr>
                <w:bCs/>
                <w:lang w:val="en-US"/>
              </w:rPr>
              <w:t>e</w:t>
            </w:r>
            <w:r w:rsidR="0056770A" w:rsidRPr="0056770A">
              <w:rPr>
                <w:bCs/>
                <w:lang w:val="en-US"/>
              </w:rPr>
              <w:t>quality and non-discrimination of persons with disabilities and the right of persons with disabilities to access to justice</w:t>
            </w:r>
          </w:p>
          <w:p w14:paraId="55C08961" w14:textId="4E211577" w:rsidR="00625399" w:rsidRDefault="00537F20" w:rsidP="006F76CB">
            <w:pPr>
              <w:numPr>
                <w:ilvl w:val="0"/>
                <w:numId w:val="7"/>
              </w:numPr>
              <w:spacing w:after="60" w:line="240" w:lineRule="auto"/>
              <w:ind w:left="357" w:hanging="357"/>
              <w:rPr>
                <w:bCs/>
                <w:lang w:val="en-US"/>
              </w:rPr>
            </w:pPr>
            <w:r>
              <w:rPr>
                <w:bCs/>
                <w:lang w:val="en-US"/>
              </w:rPr>
              <w:t>Report of the OHCHR</w:t>
            </w:r>
            <w:r w:rsidR="00AD382E">
              <w:rPr>
                <w:bCs/>
                <w:lang w:val="en-US"/>
              </w:rPr>
              <w:t xml:space="preserve"> on </w:t>
            </w:r>
            <w:bookmarkStart w:id="1" w:name="_Toc502062836"/>
            <w:r w:rsidR="0056770A">
              <w:rPr>
                <w:bCs/>
                <w:lang w:val="en-US"/>
              </w:rPr>
              <w:t xml:space="preserve">habilitation and rehabilitation </w:t>
            </w:r>
            <w:r w:rsidR="0056770A">
              <w:rPr>
                <w:bCs/>
              </w:rPr>
              <w:t xml:space="preserve">under article 26 </w:t>
            </w:r>
            <w:r w:rsidR="00AD382E" w:rsidRPr="00AD382E">
              <w:rPr>
                <w:bCs/>
              </w:rPr>
              <w:t>of the Convention on the Rights of Persons with Disabilities</w:t>
            </w:r>
            <w:bookmarkEnd w:id="1"/>
            <w:r>
              <w:rPr>
                <w:bCs/>
                <w:lang w:val="en-US"/>
              </w:rPr>
              <w:t xml:space="preserve"> </w:t>
            </w:r>
            <w:r w:rsidR="000B2188" w:rsidRPr="00445652">
              <w:rPr>
                <w:bCs/>
                <w:lang w:val="en-US"/>
              </w:rPr>
              <w:t>(</w:t>
            </w:r>
            <w:hyperlink r:id="rId15" w:history="1">
              <w:r w:rsidR="0056770A" w:rsidRPr="00440942">
                <w:rPr>
                  <w:rStyle w:val="Hyperlink"/>
                  <w:bCs/>
                  <w:lang w:val="en-US"/>
                </w:rPr>
                <w:t>A/HRC/40</w:t>
              </w:r>
              <w:r w:rsidR="00DA5418" w:rsidRPr="00440942">
                <w:rPr>
                  <w:rStyle w:val="Hyperlink"/>
                  <w:bCs/>
                  <w:lang w:val="en-US"/>
                </w:rPr>
                <w:t>/</w:t>
              </w:r>
              <w:r w:rsidR="0056770A" w:rsidRPr="00440942">
                <w:rPr>
                  <w:rStyle w:val="Hyperlink"/>
                  <w:bCs/>
                  <w:lang w:val="en-US"/>
                </w:rPr>
                <w:t>32</w:t>
              </w:r>
            </w:hyperlink>
            <w:r w:rsidR="000B2188" w:rsidRPr="00445652">
              <w:rPr>
                <w:bCs/>
                <w:lang w:val="en-US"/>
              </w:rPr>
              <w:t>)</w:t>
            </w:r>
          </w:p>
          <w:p w14:paraId="56632CA6" w14:textId="44F003D6" w:rsidR="00B81D93" w:rsidRPr="00445652" w:rsidRDefault="00B81D93" w:rsidP="0056770A">
            <w:pPr>
              <w:numPr>
                <w:ilvl w:val="0"/>
                <w:numId w:val="7"/>
              </w:numPr>
              <w:spacing w:after="60" w:line="240" w:lineRule="auto"/>
              <w:ind w:left="357" w:hanging="357"/>
              <w:rPr>
                <w:bCs/>
                <w:lang w:val="en-US"/>
              </w:rPr>
            </w:pPr>
            <w:r>
              <w:rPr>
                <w:bCs/>
                <w:lang w:val="en-US"/>
              </w:rPr>
              <w:t xml:space="preserve">OHCHR web page with </w:t>
            </w:r>
            <w:hyperlink r:id="rId16" w:history="1">
              <w:r w:rsidRPr="00440942">
                <w:rPr>
                  <w:rStyle w:val="Hyperlink"/>
                  <w:bCs/>
                  <w:lang w:val="en-US"/>
                </w:rPr>
                <w:t xml:space="preserve">studies, reports and papers on </w:t>
              </w:r>
              <w:r w:rsidR="0056770A" w:rsidRPr="00440942">
                <w:rPr>
                  <w:rStyle w:val="Hyperlink"/>
                  <w:bCs/>
                  <w:lang w:val="en-US"/>
                </w:rPr>
                <w:t xml:space="preserve">the rights of persons with </w:t>
              </w:r>
              <w:r w:rsidRPr="00440942">
                <w:rPr>
                  <w:rStyle w:val="Hyperlink"/>
                  <w:bCs/>
                  <w:lang w:val="en-US"/>
                </w:rPr>
                <w:t>disabilit</w:t>
              </w:r>
              <w:r w:rsidR="0056770A" w:rsidRPr="00440942">
                <w:rPr>
                  <w:rStyle w:val="Hyperlink"/>
                  <w:bCs/>
                  <w:lang w:val="en-US"/>
                </w:rPr>
                <w:t>ies</w:t>
              </w:r>
            </w:hyperlink>
          </w:p>
        </w:tc>
      </w:tr>
    </w:tbl>
    <w:p w14:paraId="6FF903E8" w14:textId="77777777" w:rsidR="00FF74C5" w:rsidRPr="00283924" w:rsidRDefault="00FF74C5" w:rsidP="00FF74C5">
      <w:pPr>
        <w:spacing w:after="0" w:line="240" w:lineRule="auto"/>
        <w:rPr>
          <w:rFonts w:cs="Arial"/>
          <w:b/>
          <w:sz w:val="20"/>
          <w:szCs w:val="20"/>
          <w:u w:val="single"/>
        </w:rPr>
      </w:pPr>
    </w:p>
    <w:sectPr w:rsidR="00FF74C5" w:rsidRPr="00283924" w:rsidSect="009853EB">
      <w:footerReference w:type="default" r:id="rId17"/>
      <w:pgSz w:w="11906" w:h="16838"/>
      <w:pgMar w:top="709" w:right="1440" w:bottom="993" w:left="1440"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33F8" w14:textId="77777777" w:rsidR="00861631" w:rsidRDefault="00861631" w:rsidP="002F2CB9">
      <w:pPr>
        <w:spacing w:after="0" w:line="240" w:lineRule="auto"/>
      </w:pPr>
      <w:r>
        <w:separator/>
      </w:r>
    </w:p>
  </w:endnote>
  <w:endnote w:type="continuationSeparator" w:id="0">
    <w:p w14:paraId="4EDD8A55" w14:textId="77777777" w:rsidR="00861631" w:rsidRDefault="00861631"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19DD" w14:textId="32EA094C" w:rsidR="00861631" w:rsidRDefault="00861631">
    <w:pPr>
      <w:pStyle w:val="Footer"/>
      <w:jc w:val="center"/>
    </w:pPr>
    <w:r>
      <w:fldChar w:fldCharType="begin"/>
    </w:r>
    <w:r>
      <w:instrText xml:space="preserve"> PAGE   \* MERGEFORMAT </w:instrText>
    </w:r>
    <w:r>
      <w:fldChar w:fldCharType="separate"/>
    </w:r>
    <w:r w:rsidR="00274AC1">
      <w:rPr>
        <w:noProof/>
      </w:rPr>
      <w:t>3</w:t>
    </w:r>
    <w:r>
      <w:rPr>
        <w:noProof/>
      </w:rPr>
      <w:fldChar w:fldCharType="end"/>
    </w:r>
  </w:p>
  <w:p w14:paraId="76C31DD5" w14:textId="77777777" w:rsidR="00861631" w:rsidRDefault="0086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C5975" w14:textId="77777777" w:rsidR="00861631" w:rsidRDefault="00861631" w:rsidP="002F2CB9">
      <w:pPr>
        <w:spacing w:after="0" w:line="240" w:lineRule="auto"/>
      </w:pPr>
      <w:r>
        <w:separator/>
      </w:r>
    </w:p>
  </w:footnote>
  <w:footnote w:type="continuationSeparator" w:id="0">
    <w:p w14:paraId="0FE0B8B2" w14:textId="77777777" w:rsidR="00861631" w:rsidRDefault="00861631" w:rsidP="002F2CB9">
      <w:pPr>
        <w:spacing w:after="0" w:line="240" w:lineRule="auto"/>
      </w:pPr>
      <w:r>
        <w:continuationSeparator/>
      </w:r>
    </w:p>
  </w:footnote>
  <w:footnote w:id="1">
    <w:p w14:paraId="3B1A3A50" w14:textId="77777777" w:rsidR="00861631" w:rsidRPr="00084ADC" w:rsidRDefault="00861631" w:rsidP="00DE4654">
      <w:pPr>
        <w:pStyle w:val="FootnoteText"/>
        <w:spacing w:after="0" w:line="240" w:lineRule="auto"/>
        <w:rPr>
          <w:rFonts w:asciiTheme="minorHAnsi" w:hAnsiTheme="minorHAnsi" w:cstheme="minorHAnsi"/>
        </w:rPr>
      </w:pPr>
      <w:r w:rsidRPr="00E758A9">
        <w:rPr>
          <w:rStyle w:val="FootnoteReference"/>
          <w:rFonts w:asciiTheme="minorHAnsi" w:hAnsiTheme="minorHAnsi" w:cstheme="minorHAnsi"/>
        </w:rPr>
        <w:footnoteRef/>
      </w:r>
      <w:r w:rsidRPr="00E758A9">
        <w:rPr>
          <w:rFonts w:asciiTheme="minorHAnsi" w:hAnsiTheme="minorHAnsi" w:cstheme="minorHAnsi"/>
        </w:rPr>
        <w:t xml:space="preserve"> See </w:t>
      </w:r>
      <w:hyperlink r:id="rId1" w:history="1">
        <w:r w:rsidRPr="00E758A9">
          <w:rPr>
            <w:rStyle w:val="Hyperlink"/>
            <w:rFonts w:asciiTheme="minorHAnsi" w:hAnsiTheme="minorHAnsi" w:cstheme="minorHAnsi"/>
          </w:rPr>
          <w:t>http://www.ohchr.org/EN/Issues/Disability/Pages/StudiesReportsPapers.aspx</w:t>
        </w:r>
      </w:hyperlink>
      <w:r>
        <w:rPr>
          <w:rFonts w:asciiTheme="minorHAnsi" w:hAnsiTheme="minorHAnsi" w:cstheme="minorHAnsi"/>
        </w:rPr>
        <w:t xml:space="preserve"> </w:t>
      </w:r>
    </w:p>
  </w:footnote>
  <w:footnote w:id="2">
    <w:p w14:paraId="783BEAFF" w14:textId="77777777" w:rsidR="00861631" w:rsidRPr="00084ADC" w:rsidRDefault="00861631">
      <w:pPr>
        <w:pStyle w:val="FootnoteText"/>
        <w:rPr>
          <w:rFonts w:asciiTheme="minorHAnsi" w:hAnsiTheme="minorHAnsi" w:cstheme="minorHAnsi"/>
        </w:rPr>
      </w:pPr>
      <w:r w:rsidRPr="00084ADC">
        <w:rPr>
          <w:rStyle w:val="FootnoteReference"/>
          <w:rFonts w:asciiTheme="minorHAnsi" w:hAnsiTheme="minorHAnsi" w:cstheme="minorHAnsi"/>
          <w:color w:val="000000" w:themeColor="text1"/>
        </w:rPr>
        <w:footnoteRef/>
      </w:r>
      <w:r w:rsidRPr="00084ADC">
        <w:rPr>
          <w:rFonts w:asciiTheme="minorHAnsi" w:hAnsiTheme="minorHAnsi" w:cstheme="minorHAnsi"/>
          <w:color w:val="000000" w:themeColor="text1"/>
        </w:rPr>
        <w:t xml:space="preserve"> </w:t>
      </w:r>
      <w:r>
        <w:rPr>
          <w:rFonts w:asciiTheme="minorHAnsi" w:hAnsiTheme="minorHAnsi" w:cstheme="minorHAnsi"/>
          <w:color w:val="000000" w:themeColor="text1"/>
        </w:rPr>
        <w:t>Available on</w:t>
      </w:r>
      <w:r w:rsidRPr="00084ADC">
        <w:rPr>
          <w:rFonts w:asciiTheme="minorHAnsi" w:hAnsiTheme="minorHAnsi" w:cstheme="minorHAnsi"/>
        </w:rPr>
        <w:t xml:space="preserve"> </w:t>
      </w:r>
      <w:hyperlink r:id="rId2" w:history="1">
        <w:r w:rsidRPr="00084ADC">
          <w:rPr>
            <w:rStyle w:val="Hyperlink"/>
            <w:rFonts w:asciiTheme="minorHAnsi" w:hAnsiTheme="minorHAnsi" w:cstheme="minorHAnsi"/>
          </w:rPr>
          <w:t>http://www.ohchr.org/EN/HRBodies/HRC/Pages/Accessibility.aspx</w:t>
        </w:r>
      </w:hyperlink>
      <w:r w:rsidRPr="00084ADC">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10"/>
  </w:num>
  <w:num w:numId="5">
    <w:abstractNumId w:val="0"/>
  </w:num>
  <w:num w:numId="6">
    <w:abstractNumId w:val="4"/>
  </w:num>
  <w:num w:numId="7">
    <w:abstractNumId w:val="9"/>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200DE"/>
    <w:rsid w:val="000265D9"/>
    <w:rsid w:val="000272FB"/>
    <w:rsid w:val="00033219"/>
    <w:rsid w:val="00053DA5"/>
    <w:rsid w:val="000669F1"/>
    <w:rsid w:val="000716B3"/>
    <w:rsid w:val="00074CC4"/>
    <w:rsid w:val="00075A01"/>
    <w:rsid w:val="0007720A"/>
    <w:rsid w:val="00081178"/>
    <w:rsid w:val="00084ADC"/>
    <w:rsid w:val="00094A0B"/>
    <w:rsid w:val="00095EC7"/>
    <w:rsid w:val="000B1CE2"/>
    <w:rsid w:val="000B2188"/>
    <w:rsid w:val="000B7CF9"/>
    <w:rsid w:val="000C6EBE"/>
    <w:rsid w:val="000D0318"/>
    <w:rsid w:val="000D344E"/>
    <w:rsid w:val="000E1E0B"/>
    <w:rsid w:val="000F3562"/>
    <w:rsid w:val="000F5AD6"/>
    <w:rsid w:val="000F5C6B"/>
    <w:rsid w:val="0010087D"/>
    <w:rsid w:val="00100CC5"/>
    <w:rsid w:val="00103276"/>
    <w:rsid w:val="0011279B"/>
    <w:rsid w:val="00115670"/>
    <w:rsid w:val="00127EC6"/>
    <w:rsid w:val="001329E4"/>
    <w:rsid w:val="00133749"/>
    <w:rsid w:val="00137B1A"/>
    <w:rsid w:val="00152095"/>
    <w:rsid w:val="00153A41"/>
    <w:rsid w:val="0015685E"/>
    <w:rsid w:val="00160B92"/>
    <w:rsid w:val="00165849"/>
    <w:rsid w:val="00166AC1"/>
    <w:rsid w:val="00166ADB"/>
    <w:rsid w:val="00172476"/>
    <w:rsid w:val="00187036"/>
    <w:rsid w:val="001900DD"/>
    <w:rsid w:val="00191CF5"/>
    <w:rsid w:val="001A1BF1"/>
    <w:rsid w:val="001A39D6"/>
    <w:rsid w:val="001A451D"/>
    <w:rsid w:val="001A772A"/>
    <w:rsid w:val="001B220F"/>
    <w:rsid w:val="001B7658"/>
    <w:rsid w:val="001B7BB9"/>
    <w:rsid w:val="001D1367"/>
    <w:rsid w:val="001D3CAC"/>
    <w:rsid w:val="001E14CD"/>
    <w:rsid w:val="001E335E"/>
    <w:rsid w:val="001E42C3"/>
    <w:rsid w:val="001F000D"/>
    <w:rsid w:val="001F04AC"/>
    <w:rsid w:val="001F07C3"/>
    <w:rsid w:val="00200A6B"/>
    <w:rsid w:val="00200E2E"/>
    <w:rsid w:val="002021C7"/>
    <w:rsid w:val="00222BF2"/>
    <w:rsid w:val="00226120"/>
    <w:rsid w:val="00235215"/>
    <w:rsid w:val="002400DF"/>
    <w:rsid w:val="0024578D"/>
    <w:rsid w:val="00257AA8"/>
    <w:rsid w:val="00270795"/>
    <w:rsid w:val="00274AC1"/>
    <w:rsid w:val="002766C6"/>
    <w:rsid w:val="00276A4B"/>
    <w:rsid w:val="00277A97"/>
    <w:rsid w:val="00283924"/>
    <w:rsid w:val="00285E7B"/>
    <w:rsid w:val="00286B74"/>
    <w:rsid w:val="002A646E"/>
    <w:rsid w:val="002A729D"/>
    <w:rsid w:val="002B5E36"/>
    <w:rsid w:val="002C1D51"/>
    <w:rsid w:val="002C5A51"/>
    <w:rsid w:val="002E2EF5"/>
    <w:rsid w:val="002F0868"/>
    <w:rsid w:val="002F2CB9"/>
    <w:rsid w:val="002F414D"/>
    <w:rsid w:val="002F7161"/>
    <w:rsid w:val="00304796"/>
    <w:rsid w:val="00304FA8"/>
    <w:rsid w:val="003057D7"/>
    <w:rsid w:val="00317B9D"/>
    <w:rsid w:val="003216FE"/>
    <w:rsid w:val="003373C5"/>
    <w:rsid w:val="0033753D"/>
    <w:rsid w:val="003437EF"/>
    <w:rsid w:val="0036235A"/>
    <w:rsid w:val="00367A44"/>
    <w:rsid w:val="003720D2"/>
    <w:rsid w:val="0037272E"/>
    <w:rsid w:val="00374A73"/>
    <w:rsid w:val="00377153"/>
    <w:rsid w:val="0038675A"/>
    <w:rsid w:val="00393554"/>
    <w:rsid w:val="00394BB7"/>
    <w:rsid w:val="00397B45"/>
    <w:rsid w:val="003A7917"/>
    <w:rsid w:val="003B19B8"/>
    <w:rsid w:val="003B5AC0"/>
    <w:rsid w:val="003C5825"/>
    <w:rsid w:val="003C687A"/>
    <w:rsid w:val="003C7B4B"/>
    <w:rsid w:val="003D17C6"/>
    <w:rsid w:val="003D1999"/>
    <w:rsid w:val="003D29FB"/>
    <w:rsid w:val="003D5E3B"/>
    <w:rsid w:val="003E0F4B"/>
    <w:rsid w:val="003E4646"/>
    <w:rsid w:val="003E6201"/>
    <w:rsid w:val="003E7F68"/>
    <w:rsid w:val="003F2A6D"/>
    <w:rsid w:val="003F3580"/>
    <w:rsid w:val="003F4519"/>
    <w:rsid w:val="003F6C68"/>
    <w:rsid w:val="0040254A"/>
    <w:rsid w:val="00422A30"/>
    <w:rsid w:val="00425047"/>
    <w:rsid w:val="00426305"/>
    <w:rsid w:val="00436FB6"/>
    <w:rsid w:val="00440942"/>
    <w:rsid w:val="00442298"/>
    <w:rsid w:val="004431E7"/>
    <w:rsid w:val="0044451A"/>
    <w:rsid w:val="004450A8"/>
    <w:rsid w:val="00445652"/>
    <w:rsid w:val="00445E25"/>
    <w:rsid w:val="00452948"/>
    <w:rsid w:val="00454102"/>
    <w:rsid w:val="00454CD0"/>
    <w:rsid w:val="00456848"/>
    <w:rsid w:val="00457578"/>
    <w:rsid w:val="00470ED4"/>
    <w:rsid w:val="004717BC"/>
    <w:rsid w:val="00471EE0"/>
    <w:rsid w:val="00471F51"/>
    <w:rsid w:val="00472940"/>
    <w:rsid w:val="004810AD"/>
    <w:rsid w:val="004875BC"/>
    <w:rsid w:val="00491429"/>
    <w:rsid w:val="004A441E"/>
    <w:rsid w:val="004C0938"/>
    <w:rsid w:val="004C2AE3"/>
    <w:rsid w:val="004C6E4B"/>
    <w:rsid w:val="004D0A62"/>
    <w:rsid w:val="004D4A30"/>
    <w:rsid w:val="004D5CC8"/>
    <w:rsid w:val="004E536D"/>
    <w:rsid w:val="004F4D51"/>
    <w:rsid w:val="00500D80"/>
    <w:rsid w:val="0050106C"/>
    <w:rsid w:val="00507391"/>
    <w:rsid w:val="005119FF"/>
    <w:rsid w:val="00524789"/>
    <w:rsid w:val="005317F8"/>
    <w:rsid w:val="00537F20"/>
    <w:rsid w:val="00545FF5"/>
    <w:rsid w:val="00551091"/>
    <w:rsid w:val="005626F3"/>
    <w:rsid w:val="00563F85"/>
    <w:rsid w:val="0056770A"/>
    <w:rsid w:val="0057603F"/>
    <w:rsid w:val="005D2F50"/>
    <w:rsid w:val="005D652D"/>
    <w:rsid w:val="005D76D3"/>
    <w:rsid w:val="005E3FDC"/>
    <w:rsid w:val="005F5078"/>
    <w:rsid w:val="005F6FE1"/>
    <w:rsid w:val="00600C0A"/>
    <w:rsid w:val="0060532B"/>
    <w:rsid w:val="006061E2"/>
    <w:rsid w:val="00611D7F"/>
    <w:rsid w:val="00617086"/>
    <w:rsid w:val="006217D0"/>
    <w:rsid w:val="00625399"/>
    <w:rsid w:val="006257D6"/>
    <w:rsid w:val="006302B7"/>
    <w:rsid w:val="006308C6"/>
    <w:rsid w:val="006356E1"/>
    <w:rsid w:val="0064197D"/>
    <w:rsid w:val="00641991"/>
    <w:rsid w:val="0064432C"/>
    <w:rsid w:val="00650139"/>
    <w:rsid w:val="00661F1D"/>
    <w:rsid w:val="006A0398"/>
    <w:rsid w:val="006C0141"/>
    <w:rsid w:val="006C2003"/>
    <w:rsid w:val="006C2C0B"/>
    <w:rsid w:val="006C4501"/>
    <w:rsid w:val="006D320D"/>
    <w:rsid w:val="006D4E3D"/>
    <w:rsid w:val="006D7CAA"/>
    <w:rsid w:val="006F286F"/>
    <w:rsid w:val="006F5801"/>
    <w:rsid w:val="006F76CB"/>
    <w:rsid w:val="006F7743"/>
    <w:rsid w:val="00700183"/>
    <w:rsid w:val="00702A37"/>
    <w:rsid w:val="00720D6C"/>
    <w:rsid w:val="00726F8C"/>
    <w:rsid w:val="00740ED4"/>
    <w:rsid w:val="00747AB9"/>
    <w:rsid w:val="007535CC"/>
    <w:rsid w:val="00761B98"/>
    <w:rsid w:val="007846C2"/>
    <w:rsid w:val="007A1369"/>
    <w:rsid w:val="007A2709"/>
    <w:rsid w:val="007A79C0"/>
    <w:rsid w:val="007C7AFA"/>
    <w:rsid w:val="007E690A"/>
    <w:rsid w:val="007F299D"/>
    <w:rsid w:val="00810714"/>
    <w:rsid w:val="0082232A"/>
    <w:rsid w:val="00822C88"/>
    <w:rsid w:val="00823887"/>
    <w:rsid w:val="00834A2E"/>
    <w:rsid w:val="008522C6"/>
    <w:rsid w:val="00855A63"/>
    <w:rsid w:val="00856CCF"/>
    <w:rsid w:val="00860903"/>
    <w:rsid w:val="00861610"/>
    <w:rsid w:val="00861631"/>
    <w:rsid w:val="00862E42"/>
    <w:rsid w:val="008759C3"/>
    <w:rsid w:val="0088434B"/>
    <w:rsid w:val="00887CA1"/>
    <w:rsid w:val="0089015B"/>
    <w:rsid w:val="00896501"/>
    <w:rsid w:val="008A3AF0"/>
    <w:rsid w:val="008B26BD"/>
    <w:rsid w:val="008B3941"/>
    <w:rsid w:val="008B48DB"/>
    <w:rsid w:val="008C7EE0"/>
    <w:rsid w:val="008F0D72"/>
    <w:rsid w:val="008F44F1"/>
    <w:rsid w:val="00901CDA"/>
    <w:rsid w:val="009021C4"/>
    <w:rsid w:val="0090286A"/>
    <w:rsid w:val="009238A1"/>
    <w:rsid w:val="00924548"/>
    <w:rsid w:val="00932A24"/>
    <w:rsid w:val="00935870"/>
    <w:rsid w:val="009405D3"/>
    <w:rsid w:val="00945D15"/>
    <w:rsid w:val="00952C3E"/>
    <w:rsid w:val="009536D9"/>
    <w:rsid w:val="009542C1"/>
    <w:rsid w:val="009568F6"/>
    <w:rsid w:val="00980162"/>
    <w:rsid w:val="00980DA6"/>
    <w:rsid w:val="009853EB"/>
    <w:rsid w:val="00987656"/>
    <w:rsid w:val="00991EA6"/>
    <w:rsid w:val="0099267E"/>
    <w:rsid w:val="009942D8"/>
    <w:rsid w:val="00997E6F"/>
    <w:rsid w:val="009A2FC3"/>
    <w:rsid w:val="009A323B"/>
    <w:rsid w:val="009A7F53"/>
    <w:rsid w:val="009B0F2A"/>
    <w:rsid w:val="009C05D5"/>
    <w:rsid w:val="009C06DD"/>
    <w:rsid w:val="009C24CE"/>
    <w:rsid w:val="009C5A79"/>
    <w:rsid w:val="009D1554"/>
    <w:rsid w:val="009D7F38"/>
    <w:rsid w:val="009E08AC"/>
    <w:rsid w:val="009E6855"/>
    <w:rsid w:val="009F0FDF"/>
    <w:rsid w:val="009F2971"/>
    <w:rsid w:val="00A06BBB"/>
    <w:rsid w:val="00A07D68"/>
    <w:rsid w:val="00A20605"/>
    <w:rsid w:val="00A20645"/>
    <w:rsid w:val="00A25225"/>
    <w:rsid w:val="00A256DB"/>
    <w:rsid w:val="00A41007"/>
    <w:rsid w:val="00A415A3"/>
    <w:rsid w:val="00A53BF2"/>
    <w:rsid w:val="00A718A0"/>
    <w:rsid w:val="00A778CA"/>
    <w:rsid w:val="00A80D2A"/>
    <w:rsid w:val="00A82CE9"/>
    <w:rsid w:val="00A84547"/>
    <w:rsid w:val="00A8699A"/>
    <w:rsid w:val="00A90F07"/>
    <w:rsid w:val="00AA09DC"/>
    <w:rsid w:val="00AA4ABD"/>
    <w:rsid w:val="00AB4A1A"/>
    <w:rsid w:val="00AC10D2"/>
    <w:rsid w:val="00AC6C25"/>
    <w:rsid w:val="00AC754B"/>
    <w:rsid w:val="00AD225B"/>
    <w:rsid w:val="00AD382E"/>
    <w:rsid w:val="00AE3CAC"/>
    <w:rsid w:val="00AE4A0C"/>
    <w:rsid w:val="00AE5C5C"/>
    <w:rsid w:val="00AE6E07"/>
    <w:rsid w:val="00AF4B70"/>
    <w:rsid w:val="00B03CCB"/>
    <w:rsid w:val="00B10BDA"/>
    <w:rsid w:val="00B22AA3"/>
    <w:rsid w:val="00B24ED5"/>
    <w:rsid w:val="00B32267"/>
    <w:rsid w:val="00B32B42"/>
    <w:rsid w:val="00B36752"/>
    <w:rsid w:val="00B367C6"/>
    <w:rsid w:val="00B4016A"/>
    <w:rsid w:val="00B52B2D"/>
    <w:rsid w:val="00B614C5"/>
    <w:rsid w:val="00B81D93"/>
    <w:rsid w:val="00B82A87"/>
    <w:rsid w:val="00B85386"/>
    <w:rsid w:val="00B864FC"/>
    <w:rsid w:val="00B920BF"/>
    <w:rsid w:val="00B93758"/>
    <w:rsid w:val="00B94441"/>
    <w:rsid w:val="00BA5B3D"/>
    <w:rsid w:val="00BB096A"/>
    <w:rsid w:val="00BB4A58"/>
    <w:rsid w:val="00BC3C13"/>
    <w:rsid w:val="00BD1118"/>
    <w:rsid w:val="00BD71E6"/>
    <w:rsid w:val="00BE03E8"/>
    <w:rsid w:val="00BF027F"/>
    <w:rsid w:val="00BF3550"/>
    <w:rsid w:val="00C12E64"/>
    <w:rsid w:val="00C138B6"/>
    <w:rsid w:val="00C14920"/>
    <w:rsid w:val="00C15149"/>
    <w:rsid w:val="00C16956"/>
    <w:rsid w:val="00C240E2"/>
    <w:rsid w:val="00C34D82"/>
    <w:rsid w:val="00C36AA3"/>
    <w:rsid w:val="00C40671"/>
    <w:rsid w:val="00C42EEF"/>
    <w:rsid w:val="00C53FC9"/>
    <w:rsid w:val="00C54EC7"/>
    <w:rsid w:val="00C55383"/>
    <w:rsid w:val="00C61F42"/>
    <w:rsid w:val="00C8027D"/>
    <w:rsid w:val="00C815DC"/>
    <w:rsid w:val="00C821B6"/>
    <w:rsid w:val="00C828AC"/>
    <w:rsid w:val="00C84FCA"/>
    <w:rsid w:val="00C85246"/>
    <w:rsid w:val="00C94C3B"/>
    <w:rsid w:val="00CB358C"/>
    <w:rsid w:val="00CC4D95"/>
    <w:rsid w:val="00CC51A6"/>
    <w:rsid w:val="00CD3539"/>
    <w:rsid w:val="00CD68DA"/>
    <w:rsid w:val="00CE0A4E"/>
    <w:rsid w:val="00CE575B"/>
    <w:rsid w:val="00CE7B0E"/>
    <w:rsid w:val="00D055A1"/>
    <w:rsid w:val="00D114C0"/>
    <w:rsid w:val="00D17A96"/>
    <w:rsid w:val="00D2209B"/>
    <w:rsid w:val="00D223D8"/>
    <w:rsid w:val="00D27C64"/>
    <w:rsid w:val="00D30CFA"/>
    <w:rsid w:val="00D35A1A"/>
    <w:rsid w:val="00D507CE"/>
    <w:rsid w:val="00D51B4D"/>
    <w:rsid w:val="00D51F24"/>
    <w:rsid w:val="00D55804"/>
    <w:rsid w:val="00D5580F"/>
    <w:rsid w:val="00D65B6F"/>
    <w:rsid w:val="00D662BC"/>
    <w:rsid w:val="00D70DD0"/>
    <w:rsid w:val="00D76263"/>
    <w:rsid w:val="00D8667E"/>
    <w:rsid w:val="00D906E7"/>
    <w:rsid w:val="00D90D81"/>
    <w:rsid w:val="00D95F36"/>
    <w:rsid w:val="00D9625A"/>
    <w:rsid w:val="00DA48D2"/>
    <w:rsid w:val="00DA5418"/>
    <w:rsid w:val="00DA6F56"/>
    <w:rsid w:val="00DB08FA"/>
    <w:rsid w:val="00DB595A"/>
    <w:rsid w:val="00DC16B5"/>
    <w:rsid w:val="00DC3265"/>
    <w:rsid w:val="00DC5FE6"/>
    <w:rsid w:val="00DC641C"/>
    <w:rsid w:val="00DD244C"/>
    <w:rsid w:val="00DD37FE"/>
    <w:rsid w:val="00DE4654"/>
    <w:rsid w:val="00DE517B"/>
    <w:rsid w:val="00DE532F"/>
    <w:rsid w:val="00DE58C7"/>
    <w:rsid w:val="00DE6C2D"/>
    <w:rsid w:val="00DF640F"/>
    <w:rsid w:val="00E02876"/>
    <w:rsid w:val="00E06E67"/>
    <w:rsid w:val="00E125FF"/>
    <w:rsid w:val="00E14472"/>
    <w:rsid w:val="00E15C80"/>
    <w:rsid w:val="00E172F9"/>
    <w:rsid w:val="00E2300A"/>
    <w:rsid w:val="00E24E68"/>
    <w:rsid w:val="00E2648C"/>
    <w:rsid w:val="00E35896"/>
    <w:rsid w:val="00E37C8F"/>
    <w:rsid w:val="00E424BD"/>
    <w:rsid w:val="00E43218"/>
    <w:rsid w:val="00E7173D"/>
    <w:rsid w:val="00E758A9"/>
    <w:rsid w:val="00E80181"/>
    <w:rsid w:val="00E80485"/>
    <w:rsid w:val="00E808CB"/>
    <w:rsid w:val="00E81023"/>
    <w:rsid w:val="00E8185D"/>
    <w:rsid w:val="00E859EC"/>
    <w:rsid w:val="00E85BC1"/>
    <w:rsid w:val="00E9722D"/>
    <w:rsid w:val="00EA6568"/>
    <w:rsid w:val="00EB1A20"/>
    <w:rsid w:val="00EB2393"/>
    <w:rsid w:val="00EB7324"/>
    <w:rsid w:val="00EC0DE0"/>
    <w:rsid w:val="00EC4B4D"/>
    <w:rsid w:val="00EC5D87"/>
    <w:rsid w:val="00EC6F0F"/>
    <w:rsid w:val="00ED583A"/>
    <w:rsid w:val="00EE1510"/>
    <w:rsid w:val="00EF27C0"/>
    <w:rsid w:val="00EF285B"/>
    <w:rsid w:val="00EF700F"/>
    <w:rsid w:val="00F0240C"/>
    <w:rsid w:val="00F026D9"/>
    <w:rsid w:val="00F04FFB"/>
    <w:rsid w:val="00F068F2"/>
    <w:rsid w:val="00F26495"/>
    <w:rsid w:val="00F37ABD"/>
    <w:rsid w:val="00F638DA"/>
    <w:rsid w:val="00F7623F"/>
    <w:rsid w:val="00F8774A"/>
    <w:rsid w:val="00F904BD"/>
    <w:rsid w:val="00FA00F2"/>
    <w:rsid w:val="00FA44B7"/>
    <w:rsid w:val="00FB3D53"/>
    <w:rsid w:val="00FB3F6F"/>
    <w:rsid w:val="00FB5C4B"/>
    <w:rsid w:val="00FC1371"/>
    <w:rsid w:val="00FC1E02"/>
    <w:rsid w:val="00FC30AF"/>
    <w:rsid w:val="00FC541D"/>
    <w:rsid w:val="00FD30A7"/>
    <w:rsid w:val="00FD6005"/>
    <w:rsid w:val="00FE02CA"/>
    <w:rsid w:val="00FE39E3"/>
    <w:rsid w:val="00FE4789"/>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61E6"/>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semiHidden/>
    <w:unhideWhenUsed/>
    <w:rsid w:val="002F2CB9"/>
    <w:rPr>
      <w:sz w:val="20"/>
      <w:szCs w:val="20"/>
    </w:rPr>
  </w:style>
  <w:style w:type="character" w:customStyle="1" w:styleId="FootnoteTextChar">
    <w:name w:val="Footnote Text Char"/>
    <w:link w:val="FootnoteText"/>
    <w:uiPriority w:val="99"/>
    <w:semiHidden/>
    <w:rsid w:val="002F2CB9"/>
    <w:rPr>
      <w:lang w:eastAsia="en-US"/>
    </w:rPr>
  </w:style>
  <w:style w:type="character" w:styleId="FootnoteReference">
    <w:name w:val="footnote reference"/>
    <w:uiPriority w:val="99"/>
    <w:semiHidden/>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SingleTxtG">
    <w:name w:val="_ Single Txt_G"/>
    <w:basedOn w:val="Normal"/>
    <w:qFormat/>
    <w:rsid w:val="006D7CAA"/>
    <w:pPr>
      <w:suppressAutoHyphens/>
      <w:spacing w:after="120" w:line="240" w:lineRule="atLeast"/>
      <w:ind w:left="1134" w:right="1134"/>
      <w:jc w:val="both"/>
    </w:pPr>
    <w:rPr>
      <w:rFonts w:ascii="Times New Roman" w:eastAsia="Times New Roman" w:hAnsi="Times New Roman"/>
      <w:sz w:val="20"/>
      <w:szCs w:val="20"/>
    </w:rPr>
  </w:style>
  <w:style w:type="character" w:customStyle="1" w:styleId="NoneA">
    <w:name w:val="None A"/>
    <w:rsid w:val="006D7CAA"/>
  </w:style>
  <w:style w:type="paragraph" w:customStyle="1" w:styleId="Default">
    <w:name w:val="Default"/>
    <w:rsid w:val="0023521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ohchr.org/documents/dpage_e.aspx?si=A/HRC/RES/7/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hchr.org/EN/Issues/Health/Pages/SRBio.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hchr.org/EN/Issues/Disability/Pages/StudiesReportsPape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5" Type="http://schemas.openxmlformats.org/officeDocument/2006/relationships/numbering" Target="numbering.xml"/><Relationship Id="rId15" Type="http://schemas.openxmlformats.org/officeDocument/2006/relationships/hyperlink" Target="http://undocs.org/A/HRC/40/3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ohchr.org/documents/dpage_e.aspx?si=A/HRC/RES/37/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HRBodies/HRC/Pages/Accessibility.aspx" TargetMode="External"/><Relationship Id="rId1" Type="http://schemas.openxmlformats.org/officeDocument/2006/relationships/hyperlink" Target="http://www.ohchr.org/EN/Issues/Disability/Pages/StudiesReportsPap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F8BB-DB16-469D-9446-4910102DA4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9781F0D-6549-409E-92D0-A4D11CAC9DFF}"/>
</file>

<file path=customXml/itemProps3.xml><?xml version="1.0" encoding="utf-8"?>
<ds:datastoreItem xmlns:ds="http://schemas.openxmlformats.org/officeDocument/2006/customXml" ds:itemID="{03C03234-DDD3-46CD-8659-5A2A10005EC1}">
  <ds:schemaRefs>
    <ds:schemaRef ds:uri="http://schemas.microsoft.com/sharepoint/v3/contenttype/forms"/>
  </ds:schemaRefs>
</ds:datastoreItem>
</file>

<file path=customXml/itemProps4.xml><?xml version="1.0" encoding="utf-8"?>
<ds:datastoreItem xmlns:ds="http://schemas.openxmlformats.org/officeDocument/2006/customXml" ds:itemID="{1324CD33-7066-40C3-B430-CF1DA77A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10557</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interactive debate on the rights of persons with disabilities</dc:title>
  <dc:creator>Rishabh Kumar Dhir</dc:creator>
  <cp:lastModifiedBy>TICHA Petra</cp:lastModifiedBy>
  <cp:revision>7</cp:revision>
  <cp:lastPrinted>2016-01-29T19:13:00Z</cp:lastPrinted>
  <dcterms:created xsi:type="dcterms:W3CDTF">2019-01-25T15:09:00Z</dcterms:created>
  <dcterms:modified xsi:type="dcterms:W3CDTF">2019-02-06T16:58:00Z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