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52658E0E" w14:textId="77777777" w:rsidTr="00562621">
        <w:trPr>
          <w:trHeight w:val="851"/>
        </w:trPr>
        <w:tc>
          <w:tcPr>
            <w:tcW w:w="1259" w:type="dxa"/>
            <w:tcBorders>
              <w:top w:val="nil"/>
              <w:left w:val="nil"/>
              <w:bottom w:val="single" w:sz="4" w:space="0" w:color="auto"/>
              <w:right w:val="nil"/>
            </w:tcBorders>
          </w:tcPr>
          <w:p w14:paraId="5A36958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B12DAEA"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1D654DC7" w14:textId="77777777" w:rsidR="00446DE4" w:rsidRPr="00DE3EC0" w:rsidRDefault="00DD6F17" w:rsidP="00DD6F17">
            <w:pPr>
              <w:jc w:val="right"/>
            </w:pPr>
            <w:r w:rsidRPr="00DD6F17">
              <w:rPr>
                <w:sz w:val="40"/>
              </w:rPr>
              <w:t>A</w:t>
            </w:r>
            <w:r>
              <w:t>/HRC/41/33/Add.2</w:t>
            </w:r>
          </w:p>
        </w:tc>
      </w:tr>
      <w:tr w:rsidR="003107FA" w14:paraId="2E602AE1" w14:textId="77777777" w:rsidTr="00562621">
        <w:trPr>
          <w:trHeight w:val="2835"/>
        </w:trPr>
        <w:tc>
          <w:tcPr>
            <w:tcW w:w="1259" w:type="dxa"/>
            <w:tcBorders>
              <w:top w:val="single" w:sz="4" w:space="0" w:color="auto"/>
              <w:left w:val="nil"/>
              <w:bottom w:val="single" w:sz="12" w:space="0" w:color="auto"/>
              <w:right w:val="nil"/>
            </w:tcBorders>
          </w:tcPr>
          <w:p w14:paraId="1D0782DC" w14:textId="7430155E"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433E83F" w14:textId="33D8F123" w:rsidR="003107FA" w:rsidRPr="00B3317B" w:rsidRDefault="00F4384B"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66186D1" w14:textId="77777777" w:rsidR="003107FA" w:rsidRDefault="00DD6F17" w:rsidP="00DD6F17">
            <w:pPr>
              <w:spacing w:before="240" w:line="240" w:lineRule="exact"/>
            </w:pPr>
            <w:r>
              <w:t>Distr.: General</w:t>
            </w:r>
          </w:p>
          <w:p w14:paraId="367DAFCE" w14:textId="10D449B6" w:rsidR="00DD6F17" w:rsidRDefault="00404B9E" w:rsidP="00DD6F17">
            <w:pPr>
              <w:spacing w:line="240" w:lineRule="exact"/>
            </w:pPr>
            <w:r>
              <w:t xml:space="preserve">24 </w:t>
            </w:r>
            <w:r w:rsidR="00956A59">
              <w:t>June</w:t>
            </w:r>
            <w:r w:rsidR="00DD6F17">
              <w:t xml:space="preserve"> 2019</w:t>
            </w:r>
          </w:p>
          <w:p w14:paraId="0ECE4E4D" w14:textId="77777777" w:rsidR="00DD6F17" w:rsidRDefault="00DD6F17" w:rsidP="00DD6F17">
            <w:pPr>
              <w:spacing w:line="240" w:lineRule="exact"/>
            </w:pPr>
          </w:p>
          <w:p w14:paraId="1B9E98FF" w14:textId="77777777" w:rsidR="00DD6F17" w:rsidRDefault="00DD6F17" w:rsidP="00DD6F17">
            <w:pPr>
              <w:spacing w:line="240" w:lineRule="exact"/>
            </w:pPr>
            <w:r>
              <w:t>Original: English</w:t>
            </w:r>
          </w:p>
        </w:tc>
      </w:tr>
    </w:tbl>
    <w:p w14:paraId="3A59D514" w14:textId="77777777" w:rsidR="00DD6F17" w:rsidRPr="004371AF" w:rsidRDefault="00DD6F17" w:rsidP="00DD6F17">
      <w:pPr>
        <w:spacing w:before="120"/>
        <w:rPr>
          <w:b/>
          <w:sz w:val="24"/>
          <w:szCs w:val="24"/>
        </w:rPr>
      </w:pPr>
      <w:r w:rsidRPr="004371AF">
        <w:rPr>
          <w:b/>
          <w:sz w:val="24"/>
          <w:szCs w:val="24"/>
        </w:rPr>
        <w:t>Human Rights Council</w:t>
      </w:r>
    </w:p>
    <w:p w14:paraId="235023DA" w14:textId="77777777" w:rsidR="00DD6F17" w:rsidRPr="00991A78" w:rsidRDefault="00DD6F17" w:rsidP="00DD6F17">
      <w:pPr>
        <w:rPr>
          <w:b/>
        </w:rPr>
      </w:pPr>
      <w:r w:rsidRPr="00991A78">
        <w:rPr>
          <w:b/>
        </w:rPr>
        <w:t>Forty-first session</w:t>
      </w:r>
    </w:p>
    <w:p w14:paraId="547C35E4" w14:textId="77777777" w:rsidR="00DD6F17" w:rsidRPr="00991A78" w:rsidRDefault="00DD6F17" w:rsidP="00DD6F17">
      <w:r w:rsidRPr="00991A78">
        <w:t>24 June–12 July 2019</w:t>
      </w:r>
    </w:p>
    <w:p w14:paraId="3C2C418C" w14:textId="77777777" w:rsidR="00DD6F17" w:rsidRPr="00991A78" w:rsidRDefault="00DD6F17" w:rsidP="00DD6F17">
      <w:r w:rsidRPr="00991A78">
        <w:t xml:space="preserve">Agenda item </w:t>
      </w:r>
      <w:proofErr w:type="gramStart"/>
      <w:r w:rsidRPr="00991A78">
        <w:t>3</w:t>
      </w:r>
      <w:proofErr w:type="gramEnd"/>
    </w:p>
    <w:p w14:paraId="08DB69E9" w14:textId="77777777" w:rsidR="00DD6F17" w:rsidRPr="00991A78" w:rsidRDefault="00DD6F17" w:rsidP="00DD6F17">
      <w:pPr>
        <w:rPr>
          <w:b/>
        </w:rPr>
      </w:pPr>
      <w:r w:rsidRPr="00991A78">
        <w:rPr>
          <w:b/>
        </w:rPr>
        <w:t>Promotion and protection of all human rights, civil,</w:t>
      </w:r>
    </w:p>
    <w:p w14:paraId="647ABF26" w14:textId="77777777" w:rsidR="00DD6F17" w:rsidRPr="00991A78" w:rsidRDefault="00DD6F17" w:rsidP="00DD6F17">
      <w:pPr>
        <w:rPr>
          <w:b/>
        </w:rPr>
      </w:pPr>
      <w:proofErr w:type="gramStart"/>
      <w:r w:rsidRPr="00991A78">
        <w:rPr>
          <w:b/>
        </w:rPr>
        <w:t>political</w:t>
      </w:r>
      <w:proofErr w:type="gramEnd"/>
      <w:r w:rsidRPr="00991A78">
        <w:rPr>
          <w:b/>
        </w:rPr>
        <w:t>, economic, social and cultural rights,</w:t>
      </w:r>
    </w:p>
    <w:p w14:paraId="5403F4C9" w14:textId="77777777" w:rsidR="00DD6F17" w:rsidRPr="00991A78" w:rsidRDefault="00DD6F17" w:rsidP="00DD6F17">
      <w:pPr>
        <w:rPr>
          <w:b/>
        </w:rPr>
      </w:pPr>
      <w:proofErr w:type="gramStart"/>
      <w:r w:rsidRPr="00991A78">
        <w:rPr>
          <w:b/>
        </w:rPr>
        <w:t>including</w:t>
      </w:r>
      <w:proofErr w:type="gramEnd"/>
      <w:r w:rsidRPr="00991A78">
        <w:rPr>
          <w:b/>
        </w:rPr>
        <w:t xml:space="preserve"> the right to development</w:t>
      </w:r>
    </w:p>
    <w:p w14:paraId="36D2B702" w14:textId="77777777" w:rsidR="00644DE6" w:rsidRDefault="00DD6F17" w:rsidP="00DD6F17">
      <w:pPr>
        <w:pStyle w:val="HChG"/>
      </w:pPr>
      <w:r>
        <w:tab/>
      </w:r>
      <w:r>
        <w:tab/>
      </w:r>
      <w:r w:rsidR="00644DE6">
        <w:t>Visit to Poland</w:t>
      </w:r>
    </w:p>
    <w:p w14:paraId="4CC3A875" w14:textId="77777777" w:rsidR="00DD6F17" w:rsidRPr="00DD6F17" w:rsidRDefault="00644DE6" w:rsidP="00644DE6">
      <w:pPr>
        <w:pStyle w:val="H1G"/>
      </w:pPr>
      <w:r>
        <w:tab/>
      </w:r>
      <w:r>
        <w:tab/>
      </w:r>
      <w:r w:rsidR="00DD6F17" w:rsidRPr="00DD6F17">
        <w:t>Report of the Working Group on the issue of discrimination against women in law and in practice</w:t>
      </w:r>
      <w:r w:rsidRPr="006E56B5">
        <w:rPr>
          <w:rStyle w:val="FootnoteReference"/>
          <w:b w:val="0"/>
          <w:bCs/>
          <w:sz w:val="20"/>
          <w:vertAlign w:val="baseline"/>
        </w:rPr>
        <w:footnoteReference w:customMarkFollows="1" w:id="2"/>
        <w:t>*</w:t>
      </w:r>
      <w:r w:rsidR="006E56B5" w:rsidRPr="006E56B5">
        <w:rPr>
          <w:rStyle w:val="FootnoteReference"/>
          <w:b w:val="0"/>
          <w:bCs/>
          <w:sz w:val="20"/>
        </w:rPr>
        <w:t>,</w:t>
      </w:r>
      <w:r w:rsidRPr="006E56B5">
        <w:rPr>
          <w:rStyle w:val="FootnoteReference"/>
          <w:b w:val="0"/>
          <w:bCs/>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DD6F17" w14:paraId="0B3382AB" w14:textId="77777777" w:rsidTr="009B2802">
        <w:trPr>
          <w:jc w:val="center"/>
        </w:trPr>
        <w:tc>
          <w:tcPr>
            <w:tcW w:w="9637" w:type="dxa"/>
            <w:shd w:val="clear" w:color="auto" w:fill="auto"/>
          </w:tcPr>
          <w:p w14:paraId="09227D74" w14:textId="77777777" w:rsidR="00DD6F17" w:rsidRPr="00C6263E" w:rsidRDefault="00DD6F17" w:rsidP="009B2802">
            <w:pPr>
              <w:spacing w:before="240" w:after="120"/>
              <w:ind w:left="255"/>
              <w:rPr>
                <w:i/>
                <w:sz w:val="24"/>
              </w:rPr>
            </w:pPr>
            <w:r w:rsidRPr="00C6263E">
              <w:rPr>
                <w:i/>
                <w:sz w:val="24"/>
              </w:rPr>
              <w:t>Summary</w:t>
            </w:r>
          </w:p>
        </w:tc>
      </w:tr>
      <w:tr w:rsidR="00DD6F17" w14:paraId="7679F305" w14:textId="77777777" w:rsidTr="009B2802">
        <w:trPr>
          <w:jc w:val="center"/>
        </w:trPr>
        <w:tc>
          <w:tcPr>
            <w:tcW w:w="9637" w:type="dxa"/>
            <w:shd w:val="clear" w:color="auto" w:fill="auto"/>
          </w:tcPr>
          <w:p w14:paraId="52287E16" w14:textId="1FA20962" w:rsidR="00DD6F17" w:rsidRDefault="004D7050" w:rsidP="006E56B5">
            <w:pPr>
              <w:pStyle w:val="SingleTxtG"/>
              <w:ind w:firstLine="567"/>
            </w:pPr>
            <w:r w:rsidRPr="004D7050">
              <w:rPr>
                <w:lang w:val="hr-HR"/>
              </w:rPr>
              <w:t>The Working Group on the issue of discrimination against women in law and in practice conducted a visit to Poland from 3 to 13 December 2018. In th</w:t>
            </w:r>
            <w:r w:rsidR="00CD09FB">
              <w:rPr>
                <w:lang w:val="hr-HR"/>
              </w:rPr>
              <w:t>e present</w:t>
            </w:r>
            <w:r w:rsidRPr="004D7050">
              <w:rPr>
                <w:lang w:val="hr-HR"/>
              </w:rPr>
              <w:t xml:space="preserve"> report, the Working Group assesses the situation regarding the human rights of women in the country, noting achievements and challenges. It examines </w:t>
            </w:r>
            <w:r w:rsidR="00CD09FB">
              <w:rPr>
                <w:lang w:val="hr-HR"/>
              </w:rPr>
              <w:t>the country's</w:t>
            </w:r>
            <w:r w:rsidRPr="004D7050">
              <w:rPr>
                <w:lang w:val="hr-HR"/>
              </w:rPr>
              <w:t xml:space="preserve"> legal, institutional and policy framework for promoting gender equality and the participation and empowerment of women in family, economic, social, political and public life, paying particular attention to women who experience intersecting forms of discrimination. The Working Group also </w:t>
            </w:r>
            <w:r w:rsidR="00926B99">
              <w:rPr>
                <w:lang w:val="hr-HR"/>
              </w:rPr>
              <w:t>makes</w:t>
            </w:r>
            <w:r w:rsidRPr="004D7050">
              <w:rPr>
                <w:lang w:val="hr-HR"/>
              </w:rPr>
              <w:t xml:space="preserve"> recommendations for further progress in eliminating discrimination and promoting equality</w:t>
            </w:r>
            <w:r w:rsidR="00B15A85">
              <w:rPr>
                <w:lang w:val="hr-HR"/>
              </w:rPr>
              <w:t>.</w:t>
            </w:r>
          </w:p>
        </w:tc>
      </w:tr>
      <w:tr w:rsidR="00DD6F17" w14:paraId="55FDADC4" w14:textId="77777777" w:rsidTr="009B2802">
        <w:trPr>
          <w:jc w:val="center"/>
        </w:trPr>
        <w:tc>
          <w:tcPr>
            <w:tcW w:w="9637" w:type="dxa"/>
            <w:shd w:val="clear" w:color="auto" w:fill="auto"/>
          </w:tcPr>
          <w:p w14:paraId="3F6D0FA3" w14:textId="77777777" w:rsidR="00DD6F17" w:rsidRDefault="00DD6F17" w:rsidP="009B2802"/>
        </w:tc>
      </w:tr>
    </w:tbl>
    <w:p w14:paraId="000011F9" w14:textId="77777777" w:rsidR="00BA07A3" w:rsidRDefault="00BA07A3" w:rsidP="00DD6F17"/>
    <w:p w14:paraId="1DBE21CD" w14:textId="77777777" w:rsidR="0031432C" w:rsidRDefault="00BA07A3" w:rsidP="000C455A">
      <w:pPr>
        <w:spacing w:after="120"/>
      </w:pPr>
      <w:r w:rsidRPr="00B15A85">
        <w:br w:type="page"/>
      </w:r>
    </w:p>
    <w:p w14:paraId="22236CA0" w14:textId="77777777" w:rsidR="007E1463" w:rsidRDefault="007E1463" w:rsidP="007E1463">
      <w:pPr>
        <w:pStyle w:val="HChG"/>
        <w:tabs>
          <w:tab w:val="clear" w:pos="851"/>
          <w:tab w:val="right" w:pos="567"/>
        </w:tabs>
      </w:pPr>
      <w:r w:rsidRPr="003313C1">
        <w:lastRenderedPageBreak/>
        <w:tab/>
        <w:t>Annex</w:t>
      </w:r>
    </w:p>
    <w:p w14:paraId="440AEB66" w14:textId="77777777" w:rsidR="007E1463" w:rsidRDefault="007E1463" w:rsidP="006E56B5">
      <w:pPr>
        <w:pStyle w:val="HChG"/>
        <w:tabs>
          <w:tab w:val="clear" w:pos="851"/>
          <w:tab w:val="right" w:pos="567"/>
        </w:tabs>
        <w:ind w:hanging="567"/>
      </w:pPr>
      <w:r>
        <w:tab/>
      </w:r>
      <w:r>
        <w:tab/>
      </w:r>
      <w:r w:rsidRPr="00147270">
        <w:t>Report of the Working Group on the issue of discrimination against women in law and in practice on its visit to</w:t>
      </w:r>
      <w:r>
        <w:t xml:space="preserve"> Poland</w:t>
      </w:r>
    </w:p>
    <w:p w14:paraId="71F58783" w14:textId="77777777" w:rsidR="0031432C" w:rsidRPr="0031432C" w:rsidRDefault="0031432C" w:rsidP="006E56B5">
      <w:pPr>
        <w:pStyle w:val="HChG"/>
        <w:tabs>
          <w:tab w:val="clear" w:pos="851"/>
          <w:tab w:val="right" w:pos="567"/>
        </w:tabs>
        <w:ind w:hanging="567"/>
        <w:rPr>
          <w:rFonts w:eastAsia="DengXian"/>
          <w:lang w:eastAsia="zh-CN"/>
        </w:rPr>
      </w:pPr>
      <w:r>
        <w:t>I.</w:t>
      </w:r>
      <w:r>
        <w:tab/>
      </w:r>
      <w:r>
        <w:tab/>
      </w:r>
      <w:r w:rsidRPr="0031432C">
        <w:rPr>
          <w:rFonts w:eastAsia="DengXian"/>
          <w:lang w:eastAsia="zh-CN"/>
        </w:rPr>
        <w:t>Introduction</w:t>
      </w:r>
    </w:p>
    <w:p w14:paraId="735C9629" w14:textId="5CF9C85D" w:rsidR="0031432C" w:rsidRPr="0031432C" w:rsidRDefault="005F09B9" w:rsidP="0031432C">
      <w:pPr>
        <w:pStyle w:val="SingleTxtG"/>
        <w:rPr>
          <w:rFonts w:eastAsia="DengXian"/>
          <w:lang w:eastAsia="zh-CN"/>
        </w:rPr>
      </w:pPr>
      <w:r>
        <w:rPr>
          <w:rFonts w:eastAsia="DengXian"/>
          <w:lang w:eastAsia="zh-CN"/>
        </w:rPr>
        <w:t>1.</w:t>
      </w:r>
      <w:r>
        <w:rPr>
          <w:rFonts w:eastAsia="DengXian"/>
          <w:lang w:eastAsia="zh-CN"/>
        </w:rPr>
        <w:tab/>
      </w:r>
      <w:r w:rsidR="0031432C" w:rsidRPr="0031432C">
        <w:rPr>
          <w:rFonts w:eastAsia="DengXian"/>
          <w:lang w:eastAsia="zh-CN"/>
        </w:rPr>
        <w:t xml:space="preserve">The experts of the Working Group on discrimination against women in law and in practice, Ivana </w:t>
      </w:r>
      <w:proofErr w:type="spellStart"/>
      <w:r w:rsidR="0031432C" w:rsidRPr="0031432C">
        <w:rPr>
          <w:rFonts w:eastAsia="DengXian"/>
          <w:lang w:eastAsia="zh-CN"/>
        </w:rPr>
        <w:t>Radačić</w:t>
      </w:r>
      <w:proofErr w:type="spellEnd"/>
      <w:r w:rsidR="0031432C" w:rsidRPr="0031432C">
        <w:rPr>
          <w:rFonts w:eastAsia="DengXian"/>
          <w:lang w:eastAsia="zh-CN"/>
        </w:rPr>
        <w:t xml:space="preserve"> and Melissa Upreti, visited Poland from </w:t>
      </w:r>
      <w:proofErr w:type="gramStart"/>
      <w:r w:rsidR="0031432C" w:rsidRPr="0031432C">
        <w:rPr>
          <w:rFonts w:eastAsia="DengXian"/>
          <w:lang w:eastAsia="zh-CN"/>
        </w:rPr>
        <w:t>3</w:t>
      </w:r>
      <w:proofErr w:type="gramEnd"/>
      <w:r w:rsidR="0031432C" w:rsidRPr="0031432C">
        <w:rPr>
          <w:rFonts w:eastAsia="DengXian"/>
          <w:lang w:eastAsia="zh-CN"/>
        </w:rPr>
        <w:t xml:space="preserve"> to 13 December 2018 at the invitation of the Government. In accordance with the mandate of the Working Group, the objective was to gain first-hand understanding of issues related to eliminating discrimination against women in law and in practice, including efforts made, remaining challenges and promising practices. The </w:t>
      </w:r>
      <w:r w:rsidR="00115100">
        <w:rPr>
          <w:rFonts w:eastAsia="DengXian"/>
          <w:lang w:eastAsia="zh-CN"/>
        </w:rPr>
        <w:t xml:space="preserve">Working </w:t>
      </w:r>
      <w:r w:rsidR="0031432C" w:rsidRPr="0031432C">
        <w:rPr>
          <w:rFonts w:eastAsia="DengXian"/>
          <w:lang w:eastAsia="zh-CN"/>
        </w:rPr>
        <w:t>Group expresses its appreciation to the Government for its cooperation before and during the visit.</w:t>
      </w:r>
    </w:p>
    <w:p w14:paraId="41F9A08D" w14:textId="44AE4F20" w:rsidR="0031432C" w:rsidRPr="0031432C" w:rsidRDefault="005F09B9" w:rsidP="0031432C">
      <w:pPr>
        <w:pStyle w:val="SingleTxtG"/>
        <w:rPr>
          <w:rFonts w:eastAsia="DengXian"/>
          <w:lang w:eastAsia="zh-CN"/>
        </w:rPr>
      </w:pPr>
      <w:r>
        <w:rPr>
          <w:rFonts w:eastAsia="DengXian"/>
          <w:lang w:eastAsia="zh-CN"/>
        </w:rPr>
        <w:t>2.</w:t>
      </w:r>
      <w:r>
        <w:rPr>
          <w:rFonts w:eastAsia="DengXian"/>
          <w:lang w:eastAsia="zh-CN"/>
        </w:rPr>
        <w:tab/>
      </w:r>
      <w:r w:rsidR="0031432C" w:rsidRPr="0031432C">
        <w:rPr>
          <w:rFonts w:eastAsia="DengXian"/>
          <w:lang w:eastAsia="zh-CN"/>
        </w:rPr>
        <w:t>The experts met with a broad range of central and local authorities</w:t>
      </w:r>
      <w:r w:rsidR="00CD09FB">
        <w:rPr>
          <w:rFonts w:eastAsia="DengXian"/>
          <w:lang w:eastAsia="zh-CN"/>
        </w:rPr>
        <w:t xml:space="preserve"> and with</w:t>
      </w:r>
      <w:r w:rsidR="0031432C" w:rsidRPr="0031432C">
        <w:rPr>
          <w:rFonts w:eastAsia="DengXian"/>
          <w:lang w:eastAsia="zh-CN"/>
        </w:rPr>
        <w:t xml:space="preserve"> representatives of women’s organizations and women’s rights experts in Warsaw, </w:t>
      </w:r>
      <w:proofErr w:type="spellStart"/>
      <w:r w:rsidR="00CD09FB" w:rsidRPr="00CD09FB">
        <w:rPr>
          <w:rFonts w:eastAsia="DengXian"/>
          <w:lang w:eastAsia="zh-CN"/>
        </w:rPr>
        <w:t>Łódź</w:t>
      </w:r>
      <w:proofErr w:type="spellEnd"/>
      <w:r w:rsidR="0031432C" w:rsidRPr="0031432C">
        <w:rPr>
          <w:rFonts w:eastAsia="DengXian"/>
          <w:lang w:eastAsia="zh-CN"/>
        </w:rPr>
        <w:t xml:space="preserve">, </w:t>
      </w:r>
      <w:r w:rsidR="00CD09FB" w:rsidRPr="00CD09FB">
        <w:rPr>
          <w:rFonts w:eastAsia="DengXian"/>
          <w:lang w:eastAsia="zh-CN"/>
        </w:rPr>
        <w:t>Gdańsk</w:t>
      </w:r>
      <w:r w:rsidR="00CD09FB" w:rsidRPr="00CD09FB" w:rsidDel="00CD09FB">
        <w:rPr>
          <w:rFonts w:eastAsia="DengXian"/>
          <w:lang w:eastAsia="zh-CN"/>
        </w:rPr>
        <w:t xml:space="preserve"> </w:t>
      </w:r>
      <w:r w:rsidR="0031432C" w:rsidRPr="0031432C">
        <w:rPr>
          <w:rFonts w:eastAsia="DengXian"/>
          <w:lang w:eastAsia="zh-CN"/>
        </w:rPr>
        <w:t>and Krak</w:t>
      </w:r>
      <w:r w:rsidR="009D4C11">
        <w:rPr>
          <w:rFonts w:eastAsia="DengXian"/>
          <w:lang w:eastAsia="zh-CN"/>
        </w:rPr>
        <w:t>ó</w:t>
      </w:r>
      <w:r w:rsidR="0031432C" w:rsidRPr="0031432C">
        <w:rPr>
          <w:rFonts w:eastAsia="DengXian"/>
          <w:lang w:eastAsia="zh-CN"/>
        </w:rPr>
        <w:t xml:space="preserve">w. </w:t>
      </w:r>
      <w:proofErr w:type="gramStart"/>
      <w:r w:rsidR="0031432C" w:rsidRPr="0031432C">
        <w:rPr>
          <w:rFonts w:eastAsia="DengXian"/>
          <w:lang w:eastAsia="zh-CN"/>
        </w:rPr>
        <w:t xml:space="preserve">In Warsaw, the </w:t>
      </w:r>
      <w:r w:rsidR="00115100">
        <w:rPr>
          <w:rFonts w:eastAsia="DengXian"/>
          <w:lang w:eastAsia="zh-CN"/>
        </w:rPr>
        <w:t xml:space="preserve">Working </w:t>
      </w:r>
      <w:r w:rsidR="0031432C" w:rsidRPr="0031432C">
        <w:rPr>
          <w:rFonts w:eastAsia="DengXian"/>
          <w:lang w:eastAsia="zh-CN"/>
        </w:rPr>
        <w:t xml:space="preserve">Group met with representatives from the Ministry of Foreign Affairs, </w:t>
      </w:r>
      <w:r w:rsidR="001C404A">
        <w:rPr>
          <w:rFonts w:eastAsia="DengXian"/>
          <w:lang w:eastAsia="zh-CN"/>
        </w:rPr>
        <w:t xml:space="preserve">the </w:t>
      </w:r>
      <w:r w:rsidR="0031432C" w:rsidRPr="0031432C">
        <w:rPr>
          <w:rFonts w:eastAsia="DengXian"/>
          <w:lang w:eastAsia="zh-CN"/>
        </w:rPr>
        <w:t xml:space="preserve">Ministry of Health, </w:t>
      </w:r>
      <w:r w:rsidR="001C404A">
        <w:rPr>
          <w:rFonts w:eastAsia="DengXian"/>
          <w:lang w:eastAsia="zh-CN"/>
        </w:rPr>
        <w:t xml:space="preserve">the </w:t>
      </w:r>
      <w:r w:rsidR="0031432C" w:rsidRPr="0031432C">
        <w:rPr>
          <w:rFonts w:eastAsia="DengXian"/>
          <w:lang w:eastAsia="zh-CN"/>
        </w:rPr>
        <w:t xml:space="preserve">Ministry of Family, Labour and Social Policy and </w:t>
      </w:r>
      <w:r w:rsidR="001C404A">
        <w:rPr>
          <w:rFonts w:eastAsia="DengXian"/>
          <w:lang w:eastAsia="zh-CN"/>
        </w:rPr>
        <w:t xml:space="preserve">the </w:t>
      </w:r>
      <w:r w:rsidR="0031432C" w:rsidRPr="0031432C">
        <w:rPr>
          <w:rFonts w:eastAsia="DengXian"/>
          <w:lang w:eastAsia="zh-CN"/>
        </w:rPr>
        <w:t xml:space="preserve">National Labour Inspectorate, </w:t>
      </w:r>
      <w:r w:rsidR="001C404A">
        <w:rPr>
          <w:rFonts w:eastAsia="DengXian"/>
          <w:lang w:eastAsia="zh-CN"/>
        </w:rPr>
        <w:t xml:space="preserve">the </w:t>
      </w:r>
      <w:r w:rsidR="0031432C" w:rsidRPr="0031432C">
        <w:rPr>
          <w:rFonts w:eastAsia="DengXian"/>
          <w:lang w:eastAsia="zh-CN"/>
        </w:rPr>
        <w:t xml:space="preserve">Ministry of Science and Higher Education, </w:t>
      </w:r>
      <w:r w:rsidR="001C404A">
        <w:rPr>
          <w:rFonts w:eastAsia="DengXian"/>
          <w:lang w:eastAsia="zh-CN"/>
        </w:rPr>
        <w:t xml:space="preserve">the </w:t>
      </w:r>
      <w:r w:rsidR="0031432C" w:rsidRPr="0031432C">
        <w:rPr>
          <w:rFonts w:eastAsia="DengXian"/>
          <w:lang w:eastAsia="zh-CN"/>
        </w:rPr>
        <w:t xml:space="preserve">Ministry of National Education, </w:t>
      </w:r>
      <w:r w:rsidR="001C404A">
        <w:rPr>
          <w:rFonts w:eastAsia="DengXian"/>
          <w:lang w:eastAsia="zh-CN"/>
        </w:rPr>
        <w:t xml:space="preserve">the </w:t>
      </w:r>
      <w:r w:rsidR="0031432C" w:rsidRPr="0031432C">
        <w:rPr>
          <w:rFonts w:eastAsia="DengXian"/>
          <w:lang w:eastAsia="zh-CN"/>
        </w:rPr>
        <w:t xml:space="preserve">Ministry of Justice, </w:t>
      </w:r>
      <w:r w:rsidR="001C404A">
        <w:rPr>
          <w:rFonts w:eastAsia="DengXian"/>
          <w:lang w:eastAsia="zh-CN"/>
        </w:rPr>
        <w:t xml:space="preserve">the </w:t>
      </w:r>
      <w:r w:rsidR="0031432C" w:rsidRPr="0031432C">
        <w:rPr>
          <w:rFonts w:eastAsia="DengXian"/>
          <w:lang w:eastAsia="zh-CN"/>
        </w:rPr>
        <w:t xml:space="preserve">National Public Prosecutor’s Office, </w:t>
      </w:r>
      <w:r w:rsidR="001C404A">
        <w:rPr>
          <w:rFonts w:eastAsia="DengXian"/>
          <w:lang w:eastAsia="zh-CN"/>
        </w:rPr>
        <w:t xml:space="preserve">the </w:t>
      </w:r>
      <w:r w:rsidR="0031432C" w:rsidRPr="0031432C">
        <w:rPr>
          <w:rFonts w:eastAsia="DengXian"/>
          <w:lang w:eastAsia="zh-CN"/>
        </w:rPr>
        <w:t xml:space="preserve">Prison Service, </w:t>
      </w:r>
      <w:r w:rsidR="001C404A">
        <w:rPr>
          <w:rFonts w:eastAsia="DengXian"/>
          <w:lang w:eastAsia="zh-CN"/>
        </w:rPr>
        <w:t xml:space="preserve">the </w:t>
      </w:r>
      <w:r w:rsidR="0031432C" w:rsidRPr="0031432C">
        <w:rPr>
          <w:rFonts w:eastAsia="DengXian"/>
          <w:lang w:eastAsia="zh-CN"/>
        </w:rPr>
        <w:t xml:space="preserve">Ministry of </w:t>
      </w:r>
      <w:r w:rsidR="005756F1">
        <w:rPr>
          <w:rFonts w:eastAsia="DengXian"/>
          <w:lang w:eastAsia="zh-CN"/>
        </w:rPr>
        <w:t xml:space="preserve">the </w:t>
      </w:r>
      <w:r w:rsidR="0031432C" w:rsidRPr="0031432C">
        <w:rPr>
          <w:rFonts w:eastAsia="DengXian"/>
          <w:lang w:eastAsia="zh-CN"/>
        </w:rPr>
        <w:t xml:space="preserve">Interior and Administration, </w:t>
      </w:r>
      <w:r w:rsidR="001C404A">
        <w:rPr>
          <w:rFonts w:eastAsia="DengXian"/>
          <w:lang w:eastAsia="zh-CN"/>
        </w:rPr>
        <w:t xml:space="preserve">the </w:t>
      </w:r>
      <w:r w:rsidR="0031432C" w:rsidRPr="0031432C">
        <w:rPr>
          <w:rFonts w:eastAsia="DengXian"/>
          <w:lang w:eastAsia="zh-CN"/>
        </w:rPr>
        <w:t xml:space="preserve">National Police, </w:t>
      </w:r>
      <w:r w:rsidR="001C404A">
        <w:rPr>
          <w:rFonts w:eastAsia="DengXian"/>
          <w:lang w:eastAsia="zh-CN"/>
        </w:rPr>
        <w:t xml:space="preserve">the </w:t>
      </w:r>
      <w:r w:rsidR="0031432C" w:rsidRPr="0031432C">
        <w:rPr>
          <w:rFonts w:eastAsia="DengXian"/>
          <w:lang w:eastAsia="zh-CN"/>
        </w:rPr>
        <w:t xml:space="preserve">Office for Foreigners, </w:t>
      </w:r>
      <w:r w:rsidR="001C404A">
        <w:rPr>
          <w:rFonts w:eastAsia="DengXian"/>
          <w:lang w:eastAsia="zh-CN"/>
        </w:rPr>
        <w:t xml:space="preserve">the </w:t>
      </w:r>
      <w:r w:rsidR="0031432C" w:rsidRPr="0031432C">
        <w:rPr>
          <w:rFonts w:eastAsia="DengXian"/>
          <w:lang w:eastAsia="zh-CN"/>
        </w:rPr>
        <w:t xml:space="preserve">Border Guard, </w:t>
      </w:r>
      <w:r w:rsidR="001C404A">
        <w:rPr>
          <w:rFonts w:eastAsia="DengXian"/>
          <w:lang w:eastAsia="zh-CN"/>
        </w:rPr>
        <w:t xml:space="preserve">the </w:t>
      </w:r>
      <w:r w:rsidR="0031432C" w:rsidRPr="0031432C">
        <w:rPr>
          <w:rFonts w:eastAsia="DengXian"/>
          <w:lang w:eastAsia="zh-CN"/>
        </w:rPr>
        <w:t>Government Plenipotentiary for Civil Society</w:t>
      </w:r>
      <w:r w:rsidR="00345E2E">
        <w:rPr>
          <w:rFonts w:eastAsia="DengXian"/>
          <w:lang w:eastAsia="zh-CN"/>
        </w:rPr>
        <w:t xml:space="preserve"> and Equal Treatment</w:t>
      </w:r>
      <w:r w:rsidR="0031432C" w:rsidRPr="0031432C">
        <w:rPr>
          <w:rFonts w:eastAsia="DengXian"/>
          <w:lang w:eastAsia="zh-CN"/>
        </w:rPr>
        <w:t xml:space="preserve">, </w:t>
      </w:r>
      <w:r w:rsidR="001C404A">
        <w:rPr>
          <w:rFonts w:eastAsia="DengXian"/>
          <w:lang w:eastAsia="zh-CN"/>
        </w:rPr>
        <w:t xml:space="preserve">the </w:t>
      </w:r>
      <w:r w:rsidR="0031432C" w:rsidRPr="0031432C">
        <w:rPr>
          <w:rFonts w:eastAsia="DengXian"/>
          <w:lang w:eastAsia="zh-CN"/>
        </w:rPr>
        <w:t>Government Plenipotentiary for the Rights of Pe</w:t>
      </w:r>
      <w:r w:rsidR="001C404A">
        <w:rPr>
          <w:rFonts w:eastAsia="DengXian"/>
          <w:lang w:eastAsia="zh-CN"/>
        </w:rPr>
        <w:t>rsons</w:t>
      </w:r>
      <w:r w:rsidR="0031432C" w:rsidRPr="0031432C">
        <w:rPr>
          <w:rFonts w:eastAsia="DengXian"/>
          <w:lang w:eastAsia="zh-CN"/>
        </w:rPr>
        <w:t xml:space="preserve"> with Disabilities, the Commissioner for Patients’ Rights, </w:t>
      </w:r>
      <w:r w:rsidR="001C404A">
        <w:rPr>
          <w:rFonts w:eastAsia="DengXian"/>
          <w:lang w:eastAsia="zh-CN"/>
        </w:rPr>
        <w:t xml:space="preserve">the </w:t>
      </w:r>
      <w:r w:rsidR="0031432C" w:rsidRPr="0031432C">
        <w:rPr>
          <w:rFonts w:eastAsia="DengXian"/>
          <w:lang w:eastAsia="zh-CN"/>
        </w:rPr>
        <w:t xml:space="preserve">Office of the National Broadcasting Council, judges from the Constitutional Tribunal and the Supreme Court, </w:t>
      </w:r>
      <w:r w:rsidR="001C404A">
        <w:rPr>
          <w:rFonts w:eastAsia="DengXian"/>
          <w:lang w:eastAsia="zh-CN"/>
        </w:rPr>
        <w:t>and</w:t>
      </w:r>
      <w:r w:rsidR="0031432C" w:rsidRPr="0031432C">
        <w:rPr>
          <w:rFonts w:eastAsia="DengXian"/>
          <w:lang w:eastAsia="zh-CN"/>
        </w:rPr>
        <w:t xml:space="preserve"> members of </w:t>
      </w:r>
      <w:r w:rsidR="001C404A">
        <w:rPr>
          <w:rFonts w:eastAsia="DengXian"/>
          <w:lang w:eastAsia="zh-CN"/>
        </w:rPr>
        <w:t>p</w:t>
      </w:r>
      <w:r w:rsidR="0031432C" w:rsidRPr="0031432C">
        <w:rPr>
          <w:rFonts w:eastAsia="DengXian"/>
          <w:lang w:eastAsia="zh-CN"/>
        </w:rPr>
        <w:t>arliament.</w:t>
      </w:r>
      <w:proofErr w:type="gramEnd"/>
      <w:r w:rsidR="0031432C" w:rsidRPr="0031432C">
        <w:rPr>
          <w:rFonts w:eastAsia="DengXian"/>
          <w:lang w:eastAsia="zh-CN"/>
        </w:rPr>
        <w:t xml:space="preserve"> The </w:t>
      </w:r>
      <w:r w:rsidR="00115100">
        <w:rPr>
          <w:rFonts w:eastAsia="DengXian"/>
          <w:lang w:eastAsia="zh-CN"/>
        </w:rPr>
        <w:t xml:space="preserve">Working </w:t>
      </w:r>
      <w:r w:rsidR="0031432C" w:rsidRPr="0031432C">
        <w:rPr>
          <w:rFonts w:eastAsia="DengXian"/>
          <w:lang w:eastAsia="zh-CN"/>
        </w:rPr>
        <w:t>Group also met with the Commissioner for Human Rights, civil society organi</w:t>
      </w:r>
      <w:r w:rsidR="001C404A">
        <w:rPr>
          <w:rFonts w:eastAsia="DengXian"/>
          <w:lang w:eastAsia="zh-CN"/>
        </w:rPr>
        <w:t>z</w:t>
      </w:r>
      <w:r w:rsidR="0031432C" w:rsidRPr="0031432C">
        <w:rPr>
          <w:rFonts w:eastAsia="DengXian"/>
          <w:lang w:eastAsia="zh-CN"/>
        </w:rPr>
        <w:t xml:space="preserve">ations working on women’s rights, scholars and representatives of the United Nations. In </w:t>
      </w:r>
      <w:proofErr w:type="spellStart"/>
      <w:r w:rsidR="00CD09FB" w:rsidRPr="00CD09FB">
        <w:rPr>
          <w:rFonts w:eastAsia="DengXian"/>
          <w:lang w:eastAsia="zh-CN"/>
        </w:rPr>
        <w:t>Łódź</w:t>
      </w:r>
      <w:proofErr w:type="spellEnd"/>
      <w:r w:rsidR="0031432C" w:rsidRPr="0031432C">
        <w:rPr>
          <w:rFonts w:eastAsia="DengXian"/>
          <w:lang w:eastAsia="zh-CN"/>
        </w:rPr>
        <w:t xml:space="preserve">, </w:t>
      </w:r>
      <w:r w:rsidR="00CD09FB" w:rsidRPr="00CD09FB">
        <w:rPr>
          <w:rFonts w:eastAsia="DengXian"/>
          <w:lang w:eastAsia="zh-CN"/>
        </w:rPr>
        <w:t>Gdańsk</w:t>
      </w:r>
      <w:r w:rsidR="0031432C" w:rsidRPr="0031432C">
        <w:rPr>
          <w:rFonts w:eastAsia="DengXian"/>
          <w:lang w:eastAsia="zh-CN"/>
        </w:rPr>
        <w:t xml:space="preserve"> and Krak</w:t>
      </w:r>
      <w:r w:rsidR="00FE7676">
        <w:rPr>
          <w:rFonts w:eastAsia="DengXian"/>
          <w:lang w:eastAsia="zh-CN"/>
        </w:rPr>
        <w:t>ó</w:t>
      </w:r>
      <w:r w:rsidR="0031432C" w:rsidRPr="0031432C">
        <w:rPr>
          <w:rFonts w:eastAsia="DengXian"/>
          <w:lang w:eastAsia="zh-CN"/>
        </w:rPr>
        <w:t>w</w:t>
      </w:r>
      <w:r w:rsidR="001C404A">
        <w:rPr>
          <w:rFonts w:eastAsia="DengXian"/>
          <w:lang w:eastAsia="zh-CN"/>
        </w:rPr>
        <w:t>,</w:t>
      </w:r>
      <w:r w:rsidR="0031432C" w:rsidRPr="0031432C">
        <w:rPr>
          <w:rFonts w:eastAsia="DengXian"/>
          <w:lang w:eastAsia="zh-CN"/>
        </w:rPr>
        <w:t xml:space="preserve"> the </w:t>
      </w:r>
      <w:r w:rsidR="00115100">
        <w:rPr>
          <w:rFonts w:eastAsia="DengXian"/>
          <w:lang w:eastAsia="zh-CN"/>
        </w:rPr>
        <w:t xml:space="preserve">Working </w:t>
      </w:r>
      <w:r w:rsidR="0031432C" w:rsidRPr="0031432C">
        <w:rPr>
          <w:rFonts w:eastAsia="DengXian"/>
          <w:lang w:eastAsia="zh-CN"/>
        </w:rPr>
        <w:t xml:space="preserve">Group held meetings with municipal authorities and representatives of municipal councils for equal treatment. The experts also visited a prison in </w:t>
      </w:r>
      <w:proofErr w:type="spellStart"/>
      <w:r w:rsidR="001C404A" w:rsidRPr="001C404A">
        <w:rPr>
          <w:rFonts w:eastAsia="DengXian"/>
          <w:lang w:eastAsia="zh-CN"/>
        </w:rPr>
        <w:t>Grudziądz</w:t>
      </w:r>
      <w:proofErr w:type="spellEnd"/>
      <w:r w:rsidR="0031432C" w:rsidRPr="0031432C">
        <w:rPr>
          <w:rFonts w:eastAsia="DengXian"/>
          <w:lang w:eastAsia="zh-CN"/>
        </w:rPr>
        <w:t xml:space="preserve"> and a high school in Krak</w:t>
      </w:r>
      <w:r w:rsidR="00FE7676">
        <w:rPr>
          <w:rFonts w:eastAsia="DengXian"/>
          <w:lang w:eastAsia="zh-CN"/>
        </w:rPr>
        <w:t>ó</w:t>
      </w:r>
      <w:r w:rsidR="0031432C" w:rsidRPr="0031432C">
        <w:rPr>
          <w:rFonts w:eastAsia="DengXian"/>
          <w:lang w:eastAsia="zh-CN"/>
        </w:rPr>
        <w:t xml:space="preserve">w. The </w:t>
      </w:r>
      <w:r w:rsidR="00115100">
        <w:rPr>
          <w:rFonts w:eastAsia="DengXian"/>
          <w:lang w:eastAsia="zh-CN"/>
        </w:rPr>
        <w:t xml:space="preserve">Working </w:t>
      </w:r>
      <w:r w:rsidR="0031432C" w:rsidRPr="0031432C">
        <w:rPr>
          <w:rFonts w:eastAsia="DengXian"/>
          <w:lang w:eastAsia="zh-CN"/>
        </w:rPr>
        <w:t>Group expresses its appreciation to all its interlocutors for their engagement and valuable input.</w:t>
      </w:r>
    </w:p>
    <w:p w14:paraId="20910C3A" w14:textId="77777777" w:rsidR="0031432C" w:rsidRPr="0031432C" w:rsidRDefault="0031432C" w:rsidP="0031432C">
      <w:pPr>
        <w:pStyle w:val="HChG"/>
        <w:rPr>
          <w:rFonts w:eastAsia="Calibri"/>
        </w:rPr>
      </w:pPr>
      <w:r>
        <w:rPr>
          <w:rFonts w:eastAsia="Calibri"/>
        </w:rPr>
        <w:tab/>
        <w:t>II.</w:t>
      </w:r>
      <w:r>
        <w:rPr>
          <w:rFonts w:eastAsia="Calibri"/>
        </w:rPr>
        <w:tab/>
      </w:r>
      <w:r w:rsidRPr="0031432C">
        <w:rPr>
          <w:rFonts w:eastAsia="Calibri"/>
        </w:rPr>
        <w:t>Context</w:t>
      </w:r>
    </w:p>
    <w:p w14:paraId="778EE016" w14:textId="7327BE2C" w:rsidR="0031432C" w:rsidRPr="0031432C" w:rsidRDefault="005F09B9" w:rsidP="0031432C">
      <w:pPr>
        <w:pStyle w:val="SingleTxtG"/>
        <w:rPr>
          <w:rFonts w:eastAsia="DengXian"/>
          <w:lang w:eastAsia="zh-CN"/>
        </w:rPr>
      </w:pPr>
      <w:r>
        <w:rPr>
          <w:rFonts w:eastAsia="DengXian"/>
          <w:lang w:eastAsia="zh-CN"/>
        </w:rPr>
        <w:t>3.</w:t>
      </w:r>
      <w:r>
        <w:rPr>
          <w:rFonts w:eastAsia="DengXian"/>
          <w:lang w:eastAsia="zh-CN"/>
        </w:rPr>
        <w:tab/>
      </w:r>
      <w:r w:rsidR="005756F1">
        <w:rPr>
          <w:rFonts w:eastAsia="DengXian"/>
          <w:lang w:eastAsia="zh-CN"/>
        </w:rPr>
        <w:t xml:space="preserve">The </w:t>
      </w:r>
      <w:r w:rsidR="0031432C" w:rsidRPr="0031432C">
        <w:rPr>
          <w:rFonts w:eastAsia="DengXian"/>
          <w:lang w:eastAsia="zh-CN"/>
        </w:rPr>
        <w:t xml:space="preserve">political transition </w:t>
      </w:r>
      <w:r w:rsidR="005756F1">
        <w:rPr>
          <w:rFonts w:eastAsia="DengXian"/>
          <w:lang w:eastAsia="zh-CN"/>
        </w:rPr>
        <w:t xml:space="preserve">of Poland </w:t>
      </w:r>
      <w:r w:rsidR="0031432C" w:rsidRPr="0031432C">
        <w:rPr>
          <w:rFonts w:eastAsia="DengXian"/>
          <w:lang w:eastAsia="zh-CN"/>
        </w:rPr>
        <w:t xml:space="preserve">from over four decades of </w:t>
      </w:r>
      <w:r w:rsidR="003E5CA7">
        <w:rPr>
          <w:rFonts w:eastAsia="DengXian"/>
          <w:lang w:eastAsia="zh-CN"/>
        </w:rPr>
        <w:t>S</w:t>
      </w:r>
      <w:r w:rsidR="0031432C" w:rsidRPr="0031432C">
        <w:rPr>
          <w:rFonts w:eastAsia="DengXian"/>
          <w:lang w:eastAsia="zh-CN"/>
        </w:rPr>
        <w:t xml:space="preserve">tate socialism to a democratic system in 1989 </w:t>
      </w:r>
      <w:proofErr w:type="gramStart"/>
      <w:r w:rsidR="0031432C" w:rsidRPr="0031432C">
        <w:rPr>
          <w:rFonts w:eastAsia="DengXian"/>
          <w:lang w:eastAsia="zh-CN"/>
        </w:rPr>
        <w:t>was followed</w:t>
      </w:r>
      <w:proofErr w:type="gramEnd"/>
      <w:r w:rsidR="0031432C" w:rsidRPr="0031432C">
        <w:rPr>
          <w:rFonts w:eastAsia="DengXian"/>
          <w:lang w:eastAsia="zh-CN"/>
        </w:rPr>
        <w:t xml:space="preserve"> by serious economic challenges. Stabili</w:t>
      </w:r>
      <w:r w:rsidR="003E5CA7">
        <w:rPr>
          <w:rFonts w:eastAsia="DengXian"/>
          <w:lang w:eastAsia="zh-CN"/>
        </w:rPr>
        <w:t>z</w:t>
      </w:r>
      <w:r w:rsidR="0031432C" w:rsidRPr="0031432C">
        <w:rPr>
          <w:rFonts w:eastAsia="DengXian"/>
          <w:lang w:eastAsia="zh-CN"/>
        </w:rPr>
        <w:t xml:space="preserve">ation of the economy was the primary task of the first </w:t>
      </w:r>
      <w:r w:rsidR="005506EB">
        <w:rPr>
          <w:rFonts w:eastAsia="DengXian"/>
          <w:lang w:eastAsia="zh-CN"/>
        </w:rPr>
        <w:t>G</w:t>
      </w:r>
      <w:r w:rsidR="0031432C" w:rsidRPr="0031432C">
        <w:rPr>
          <w:rFonts w:eastAsia="DengXian"/>
          <w:lang w:eastAsia="zh-CN"/>
        </w:rPr>
        <w:t>overnments</w:t>
      </w:r>
      <w:r w:rsidR="005506EB">
        <w:rPr>
          <w:rFonts w:eastAsia="DengXian"/>
          <w:lang w:eastAsia="zh-CN"/>
        </w:rPr>
        <w:t>,</w:t>
      </w:r>
      <w:r w:rsidR="0031432C" w:rsidRPr="0031432C">
        <w:rPr>
          <w:rFonts w:eastAsia="DengXian"/>
          <w:lang w:eastAsia="zh-CN"/>
        </w:rPr>
        <w:t xml:space="preserve"> and gender equality </w:t>
      </w:r>
      <w:proofErr w:type="gramStart"/>
      <w:r w:rsidR="0031432C" w:rsidRPr="0031432C">
        <w:rPr>
          <w:rFonts w:eastAsia="DengXian"/>
          <w:lang w:eastAsia="zh-CN"/>
        </w:rPr>
        <w:t>was not prioriti</w:t>
      </w:r>
      <w:r w:rsidR="005506EB">
        <w:rPr>
          <w:rFonts w:eastAsia="DengXian"/>
          <w:lang w:eastAsia="zh-CN"/>
        </w:rPr>
        <w:t>z</w:t>
      </w:r>
      <w:r w:rsidR="0031432C" w:rsidRPr="0031432C">
        <w:rPr>
          <w:rFonts w:eastAsia="DengXian"/>
          <w:lang w:eastAsia="zh-CN"/>
        </w:rPr>
        <w:t>ed</w:t>
      </w:r>
      <w:proofErr w:type="gramEnd"/>
      <w:r w:rsidR="0031432C" w:rsidRPr="0031432C">
        <w:rPr>
          <w:rFonts w:eastAsia="DengXian"/>
          <w:lang w:eastAsia="zh-CN"/>
        </w:rPr>
        <w:t xml:space="preserve"> on the political agenda. The rise in traditional values regarding the role of women in society, as well as the rising influence of the Catholic </w:t>
      </w:r>
      <w:r w:rsidR="00010030" w:rsidRPr="0031432C">
        <w:rPr>
          <w:rFonts w:eastAsia="DengXian"/>
          <w:lang w:eastAsia="zh-CN"/>
        </w:rPr>
        <w:t>Church</w:t>
      </w:r>
      <w:r w:rsidR="0031432C" w:rsidRPr="0031432C">
        <w:rPr>
          <w:rFonts w:eastAsia="DengXian"/>
          <w:lang w:eastAsia="zh-CN"/>
        </w:rPr>
        <w:t xml:space="preserve">, which was widely regarded as playing a key role in the pursuit of democracy, </w:t>
      </w:r>
      <w:proofErr w:type="gramStart"/>
      <w:r w:rsidR="0031432C" w:rsidRPr="0031432C">
        <w:rPr>
          <w:rFonts w:eastAsia="DengXian"/>
          <w:lang w:eastAsia="zh-CN"/>
        </w:rPr>
        <w:t>has been reported</w:t>
      </w:r>
      <w:proofErr w:type="gramEnd"/>
      <w:r w:rsidR="0031432C" w:rsidRPr="0031432C">
        <w:rPr>
          <w:rFonts w:eastAsia="DengXian"/>
          <w:lang w:eastAsia="zh-CN"/>
        </w:rPr>
        <w:t xml:space="preserve"> post-transition.</w:t>
      </w:r>
      <w:r w:rsidR="0031432C" w:rsidRPr="0031432C">
        <w:rPr>
          <w:rFonts w:eastAsia="DengXian"/>
          <w:sz w:val="18"/>
          <w:vertAlign w:val="superscript"/>
          <w:lang w:eastAsia="zh-CN"/>
        </w:rPr>
        <w:footnoteReference w:id="4"/>
      </w:r>
      <w:r w:rsidR="0031432C" w:rsidRPr="0031432C">
        <w:rPr>
          <w:rFonts w:eastAsia="DengXian"/>
          <w:lang w:eastAsia="zh-CN"/>
        </w:rPr>
        <w:t xml:space="preserve"> </w:t>
      </w:r>
      <w:r w:rsidR="005756F1">
        <w:rPr>
          <w:rFonts w:eastAsia="DengXian"/>
          <w:lang w:eastAsia="zh-CN"/>
        </w:rPr>
        <w:t>Conversely</w:t>
      </w:r>
      <w:r w:rsidR="0031432C" w:rsidRPr="0031432C">
        <w:rPr>
          <w:rFonts w:eastAsia="DengXian"/>
          <w:lang w:eastAsia="zh-CN"/>
        </w:rPr>
        <w:t xml:space="preserve">, </w:t>
      </w:r>
      <w:r w:rsidR="005756F1">
        <w:rPr>
          <w:rFonts w:eastAsia="DengXian"/>
          <w:lang w:eastAsia="zh-CN"/>
        </w:rPr>
        <w:t>the</w:t>
      </w:r>
      <w:r w:rsidR="0031432C" w:rsidRPr="0031432C">
        <w:rPr>
          <w:rFonts w:eastAsia="DengXian"/>
          <w:lang w:eastAsia="zh-CN"/>
        </w:rPr>
        <w:t xml:space="preserve"> accession</w:t>
      </w:r>
      <w:r w:rsidR="005756F1">
        <w:rPr>
          <w:rFonts w:eastAsia="DengXian"/>
          <w:lang w:eastAsia="zh-CN"/>
        </w:rPr>
        <w:t xml:space="preserve"> of Poland</w:t>
      </w:r>
      <w:r w:rsidR="0031432C" w:rsidRPr="0031432C">
        <w:rPr>
          <w:rFonts w:eastAsia="DengXian"/>
          <w:lang w:eastAsia="zh-CN"/>
        </w:rPr>
        <w:t xml:space="preserve"> to the E</w:t>
      </w:r>
      <w:r w:rsidR="00CD09FB">
        <w:rPr>
          <w:rFonts w:eastAsia="DengXian"/>
          <w:lang w:eastAsia="zh-CN"/>
        </w:rPr>
        <w:t>uropean Union</w:t>
      </w:r>
      <w:r w:rsidR="0031432C" w:rsidRPr="0031432C">
        <w:rPr>
          <w:rFonts w:eastAsia="DengXian"/>
          <w:lang w:eastAsia="zh-CN"/>
        </w:rPr>
        <w:t xml:space="preserve"> in 2004 has led to the introduction of legislative, policy and institutional reforms on gender equality and the active participation of women’s organi</w:t>
      </w:r>
      <w:r w:rsidR="005506EB">
        <w:rPr>
          <w:rFonts w:eastAsia="DengXian"/>
          <w:lang w:eastAsia="zh-CN"/>
        </w:rPr>
        <w:t>z</w:t>
      </w:r>
      <w:r w:rsidR="0031432C" w:rsidRPr="0031432C">
        <w:rPr>
          <w:rFonts w:eastAsia="DengXian"/>
          <w:lang w:eastAsia="zh-CN"/>
        </w:rPr>
        <w:t>ations in promoting equal opportunities.</w:t>
      </w:r>
      <w:r w:rsidR="0031432C" w:rsidRPr="0031432C">
        <w:rPr>
          <w:rFonts w:ascii="Calibri" w:eastAsia="DengXian" w:hAnsi="Calibri"/>
          <w:sz w:val="22"/>
          <w:szCs w:val="22"/>
          <w:vertAlign w:val="superscript"/>
          <w:lang w:eastAsia="zh-CN"/>
        </w:rPr>
        <w:footnoteReference w:id="5"/>
      </w:r>
    </w:p>
    <w:p w14:paraId="3F37B616" w14:textId="3DF872E6" w:rsidR="0031432C" w:rsidRPr="0031432C" w:rsidRDefault="005F09B9" w:rsidP="0031432C">
      <w:pPr>
        <w:pStyle w:val="SingleTxtG"/>
        <w:rPr>
          <w:rFonts w:eastAsia="DengXian"/>
          <w:highlight w:val="yellow"/>
          <w:lang w:eastAsia="zh-CN"/>
        </w:rPr>
      </w:pPr>
      <w:r>
        <w:rPr>
          <w:rFonts w:eastAsia="DengXian"/>
          <w:lang w:eastAsia="zh-CN"/>
        </w:rPr>
        <w:t>4.</w:t>
      </w:r>
      <w:r>
        <w:rPr>
          <w:rFonts w:eastAsia="DengXian"/>
          <w:lang w:eastAsia="zh-CN"/>
        </w:rPr>
        <w:tab/>
      </w:r>
      <w:r w:rsidR="00021C69">
        <w:rPr>
          <w:rFonts w:eastAsia="DengXian"/>
          <w:lang w:eastAsia="zh-CN"/>
        </w:rPr>
        <w:t>The visit of the</w:t>
      </w:r>
      <w:r w:rsidR="0031432C" w:rsidRPr="0031432C">
        <w:rPr>
          <w:rFonts w:eastAsia="DengXian"/>
          <w:lang w:eastAsia="zh-CN"/>
        </w:rPr>
        <w:t xml:space="preserve"> </w:t>
      </w:r>
      <w:r w:rsidR="00115100">
        <w:rPr>
          <w:rFonts w:eastAsia="DengXian"/>
          <w:lang w:eastAsia="zh-CN"/>
        </w:rPr>
        <w:t xml:space="preserve">Working </w:t>
      </w:r>
      <w:r w:rsidR="0031432C" w:rsidRPr="0031432C">
        <w:rPr>
          <w:rFonts w:eastAsia="DengXian"/>
          <w:lang w:eastAsia="zh-CN"/>
        </w:rPr>
        <w:t xml:space="preserve">Group took place at the time </w:t>
      </w:r>
      <w:r w:rsidR="005756F1">
        <w:rPr>
          <w:rFonts w:eastAsia="DengXian"/>
          <w:lang w:eastAsia="zh-CN"/>
        </w:rPr>
        <w:t>when</w:t>
      </w:r>
      <w:r w:rsidR="0031432C" w:rsidRPr="0031432C">
        <w:rPr>
          <w:rFonts w:eastAsia="DengXian"/>
          <w:lang w:eastAsia="zh-CN"/>
        </w:rPr>
        <w:t xml:space="preserve"> Poland</w:t>
      </w:r>
      <w:r w:rsidR="005756F1">
        <w:rPr>
          <w:rFonts w:eastAsia="DengXian"/>
          <w:lang w:eastAsia="zh-CN"/>
        </w:rPr>
        <w:t xml:space="preserve"> was</w:t>
      </w:r>
      <w:r w:rsidR="0031432C" w:rsidRPr="0031432C">
        <w:rPr>
          <w:rFonts w:eastAsia="DengXian"/>
          <w:lang w:eastAsia="zh-CN"/>
        </w:rPr>
        <w:t xml:space="preserve"> celebrati</w:t>
      </w:r>
      <w:r w:rsidR="005756F1">
        <w:rPr>
          <w:rFonts w:eastAsia="DengXian"/>
          <w:lang w:eastAsia="zh-CN"/>
        </w:rPr>
        <w:t>ng</w:t>
      </w:r>
      <w:r w:rsidR="0031432C" w:rsidRPr="0031432C">
        <w:rPr>
          <w:rFonts w:eastAsia="DengXian"/>
          <w:lang w:eastAsia="zh-CN"/>
        </w:rPr>
        <w:t xml:space="preserve"> </w:t>
      </w:r>
      <w:r w:rsidR="00827388">
        <w:rPr>
          <w:rFonts w:eastAsia="DengXian"/>
          <w:lang w:eastAsia="zh-CN"/>
        </w:rPr>
        <w:t>100</w:t>
      </w:r>
      <w:r w:rsidR="0031432C" w:rsidRPr="0031432C">
        <w:rPr>
          <w:rFonts w:eastAsia="DengXian"/>
          <w:lang w:eastAsia="zh-CN"/>
        </w:rPr>
        <w:t xml:space="preserve"> years of independence and women’s suffrage, Poland being one of the first countries in the world to have granted this right to women. The important role women have played in the country’s history and their contributions to many fields, including labour and science, </w:t>
      </w:r>
      <w:r w:rsidR="004833C7">
        <w:rPr>
          <w:rFonts w:eastAsia="DengXian"/>
          <w:lang w:eastAsia="zh-CN"/>
        </w:rPr>
        <w:t>were</w:t>
      </w:r>
      <w:r w:rsidR="0031432C" w:rsidRPr="0031432C">
        <w:rPr>
          <w:rFonts w:eastAsia="DengXian"/>
          <w:lang w:eastAsia="zh-CN"/>
        </w:rPr>
        <w:t xml:space="preserve"> being </w:t>
      </w:r>
      <w:proofErr w:type="gramStart"/>
      <w:r w:rsidR="0031432C" w:rsidRPr="0031432C">
        <w:rPr>
          <w:rFonts w:eastAsia="DengXian"/>
          <w:lang w:eastAsia="zh-CN"/>
        </w:rPr>
        <w:t>highlighted</w:t>
      </w:r>
      <w:proofErr w:type="gramEnd"/>
      <w:r w:rsidR="0031432C" w:rsidRPr="0031432C">
        <w:rPr>
          <w:rFonts w:eastAsia="DengXian"/>
          <w:lang w:eastAsia="zh-CN"/>
        </w:rPr>
        <w:t xml:space="preserve"> and celebrated nationwide. At the same time, women’s place in society </w:t>
      </w:r>
      <w:proofErr w:type="gramStart"/>
      <w:r w:rsidR="0031432C" w:rsidRPr="0031432C">
        <w:rPr>
          <w:rFonts w:eastAsia="DengXian"/>
          <w:lang w:eastAsia="zh-CN"/>
        </w:rPr>
        <w:t>was being debated</w:t>
      </w:r>
      <w:proofErr w:type="gramEnd"/>
      <w:r w:rsidR="0031432C" w:rsidRPr="0031432C">
        <w:rPr>
          <w:rFonts w:eastAsia="DengXian"/>
          <w:lang w:eastAsia="zh-CN"/>
        </w:rPr>
        <w:t xml:space="preserve"> in increasingly polari</w:t>
      </w:r>
      <w:r w:rsidR="00827388">
        <w:rPr>
          <w:rFonts w:eastAsia="DengXian"/>
          <w:lang w:eastAsia="zh-CN"/>
        </w:rPr>
        <w:t>z</w:t>
      </w:r>
      <w:r w:rsidR="0031432C" w:rsidRPr="0031432C">
        <w:rPr>
          <w:rFonts w:eastAsia="DengXian"/>
          <w:lang w:eastAsia="zh-CN"/>
        </w:rPr>
        <w:t xml:space="preserve">ed discussions. Many interlocutors pointed out that Poland </w:t>
      </w:r>
      <w:r w:rsidR="00827388">
        <w:rPr>
          <w:rFonts w:eastAsia="DengXian"/>
          <w:lang w:eastAsia="zh-CN"/>
        </w:rPr>
        <w:t>wa</w:t>
      </w:r>
      <w:r w:rsidR="0031432C" w:rsidRPr="0031432C">
        <w:rPr>
          <w:rFonts w:eastAsia="DengXian"/>
          <w:lang w:eastAsia="zh-CN"/>
        </w:rPr>
        <w:t>s at a critical moment of deciding about women’s role in society. They expressed concerns that the rise of conservatism and the political influence of the Catholic Church ha</w:t>
      </w:r>
      <w:r w:rsidR="00827388">
        <w:rPr>
          <w:rFonts w:eastAsia="DengXian"/>
          <w:lang w:eastAsia="zh-CN"/>
        </w:rPr>
        <w:t>d</w:t>
      </w:r>
      <w:r w:rsidR="0031432C" w:rsidRPr="0031432C">
        <w:rPr>
          <w:rFonts w:eastAsia="DengXian"/>
          <w:lang w:eastAsia="zh-CN"/>
        </w:rPr>
        <w:t xml:space="preserve"> </w:t>
      </w:r>
      <w:r w:rsidR="0031432C" w:rsidRPr="0031432C">
        <w:rPr>
          <w:rFonts w:eastAsia="DengXian"/>
          <w:lang w:eastAsia="zh-CN"/>
        </w:rPr>
        <w:lastRenderedPageBreak/>
        <w:t>put into question some of the gains women ha</w:t>
      </w:r>
      <w:r w:rsidR="00827388">
        <w:rPr>
          <w:rFonts w:eastAsia="DengXian"/>
          <w:lang w:eastAsia="zh-CN"/>
        </w:rPr>
        <w:t>d</w:t>
      </w:r>
      <w:r w:rsidR="0031432C" w:rsidRPr="0031432C">
        <w:rPr>
          <w:rFonts w:eastAsia="DengXian"/>
          <w:lang w:eastAsia="zh-CN"/>
        </w:rPr>
        <w:t xml:space="preserve"> fought for, particularly in relation to reproductive rights. At the same time, </w:t>
      </w:r>
      <w:r w:rsidR="00827388">
        <w:rPr>
          <w:rFonts w:eastAsia="DengXian"/>
          <w:lang w:eastAsia="zh-CN"/>
        </w:rPr>
        <w:t xml:space="preserve">the </w:t>
      </w:r>
      <w:r w:rsidR="0031432C" w:rsidRPr="0031432C">
        <w:rPr>
          <w:rFonts w:eastAsia="DengXian"/>
          <w:lang w:eastAsia="zh-CN"/>
        </w:rPr>
        <w:t xml:space="preserve">backlash </w:t>
      </w:r>
      <w:r w:rsidR="00827388">
        <w:rPr>
          <w:rFonts w:eastAsia="DengXian"/>
          <w:lang w:eastAsia="zh-CN"/>
        </w:rPr>
        <w:t>concerning</w:t>
      </w:r>
      <w:r w:rsidR="0031432C" w:rsidRPr="0031432C">
        <w:rPr>
          <w:rFonts w:eastAsia="DengXian"/>
          <w:lang w:eastAsia="zh-CN"/>
        </w:rPr>
        <w:t xml:space="preserve"> women’s human rights has generated renewed energy in the women’s movement across the country, with increasing activism among young women and at the grassroots level. Women’s rights activists have become more determined, united and visible through their continuous protests against the attempts to roll back their rights. </w:t>
      </w:r>
    </w:p>
    <w:p w14:paraId="57513AD7" w14:textId="77777777" w:rsidR="0031432C" w:rsidRPr="0031432C" w:rsidRDefault="0031432C" w:rsidP="0031432C">
      <w:pPr>
        <w:pStyle w:val="HChG"/>
        <w:rPr>
          <w:rFonts w:eastAsia="DengXian"/>
          <w:lang w:eastAsia="zh-CN"/>
        </w:rPr>
      </w:pPr>
      <w:r>
        <w:rPr>
          <w:rFonts w:eastAsia="DengXian"/>
          <w:lang w:eastAsia="zh-CN"/>
        </w:rPr>
        <w:tab/>
        <w:t>III</w:t>
      </w:r>
      <w:r>
        <w:rPr>
          <w:rFonts w:eastAsia="DengXian"/>
          <w:lang w:eastAsia="zh-CN"/>
        </w:rPr>
        <w:tab/>
      </w:r>
      <w:r w:rsidRPr="0031432C">
        <w:rPr>
          <w:rFonts w:eastAsia="DengXian"/>
          <w:lang w:eastAsia="zh-CN"/>
        </w:rPr>
        <w:t>Legal, policy and institutional frameworks</w:t>
      </w:r>
    </w:p>
    <w:p w14:paraId="624B2391" w14:textId="77777777" w:rsidR="0031432C" w:rsidRPr="00E656D1" w:rsidRDefault="00E656D1" w:rsidP="00E656D1">
      <w:pPr>
        <w:pStyle w:val="H1G"/>
      </w:pPr>
      <w:r>
        <w:tab/>
        <w:t>A.</w:t>
      </w:r>
      <w:r>
        <w:tab/>
      </w:r>
      <w:r w:rsidR="0031432C" w:rsidRPr="00E656D1">
        <w:t>Ratification of international instruments and cooperation with international human rights mechanisms</w:t>
      </w:r>
    </w:p>
    <w:p w14:paraId="77A06D3B" w14:textId="4B80E118" w:rsidR="0031432C" w:rsidRPr="0031432C" w:rsidRDefault="005F09B9" w:rsidP="0031432C">
      <w:pPr>
        <w:pStyle w:val="SingleTxtG"/>
        <w:rPr>
          <w:rFonts w:eastAsia="DengXian"/>
          <w:lang w:eastAsia="zh-CN"/>
        </w:rPr>
      </w:pPr>
      <w:proofErr w:type="gramStart"/>
      <w:r>
        <w:rPr>
          <w:rFonts w:eastAsia="DengXian"/>
          <w:lang w:eastAsia="zh-CN"/>
        </w:rPr>
        <w:t>5.</w:t>
      </w:r>
      <w:r>
        <w:rPr>
          <w:rFonts w:eastAsia="DengXian"/>
          <w:lang w:eastAsia="zh-CN"/>
        </w:rPr>
        <w:tab/>
      </w:r>
      <w:r w:rsidR="0031432C" w:rsidRPr="0031432C">
        <w:rPr>
          <w:rFonts w:eastAsia="DengXian"/>
          <w:lang w:eastAsia="zh-CN"/>
        </w:rPr>
        <w:t xml:space="preserve">Poland has a good record of ratification of international human rights treaties and has shown </w:t>
      </w:r>
      <w:r w:rsidR="00827388">
        <w:rPr>
          <w:rFonts w:eastAsia="DengXian"/>
          <w:lang w:eastAsia="zh-CN"/>
        </w:rPr>
        <w:t xml:space="preserve">a </w:t>
      </w:r>
      <w:r w:rsidR="0031432C" w:rsidRPr="0031432C">
        <w:rPr>
          <w:rFonts w:eastAsia="DengXian"/>
          <w:lang w:eastAsia="zh-CN"/>
        </w:rPr>
        <w:t>strong commitment to cooperate with United Nations human rights mechanisms, evidenced by its engagement with the treaty bodies and the universal periodic review, as well as its standing invitation to the special procedure</w:t>
      </w:r>
      <w:r w:rsidR="00827388">
        <w:rPr>
          <w:rFonts w:eastAsia="DengXian"/>
          <w:lang w:eastAsia="zh-CN"/>
        </w:rPr>
        <w:t xml:space="preserve"> mandate holders</w:t>
      </w:r>
      <w:r w:rsidR="0031432C" w:rsidRPr="0031432C">
        <w:rPr>
          <w:rFonts w:eastAsia="DengXian"/>
          <w:lang w:eastAsia="zh-CN"/>
        </w:rPr>
        <w:t xml:space="preserve"> of the Human Rights Council.</w:t>
      </w:r>
      <w:proofErr w:type="gramEnd"/>
      <w:r w:rsidR="0031432C" w:rsidRPr="0031432C">
        <w:rPr>
          <w:rFonts w:eastAsia="DengXian"/>
          <w:lang w:eastAsia="zh-CN"/>
        </w:rPr>
        <w:t xml:space="preserve"> Poland </w:t>
      </w:r>
      <w:r w:rsidR="00827388">
        <w:rPr>
          <w:rFonts w:eastAsia="DengXian"/>
          <w:lang w:eastAsia="zh-CN"/>
        </w:rPr>
        <w:t>ha</w:t>
      </w:r>
      <w:r w:rsidR="004833C7">
        <w:rPr>
          <w:rFonts w:eastAsia="DengXian"/>
          <w:lang w:eastAsia="zh-CN"/>
        </w:rPr>
        <w:t>s</w:t>
      </w:r>
      <w:r w:rsidR="00827388">
        <w:rPr>
          <w:rFonts w:eastAsia="DengXian"/>
          <w:lang w:eastAsia="zh-CN"/>
        </w:rPr>
        <w:t xml:space="preserve"> </w:t>
      </w:r>
      <w:r w:rsidR="0031432C" w:rsidRPr="0031432C">
        <w:rPr>
          <w:rFonts w:eastAsia="DengXian"/>
          <w:lang w:eastAsia="zh-CN"/>
        </w:rPr>
        <w:t xml:space="preserve">ratified seven of the nine core treaties, including the Convention </w:t>
      </w:r>
      <w:bookmarkStart w:id="0" w:name="_Hlk11846572"/>
      <w:r w:rsidR="0031432C" w:rsidRPr="0031432C">
        <w:rPr>
          <w:rFonts w:eastAsia="DengXian"/>
          <w:lang w:eastAsia="zh-CN"/>
        </w:rPr>
        <w:t>on the Elimination of All Forms of Discrimination against Women</w:t>
      </w:r>
      <w:bookmarkEnd w:id="0"/>
      <w:r w:rsidR="0031432C" w:rsidRPr="0031432C">
        <w:rPr>
          <w:rFonts w:eastAsia="DengXian"/>
          <w:lang w:eastAsia="zh-CN"/>
        </w:rPr>
        <w:t xml:space="preserve"> and its Optional Protocol, as well as the Council of Europe Convention on Preventing and Combating Violence against Women and Domestic Violence (Istanbul Convention). It has not ratified the International Convention </w:t>
      </w:r>
      <w:r w:rsidR="00086EDB">
        <w:rPr>
          <w:rFonts w:eastAsia="DengXian"/>
          <w:lang w:eastAsia="zh-CN"/>
        </w:rPr>
        <w:t>on</w:t>
      </w:r>
      <w:r w:rsidR="0031432C" w:rsidRPr="0031432C">
        <w:rPr>
          <w:rFonts w:eastAsia="DengXian"/>
          <w:lang w:eastAsia="zh-CN"/>
        </w:rPr>
        <w:t xml:space="preserve"> the Protection of </w:t>
      </w:r>
      <w:r w:rsidR="00086EDB">
        <w:rPr>
          <w:rFonts w:eastAsia="DengXian"/>
          <w:lang w:eastAsia="zh-CN"/>
        </w:rPr>
        <w:t xml:space="preserve">the Rights of </w:t>
      </w:r>
      <w:r w:rsidR="0031432C" w:rsidRPr="0031432C">
        <w:rPr>
          <w:rFonts w:eastAsia="DengXian"/>
          <w:lang w:eastAsia="zh-CN"/>
        </w:rPr>
        <w:t xml:space="preserve">All Migrant Workers and Members of </w:t>
      </w:r>
      <w:r w:rsidR="00926B99">
        <w:rPr>
          <w:rFonts w:eastAsia="DengXian"/>
          <w:lang w:eastAsia="zh-CN"/>
        </w:rPr>
        <w:t>T</w:t>
      </w:r>
      <w:r w:rsidR="0031432C" w:rsidRPr="0031432C">
        <w:rPr>
          <w:rFonts w:eastAsia="DengXian"/>
          <w:lang w:eastAsia="zh-CN"/>
        </w:rPr>
        <w:t xml:space="preserve">heir Families, the </w:t>
      </w:r>
      <w:r w:rsidR="00086EDB">
        <w:rPr>
          <w:rFonts w:eastAsia="DengXian"/>
          <w:lang w:eastAsia="zh-CN"/>
        </w:rPr>
        <w:t>International Labour Organization (</w:t>
      </w:r>
      <w:r w:rsidR="0031432C" w:rsidRPr="0031432C">
        <w:rPr>
          <w:rFonts w:eastAsia="DengXian"/>
          <w:lang w:eastAsia="zh-CN"/>
        </w:rPr>
        <w:t>ILO</w:t>
      </w:r>
      <w:r w:rsidR="00086EDB">
        <w:rPr>
          <w:rFonts w:eastAsia="DengXian"/>
          <w:lang w:eastAsia="zh-CN"/>
        </w:rPr>
        <w:t>)</w:t>
      </w:r>
      <w:r w:rsidR="0031432C" w:rsidRPr="0031432C">
        <w:rPr>
          <w:rFonts w:eastAsia="DengXian"/>
          <w:lang w:eastAsia="zh-CN"/>
        </w:rPr>
        <w:t xml:space="preserve"> Dom</w:t>
      </w:r>
      <w:r w:rsidR="00010030">
        <w:rPr>
          <w:rFonts w:eastAsia="DengXian"/>
          <w:lang w:eastAsia="zh-CN"/>
        </w:rPr>
        <w:t>estic Workers Convention</w:t>
      </w:r>
      <w:r w:rsidR="00086EDB">
        <w:rPr>
          <w:rFonts w:eastAsia="DengXian"/>
          <w:lang w:eastAsia="zh-CN"/>
        </w:rPr>
        <w:t>, 2011</w:t>
      </w:r>
      <w:r w:rsidR="00010030">
        <w:rPr>
          <w:rFonts w:eastAsia="DengXian"/>
          <w:lang w:eastAsia="zh-CN"/>
        </w:rPr>
        <w:t xml:space="preserve"> </w:t>
      </w:r>
      <w:r w:rsidR="0031432C" w:rsidRPr="0031432C">
        <w:rPr>
          <w:rFonts w:eastAsia="DengXian"/>
          <w:lang w:eastAsia="zh-CN"/>
        </w:rPr>
        <w:t xml:space="preserve">(No. 189), the Optional Protocol to the International Covenant on Economic, Social and Cultural Rights </w:t>
      </w:r>
      <w:r w:rsidR="00086EDB">
        <w:rPr>
          <w:rFonts w:eastAsia="DengXian"/>
          <w:lang w:eastAsia="zh-CN"/>
        </w:rPr>
        <w:t>or</w:t>
      </w:r>
      <w:r w:rsidR="0031432C" w:rsidRPr="0031432C">
        <w:rPr>
          <w:rFonts w:eastAsia="DengXian"/>
          <w:lang w:eastAsia="zh-CN"/>
        </w:rPr>
        <w:t xml:space="preserve"> the Optional Protocol to the Convention on the Rights of Persons with Disabilities.</w:t>
      </w:r>
    </w:p>
    <w:p w14:paraId="608B5E6D" w14:textId="5F6E08A1" w:rsidR="0031432C" w:rsidRPr="0031432C" w:rsidRDefault="00E656D1" w:rsidP="00E656D1">
      <w:pPr>
        <w:pStyle w:val="H1G"/>
        <w:rPr>
          <w:rFonts w:eastAsia="DengXian"/>
          <w:lang w:eastAsia="zh-CN"/>
        </w:rPr>
      </w:pPr>
      <w:r>
        <w:rPr>
          <w:rFonts w:eastAsia="DengXian"/>
          <w:lang w:eastAsia="zh-CN"/>
        </w:rPr>
        <w:tab/>
        <w:t>B.</w:t>
      </w:r>
      <w:r>
        <w:rPr>
          <w:rFonts w:eastAsia="DengXian"/>
          <w:lang w:eastAsia="zh-CN"/>
        </w:rPr>
        <w:tab/>
      </w:r>
      <w:r w:rsidR="0031432C" w:rsidRPr="0031432C">
        <w:rPr>
          <w:rFonts w:eastAsia="DengXian"/>
          <w:lang w:eastAsia="zh-CN"/>
        </w:rPr>
        <w:t xml:space="preserve">Constitutional, </w:t>
      </w:r>
      <w:r w:rsidR="00926B99">
        <w:rPr>
          <w:rFonts w:eastAsia="DengXian"/>
          <w:lang w:eastAsia="zh-CN"/>
        </w:rPr>
        <w:t>l</w:t>
      </w:r>
      <w:r w:rsidR="0031432C" w:rsidRPr="0031432C">
        <w:rPr>
          <w:rFonts w:eastAsia="DengXian"/>
          <w:lang w:eastAsia="zh-CN"/>
        </w:rPr>
        <w:t xml:space="preserve">egal and </w:t>
      </w:r>
      <w:r w:rsidR="00926B99">
        <w:rPr>
          <w:rFonts w:eastAsia="DengXian"/>
          <w:lang w:eastAsia="zh-CN"/>
        </w:rPr>
        <w:t>p</w:t>
      </w:r>
      <w:r w:rsidR="0031432C" w:rsidRPr="0031432C">
        <w:rPr>
          <w:rFonts w:eastAsia="DengXian"/>
          <w:lang w:eastAsia="zh-CN"/>
        </w:rPr>
        <w:t xml:space="preserve">olicy </w:t>
      </w:r>
      <w:r w:rsidR="00926B99">
        <w:rPr>
          <w:rFonts w:eastAsia="DengXian"/>
          <w:lang w:eastAsia="zh-CN"/>
        </w:rPr>
        <w:t>f</w:t>
      </w:r>
      <w:r w:rsidR="0031432C" w:rsidRPr="0031432C">
        <w:rPr>
          <w:rFonts w:eastAsia="DengXian"/>
          <w:lang w:eastAsia="zh-CN"/>
        </w:rPr>
        <w:t>ramework</w:t>
      </w:r>
    </w:p>
    <w:p w14:paraId="5DB26E50" w14:textId="4592997D" w:rsidR="0031432C" w:rsidRPr="0031432C" w:rsidRDefault="005F09B9" w:rsidP="0031432C">
      <w:pPr>
        <w:pStyle w:val="SingleTxtG"/>
        <w:rPr>
          <w:color w:val="000000"/>
          <w:lang w:eastAsia="hr-HR"/>
        </w:rPr>
      </w:pPr>
      <w:r>
        <w:rPr>
          <w:rFonts w:eastAsia="DengXian"/>
          <w:lang w:eastAsia="zh-CN"/>
        </w:rPr>
        <w:t>6.</w:t>
      </w:r>
      <w:r>
        <w:rPr>
          <w:rFonts w:eastAsia="DengXian"/>
          <w:lang w:eastAsia="zh-CN"/>
        </w:rPr>
        <w:tab/>
      </w:r>
      <w:r w:rsidR="0031432C" w:rsidRPr="0031432C">
        <w:rPr>
          <w:rFonts w:eastAsia="DengXian"/>
          <w:lang w:eastAsia="zh-CN"/>
        </w:rPr>
        <w:t>The 1997 Constitution of Poland guarantees equality in law of all persons and prohibits discrimination against anyone (</w:t>
      </w:r>
      <w:r w:rsidR="00F20DC2">
        <w:rPr>
          <w:rFonts w:eastAsia="DengXian"/>
          <w:lang w:eastAsia="zh-CN"/>
        </w:rPr>
        <w:t>a</w:t>
      </w:r>
      <w:r w:rsidR="0031432C" w:rsidRPr="0031432C">
        <w:rPr>
          <w:rFonts w:eastAsia="DengXian"/>
          <w:lang w:eastAsia="zh-CN"/>
        </w:rPr>
        <w:t>rt</w:t>
      </w:r>
      <w:r w:rsidR="00F20DC2">
        <w:rPr>
          <w:rFonts w:eastAsia="DengXian"/>
          <w:lang w:eastAsia="zh-CN"/>
        </w:rPr>
        <w:t>.</w:t>
      </w:r>
      <w:r w:rsidR="0031432C" w:rsidRPr="0031432C">
        <w:rPr>
          <w:rFonts w:eastAsia="DengXian"/>
          <w:lang w:eastAsia="zh-CN"/>
        </w:rPr>
        <w:t xml:space="preserve"> 32). In addition, it guarantees men and women equal rights </w:t>
      </w:r>
      <w:r w:rsidR="0031432C" w:rsidRPr="0031432C">
        <w:rPr>
          <w:color w:val="000000"/>
          <w:lang w:eastAsia="hr-HR"/>
        </w:rPr>
        <w:t>in family, political, social and economic life, in particular regarding education, employment and promotion, and the right to equal compensation for work of similar value, to social security, to hold office, and to receive public honours and decorations (</w:t>
      </w:r>
      <w:r w:rsidR="00F20DC2">
        <w:rPr>
          <w:color w:val="000000"/>
          <w:lang w:eastAsia="hr-HR"/>
        </w:rPr>
        <w:t>a</w:t>
      </w:r>
      <w:r w:rsidR="0031432C" w:rsidRPr="0031432C">
        <w:rPr>
          <w:color w:val="000000"/>
          <w:lang w:eastAsia="hr-HR"/>
        </w:rPr>
        <w:t>rt</w:t>
      </w:r>
      <w:r w:rsidR="00F20DC2">
        <w:rPr>
          <w:color w:val="000000"/>
          <w:lang w:eastAsia="hr-HR"/>
        </w:rPr>
        <w:t>.</w:t>
      </w:r>
      <w:r w:rsidR="0031432C" w:rsidRPr="0031432C">
        <w:rPr>
          <w:color w:val="000000"/>
          <w:lang w:eastAsia="hr-HR"/>
        </w:rPr>
        <w:t xml:space="preserve"> 33). Limitation of rights </w:t>
      </w:r>
      <w:proofErr w:type="gramStart"/>
      <w:r w:rsidR="0031432C" w:rsidRPr="0031432C">
        <w:rPr>
          <w:color w:val="000000"/>
          <w:lang w:eastAsia="hr-HR"/>
        </w:rPr>
        <w:t>on the basis of</w:t>
      </w:r>
      <w:proofErr w:type="gramEnd"/>
      <w:r w:rsidR="0031432C" w:rsidRPr="0031432C">
        <w:rPr>
          <w:color w:val="000000"/>
          <w:lang w:eastAsia="hr-HR"/>
        </w:rPr>
        <w:t>, inter alia, gender</w:t>
      </w:r>
      <w:r w:rsidR="00F20DC2">
        <w:rPr>
          <w:color w:val="000000"/>
          <w:lang w:eastAsia="hr-HR"/>
        </w:rPr>
        <w:t>,</w:t>
      </w:r>
      <w:r w:rsidR="0031432C" w:rsidRPr="0031432C">
        <w:rPr>
          <w:color w:val="000000"/>
          <w:lang w:eastAsia="hr-HR"/>
        </w:rPr>
        <w:t xml:space="preserve"> is prohibited (</w:t>
      </w:r>
      <w:r w:rsidR="00F20DC2">
        <w:rPr>
          <w:color w:val="000000"/>
          <w:lang w:eastAsia="hr-HR"/>
        </w:rPr>
        <w:t>a</w:t>
      </w:r>
      <w:r w:rsidR="0031432C" w:rsidRPr="0031432C">
        <w:rPr>
          <w:color w:val="000000"/>
          <w:lang w:eastAsia="hr-HR"/>
        </w:rPr>
        <w:t>rt</w:t>
      </w:r>
      <w:r w:rsidR="00F20DC2">
        <w:rPr>
          <w:color w:val="000000"/>
          <w:lang w:eastAsia="hr-HR"/>
        </w:rPr>
        <w:t>.</w:t>
      </w:r>
      <w:r w:rsidR="0031432C" w:rsidRPr="0031432C">
        <w:rPr>
          <w:color w:val="000000"/>
          <w:lang w:eastAsia="hr-HR"/>
        </w:rPr>
        <w:t xml:space="preserve"> 233(2)).</w:t>
      </w:r>
    </w:p>
    <w:p w14:paraId="213ED06D" w14:textId="29F79246" w:rsidR="0031432C" w:rsidRPr="0031432C" w:rsidRDefault="005F09B9" w:rsidP="0031432C">
      <w:pPr>
        <w:pStyle w:val="SingleTxtG"/>
        <w:rPr>
          <w:rFonts w:eastAsia="DengXian"/>
          <w:lang w:eastAsia="zh-CN"/>
        </w:rPr>
      </w:pPr>
      <w:r>
        <w:rPr>
          <w:rFonts w:eastAsia="DengXian"/>
          <w:lang w:eastAsia="zh-CN"/>
        </w:rPr>
        <w:t>7.</w:t>
      </w:r>
      <w:r>
        <w:rPr>
          <w:rFonts w:eastAsia="DengXian"/>
          <w:lang w:eastAsia="zh-CN"/>
        </w:rPr>
        <w:tab/>
      </w:r>
      <w:r w:rsidR="0031432C" w:rsidRPr="00DD7D8D">
        <w:rPr>
          <w:rFonts w:eastAsia="DengXian"/>
          <w:lang w:eastAsia="zh-CN"/>
        </w:rPr>
        <w:t>In 2010</w:t>
      </w:r>
      <w:r w:rsidR="00F20DC2" w:rsidRPr="00DD7D8D">
        <w:rPr>
          <w:rFonts w:eastAsia="DengXian"/>
          <w:lang w:eastAsia="zh-CN"/>
        </w:rPr>
        <w:t>,</w:t>
      </w:r>
      <w:r w:rsidR="0031432C" w:rsidRPr="00DD7D8D">
        <w:rPr>
          <w:rFonts w:eastAsia="DengXian"/>
          <w:lang w:eastAsia="zh-CN"/>
        </w:rPr>
        <w:t xml:space="preserve"> Poland adopted the Act on the Implementation of Certain E</w:t>
      </w:r>
      <w:r w:rsidR="00DD7D8D">
        <w:rPr>
          <w:rFonts w:eastAsia="DengXian"/>
          <w:lang w:eastAsia="zh-CN"/>
        </w:rPr>
        <w:t>uropean Union</w:t>
      </w:r>
      <w:r w:rsidR="0031432C" w:rsidRPr="00DD7D8D">
        <w:rPr>
          <w:rFonts w:eastAsia="DengXian"/>
          <w:lang w:eastAsia="zh-CN"/>
        </w:rPr>
        <w:t xml:space="preserve"> Regulations</w:t>
      </w:r>
      <w:r w:rsidR="0031432C" w:rsidRPr="0031432C">
        <w:rPr>
          <w:rFonts w:eastAsia="DengXian"/>
          <w:lang w:eastAsia="zh-CN"/>
        </w:rPr>
        <w:t xml:space="preserve"> in the Field of Equal Treatment (</w:t>
      </w:r>
      <w:r w:rsidR="00DD7D8D">
        <w:rPr>
          <w:rFonts w:eastAsia="DengXian"/>
          <w:lang w:eastAsia="zh-CN"/>
        </w:rPr>
        <w:t xml:space="preserve">the </w:t>
      </w:r>
      <w:r w:rsidR="0031432C" w:rsidRPr="0031432C">
        <w:rPr>
          <w:rFonts w:eastAsia="DengXian"/>
          <w:lang w:eastAsia="zh-CN"/>
        </w:rPr>
        <w:t>Act on Equal Treatment), in an effort to bring its legal framework in</w:t>
      </w:r>
      <w:r w:rsidR="00DD7D8D">
        <w:rPr>
          <w:rFonts w:eastAsia="DengXian"/>
          <w:lang w:eastAsia="zh-CN"/>
        </w:rPr>
        <w:t>to</w:t>
      </w:r>
      <w:r w:rsidR="0031432C" w:rsidRPr="0031432C">
        <w:rPr>
          <w:rFonts w:eastAsia="DengXian"/>
          <w:lang w:eastAsia="zh-CN"/>
        </w:rPr>
        <w:t xml:space="preserve"> line with the </w:t>
      </w:r>
      <w:r w:rsidR="00CD09FB">
        <w:rPr>
          <w:rFonts w:eastAsia="DengXian"/>
          <w:lang w:eastAsia="zh-CN"/>
        </w:rPr>
        <w:t>European Union</w:t>
      </w:r>
      <w:r w:rsidR="0031432C" w:rsidRPr="0031432C">
        <w:rPr>
          <w:rFonts w:eastAsia="DengXian"/>
          <w:lang w:eastAsia="zh-CN"/>
        </w:rPr>
        <w:t xml:space="preserve"> </w:t>
      </w:r>
      <w:r w:rsidR="0031432C" w:rsidRPr="00F4384B">
        <w:rPr>
          <w:rFonts w:eastAsia="DengXian"/>
          <w:iCs/>
          <w:lang w:eastAsia="zh-CN"/>
        </w:rPr>
        <w:t>acquis</w:t>
      </w:r>
      <w:r w:rsidR="0031432C" w:rsidRPr="0031432C">
        <w:rPr>
          <w:rFonts w:eastAsia="DengXian"/>
          <w:lang w:eastAsia="zh-CN"/>
        </w:rPr>
        <w:t>. The Act prohibits discrimination on the ground of sex (</w:t>
      </w:r>
      <w:r w:rsidR="00DD7D8D">
        <w:rPr>
          <w:rFonts w:eastAsia="DengXian"/>
          <w:lang w:eastAsia="zh-CN"/>
        </w:rPr>
        <w:t xml:space="preserve">including </w:t>
      </w:r>
      <w:r w:rsidR="0031432C" w:rsidRPr="0031432C">
        <w:rPr>
          <w:rFonts w:eastAsia="DengXian"/>
          <w:lang w:eastAsia="zh-CN"/>
        </w:rPr>
        <w:t>direct and indirect</w:t>
      </w:r>
      <w:r w:rsidR="00DD7D8D">
        <w:rPr>
          <w:rFonts w:eastAsia="DengXian"/>
          <w:lang w:eastAsia="zh-CN"/>
        </w:rPr>
        <w:t xml:space="preserve"> discrimination</w:t>
      </w:r>
      <w:r w:rsidR="0031432C" w:rsidRPr="0031432C">
        <w:rPr>
          <w:rFonts w:eastAsia="DengXian"/>
          <w:lang w:eastAsia="zh-CN"/>
        </w:rPr>
        <w:t xml:space="preserve">, harassment and sexual harassment) in addition to nine other grounds. While it covers a wide range of areas, the scope of protection differs for the </w:t>
      </w:r>
      <w:r w:rsidR="00DD7D8D">
        <w:rPr>
          <w:rFonts w:eastAsia="DengXian"/>
          <w:lang w:eastAsia="zh-CN"/>
        </w:rPr>
        <w:t>various</w:t>
      </w:r>
      <w:r w:rsidR="00DD7D8D" w:rsidRPr="0031432C">
        <w:rPr>
          <w:rFonts w:eastAsia="DengXian"/>
          <w:lang w:eastAsia="zh-CN"/>
        </w:rPr>
        <w:t xml:space="preserve"> </w:t>
      </w:r>
      <w:r w:rsidR="0031432C" w:rsidRPr="0031432C">
        <w:rPr>
          <w:rFonts w:eastAsia="DengXian"/>
          <w:lang w:eastAsia="zh-CN"/>
        </w:rPr>
        <w:t xml:space="preserve">grounds. </w:t>
      </w:r>
      <w:proofErr w:type="gramStart"/>
      <w:r w:rsidR="0031432C" w:rsidRPr="0031432C">
        <w:rPr>
          <w:rFonts w:eastAsia="DengXian"/>
          <w:lang w:eastAsia="zh-CN"/>
        </w:rPr>
        <w:t>Unequal treatment on the basis of sex is prohibited in areas such as access to vocational training</w:t>
      </w:r>
      <w:r w:rsidR="00DD7D8D">
        <w:rPr>
          <w:rFonts w:eastAsia="DengXian"/>
          <w:lang w:eastAsia="zh-CN"/>
        </w:rPr>
        <w:t>,</w:t>
      </w:r>
      <w:r w:rsidR="0031432C" w:rsidRPr="0031432C">
        <w:rPr>
          <w:rFonts w:eastAsia="DengXian"/>
          <w:lang w:eastAsia="zh-CN"/>
        </w:rPr>
        <w:t xml:space="preserve"> employment and </w:t>
      </w:r>
      <w:r w:rsidR="00DD7D8D">
        <w:rPr>
          <w:rFonts w:eastAsia="DengXian"/>
          <w:lang w:eastAsia="zh-CN"/>
        </w:rPr>
        <w:t xml:space="preserve">the </w:t>
      </w:r>
      <w:r w:rsidR="0031432C" w:rsidRPr="0031432C">
        <w:rPr>
          <w:rFonts w:eastAsia="DengXian"/>
          <w:lang w:eastAsia="zh-CN"/>
        </w:rPr>
        <w:t xml:space="preserve">performance of </w:t>
      </w:r>
      <w:r w:rsidR="00DD7D8D">
        <w:rPr>
          <w:rFonts w:eastAsia="DengXian"/>
          <w:lang w:eastAsia="zh-CN"/>
        </w:rPr>
        <w:t xml:space="preserve">a </w:t>
      </w:r>
      <w:r w:rsidR="0031432C" w:rsidRPr="0031432C">
        <w:rPr>
          <w:rFonts w:eastAsia="DengXian"/>
          <w:lang w:eastAsia="zh-CN"/>
        </w:rPr>
        <w:t>business or professional activity</w:t>
      </w:r>
      <w:r w:rsidR="00DD7D8D">
        <w:rPr>
          <w:rFonts w:eastAsia="DengXian"/>
          <w:lang w:eastAsia="zh-CN"/>
        </w:rPr>
        <w:t>,</w:t>
      </w:r>
      <w:r w:rsidR="0031432C" w:rsidRPr="0031432C">
        <w:rPr>
          <w:rFonts w:eastAsia="DengXian"/>
          <w:lang w:eastAsia="zh-CN"/>
        </w:rPr>
        <w:t xml:space="preserve"> activities in trade unions</w:t>
      </w:r>
      <w:r w:rsidR="00DD7D8D">
        <w:rPr>
          <w:rFonts w:eastAsia="DengXian"/>
          <w:lang w:eastAsia="zh-CN"/>
        </w:rPr>
        <w:t>,</w:t>
      </w:r>
      <w:r w:rsidR="0031432C" w:rsidRPr="0031432C">
        <w:rPr>
          <w:rFonts w:eastAsia="DengXian"/>
          <w:lang w:eastAsia="zh-CN"/>
        </w:rPr>
        <w:t xml:space="preserve"> employers’ organi</w:t>
      </w:r>
      <w:r w:rsidR="009A2106">
        <w:rPr>
          <w:rFonts w:eastAsia="DengXian"/>
          <w:lang w:eastAsia="zh-CN"/>
        </w:rPr>
        <w:t>z</w:t>
      </w:r>
      <w:r w:rsidR="0031432C" w:rsidRPr="0031432C">
        <w:rPr>
          <w:rFonts w:eastAsia="DengXian"/>
          <w:lang w:eastAsia="zh-CN"/>
        </w:rPr>
        <w:t>ations and governing bodies of professional organi</w:t>
      </w:r>
      <w:r w:rsidR="00DD7D8D">
        <w:rPr>
          <w:rFonts w:eastAsia="DengXian"/>
          <w:lang w:eastAsia="zh-CN"/>
        </w:rPr>
        <w:t>z</w:t>
      </w:r>
      <w:r w:rsidR="0031432C" w:rsidRPr="0031432C">
        <w:rPr>
          <w:rFonts w:eastAsia="DengXian"/>
          <w:lang w:eastAsia="zh-CN"/>
        </w:rPr>
        <w:t>ations</w:t>
      </w:r>
      <w:r w:rsidR="00DD7D8D">
        <w:rPr>
          <w:rFonts w:eastAsia="DengXian"/>
          <w:lang w:eastAsia="zh-CN"/>
        </w:rPr>
        <w:t>,</w:t>
      </w:r>
      <w:r w:rsidR="0031432C" w:rsidRPr="0031432C">
        <w:rPr>
          <w:rFonts w:eastAsia="DengXian"/>
          <w:lang w:eastAsia="zh-CN"/>
        </w:rPr>
        <w:t xml:space="preserve"> access to and conditions o</w:t>
      </w:r>
      <w:r w:rsidR="00DD7D8D">
        <w:rPr>
          <w:rFonts w:eastAsia="DengXian"/>
          <w:lang w:eastAsia="zh-CN"/>
        </w:rPr>
        <w:t>n</w:t>
      </w:r>
      <w:r w:rsidR="0031432C" w:rsidRPr="0031432C">
        <w:rPr>
          <w:rFonts w:eastAsia="DengXian"/>
          <w:lang w:eastAsia="zh-CN"/>
        </w:rPr>
        <w:t xml:space="preserve"> the use of labour market instruments and services</w:t>
      </w:r>
      <w:r w:rsidR="00DD7D8D">
        <w:rPr>
          <w:rFonts w:eastAsia="DengXian"/>
          <w:lang w:eastAsia="zh-CN"/>
        </w:rPr>
        <w:t>,</w:t>
      </w:r>
      <w:r w:rsidR="0031432C" w:rsidRPr="0031432C">
        <w:rPr>
          <w:rFonts w:eastAsia="DengXian"/>
          <w:lang w:eastAsia="zh-CN"/>
        </w:rPr>
        <w:t xml:space="preserve"> social security</w:t>
      </w:r>
      <w:r w:rsidR="00DD7D8D">
        <w:rPr>
          <w:rFonts w:eastAsia="DengXian"/>
          <w:lang w:eastAsia="zh-CN"/>
        </w:rPr>
        <w:t>, and</w:t>
      </w:r>
      <w:r w:rsidR="0031432C" w:rsidRPr="0031432C">
        <w:rPr>
          <w:rFonts w:eastAsia="DengXian"/>
          <w:lang w:eastAsia="zh-CN"/>
        </w:rPr>
        <w:t xml:space="preserve"> access to services, but </w:t>
      </w:r>
      <w:r w:rsidR="00DD7D8D">
        <w:rPr>
          <w:rFonts w:eastAsia="DengXian"/>
          <w:lang w:eastAsia="zh-CN"/>
        </w:rPr>
        <w:t xml:space="preserve">it is not prohibited </w:t>
      </w:r>
      <w:r w:rsidR="0031432C" w:rsidRPr="0031432C">
        <w:rPr>
          <w:rFonts w:eastAsia="DengXian"/>
          <w:lang w:eastAsia="zh-CN"/>
        </w:rPr>
        <w:t>in the areas of health care or access to education and higher education, which are of great relevance for women’s equality.</w:t>
      </w:r>
      <w:proofErr w:type="gramEnd"/>
      <w:r w:rsidR="0031432C" w:rsidRPr="0031432C">
        <w:rPr>
          <w:rFonts w:eastAsia="DengXian"/>
          <w:lang w:eastAsia="zh-CN"/>
        </w:rPr>
        <w:t xml:space="preserve"> The Act does not specifically deal with intersectional discrimination. Moreover, very few cases have been litigated </w:t>
      </w:r>
      <w:proofErr w:type="gramStart"/>
      <w:r w:rsidR="0031432C" w:rsidRPr="0031432C">
        <w:rPr>
          <w:rFonts w:eastAsia="DengXian"/>
          <w:lang w:eastAsia="zh-CN"/>
        </w:rPr>
        <w:t>on the basis of</w:t>
      </w:r>
      <w:proofErr w:type="gramEnd"/>
      <w:r w:rsidR="0031432C" w:rsidRPr="0031432C">
        <w:rPr>
          <w:rFonts w:eastAsia="DengXian"/>
          <w:lang w:eastAsia="zh-CN"/>
        </w:rPr>
        <w:t xml:space="preserve"> the Act</w:t>
      </w:r>
      <w:r w:rsidR="00DD7D8D">
        <w:rPr>
          <w:rFonts w:eastAsia="DengXian"/>
          <w:lang w:eastAsia="zh-CN"/>
        </w:rPr>
        <w:t>,</w:t>
      </w:r>
      <w:r w:rsidR="0031432C" w:rsidRPr="0031432C">
        <w:rPr>
          <w:rFonts w:eastAsia="DengXian"/>
          <w:lang w:eastAsia="zh-CN"/>
        </w:rPr>
        <w:t xml:space="preserve"> and the Commissioner for Human Rights is of the opinion that the</w:t>
      </w:r>
      <w:r w:rsidR="00DD7D8D">
        <w:rPr>
          <w:rFonts w:eastAsia="DengXian"/>
          <w:lang w:eastAsia="zh-CN"/>
        </w:rPr>
        <w:t xml:space="preserve"> number of cases is</w:t>
      </w:r>
      <w:r w:rsidR="0031432C" w:rsidRPr="0031432C">
        <w:rPr>
          <w:rFonts w:eastAsia="DengXian"/>
          <w:lang w:eastAsia="zh-CN"/>
        </w:rPr>
        <w:t xml:space="preserve"> </w:t>
      </w:r>
      <w:r w:rsidR="00DD7D8D">
        <w:rPr>
          <w:rFonts w:eastAsia="DengXian"/>
          <w:lang w:eastAsia="zh-CN"/>
        </w:rPr>
        <w:t>disproportionat</w:t>
      </w:r>
      <w:r w:rsidR="004833C7">
        <w:rPr>
          <w:rFonts w:eastAsia="DengXian"/>
          <w:lang w:eastAsia="zh-CN"/>
        </w:rPr>
        <w:t>e</w:t>
      </w:r>
      <w:r w:rsidR="0031432C" w:rsidRPr="0031432C">
        <w:rPr>
          <w:rFonts w:eastAsia="DengXian"/>
          <w:lang w:eastAsia="zh-CN"/>
        </w:rPr>
        <w:t xml:space="preserve"> to the scale of discrimination in the country.</w:t>
      </w:r>
    </w:p>
    <w:p w14:paraId="01CEA584" w14:textId="18076A40" w:rsidR="0031432C" w:rsidRPr="0031432C" w:rsidRDefault="005F09B9" w:rsidP="0031432C">
      <w:pPr>
        <w:pStyle w:val="SingleTxtG"/>
        <w:rPr>
          <w:rFonts w:eastAsia="DengXian"/>
          <w:lang w:eastAsia="zh-CN"/>
        </w:rPr>
      </w:pPr>
      <w:proofErr w:type="gramStart"/>
      <w:r>
        <w:rPr>
          <w:rFonts w:eastAsia="DengXian"/>
          <w:lang w:eastAsia="zh-CN"/>
        </w:rPr>
        <w:t>8.</w:t>
      </w:r>
      <w:r>
        <w:rPr>
          <w:rFonts w:eastAsia="DengXian"/>
          <w:lang w:eastAsia="zh-CN"/>
        </w:rPr>
        <w:tab/>
      </w:r>
      <w:r w:rsidR="0031432C" w:rsidRPr="0031432C">
        <w:rPr>
          <w:rFonts w:eastAsia="DengXian"/>
          <w:lang w:eastAsia="zh-CN"/>
        </w:rPr>
        <w:t xml:space="preserve">There are other legislative acts </w:t>
      </w:r>
      <w:r w:rsidR="00873B5F">
        <w:rPr>
          <w:rFonts w:eastAsia="DengXian"/>
          <w:lang w:eastAsia="zh-CN"/>
        </w:rPr>
        <w:t xml:space="preserve">that are </w:t>
      </w:r>
      <w:r w:rsidR="0031432C" w:rsidRPr="0031432C">
        <w:rPr>
          <w:rFonts w:eastAsia="DengXian"/>
          <w:lang w:eastAsia="zh-CN"/>
        </w:rPr>
        <w:t>relevant for women’s rights, including</w:t>
      </w:r>
      <w:r w:rsidR="00866B5A">
        <w:rPr>
          <w:rFonts w:eastAsia="DengXian"/>
          <w:lang w:eastAsia="zh-CN"/>
        </w:rPr>
        <w:t>:</w:t>
      </w:r>
      <w:r w:rsidR="0031432C" w:rsidRPr="0031432C">
        <w:rPr>
          <w:rFonts w:eastAsia="DengXian"/>
          <w:lang w:eastAsia="zh-CN"/>
        </w:rPr>
        <w:t xml:space="preserve"> the Labour Code</w:t>
      </w:r>
      <w:r w:rsidR="00866B5A">
        <w:rPr>
          <w:rFonts w:eastAsia="DengXian"/>
          <w:lang w:eastAsia="zh-CN"/>
        </w:rPr>
        <w:t>;</w:t>
      </w:r>
      <w:r w:rsidR="0031432C" w:rsidRPr="0031432C">
        <w:rPr>
          <w:rFonts w:eastAsia="DengXian"/>
          <w:lang w:eastAsia="zh-CN"/>
        </w:rPr>
        <w:t xml:space="preserve"> the Civil Code</w:t>
      </w:r>
      <w:r w:rsidR="00866B5A">
        <w:rPr>
          <w:rFonts w:eastAsia="DengXian"/>
          <w:lang w:eastAsia="zh-CN"/>
        </w:rPr>
        <w:t>;</w:t>
      </w:r>
      <w:r w:rsidR="0031432C" w:rsidRPr="0031432C">
        <w:rPr>
          <w:rFonts w:eastAsia="DengXian"/>
          <w:lang w:eastAsia="zh-CN"/>
        </w:rPr>
        <w:t xml:space="preserve"> the </w:t>
      </w:r>
      <w:r w:rsidR="00DD7D8D">
        <w:rPr>
          <w:rFonts w:eastAsia="DengXian"/>
          <w:lang w:eastAsia="zh-CN"/>
        </w:rPr>
        <w:t>Criminal</w:t>
      </w:r>
      <w:r w:rsidR="0031432C" w:rsidRPr="0031432C">
        <w:rPr>
          <w:rFonts w:eastAsia="DengXian"/>
          <w:lang w:eastAsia="zh-CN"/>
        </w:rPr>
        <w:t xml:space="preserve"> Code</w:t>
      </w:r>
      <w:r w:rsidR="00866B5A">
        <w:rPr>
          <w:rFonts w:eastAsia="DengXian"/>
          <w:lang w:eastAsia="zh-CN"/>
        </w:rPr>
        <w:t>;</w:t>
      </w:r>
      <w:r w:rsidR="0031432C" w:rsidRPr="0031432C">
        <w:rPr>
          <w:rFonts w:eastAsia="DengXian"/>
          <w:lang w:eastAsia="zh-CN"/>
        </w:rPr>
        <w:t xml:space="preserve"> the Family and Guardianship Code</w:t>
      </w:r>
      <w:r w:rsidR="00866B5A">
        <w:rPr>
          <w:rFonts w:eastAsia="DengXian"/>
          <w:lang w:eastAsia="zh-CN"/>
        </w:rPr>
        <w:t>;</w:t>
      </w:r>
      <w:r w:rsidR="0031432C" w:rsidRPr="0031432C">
        <w:rPr>
          <w:rFonts w:eastAsia="DengXian"/>
          <w:lang w:eastAsia="zh-CN"/>
        </w:rPr>
        <w:t xml:space="preserve"> the Act on </w:t>
      </w:r>
      <w:r w:rsidR="00866B5A">
        <w:rPr>
          <w:rFonts w:eastAsia="DengXian"/>
          <w:lang w:eastAsia="zh-CN"/>
        </w:rPr>
        <w:t xml:space="preserve">the </w:t>
      </w:r>
      <w:r w:rsidR="0031432C" w:rsidRPr="0031432C">
        <w:rPr>
          <w:rFonts w:eastAsia="DengXian"/>
          <w:lang w:eastAsia="zh-CN"/>
        </w:rPr>
        <w:t xml:space="preserve">Prevention of Violence in </w:t>
      </w:r>
      <w:r w:rsidR="00873B5F">
        <w:rPr>
          <w:rFonts w:eastAsia="DengXian"/>
          <w:lang w:eastAsia="zh-CN"/>
        </w:rPr>
        <w:t xml:space="preserve">the </w:t>
      </w:r>
      <w:r w:rsidR="0031432C" w:rsidRPr="0031432C">
        <w:rPr>
          <w:rFonts w:eastAsia="DengXian"/>
          <w:lang w:eastAsia="zh-CN"/>
        </w:rPr>
        <w:t>Family</w:t>
      </w:r>
      <w:r w:rsidR="00866B5A">
        <w:rPr>
          <w:rFonts w:eastAsia="DengXian"/>
          <w:lang w:eastAsia="zh-CN"/>
        </w:rPr>
        <w:t>;</w:t>
      </w:r>
      <w:r w:rsidR="0031432C" w:rsidRPr="0031432C">
        <w:rPr>
          <w:rFonts w:eastAsia="DengXian"/>
          <w:lang w:eastAsia="zh-CN"/>
        </w:rPr>
        <w:t xml:space="preserve"> the Act on Employment Promotion and Labour Market Institutions</w:t>
      </w:r>
      <w:r w:rsidR="00866B5A">
        <w:rPr>
          <w:rFonts w:eastAsia="DengXian"/>
          <w:lang w:eastAsia="zh-CN"/>
        </w:rPr>
        <w:t>;</w:t>
      </w:r>
      <w:r w:rsidR="0031432C" w:rsidRPr="0031432C">
        <w:rPr>
          <w:rFonts w:eastAsia="DengXian"/>
          <w:lang w:eastAsia="zh-CN"/>
        </w:rPr>
        <w:t xml:space="preserve"> the Act on Mental Health Protection</w:t>
      </w:r>
      <w:r w:rsidR="00866B5A">
        <w:rPr>
          <w:rFonts w:eastAsia="DengXian"/>
          <w:lang w:eastAsia="zh-CN"/>
        </w:rPr>
        <w:t>;</w:t>
      </w:r>
      <w:r w:rsidR="0031432C" w:rsidRPr="0031432C">
        <w:rPr>
          <w:rFonts w:eastAsia="DengXian"/>
          <w:lang w:eastAsia="zh-CN"/>
        </w:rPr>
        <w:t xml:space="preserve"> the Act on Family Planning, Protection of the Foetus and Conditions for the Admissibility of Abortion</w:t>
      </w:r>
      <w:r w:rsidR="00866B5A">
        <w:rPr>
          <w:rFonts w:eastAsia="DengXian"/>
          <w:lang w:eastAsia="zh-CN"/>
        </w:rPr>
        <w:t>;</w:t>
      </w:r>
      <w:r w:rsidR="0031432C" w:rsidRPr="0031432C">
        <w:rPr>
          <w:rFonts w:eastAsia="DengXian"/>
          <w:lang w:eastAsia="zh-CN"/>
        </w:rPr>
        <w:t xml:space="preserve"> the Act on Social </w:t>
      </w:r>
      <w:r w:rsidR="002B47CB">
        <w:rPr>
          <w:rFonts w:eastAsia="DengXian"/>
          <w:lang w:eastAsia="zh-CN"/>
        </w:rPr>
        <w:t>Assistance</w:t>
      </w:r>
      <w:r w:rsidR="00866B5A">
        <w:rPr>
          <w:rFonts w:eastAsia="DengXian"/>
          <w:lang w:eastAsia="zh-CN"/>
        </w:rPr>
        <w:t>;</w:t>
      </w:r>
      <w:r w:rsidR="0031432C" w:rsidRPr="0031432C">
        <w:rPr>
          <w:rFonts w:eastAsia="DengXian"/>
          <w:lang w:eastAsia="zh-CN"/>
        </w:rPr>
        <w:t xml:space="preserve"> the Act on </w:t>
      </w:r>
      <w:r w:rsidR="00866B5A">
        <w:rPr>
          <w:rFonts w:eastAsia="DengXian"/>
          <w:lang w:eastAsia="zh-CN"/>
        </w:rPr>
        <w:t xml:space="preserve">the </w:t>
      </w:r>
      <w:r w:rsidR="0031432C" w:rsidRPr="0031432C">
        <w:rPr>
          <w:rFonts w:eastAsia="DengXian"/>
          <w:lang w:eastAsia="zh-CN"/>
        </w:rPr>
        <w:t>Education System</w:t>
      </w:r>
      <w:r w:rsidR="00866B5A">
        <w:rPr>
          <w:rFonts w:eastAsia="DengXian"/>
          <w:lang w:eastAsia="zh-CN"/>
        </w:rPr>
        <w:t>;</w:t>
      </w:r>
      <w:r w:rsidR="0031432C" w:rsidRPr="0031432C">
        <w:rPr>
          <w:rFonts w:eastAsia="DengXian"/>
          <w:lang w:eastAsia="zh-CN"/>
        </w:rPr>
        <w:t xml:space="preserve"> </w:t>
      </w:r>
      <w:r w:rsidR="00866B5A">
        <w:rPr>
          <w:rFonts w:eastAsia="DengXian"/>
          <w:lang w:eastAsia="zh-CN"/>
        </w:rPr>
        <w:t xml:space="preserve">and </w:t>
      </w:r>
      <w:r w:rsidR="0031432C" w:rsidRPr="0031432C">
        <w:rPr>
          <w:rFonts w:eastAsia="DengXian"/>
          <w:lang w:eastAsia="zh-CN"/>
        </w:rPr>
        <w:t>the Act on Health</w:t>
      </w:r>
      <w:r w:rsidR="00866B5A">
        <w:rPr>
          <w:rFonts w:eastAsia="DengXian"/>
          <w:lang w:eastAsia="zh-CN"/>
        </w:rPr>
        <w:t>-</w:t>
      </w:r>
      <w:r w:rsidR="0031432C" w:rsidRPr="0031432C">
        <w:rPr>
          <w:rFonts w:eastAsia="DengXian"/>
          <w:lang w:eastAsia="zh-CN"/>
        </w:rPr>
        <w:t>Care Services. </w:t>
      </w:r>
      <w:proofErr w:type="gramEnd"/>
    </w:p>
    <w:p w14:paraId="6FB06A1A" w14:textId="307F7427" w:rsidR="0031432C" w:rsidRPr="0031432C" w:rsidRDefault="005F09B9" w:rsidP="0031432C">
      <w:pPr>
        <w:pStyle w:val="SingleTxtG"/>
        <w:rPr>
          <w:rFonts w:eastAsia="DengXian"/>
          <w:lang w:eastAsia="zh-CN"/>
        </w:rPr>
      </w:pPr>
      <w:r>
        <w:rPr>
          <w:rFonts w:eastAsia="DengXian"/>
          <w:lang w:eastAsia="zh-CN"/>
        </w:rPr>
        <w:lastRenderedPageBreak/>
        <w:t>9.</w:t>
      </w:r>
      <w:r>
        <w:rPr>
          <w:rFonts w:eastAsia="DengXian"/>
          <w:lang w:eastAsia="zh-CN"/>
        </w:rPr>
        <w:tab/>
      </w:r>
      <w:r w:rsidR="0031432C" w:rsidRPr="0031432C">
        <w:rPr>
          <w:rFonts w:eastAsia="DengXian"/>
          <w:lang w:eastAsia="zh-CN"/>
        </w:rPr>
        <w:t>At present</w:t>
      </w:r>
      <w:r w:rsidR="009A2106">
        <w:rPr>
          <w:rFonts w:eastAsia="DengXian"/>
          <w:lang w:eastAsia="zh-CN"/>
        </w:rPr>
        <w:t>,</w:t>
      </w:r>
      <w:r w:rsidR="0031432C" w:rsidRPr="0031432C">
        <w:rPr>
          <w:rFonts w:eastAsia="DengXian"/>
          <w:lang w:eastAsia="zh-CN"/>
        </w:rPr>
        <w:t xml:space="preserve"> Poland does not have a national strategy </w:t>
      </w:r>
      <w:r w:rsidR="00BA2331">
        <w:rPr>
          <w:rFonts w:eastAsia="DengXian"/>
          <w:lang w:eastAsia="zh-CN"/>
        </w:rPr>
        <w:t>or</w:t>
      </w:r>
      <w:r w:rsidR="0031432C" w:rsidRPr="0031432C">
        <w:rPr>
          <w:rFonts w:eastAsia="DengXian"/>
          <w:lang w:eastAsia="zh-CN"/>
        </w:rPr>
        <w:t xml:space="preserve"> plan for gender equality and women’s empowerment. The evaluation of the former National Action Plan for Equal Treatment (2013</w:t>
      </w:r>
      <w:r w:rsidR="009A2106">
        <w:rPr>
          <w:rFonts w:ascii="Arial" w:hAnsi="Arial" w:cs="Arial"/>
          <w:color w:val="222222"/>
          <w:sz w:val="21"/>
          <w:szCs w:val="21"/>
          <w:shd w:val="clear" w:color="auto" w:fill="FFFFFF"/>
        </w:rPr>
        <w:t>–</w:t>
      </w:r>
      <w:r w:rsidR="0031432C" w:rsidRPr="0031432C">
        <w:rPr>
          <w:rFonts w:eastAsia="DengXian"/>
          <w:lang w:eastAsia="zh-CN"/>
        </w:rPr>
        <w:t xml:space="preserve">2016) </w:t>
      </w:r>
      <w:proofErr w:type="gramStart"/>
      <w:r w:rsidR="0031432C" w:rsidRPr="0031432C">
        <w:rPr>
          <w:rFonts w:eastAsia="DengXian"/>
          <w:lang w:eastAsia="zh-CN"/>
        </w:rPr>
        <w:t>has still not been published</w:t>
      </w:r>
      <w:proofErr w:type="gramEnd"/>
      <w:r w:rsidR="0031432C" w:rsidRPr="0031432C">
        <w:rPr>
          <w:rFonts w:eastAsia="DengXian"/>
          <w:lang w:eastAsia="zh-CN"/>
        </w:rPr>
        <w:t>. The absence, after more than two years, of a new plan with the appropriate accompanying budget allocations is indicative of the current lack of focus on gender equality.</w:t>
      </w:r>
    </w:p>
    <w:p w14:paraId="5DE36DA5" w14:textId="0067A440" w:rsidR="0031432C" w:rsidRPr="0031432C" w:rsidRDefault="005F09B9" w:rsidP="0031432C">
      <w:pPr>
        <w:pStyle w:val="SingleTxtG"/>
        <w:rPr>
          <w:rFonts w:eastAsia="DengXian"/>
          <w:lang w:eastAsia="zh-CN"/>
        </w:rPr>
      </w:pPr>
      <w:r>
        <w:rPr>
          <w:rFonts w:eastAsia="DengXian"/>
          <w:lang w:eastAsia="zh-CN"/>
        </w:rPr>
        <w:t>10.</w:t>
      </w:r>
      <w:r>
        <w:rPr>
          <w:rFonts w:eastAsia="DengXian"/>
          <w:lang w:eastAsia="zh-CN"/>
        </w:rPr>
        <w:tab/>
      </w:r>
      <w:r w:rsidR="00866B5A">
        <w:rPr>
          <w:rFonts w:eastAsia="DengXian"/>
          <w:lang w:eastAsia="zh-CN"/>
        </w:rPr>
        <w:t>Conversely</w:t>
      </w:r>
      <w:r w:rsidR="0031432C" w:rsidRPr="0031432C">
        <w:rPr>
          <w:rFonts w:eastAsia="DengXian"/>
          <w:lang w:eastAsia="zh-CN"/>
        </w:rPr>
        <w:t>, the National Action Plan on Women, Peace and Security 2018</w:t>
      </w:r>
      <w:r w:rsidR="00866B5A">
        <w:rPr>
          <w:rFonts w:ascii="Arial" w:hAnsi="Arial" w:cs="Arial"/>
          <w:color w:val="222222"/>
          <w:sz w:val="21"/>
          <w:szCs w:val="21"/>
          <w:shd w:val="clear" w:color="auto" w:fill="FFFFFF"/>
        </w:rPr>
        <w:t>–</w:t>
      </w:r>
      <w:r w:rsidR="0031432C" w:rsidRPr="0031432C">
        <w:rPr>
          <w:rFonts w:eastAsia="DengXian"/>
          <w:lang w:eastAsia="zh-CN"/>
        </w:rPr>
        <w:t xml:space="preserve">2021, which builds on </w:t>
      </w:r>
      <w:r w:rsidR="005756F1">
        <w:rPr>
          <w:rFonts w:eastAsia="DengXian"/>
          <w:lang w:eastAsia="zh-CN"/>
        </w:rPr>
        <w:t>the country’s</w:t>
      </w:r>
      <w:r w:rsidR="0031432C" w:rsidRPr="0031432C">
        <w:rPr>
          <w:rFonts w:eastAsia="DengXian"/>
          <w:lang w:eastAsia="zh-CN"/>
        </w:rPr>
        <w:t xml:space="preserve"> long</w:t>
      </w:r>
      <w:r w:rsidR="00F3290A">
        <w:rPr>
          <w:rFonts w:eastAsia="DengXian"/>
          <w:lang w:eastAsia="zh-CN"/>
        </w:rPr>
        <w:t>-</w:t>
      </w:r>
      <w:r w:rsidR="0031432C" w:rsidRPr="0031432C">
        <w:rPr>
          <w:rFonts w:eastAsia="DengXian"/>
          <w:lang w:eastAsia="zh-CN"/>
        </w:rPr>
        <w:t xml:space="preserve">standing support for an international women, peace and security agenda, </w:t>
      </w:r>
      <w:proofErr w:type="gramStart"/>
      <w:r w:rsidR="0031432C" w:rsidRPr="0031432C">
        <w:rPr>
          <w:rFonts w:eastAsia="DengXian"/>
          <w:lang w:eastAsia="zh-CN"/>
        </w:rPr>
        <w:t>was adopted</w:t>
      </w:r>
      <w:proofErr w:type="gramEnd"/>
      <w:r w:rsidR="0031432C" w:rsidRPr="0031432C">
        <w:rPr>
          <w:rFonts w:eastAsia="DengXian"/>
          <w:lang w:eastAsia="zh-CN"/>
        </w:rPr>
        <w:t xml:space="preserve"> in October 2018. Among other things, it aims to strengthen the position of women in uniformed services, increase the number of women heads of diplomatic missions and those serving abroad, provide training for mission staff on women’s rights and support victims of conflict</w:t>
      </w:r>
      <w:r w:rsidR="00243C7C">
        <w:rPr>
          <w:rFonts w:eastAsia="DengXian"/>
          <w:lang w:eastAsia="zh-CN"/>
        </w:rPr>
        <w:t>-</w:t>
      </w:r>
      <w:r w:rsidR="0031432C" w:rsidRPr="0031432C">
        <w:rPr>
          <w:rFonts w:eastAsia="DengXian"/>
          <w:lang w:eastAsia="zh-CN"/>
        </w:rPr>
        <w:t xml:space="preserve">related violence who may apply for international protection in Poland. </w:t>
      </w:r>
    </w:p>
    <w:p w14:paraId="78F229A1" w14:textId="77777777" w:rsidR="00E656D1" w:rsidRPr="0031432C" w:rsidRDefault="00E656D1" w:rsidP="00E656D1">
      <w:pPr>
        <w:pStyle w:val="H1G"/>
        <w:ind w:left="0" w:firstLine="0"/>
        <w:rPr>
          <w:rFonts w:eastAsia="DengXian"/>
          <w:lang w:eastAsia="zh-CN"/>
        </w:rPr>
      </w:pPr>
      <w:r>
        <w:rPr>
          <w:rFonts w:eastAsia="DengXian"/>
          <w:lang w:eastAsia="zh-CN"/>
        </w:rPr>
        <w:tab/>
      </w:r>
      <w:r w:rsidR="00E42703">
        <w:rPr>
          <w:rFonts w:eastAsia="DengXian"/>
          <w:lang w:eastAsia="zh-CN"/>
        </w:rPr>
        <w:t>C</w:t>
      </w:r>
      <w:r>
        <w:rPr>
          <w:rFonts w:eastAsia="DengXian"/>
          <w:lang w:eastAsia="zh-CN"/>
        </w:rPr>
        <w:t>.</w:t>
      </w:r>
      <w:r>
        <w:rPr>
          <w:rFonts w:eastAsia="DengXian"/>
          <w:lang w:eastAsia="zh-CN"/>
        </w:rPr>
        <w:tab/>
      </w:r>
      <w:r w:rsidRPr="0031432C">
        <w:rPr>
          <w:rFonts w:eastAsia="DengXian"/>
          <w:lang w:eastAsia="zh-CN"/>
        </w:rPr>
        <w:t xml:space="preserve">Institutional framework </w:t>
      </w:r>
    </w:p>
    <w:p w14:paraId="7D340BC2" w14:textId="46CFC087" w:rsidR="0031432C" w:rsidRPr="0031432C" w:rsidRDefault="005F09B9" w:rsidP="0031432C">
      <w:pPr>
        <w:pStyle w:val="SingleTxtG"/>
        <w:rPr>
          <w:rFonts w:eastAsia="DengXian"/>
          <w:highlight w:val="yellow"/>
          <w:lang w:eastAsia="zh-CN"/>
        </w:rPr>
      </w:pPr>
      <w:r>
        <w:rPr>
          <w:rFonts w:eastAsia="DengXian"/>
          <w:lang w:eastAsia="zh-CN"/>
        </w:rPr>
        <w:t>11.</w:t>
      </w:r>
      <w:r>
        <w:rPr>
          <w:rFonts w:eastAsia="DengXian"/>
          <w:lang w:eastAsia="zh-CN"/>
        </w:rPr>
        <w:tab/>
      </w:r>
      <w:r w:rsidR="0031432C" w:rsidRPr="0031432C">
        <w:rPr>
          <w:rFonts w:eastAsia="DengXian"/>
          <w:lang w:eastAsia="zh-CN"/>
        </w:rPr>
        <w:t>Poland does not have a dedicated institution focusing on women’s empowerment and gender equality. Rather, the Government Plenipotentiary for Civil Society and Equal Treatment is responsible for promoting and enhancing equal treatment. The institution has undergone various structural changes</w:t>
      </w:r>
      <w:r w:rsidR="00866B5A">
        <w:rPr>
          <w:rFonts w:eastAsia="DengXian"/>
          <w:lang w:eastAsia="zh-CN"/>
        </w:rPr>
        <w:t>,</w:t>
      </w:r>
      <w:r w:rsidR="0031432C" w:rsidRPr="0031432C">
        <w:rPr>
          <w:rFonts w:eastAsia="DengXian"/>
          <w:lang w:eastAsia="zh-CN"/>
        </w:rPr>
        <w:t xml:space="preserve"> and equality issues </w:t>
      </w:r>
      <w:proofErr w:type="gramStart"/>
      <w:r w:rsidR="0031432C" w:rsidRPr="0031432C">
        <w:rPr>
          <w:rFonts w:eastAsia="DengXian"/>
          <w:lang w:eastAsia="zh-CN"/>
        </w:rPr>
        <w:t xml:space="preserve">are </w:t>
      </w:r>
      <w:r w:rsidR="00866B5A" w:rsidRPr="0031432C">
        <w:rPr>
          <w:rFonts w:eastAsia="DengXian"/>
          <w:lang w:eastAsia="zh-CN"/>
        </w:rPr>
        <w:t xml:space="preserve">currently </w:t>
      </w:r>
      <w:r w:rsidR="0031432C" w:rsidRPr="0031432C">
        <w:rPr>
          <w:rFonts w:eastAsia="DengXian"/>
          <w:lang w:eastAsia="zh-CN"/>
        </w:rPr>
        <w:t>delegated</w:t>
      </w:r>
      <w:proofErr w:type="gramEnd"/>
      <w:r w:rsidR="0031432C" w:rsidRPr="0031432C">
        <w:rPr>
          <w:rFonts w:eastAsia="DengXian"/>
          <w:lang w:eastAsia="zh-CN"/>
        </w:rPr>
        <w:t xml:space="preserve"> to a small unit with a small budget. Moreover, there is no separate budget for activities to promote gender equality. The Government Plenipotentiary informed the experts that gender equality </w:t>
      </w:r>
      <w:r w:rsidR="009A2106">
        <w:rPr>
          <w:rFonts w:eastAsia="DengXian"/>
          <w:lang w:eastAsia="zh-CN"/>
        </w:rPr>
        <w:t>wa</w:t>
      </w:r>
      <w:r w:rsidR="0031432C" w:rsidRPr="0031432C">
        <w:rPr>
          <w:rFonts w:eastAsia="DengXian"/>
          <w:lang w:eastAsia="zh-CN"/>
        </w:rPr>
        <w:t xml:space="preserve">s only a narrow aspect of its work and that </w:t>
      </w:r>
      <w:r w:rsidR="00866B5A">
        <w:rPr>
          <w:rFonts w:eastAsia="DengXian"/>
          <w:lang w:eastAsia="zh-CN"/>
        </w:rPr>
        <w:t>its</w:t>
      </w:r>
      <w:r w:rsidR="0031432C" w:rsidRPr="0031432C">
        <w:rPr>
          <w:rFonts w:eastAsia="DengXian"/>
          <w:lang w:eastAsia="zh-CN"/>
        </w:rPr>
        <w:t xml:space="preserve"> mandate d</w:t>
      </w:r>
      <w:r w:rsidR="00462B17">
        <w:rPr>
          <w:rFonts w:eastAsia="DengXian"/>
          <w:lang w:eastAsia="zh-CN"/>
        </w:rPr>
        <w:t>id</w:t>
      </w:r>
      <w:r w:rsidR="0031432C" w:rsidRPr="0031432C">
        <w:rPr>
          <w:rFonts w:eastAsia="DengXian"/>
          <w:lang w:eastAsia="zh-CN"/>
        </w:rPr>
        <w:t xml:space="preserve"> not cover issues related to abortion </w:t>
      </w:r>
      <w:r w:rsidR="00021C69">
        <w:rPr>
          <w:rFonts w:eastAsia="DengXian"/>
          <w:lang w:eastAsia="zh-CN"/>
        </w:rPr>
        <w:t xml:space="preserve">and homosexuality. The </w:t>
      </w:r>
      <w:r w:rsidR="00115100">
        <w:rPr>
          <w:rFonts w:eastAsia="DengXian"/>
          <w:lang w:eastAsia="zh-CN"/>
        </w:rPr>
        <w:t xml:space="preserve">Working </w:t>
      </w:r>
      <w:r w:rsidR="0031432C" w:rsidRPr="0031432C">
        <w:rPr>
          <w:rFonts w:eastAsia="DengXian"/>
          <w:lang w:eastAsia="zh-CN"/>
        </w:rPr>
        <w:t>Group notes the assessment</w:t>
      </w:r>
      <w:r w:rsidR="00462B17">
        <w:rPr>
          <w:rFonts w:eastAsia="DengXian"/>
          <w:lang w:eastAsia="zh-CN"/>
        </w:rPr>
        <w:t xml:space="preserve"> by the Committee on the Elimination of All Forms of Discrimination against Women</w:t>
      </w:r>
      <w:r w:rsidR="0031432C" w:rsidRPr="0031432C">
        <w:rPr>
          <w:rFonts w:eastAsia="DengXian"/>
          <w:lang w:eastAsia="zh-CN"/>
        </w:rPr>
        <w:t xml:space="preserve"> that Poland has failed to implement </w:t>
      </w:r>
      <w:r w:rsidR="00243C7C">
        <w:rPr>
          <w:rFonts w:eastAsia="DengXian"/>
          <w:lang w:eastAsia="zh-CN"/>
        </w:rPr>
        <w:t>the Committee’s</w:t>
      </w:r>
      <w:r w:rsidR="0031432C" w:rsidRPr="0031432C">
        <w:rPr>
          <w:rFonts w:eastAsia="DengXian"/>
          <w:lang w:eastAsia="zh-CN"/>
        </w:rPr>
        <w:t xml:space="preserve"> recommendation </w:t>
      </w:r>
      <w:r w:rsidR="00926B99">
        <w:rPr>
          <w:rFonts w:eastAsia="DengXian"/>
          <w:lang w:eastAsia="zh-CN"/>
        </w:rPr>
        <w:t>on</w:t>
      </w:r>
      <w:r w:rsidR="0031432C" w:rsidRPr="0031432C">
        <w:rPr>
          <w:rFonts w:eastAsia="DengXian"/>
          <w:lang w:eastAsia="zh-CN"/>
        </w:rPr>
        <w:t xml:space="preserve"> strengthen</w:t>
      </w:r>
      <w:r w:rsidR="00926B99">
        <w:rPr>
          <w:rFonts w:eastAsia="DengXian"/>
          <w:lang w:eastAsia="zh-CN"/>
        </w:rPr>
        <w:t>ing</w:t>
      </w:r>
      <w:r w:rsidR="0031432C" w:rsidRPr="0031432C">
        <w:rPr>
          <w:rFonts w:eastAsia="DengXian"/>
          <w:lang w:eastAsia="zh-CN"/>
        </w:rPr>
        <w:t xml:space="preserve"> the mandate and authority of the Government Plenipotentiary for </w:t>
      </w:r>
      <w:r w:rsidR="003519EA">
        <w:rPr>
          <w:rFonts w:eastAsia="DengXian"/>
          <w:lang w:eastAsia="zh-CN"/>
        </w:rPr>
        <w:t xml:space="preserve">Civil Society </w:t>
      </w:r>
      <w:r w:rsidR="00243C7C">
        <w:rPr>
          <w:rFonts w:eastAsia="DengXian"/>
          <w:lang w:eastAsia="zh-CN"/>
        </w:rPr>
        <w:t xml:space="preserve">and </w:t>
      </w:r>
      <w:r w:rsidR="0031432C" w:rsidRPr="0031432C">
        <w:rPr>
          <w:rFonts w:eastAsia="DengXian"/>
          <w:lang w:eastAsia="zh-CN"/>
        </w:rPr>
        <w:t>Equal Treatment.</w:t>
      </w:r>
      <w:r w:rsidR="0031432C" w:rsidRPr="0031432C">
        <w:rPr>
          <w:rFonts w:eastAsia="DengXian"/>
          <w:sz w:val="18"/>
          <w:vertAlign w:val="superscript"/>
          <w:lang w:eastAsia="zh-CN"/>
        </w:rPr>
        <w:footnoteReference w:id="6"/>
      </w:r>
    </w:p>
    <w:p w14:paraId="50B3FE7F" w14:textId="168D705B" w:rsidR="0031432C" w:rsidRPr="0031432C" w:rsidRDefault="005F09B9" w:rsidP="0031432C">
      <w:pPr>
        <w:pStyle w:val="SingleTxtG"/>
        <w:rPr>
          <w:rFonts w:eastAsia="DengXian"/>
          <w:lang w:eastAsia="zh-CN"/>
        </w:rPr>
      </w:pPr>
      <w:r>
        <w:rPr>
          <w:rFonts w:eastAsia="DengXian"/>
          <w:lang w:eastAsia="zh-CN"/>
        </w:rPr>
        <w:t>12.</w:t>
      </w:r>
      <w:r>
        <w:rPr>
          <w:rFonts w:eastAsia="DengXian"/>
          <w:lang w:eastAsia="zh-CN"/>
        </w:rPr>
        <w:tab/>
      </w:r>
      <w:r w:rsidR="0031432C" w:rsidRPr="0031432C">
        <w:rPr>
          <w:rFonts w:eastAsia="DengXian"/>
          <w:lang w:eastAsia="zh-CN"/>
        </w:rPr>
        <w:t xml:space="preserve">Plenipotentiaries for equal treatment in </w:t>
      </w:r>
      <w:proofErr w:type="spellStart"/>
      <w:r w:rsidR="0031432C" w:rsidRPr="0031432C">
        <w:rPr>
          <w:rFonts w:eastAsia="DengXian"/>
          <w:i/>
          <w:lang w:eastAsia="zh-CN"/>
        </w:rPr>
        <w:t>voivodeship</w:t>
      </w:r>
      <w:proofErr w:type="spellEnd"/>
      <w:r w:rsidR="0031432C" w:rsidRPr="0031432C">
        <w:rPr>
          <w:rFonts w:eastAsia="DengXian"/>
          <w:i/>
          <w:lang w:eastAsia="zh-CN"/>
        </w:rPr>
        <w:t xml:space="preserve"> </w:t>
      </w:r>
      <w:r w:rsidR="0031432C" w:rsidRPr="0031432C">
        <w:rPr>
          <w:rFonts w:eastAsia="DengXian"/>
          <w:lang w:eastAsia="zh-CN"/>
        </w:rPr>
        <w:t xml:space="preserve">(regions) and coordinators for gender equality in ministries </w:t>
      </w:r>
      <w:r w:rsidR="006B6AA4">
        <w:rPr>
          <w:rFonts w:eastAsia="DengXian"/>
          <w:lang w:eastAsia="zh-CN"/>
        </w:rPr>
        <w:t>are</w:t>
      </w:r>
      <w:r w:rsidR="0031432C" w:rsidRPr="0031432C">
        <w:rPr>
          <w:rFonts w:eastAsia="DengXian"/>
          <w:lang w:eastAsia="zh-CN"/>
        </w:rPr>
        <w:t xml:space="preserve"> officially in place, but</w:t>
      </w:r>
      <w:r w:rsidR="006B6AA4">
        <w:rPr>
          <w:rFonts w:eastAsia="DengXian"/>
          <w:lang w:eastAsia="zh-CN"/>
        </w:rPr>
        <w:t>,</w:t>
      </w:r>
      <w:r w:rsidR="0031432C" w:rsidRPr="0031432C">
        <w:rPr>
          <w:rFonts w:eastAsia="DengXian"/>
          <w:lang w:eastAsia="zh-CN"/>
        </w:rPr>
        <w:t xml:space="preserve"> according to some interlocutors, they are not active in practice, their expertise varies</w:t>
      </w:r>
      <w:r w:rsidR="006B6AA4">
        <w:rPr>
          <w:rFonts w:eastAsia="DengXian"/>
          <w:lang w:eastAsia="zh-CN"/>
        </w:rPr>
        <w:t>,</w:t>
      </w:r>
      <w:r w:rsidR="0031432C" w:rsidRPr="0031432C">
        <w:rPr>
          <w:rFonts w:eastAsia="DengXian"/>
          <w:lang w:eastAsia="zh-CN"/>
        </w:rPr>
        <w:t xml:space="preserve"> and their coordination </w:t>
      </w:r>
      <w:proofErr w:type="gramStart"/>
      <w:r w:rsidR="0031432C" w:rsidRPr="0031432C">
        <w:rPr>
          <w:rFonts w:eastAsia="DengXian"/>
          <w:lang w:eastAsia="zh-CN"/>
        </w:rPr>
        <w:t>should be improved</w:t>
      </w:r>
      <w:proofErr w:type="gramEnd"/>
      <w:r w:rsidR="0031432C" w:rsidRPr="0031432C">
        <w:rPr>
          <w:rFonts w:eastAsia="DengXian"/>
          <w:lang w:eastAsia="zh-CN"/>
        </w:rPr>
        <w:t xml:space="preserve">. </w:t>
      </w:r>
    </w:p>
    <w:p w14:paraId="24373311" w14:textId="2D47F53D" w:rsidR="0031432C" w:rsidRPr="0031432C" w:rsidRDefault="005F09B9" w:rsidP="0031432C">
      <w:pPr>
        <w:pStyle w:val="SingleTxtG"/>
        <w:rPr>
          <w:rFonts w:eastAsia="DengXian"/>
          <w:lang w:eastAsia="zh-CN"/>
        </w:rPr>
      </w:pPr>
      <w:r>
        <w:rPr>
          <w:rFonts w:eastAsia="DengXian"/>
          <w:lang w:eastAsia="zh-CN"/>
        </w:rPr>
        <w:t>13.</w:t>
      </w:r>
      <w:r>
        <w:rPr>
          <w:rFonts w:eastAsia="DengXian"/>
          <w:lang w:eastAsia="zh-CN"/>
        </w:rPr>
        <w:tab/>
      </w:r>
      <w:r w:rsidR="0031432C" w:rsidRPr="0031432C">
        <w:rPr>
          <w:rFonts w:eastAsia="DengXian"/>
          <w:lang w:eastAsia="zh-CN"/>
        </w:rPr>
        <w:t>The Commissioner for Human Rights, as a long</w:t>
      </w:r>
      <w:r w:rsidR="006B6AA4">
        <w:rPr>
          <w:rFonts w:eastAsia="DengXian"/>
          <w:lang w:eastAsia="zh-CN"/>
        </w:rPr>
        <w:t>-</w:t>
      </w:r>
      <w:r w:rsidR="0031432C" w:rsidRPr="0031432C">
        <w:rPr>
          <w:rFonts w:eastAsia="DengXian"/>
          <w:lang w:eastAsia="zh-CN"/>
        </w:rPr>
        <w:t>standing independent human rights institution, is the designated equal treatment body pursuant to the 2010 Act on Equal Treatment, together with the Government Plenipotentiary for</w:t>
      </w:r>
      <w:r w:rsidR="003519EA">
        <w:rPr>
          <w:rFonts w:eastAsia="DengXian"/>
          <w:lang w:eastAsia="zh-CN"/>
        </w:rPr>
        <w:t xml:space="preserve"> Civil Society and</w:t>
      </w:r>
      <w:r w:rsidR="0031432C" w:rsidRPr="0031432C">
        <w:rPr>
          <w:rFonts w:eastAsia="DengXian"/>
          <w:lang w:eastAsia="zh-CN"/>
        </w:rPr>
        <w:t xml:space="preserve"> Equal Treatment. In 2015</w:t>
      </w:r>
      <w:r w:rsidR="00764BB7">
        <w:rPr>
          <w:rFonts w:eastAsia="DengXian"/>
          <w:lang w:eastAsia="zh-CN"/>
        </w:rPr>
        <w:t>,</w:t>
      </w:r>
      <w:r w:rsidR="0031432C" w:rsidRPr="0031432C">
        <w:rPr>
          <w:rFonts w:eastAsia="DengXian"/>
          <w:lang w:eastAsia="zh-CN"/>
        </w:rPr>
        <w:t xml:space="preserve"> </w:t>
      </w:r>
      <w:r w:rsidR="00764BB7">
        <w:rPr>
          <w:rFonts w:eastAsia="DengXian"/>
          <w:lang w:eastAsia="zh-CN"/>
        </w:rPr>
        <w:t>the</w:t>
      </w:r>
      <w:r w:rsidR="0031432C" w:rsidRPr="0031432C">
        <w:rPr>
          <w:rFonts w:eastAsia="DengXian"/>
          <w:lang w:eastAsia="zh-CN"/>
        </w:rPr>
        <w:t xml:space="preserve"> Deputy Human Rights </w:t>
      </w:r>
      <w:r w:rsidR="00764BB7" w:rsidRPr="0031432C">
        <w:rPr>
          <w:rFonts w:eastAsia="DengXian"/>
          <w:lang w:eastAsia="zh-CN"/>
        </w:rPr>
        <w:t xml:space="preserve">Commissioner </w:t>
      </w:r>
      <w:r w:rsidR="00764BB7">
        <w:rPr>
          <w:rFonts w:eastAsia="DengXian"/>
          <w:lang w:eastAsia="zh-CN"/>
        </w:rPr>
        <w:t>for</w:t>
      </w:r>
      <w:r w:rsidR="0031432C" w:rsidRPr="0031432C">
        <w:rPr>
          <w:rFonts w:eastAsia="DengXian"/>
          <w:lang w:eastAsia="zh-CN"/>
        </w:rPr>
        <w:t xml:space="preserve"> Equal Treatment </w:t>
      </w:r>
      <w:proofErr w:type="gramStart"/>
      <w:r w:rsidR="0031432C" w:rsidRPr="0031432C">
        <w:rPr>
          <w:rFonts w:eastAsia="DengXian"/>
          <w:lang w:eastAsia="zh-CN"/>
        </w:rPr>
        <w:t>was appointed</w:t>
      </w:r>
      <w:proofErr w:type="gramEnd"/>
      <w:r w:rsidR="0031432C" w:rsidRPr="0031432C">
        <w:rPr>
          <w:rFonts w:eastAsia="DengXian"/>
          <w:lang w:eastAsia="zh-CN"/>
        </w:rPr>
        <w:t xml:space="preserve"> and the Equal Treatment Team established. The Office </w:t>
      </w:r>
      <w:r w:rsidR="00764BB7">
        <w:rPr>
          <w:rFonts w:eastAsia="DengXian"/>
          <w:lang w:eastAsia="zh-CN"/>
        </w:rPr>
        <w:t xml:space="preserve">of the </w:t>
      </w:r>
      <w:r w:rsidR="00764BB7" w:rsidRPr="0031432C">
        <w:rPr>
          <w:rFonts w:eastAsia="DengXian"/>
          <w:lang w:eastAsia="zh-CN"/>
        </w:rPr>
        <w:t xml:space="preserve">Commissioner for Human Rights </w:t>
      </w:r>
      <w:r w:rsidR="0031432C" w:rsidRPr="0031432C">
        <w:rPr>
          <w:rFonts w:eastAsia="DengXian"/>
          <w:lang w:eastAsia="zh-CN"/>
        </w:rPr>
        <w:t xml:space="preserve">has been very active in promoting and protecting women’s rights and has gained international recognition. However, it </w:t>
      </w:r>
      <w:proofErr w:type="gramStart"/>
      <w:r w:rsidR="0031432C" w:rsidRPr="0031432C">
        <w:rPr>
          <w:rFonts w:eastAsia="DengXian"/>
          <w:lang w:eastAsia="zh-CN"/>
        </w:rPr>
        <w:t>is confronted</w:t>
      </w:r>
      <w:proofErr w:type="gramEnd"/>
      <w:r w:rsidR="0031432C" w:rsidRPr="0031432C">
        <w:rPr>
          <w:rFonts w:eastAsia="DengXian"/>
          <w:lang w:eastAsia="zh-CN"/>
        </w:rPr>
        <w:t xml:space="preserve"> with serious challenges of inadequate resources, as well as insufficient cooperation </w:t>
      </w:r>
      <w:r w:rsidR="00764BB7">
        <w:rPr>
          <w:rFonts w:eastAsia="DengXian"/>
          <w:lang w:eastAsia="zh-CN"/>
        </w:rPr>
        <w:t>from</w:t>
      </w:r>
      <w:r w:rsidR="0031432C" w:rsidRPr="0031432C">
        <w:rPr>
          <w:rFonts w:eastAsia="DengXian"/>
          <w:lang w:eastAsia="zh-CN"/>
        </w:rPr>
        <w:t xml:space="preserve"> some relevant </w:t>
      </w:r>
      <w:r w:rsidR="00764BB7">
        <w:rPr>
          <w:rFonts w:eastAsia="DengXian"/>
          <w:lang w:eastAsia="zh-CN"/>
        </w:rPr>
        <w:t>g</w:t>
      </w:r>
      <w:r w:rsidR="0031432C" w:rsidRPr="0031432C">
        <w:rPr>
          <w:rFonts w:eastAsia="DengXian"/>
          <w:lang w:eastAsia="zh-CN"/>
        </w:rPr>
        <w:t xml:space="preserve">overnmental bodies. Moreover, it is facing increasing attacks, including by some politicians, which is of serious concern. </w:t>
      </w:r>
    </w:p>
    <w:p w14:paraId="74AEE059" w14:textId="3C0A3031" w:rsidR="0031432C" w:rsidRPr="0031432C" w:rsidRDefault="005F09B9" w:rsidP="0031432C">
      <w:pPr>
        <w:pStyle w:val="SingleTxtG"/>
        <w:rPr>
          <w:rFonts w:eastAsia="DengXian"/>
          <w:lang w:eastAsia="zh-CN"/>
        </w:rPr>
      </w:pPr>
      <w:r>
        <w:rPr>
          <w:rFonts w:eastAsia="DengXian"/>
          <w:lang w:eastAsia="zh-CN"/>
        </w:rPr>
        <w:t>14.</w:t>
      </w:r>
      <w:r>
        <w:rPr>
          <w:rFonts w:eastAsia="DengXian"/>
          <w:lang w:eastAsia="zh-CN"/>
        </w:rPr>
        <w:tab/>
      </w:r>
      <w:r w:rsidR="0031432C" w:rsidRPr="0031432C">
        <w:rPr>
          <w:rFonts w:eastAsia="DengXian"/>
          <w:lang w:eastAsia="zh-CN"/>
        </w:rPr>
        <w:t xml:space="preserve">Some local authorities have developed their own models for equal treatment. Of particular note is the model in </w:t>
      </w:r>
      <w:r w:rsidR="00CD09FB" w:rsidRPr="00CD09FB">
        <w:rPr>
          <w:rFonts w:eastAsia="DengXian"/>
          <w:lang w:eastAsia="zh-CN"/>
        </w:rPr>
        <w:t>Gdańsk</w:t>
      </w:r>
      <w:r w:rsidR="00764BB7">
        <w:rPr>
          <w:rFonts w:eastAsia="DengXian"/>
          <w:lang w:eastAsia="zh-CN"/>
        </w:rPr>
        <w:t>,</w:t>
      </w:r>
      <w:r w:rsidR="0031432C" w:rsidRPr="0031432C">
        <w:rPr>
          <w:rFonts w:eastAsia="DengXian"/>
          <w:lang w:eastAsia="zh-CN"/>
        </w:rPr>
        <w:t xml:space="preserve"> which includes </w:t>
      </w:r>
      <w:r w:rsidR="00764BB7">
        <w:rPr>
          <w:rFonts w:eastAsia="DengXian"/>
          <w:lang w:eastAsia="zh-CN"/>
        </w:rPr>
        <w:t xml:space="preserve">the </w:t>
      </w:r>
      <w:r w:rsidR="0031432C" w:rsidRPr="0031432C">
        <w:rPr>
          <w:rFonts w:eastAsia="DengXian"/>
          <w:lang w:eastAsia="zh-CN"/>
        </w:rPr>
        <w:t>grounds of sex, age, ethnic and national origin, religion or worldview, disability and sexual orientation</w:t>
      </w:r>
      <w:r w:rsidR="00764BB7">
        <w:rPr>
          <w:rFonts w:eastAsia="DengXian"/>
          <w:lang w:eastAsia="zh-CN"/>
        </w:rPr>
        <w:t xml:space="preserve"> and </w:t>
      </w:r>
      <w:proofErr w:type="gramStart"/>
      <w:r w:rsidR="00764BB7">
        <w:rPr>
          <w:rFonts w:eastAsia="DengXian"/>
          <w:lang w:eastAsia="zh-CN"/>
        </w:rPr>
        <w:t xml:space="preserve">was </w:t>
      </w:r>
      <w:r w:rsidR="0031432C" w:rsidRPr="0031432C">
        <w:rPr>
          <w:rFonts w:eastAsia="DengXian"/>
          <w:lang w:eastAsia="zh-CN"/>
        </w:rPr>
        <w:t>developed</w:t>
      </w:r>
      <w:proofErr w:type="gramEnd"/>
      <w:r w:rsidR="0031432C" w:rsidRPr="0031432C">
        <w:rPr>
          <w:rFonts w:eastAsia="DengXian"/>
          <w:lang w:eastAsia="zh-CN"/>
        </w:rPr>
        <w:t xml:space="preserve"> through a broad c</w:t>
      </w:r>
      <w:r w:rsidR="00021C69">
        <w:rPr>
          <w:rFonts w:eastAsia="DengXian"/>
          <w:lang w:eastAsia="zh-CN"/>
        </w:rPr>
        <w:t>onsultation process. The</w:t>
      </w:r>
      <w:r w:rsidR="0031432C" w:rsidRPr="0031432C">
        <w:rPr>
          <w:rFonts w:eastAsia="DengXian"/>
          <w:lang w:eastAsia="zh-CN"/>
        </w:rPr>
        <w:t xml:space="preserve"> </w:t>
      </w:r>
      <w:r w:rsidR="00764BB7">
        <w:rPr>
          <w:rFonts w:eastAsia="DengXian"/>
          <w:lang w:eastAsia="zh-CN"/>
        </w:rPr>
        <w:t xml:space="preserve">Working </w:t>
      </w:r>
      <w:r w:rsidR="0031432C" w:rsidRPr="0031432C">
        <w:rPr>
          <w:rFonts w:eastAsia="DengXian"/>
          <w:lang w:eastAsia="zh-CN"/>
        </w:rPr>
        <w:t xml:space="preserve">Group considers this model </w:t>
      </w:r>
      <w:r w:rsidR="00764BB7">
        <w:rPr>
          <w:rFonts w:eastAsia="DengXian"/>
          <w:lang w:eastAsia="zh-CN"/>
        </w:rPr>
        <w:t xml:space="preserve">to be </w:t>
      </w:r>
      <w:r w:rsidR="0031432C" w:rsidRPr="0031432C">
        <w:rPr>
          <w:rFonts w:eastAsia="DengXian"/>
          <w:lang w:eastAsia="zh-CN"/>
        </w:rPr>
        <w:t>a good practice</w:t>
      </w:r>
      <w:r w:rsidR="00764BB7">
        <w:rPr>
          <w:rFonts w:eastAsia="DengXian"/>
          <w:lang w:eastAsia="zh-CN"/>
        </w:rPr>
        <w:t xml:space="preserve"> that </w:t>
      </w:r>
      <w:r w:rsidR="0031432C" w:rsidRPr="0031432C">
        <w:rPr>
          <w:rFonts w:eastAsia="DengXian"/>
          <w:lang w:eastAsia="zh-CN"/>
        </w:rPr>
        <w:t xml:space="preserve">could be replicated by other municipalities and is concerned that </w:t>
      </w:r>
      <w:proofErr w:type="gramStart"/>
      <w:r w:rsidR="0031432C" w:rsidRPr="0031432C">
        <w:rPr>
          <w:rFonts w:eastAsia="DengXian"/>
          <w:lang w:eastAsia="zh-CN"/>
        </w:rPr>
        <w:t>it has been challenged by the regional governor</w:t>
      </w:r>
      <w:proofErr w:type="gramEnd"/>
      <w:r w:rsidR="0031432C" w:rsidRPr="0031432C">
        <w:rPr>
          <w:rFonts w:eastAsia="DengXian"/>
          <w:lang w:eastAsia="zh-CN"/>
        </w:rPr>
        <w:t xml:space="preserve">. Local governments are also increasing funding </w:t>
      </w:r>
      <w:r w:rsidR="005557B8">
        <w:rPr>
          <w:rFonts w:eastAsia="DengXian"/>
          <w:lang w:eastAsia="zh-CN"/>
        </w:rPr>
        <w:t>for</w:t>
      </w:r>
      <w:r w:rsidR="0031432C" w:rsidRPr="0031432C">
        <w:rPr>
          <w:rFonts w:eastAsia="DengXian"/>
          <w:lang w:eastAsia="zh-CN"/>
        </w:rPr>
        <w:t xml:space="preserve"> women’s organizations and covering areas such as sexuality education and women’s reproductive health. However, </w:t>
      </w:r>
      <w:r w:rsidR="00115100">
        <w:rPr>
          <w:rFonts w:eastAsia="DengXian"/>
          <w:lang w:eastAsia="zh-CN"/>
        </w:rPr>
        <w:t>the Working Group</w:t>
      </w:r>
      <w:r w:rsidR="0031432C" w:rsidRPr="0031432C">
        <w:rPr>
          <w:rFonts w:eastAsia="DengXian"/>
          <w:lang w:eastAsia="zh-CN"/>
        </w:rPr>
        <w:t xml:space="preserve"> learn</w:t>
      </w:r>
      <w:r w:rsidR="00115100">
        <w:rPr>
          <w:rFonts w:eastAsia="DengXian"/>
          <w:lang w:eastAsia="zh-CN"/>
        </w:rPr>
        <w:t>ed</w:t>
      </w:r>
      <w:r w:rsidR="0031432C" w:rsidRPr="0031432C">
        <w:rPr>
          <w:rFonts w:eastAsia="DengXian"/>
          <w:lang w:eastAsia="zh-CN"/>
        </w:rPr>
        <w:t xml:space="preserve"> that there is considerable disparity in terms of local governments’ engagement in gender equality across the different regions of the country.</w:t>
      </w:r>
    </w:p>
    <w:p w14:paraId="73E1B9FA" w14:textId="4EFC02BC" w:rsidR="0031432C" w:rsidRPr="0031432C" w:rsidRDefault="005F09B9" w:rsidP="0031432C">
      <w:pPr>
        <w:pStyle w:val="SingleTxtG"/>
        <w:rPr>
          <w:rFonts w:eastAsia="DengXian"/>
          <w:lang w:eastAsia="zh-CN"/>
        </w:rPr>
      </w:pPr>
      <w:r>
        <w:rPr>
          <w:rFonts w:eastAsia="DengXian"/>
          <w:lang w:eastAsia="zh-CN"/>
        </w:rPr>
        <w:t>15.</w:t>
      </w:r>
      <w:r>
        <w:rPr>
          <w:rFonts w:eastAsia="DengXian"/>
          <w:lang w:eastAsia="zh-CN"/>
        </w:rPr>
        <w:tab/>
      </w:r>
      <w:r w:rsidR="00021C69">
        <w:rPr>
          <w:rFonts w:eastAsia="DengXian"/>
          <w:lang w:eastAsia="zh-CN"/>
        </w:rPr>
        <w:t xml:space="preserve">The </w:t>
      </w:r>
      <w:r w:rsidR="00115100">
        <w:rPr>
          <w:rFonts w:eastAsia="DengXian"/>
          <w:lang w:eastAsia="zh-CN"/>
        </w:rPr>
        <w:t xml:space="preserve">Working </w:t>
      </w:r>
      <w:r w:rsidR="0031432C" w:rsidRPr="0031432C">
        <w:rPr>
          <w:rFonts w:eastAsia="DengXian"/>
          <w:lang w:eastAsia="zh-CN"/>
        </w:rPr>
        <w:t xml:space="preserve">Group stresses that gender equality and women’s empowerment need to be addressed in a comprehensive manner both as a stand-alone goal and </w:t>
      </w:r>
      <w:r w:rsidR="002D1BDD">
        <w:rPr>
          <w:rFonts w:eastAsia="DengXian"/>
          <w:lang w:eastAsia="zh-CN"/>
        </w:rPr>
        <w:t xml:space="preserve">as </w:t>
      </w:r>
      <w:proofErr w:type="gramStart"/>
      <w:r w:rsidR="0031432C" w:rsidRPr="0031432C">
        <w:rPr>
          <w:rFonts w:eastAsia="DengXian"/>
          <w:lang w:eastAsia="zh-CN"/>
        </w:rPr>
        <w:t>cross</w:t>
      </w:r>
      <w:r w:rsidR="00115100">
        <w:rPr>
          <w:rFonts w:eastAsia="DengXian"/>
          <w:lang w:eastAsia="zh-CN"/>
        </w:rPr>
        <w:t>-</w:t>
      </w:r>
      <w:r w:rsidR="0031432C" w:rsidRPr="0031432C">
        <w:rPr>
          <w:rFonts w:eastAsia="DengXian"/>
          <w:lang w:eastAsia="zh-CN"/>
        </w:rPr>
        <w:t>cutting</w:t>
      </w:r>
      <w:proofErr w:type="gramEnd"/>
      <w:r w:rsidR="002D1BDD">
        <w:rPr>
          <w:rFonts w:eastAsia="DengXian"/>
          <w:lang w:eastAsia="zh-CN"/>
        </w:rPr>
        <w:t xml:space="preserve"> </w:t>
      </w:r>
      <w:r w:rsidR="002D1BDD">
        <w:rPr>
          <w:rFonts w:eastAsia="DengXian"/>
          <w:lang w:eastAsia="zh-CN"/>
        </w:rPr>
        <w:lastRenderedPageBreak/>
        <w:t>concepts</w:t>
      </w:r>
      <w:r w:rsidR="00115100">
        <w:rPr>
          <w:rFonts w:eastAsia="DengXian"/>
          <w:lang w:eastAsia="zh-CN"/>
        </w:rPr>
        <w:t xml:space="preserve"> across</w:t>
      </w:r>
      <w:r w:rsidR="0031432C" w:rsidRPr="0031432C">
        <w:rPr>
          <w:rFonts w:eastAsia="DengXian"/>
          <w:lang w:eastAsia="zh-CN"/>
        </w:rPr>
        <w:t xml:space="preserve"> all other development goals. The limited understanding of equality as equal treatment and the lack of explicit focus on addressing women’s disadvantage in society undermine the potential for developing targeted gender equality measures. Therefore, the legal, policy and institutional framework should be strengthened, and particular attention </w:t>
      </w:r>
      <w:r w:rsidR="00115100">
        <w:rPr>
          <w:rFonts w:eastAsia="DengXian"/>
          <w:lang w:eastAsia="zh-CN"/>
        </w:rPr>
        <w:t xml:space="preserve">should be </w:t>
      </w:r>
      <w:r w:rsidR="0031432C" w:rsidRPr="0031432C">
        <w:rPr>
          <w:rFonts w:eastAsia="DengXian"/>
          <w:lang w:eastAsia="zh-CN"/>
        </w:rPr>
        <w:t>paid to women who experience multiple and intersecting forms of discrimination, such as minority and migrant women, particularly Roma, women with disabilities, rural women</w:t>
      </w:r>
      <w:r w:rsidR="00115100">
        <w:rPr>
          <w:rFonts w:eastAsia="DengXian"/>
          <w:lang w:eastAsia="zh-CN"/>
        </w:rPr>
        <w:t xml:space="preserve">, </w:t>
      </w:r>
      <w:r w:rsidR="0031432C" w:rsidRPr="0031432C">
        <w:rPr>
          <w:rFonts w:eastAsia="DengXian"/>
          <w:lang w:eastAsia="zh-CN"/>
        </w:rPr>
        <w:t>sex workers</w:t>
      </w:r>
      <w:r w:rsidR="00115100">
        <w:rPr>
          <w:rFonts w:eastAsia="DengXian"/>
          <w:lang w:eastAsia="zh-CN"/>
        </w:rPr>
        <w:t xml:space="preserve"> and lesbian, bisexual, transgender and intersex </w:t>
      </w:r>
      <w:r w:rsidR="00281A59">
        <w:rPr>
          <w:rFonts w:eastAsia="DengXian"/>
          <w:lang w:eastAsia="zh-CN"/>
        </w:rPr>
        <w:t>women</w:t>
      </w:r>
      <w:r w:rsidR="0031432C" w:rsidRPr="0031432C">
        <w:rPr>
          <w:rFonts w:eastAsia="DengXian"/>
          <w:lang w:eastAsia="zh-CN"/>
        </w:rPr>
        <w:t>.</w:t>
      </w:r>
    </w:p>
    <w:p w14:paraId="35A8B191" w14:textId="77777777" w:rsidR="0031432C" w:rsidRPr="0031432C" w:rsidRDefault="00E656D1" w:rsidP="00E656D1">
      <w:pPr>
        <w:pStyle w:val="HChG"/>
        <w:rPr>
          <w:rFonts w:eastAsia="DengXian"/>
          <w:lang w:eastAsia="zh-CN"/>
        </w:rPr>
      </w:pPr>
      <w:r>
        <w:rPr>
          <w:rFonts w:eastAsia="DengXian"/>
          <w:lang w:eastAsia="zh-CN"/>
        </w:rPr>
        <w:tab/>
        <w:t>IV.</w:t>
      </w:r>
      <w:r>
        <w:rPr>
          <w:rFonts w:eastAsia="DengXian"/>
          <w:lang w:eastAsia="zh-CN"/>
        </w:rPr>
        <w:tab/>
      </w:r>
      <w:r w:rsidR="0031432C" w:rsidRPr="0031432C">
        <w:rPr>
          <w:rFonts w:eastAsia="DengXian"/>
          <w:lang w:eastAsia="zh-CN"/>
        </w:rPr>
        <w:t>Political and public life</w:t>
      </w:r>
    </w:p>
    <w:p w14:paraId="23B0EA5C" w14:textId="77777777" w:rsidR="0031432C" w:rsidRPr="0031432C" w:rsidRDefault="00E656D1" w:rsidP="00E656D1">
      <w:pPr>
        <w:pStyle w:val="H1G"/>
        <w:rPr>
          <w:rFonts w:eastAsia="DengXian"/>
          <w:lang w:eastAsia="zh-CN"/>
        </w:rPr>
      </w:pPr>
      <w:r>
        <w:rPr>
          <w:rFonts w:eastAsia="DengXian"/>
          <w:lang w:eastAsia="zh-CN"/>
        </w:rPr>
        <w:tab/>
        <w:t>A.</w:t>
      </w:r>
      <w:r>
        <w:rPr>
          <w:rFonts w:eastAsia="DengXian"/>
          <w:lang w:eastAsia="zh-CN"/>
        </w:rPr>
        <w:tab/>
      </w:r>
      <w:r w:rsidR="0031432C" w:rsidRPr="0031432C">
        <w:rPr>
          <w:rFonts w:eastAsia="DengXian"/>
          <w:lang w:eastAsia="zh-CN"/>
        </w:rPr>
        <w:t>Political participation and representation in public institutions</w:t>
      </w:r>
    </w:p>
    <w:p w14:paraId="551B875D" w14:textId="535FDDFB" w:rsidR="0031432C" w:rsidRPr="0031432C" w:rsidRDefault="005F09B9" w:rsidP="0031432C">
      <w:pPr>
        <w:pStyle w:val="SingleTxtG"/>
        <w:rPr>
          <w:rFonts w:eastAsia="DengXian"/>
          <w:lang w:eastAsia="en-GB"/>
        </w:rPr>
      </w:pPr>
      <w:r>
        <w:rPr>
          <w:rFonts w:eastAsia="DengXian"/>
          <w:lang w:eastAsia="en-GB"/>
        </w:rPr>
        <w:t>16.</w:t>
      </w:r>
      <w:r>
        <w:rPr>
          <w:rFonts w:eastAsia="DengXian"/>
          <w:lang w:eastAsia="en-GB"/>
        </w:rPr>
        <w:tab/>
      </w:r>
      <w:r w:rsidR="0031432C" w:rsidRPr="0031432C">
        <w:rPr>
          <w:rFonts w:eastAsia="DengXian"/>
          <w:lang w:eastAsia="en-GB"/>
        </w:rPr>
        <w:t>The Working Group welcomes the improvements in the political representation of women</w:t>
      </w:r>
      <w:r w:rsidR="00345E2E">
        <w:rPr>
          <w:rFonts w:eastAsia="DengXian"/>
          <w:lang w:eastAsia="en-GB"/>
        </w:rPr>
        <w:t xml:space="preserve"> resulting from</w:t>
      </w:r>
      <w:r w:rsidR="0031432C" w:rsidRPr="0031432C">
        <w:rPr>
          <w:rFonts w:eastAsia="DengXian"/>
          <w:lang w:eastAsia="en-GB"/>
        </w:rPr>
        <w:t xml:space="preserve"> the adoption of the Electoral Code in 2011, which requires that at least 35</w:t>
      </w:r>
      <w:r w:rsidR="00CD09FB">
        <w:rPr>
          <w:rFonts w:eastAsia="DengXian"/>
          <w:lang w:eastAsia="en-GB"/>
        </w:rPr>
        <w:t xml:space="preserve"> per cent</w:t>
      </w:r>
      <w:r w:rsidR="0031432C" w:rsidRPr="0031432C">
        <w:rPr>
          <w:rFonts w:eastAsia="DengXian"/>
          <w:lang w:eastAsia="en-GB"/>
        </w:rPr>
        <w:t xml:space="preserve"> of candidates of either sex </w:t>
      </w:r>
      <w:proofErr w:type="gramStart"/>
      <w:r w:rsidR="0031432C" w:rsidRPr="0031432C">
        <w:rPr>
          <w:rFonts w:eastAsia="DengXian"/>
          <w:lang w:eastAsia="en-GB"/>
        </w:rPr>
        <w:t>are</w:t>
      </w:r>
      <w:proofErr w:type="gramEnd"/>
      <w:r w:rsidR="0031432C" w:rsidRPr="0031432C">
        <w:rPr>
          <w:rFonts w:eastAsia="DengXian"/>
          <w:lang w:eastAsia="en-GB"/>
        </w:rPr>
        <w:t xml:space="preserve"> represented in political party lists in proportional elections at </w:t>
      </w:r>
      <w:r w:rsidR="00345E2E">
        <w:rPr>
          <w:rFonts w:eastAsia="DengXian"/>
          <w:lang w:eastAsia="en-GB"/>
        </w:rPr>
        <w:t xml:space="preserve">the </w:t>
      </w:r>
      <w:r w:rsidR="0031432C" w:rsidRPr="0031432C">
        <w:rPr>
          <w:rFonts w:eastAsia="DengXian"/>
          <w:lang w:eastAsia="en-GB"/>
        </w:rPr>
        <w:t>European, national and local levels. Significantly, the Act contains enforcement measures</w:t>
      </w:r>
      <w:r w:rsidR="00172A52">
        <w:rPr>
          <w:rFonts w:eastAsia="DengXian"/>
          <w:lang w:eastAsia="en-GB"/>
        </w:rPr>
        <w:t>,</w:t>
      </w:r>
      <w:r w:rsidR="00345E2E">
        <w:rPr>
          <w:rFonts w:eastAsia="DengXian"/>
          <w:lang w:eastAsia="en-GB"/>
        </w:rPr>
        <w:t xml:space="preserve"> namely,</w:t>
      </w:r>
      <w:r w:rsidR="0031432C" w:rsidRPr="0031432C">
        <w:rPr>
          <w:rFonts w:eastAsia="DengXian"/>
          <w:lang w:eastAsia="en-GB"/>
        </w:rPr>
        <w:t xml:space="preserve"> electoral lists not meeting the requirement </w:t>
      </w:r>
      <w:proofErr w:type="gramStart"/>
      <w:r w:rsidR="0031432C" w:rsidRPr="0031432C">
        <w:rPr>
          <w:rFonts w:eastAsia="DengXian"/>
          <w:lang w:eastAsia="en-GB"/>
        </w:rPr>
        <w:t>will not be registered</w:t>
      </w:r>
      <w:proofErr w:type="gramEnd"/>
      <w:r w:rsidR="0031432C" w:rsidRPr="0031432C">
        <w:rPr>
          <w:rFonts w:eastAsia="DengXian"/>
          <w:lang w:eastAsia="en-GB"/>
        </w:rPr>
        <w:t xml:space="preserve">. </w:t>
      </w:r>
    </w:p>
    <w:p w14:paraId="1C24E09D" w14:textId="3C42F329" w:rsidR="0031432C" w:rsidRPr="0031432C" w:rsidRDefault="005F09B9" w:rsidP="0031432C">
      <w:pPr>
        <w:pStyle w:val="SingleTxtG"/>
        <w:rPr>
          <w:rFonts w:eastAsia="DengXian"/>
          <w:lang w:eastAsia="en-GB"/>
        </w:rPr>
      </w:pPr>
      <w:r>
        <w:rPr>
          <w:rFonts w:eastAsia="DengXian"/>
          <w:lang w:eastAsia="en-GB"/>
        </w:rPr>
        <w:t>17.</w:t>
      </w:r>
      <w:r>
        <w:rPr>
          <w:rFonts w:eastAsia="DengXian"/>
          <w:lang w:eastAsia="en-GB"/>
        </w:rPr>
        <w:tab/>
      </w:r>
      <w:r w:rsidR="0031432C" w:rsidRPr="0031432C">
        <w:rPr>
          <w:rFonts w:eastAsia="DengXian"/>
          <w:lang w:eastAsia="en-GB"/>
        </w:rPr>
        <w:t>The most recent local elections in October 2018 saw progress in women’s representation, from 24</w:t>
      </w:r>
      <w:r w:rsidR="00CD09FB">
        <w:rPr>
          <w:rFonts w:eastAsia="DengXian"/>
          <w:lang w:eastAsia="en-GB"/>
        </w:rPr>
        <w:t xml:space="preserve"> per cent</w:t>
      </w:r>
      <w:r w:rsidR="0031432C" w:rsidRPr="0031432C">
        <w:rPr>
          <w:rFonts w:eastAsia="DengXian"/>
          <w:lang w:eastAsia="en-GB"/>
        </w:rPr>
        <w:t xml:space="preserve"> in 2010 to 30</w:t>
      </w:r>
      <w:r w:rsidR="00CD09FB">
        <w:rPr>
          <w:rFonts w:eastAsia="DengXian"/>
          <w:lang w:eastAsia="en-GB"/>
        </w:rPr>
        <w:t xml:space="preserve"> per cent</w:t>
      </w:r>
      <w:r w:rsidR="0031432C" w:rsidRPr="0031432C">
        <w:rPr>
          <w:rFonts w:eastAsia="DengXian"/>
          <w:lang w:eastAsia="en-GB"/>
        </w:rPr>
        <w:t xml:space="preserve"> in 2018. However, progress </w:t>
      </w:r>
      <w:r w:rsidR="00345E2E">
        <w:rPr>
          <w:rFonts w:eastAsia="DengXian"/>
          <w:lang w:eastAsia="en-GB"/>
        </w:rPr>
        <w:t>in p</w:t>
      </w:r>
      <w:r w:rsidR="0031432C" w:rsidRPr="0031432C">
        <w:rPr>
          <w:rFonts w:eastAsia="DengXian"/>
          <w:lang w:eastAsia="en-GB"/>
        </w:rPr>
        <w:t xml:space="preserve">arliament has been more limited. </w:t>
      </w:r>
      <w:proofErr w:type="gramStart"/>
      <w:r w:rsidR="0031432C" w:rsidRPr="0031432C">
        <w:rPr>
          <w:rFonts w:eastAsia="DengXian"/>
          <w:lang w:eastAsia="en-GB"/>
        </w:rPr>
        <w:t>While there was a significant increase in women candidates (from 23</w:t>
      </w:r>
      <w:r w:rsidR="00CD09FB">
        <w:rPr>
          <w:rFonts w:eastAsia="DengXian"/>
          <w:lang w:eastAsia="en-GB"/>
        </w:rPr>
        <w:t xml:space="preserve"> per cent</w:t>
      </w:r>
      <w:r w:rsidR="0031432C" w:rsidRPr="0031432C">
        <w:rPr>
          <w:rFonts w:eastAsia="DengXian"/>
          <w:lang w:eastAsia="en-GB"/>
        </w:rPr>
        <w:t xml:space="preserve"> in 2007 to 42</w:t>
      </w:r>
      <w:r w:rsidR="00CD09FB">
        <w:rPr>
          <w:rFonts w:eastAsia="DengXian"/>
          <w:lang w:eastAsia="en-GB"/>
        </w:rPr>
        <w:t xml:space="preserve"> per cent</w:t>
      </w:r>
      <w:r w:rsidR="0031432C" w:rsidRPr="0031432C">
        <w:rPr>
          <w:rFonts w:eastAsia="DengXian"/>
          <w:lang w:eastAsia="en-GB"/>
        </w:rPr>
        <w:t xml:space="preserve"> in 2011 and 2015), </w:t>
      </w:r>
      <w:r w:rsidR="00345E2E">
        <w:rPr>
          <w:rFonts w:eastAsia="DengXian"/>
          <w:lang w:eastAsia="en-GB"/>
        </w:rPr>
        <w:t>this</w:t>
      </w:r>
      <w:r w:rsidR="0031432C" w:rsidRPr="0031432C">
        <w:rPr>
          <w:rFonts w:eastAsia="DengXian"/>
          <w:lang w:eastAsia="en-GB"/>
        </w:rPr>
        <w:t xml:space="preserve"> only led to a 4</w:t>
      </w:r>
      <w:r w:rsidR="00CD09FB">
        <w:rPr>
          <w:rFonts w:eastAsia="DengXian"/>
          <w:lang w:eastAsia="en-GB"/>
        </w:rPr>
        <w:t xml:space="preserve"> per cent</w:t>
      </w:r>
      <w:r w:rsidR="0031432C" w:rsidRPr="0031432C">
        <w:rPr>
          <w:rFonts w:eastAsia="DengXian"/>
          <w:lang w:eastAsia="en-GB"/>
        </w:rPr>
        <w:t xml:space="preserve"> increase in membership </w:t>
      </w:r>
      <w:r w:rsidR="002D1BDD">
        <w:rPr>
          <w:rFonts w:eastAsia="DengXian"/>
          <w:lang w:eastAsia="en-GB"/>
        </w:rPr>
        <w:t>of</w:t>
      </w:r>
      <w:r w:rsidR="0031432C" w:rsidRPr="0031432C">
        <w:rPr>
          <w:rFonts w:eastAsia="DengXian"/>
          <w:lang w:eastAsia="en-GB"/>
        </w:rPr>
        <w:t xml:space="preserve"> the </w:t>
      </w:r>
      <w:r w:rsidR="0031432C" w:rsidRPr="00172A52">
        <w:rPr>
          <w:rFonts w:eastAsia="DengXian"/>
          <w:i/>
          <w:lang w:eastAsia="en-GB"/>
        </w:rPr>
        <w:t>Sejm</w:t>
      </w:r>
      <w:r w:rsidR="0031432C" w:rsidRPr="0031432C">
        <w:rPr>
          <w:rFonts w:eastAsia="DengXian"/>
          <w:i/>
          <w:lang w:eastAsia="en-GB"/>
        </w:rPr>
        <w:t xml:space="preserve"> </w:t>
      </w:r>
      <w:r w:rsidR="0031432C" w:rsidRPr="0031432C">
        <w:rPr>
          <w:rFonts w:eastAsia="DengXian"/>
          <w:lang w:eastAsia="en-GB"/>
        </w:rPr>
        <w:t>(</w:t>
      </w:r>
      <w:r w:rsidR="00345E2E">
        <w:rPr>
          <w:rFonts w:eastAsia="DengXian"/>
          <w:lang w:eastAsia="en-GB"/>
        </w:rPr>
        <w:t xml:space="preserve">the </w:t>
      </w:r>
      <w:r w:rsidR="0031432C" w:rsidRPr="0031432C">
        <w:rPr>
          <w:rFonts w:eastAsia="DengXian"/>
          <w:lang w:eastAsia="en-GB"/>
        </w:rPr>
        <w:t xml:space="preserve">lower chamber of </w:t>
      </w:r>
      <w:r w:rsidR="00345E2E">
        <w:rPr>
          <w:rFonts w:eastAsia="DengXian"/>
          <w:lang w:eastAsia="en-GB"/>
        </w:rPr>
        <w:t>p</w:t>
      </w:r>
      <w:r w:rsidR="0031432C" w:rsidRPr="0031432C">
        <w:rPr>
          <w:rFonts w:eastAsia="DengXian"/>
          <w:lang w:eastAsia="en-GB"/>
        </w:rPr>
        <w:t>arliament) in each of the two elections</w:t>
      </w:r>
      <w:r w:rsidR="00345E2E">
        <w:rPr>
          <w:rFonts w:eastAsia="DengXian"/>
          <w:lang w:eastAsia="en-GB"/>
        </w:rPr>
        <w:t>,</w:t>
      </w:r>
      <w:r w:rsidR="0031432C" w:rsidRPr="0031432C">
        <w:rPr>
          <w:rFonts w:eastAsia="DengXian"/>
          <w:lang w:eastAsia="en-GB"/>
        </w:rPr>
        <w:t xml:space="preserve"> partly due to the generally low places women candidates occupied in the list.</w:t>
      </w:r>
      <w:r w:rsidR="0031432C" w:rsidRPr="0031432C">
        <w:rPr>
          <w:rFonts w:eastAsia="DengXian"/>
          <w:sz w:val="18"/>
          <w:vertAlign w:val="superscript"/>
          <w:lang w:eastAsia="en-GB"/>
        </w:rPr>
        <w:footnoteReference w:id="7"/>
      </w:r>
      <w:proofErr w:type="gramEnd"/>
      <w:r w:rsidR="0031432C" w:rsidRPr="0031432C">
        <w:rPr>
          <w:rFonts w:eastAsia="DengXian"/>
          <w:lang w:eastAsia="en-GB"/>
        </w:rPr>
        <w:t xml:space="preserve"> Poland ranks </w:t>
      </w:r>
      <w:r w:rsidR="002D1BDD">
        <w:rPr>
          <w:rFonts w:eastAsia="DengXian"/>
          <w:lang w:eastAsia="en-GB"/>
        </w:rPr>
        <w:t>fifty-fifth</w:t>
      </w:r>
      <w:r w:rsidR="0031432C" w:rsidRPr="0031432C">
        <w:rPr>
          <w:rFonts w:eastAsia="DengXian"/>
          <w:lang w:eastAsia="en-GB"/>
        </w:rPr>
        <w:t xml:space="preserve"> out of 193 countries for women’s representation in the national parliament, which stands close to the regional average in Europe (28.6</w:t>
      </w:r>
      <w:r w:rsidR="00CD09FB">
        <w:rPr>
          <w:rFonts w:eastAsia="DengXian"/>
          <w:lang w:eastAsia="en-GB"/>
        </w:rPr>
        <w:t xml:space="preserve"> per cent</w:t>
      </w:r>
      <w:r w:rsidR="0031432C" w:rsidRPr="0031432C">
        <w:rPr>
          <w:rFonts w:eastAsia="DengXian"/>
          <w:lang w:eastAsia="en-GB"/>
        </w:rPr>
        <w:t xml:space="preserve">) and above </w:t>
      </w:r>
      <w:r w:rsidR="002D1BDD">
        <w:rPr>
          <w:rFonts w:eastAsia="DengXian"/>
          <w:lang w:eastAsia="en-GB"/>
        </w:rPr>
        <w:t xml:space="preserve">the </w:t>
      </w:r>
      <w:r w:rsidR="0031432C" w:rsidRPr="0031432C">
        <w:rPr>
          <w:rFonts w:eastAsia="DengXian"/>
          <w:lang w:eastAsia="en-GB"/>
        </w:rPr>
        <w:t>world average (24.3</w:t>
      </w:r>
      <w:r w:rsidR="00CD09FB">
        <w:rPr>
          <w:rFonts w:eastAsia="DengXian"/>
          <w:lang w:eastAsia="en-GB"/>
        </w:rPr>
        <w:t xml:space="preserve"> per cent</w:t>
      </w:r>
      <w:r w:rsidR="0031432C" w:rsidRPr="0031432C">
        <w:rPr>
          <w:rFonts w:eastAsia="DengXian"/>
          <w:lang w:eastAsia="en-GB"/>
        </w:rPr>
        <w:t>).</w:t>
      </w:r>
      <w:r w:rsidR="0031432C" w:rsidRPr="0031432C">
        <w:rPr>
          <w:rFonts w:ascii="Calibri" w:eastAsia="DengXian" w:hAnsi="Calibri"/>
          <w:sz w:val="22"/>
          <w:szCs w:val="22"/>
          <w:vertAlign w:val="superscript"/>
          <w:lang w:eastAsia="zh-CN"/>
        </w:rPr>
        <w:footnoteReference w:id="8"/>
      </w:r>
    </w:p>
    <w:p w14:paraId="4DC9BB1B" w14:textId="47F57CC6" w:rsidR="0031432C" w:rsidRPr="0031432C" w:rsidRDefault="005F09B9" w:rsidP="0031432C">
      <w:pPr>
        <w:pStyle w:val="SingleTxtG"/>
        <w:rPr>
          <w:rFonts w:ascii="Calibri" w:eastAsia="DengXian" w:hAnsi="Calibri"/>
          <w:lang w:eastAsia="en-GB"/>
        </w:rPr>
      </w:pPr>
      <w:r>
        <w:rPr>
          <w:rFonts w:eastAsia="DengXian"/>
          <w:lang w:eastAsia="en-GB"/>
        </w:rPr>
        <w:t>18.</w:t>
      </w:r>
      <w:r>
        <w:rPr>
          <w:rFonts w:eastAsia="DengXian"/>
          <w:lang w:eastAsia="en-GB"/>
        </w:rPr>
        <w:tab/>
      </w:r>
      <w:r w:rsidR="0031432C" w:rsidRPr="0031432C">
        <w:rPr>
          <w:rFonts w:eastAsia="DengXian"/>
          <w:lang w:eastAsia="en-GB"/>
        </w:rPr>
        <w:t xml:space="preserve">The Act, however, does not apply to elections </w:t>
      </w:r>
      <w:r w:rsidR="00345E2E">
        <w:rPr>
          <w:rFonts w:eastAsia="DengXian"/>
          <w:lang w:eastAsia="en-GB"/>
        </w:rPr>
        <w:t>to</w:t>
      </w:r>
      <w:r w:rsidR="0031432C" w:rsidRPr="0031432C">
        <w:rPr>
          <w:rFonts w:eastAsia="DengXian"/>
          <w:lang w:eastAsia="en-GB"/>
        </w:rPr>
        <w:t xml:space="preserve"> the Senate, which </w:t>
      </w:r>
      <w:r w:rsidR="002D1BDD">
        <w:rPr>
          <w:rFonts w:eastAsia="DengXian"/>
          <w:lang w:eastAsia="en-GB"/>
        </w:rPr>
        <w:t xml:space="preserve">are run </w:t>
      </w:r>
      <w:proofErr w:type="gramStart"/>
      <w:r w:rsidR="002D1BDD">
        <w:rPr>
          <w:rFonts w:eastAsia="DengXian"/>
          <w:lang w:eastAsia="en-GB"/>
        </w:rPr>
        <w:t>on the basis of</w:t>
      </w:r>
      <w:proofErr w:type="gramEnd"/>
      <w:r w:rsidR="0031432C" w:rsidRPr="0031432C">
        <w:rPr>
          <w:rFonts w:eastAsia="DengXian"/>
          <w:lang w:eastAsia="en-GB"/>
        </w:rPr>
        <w:t xml:space="preserve"> single</w:t>
      </w:r>
      <w:r w:rsidR="002D1BDD">
        <w:rPr>
          <w:rFonts w:eastAsia="DengXian"/>
          <w:lang w:eastAsia="en-GB"/>
        </w:rPr>
        <w:t>-</w:t>
      </w:r>
      <w:r w:rsidR="0031432C" w:rsidRPr="0031432C">
        <w:rPr>
          <w:rFonts w:eastAsia="DengXian"/>
          <w:lang w:eastAsia="en-GB"/>
        </w:rPr>
        <w:t>member constituencies. Currently</w:t>
      </w:r>
      <w:r w:rsidR="00345E2E">
        <w:rPr>
          <w:rFonts w:eastAsia="DengXian"/>
          <w:lang w:eastAsia="en-GB"/>
        </w:rPr>
        <w:t>,</w:t>
      </w:r>
      <w:r w:rsidR="0031432C" w:rsidRPr="0031432C">
        <w:rPr>
          <w:rFonts w:eastAsia="DengXian"/>
          <w:lang w:eastAsia="en-GB"/>
        </w:rPr>
        <w:t xml:space="preserve"> only 14</w:t>
      </w:r>
      <w:r w:rsidR="00CD09FB">
        <w:rPr>
          <w:rFonts w:eastAsia="DengXian"/>
          <w:lang w:eastAsia="en-GB"/>
        </w:rPr>
        <w:t xml:space="preserve"> per cent</w:t>
      </w:r>
      <w:r w:rsidR="0031432C" w:rsidRPr="0031432C">
        <w:rPr>
          <w:rFonts w:eastAsia="DengXian"/>
          <w:lang w:eastAsia="en-GB"/>
        </w:rPr>
        <w:t xml:space="preserve"> of senators are women</w:t>
      </w:r>
      <w:r w:rsidR="00345E2E">
        <w:rPr>
          <w:rFonts w:eastAsia="DengXian"/>
          <w:lang w:eastAsia="en-GB"/>
        </w:rPr>
        <w:t>,</w:t>
      </w:r>
      <w:r w:rsidR="0031432C" w:rsidRPr="0031432C">
        <w:rPr>
          <w:rFonts w:eastAsia="DengXian"/>
          <w:lang w:eastAsia="en-GB"/>
        </w:rPr>
        <w:t xml:space="preserve"> which is significantly below the world average of 24.1</w:t>
      </w:r>
      <w:r w:rsidR="00CD09FB">
        <w:rPr>
          <w:rFonts w:eastAsia="DengXian"/>
          <w:lang w:eastAsia="en-GB"/>
        </w:rPr>
        <w:t xml:space="preserve"> per cent</w:t>
      </w:r>
      <w:r w:rsidR="0031432C" w:rsidRPr="0031432C">
        <w:rPr>
          <w:rFonts w:eastAsia="DengXian"/>
          <w:lang w:eastAsia="en-GB"/>
        </w:rPr>
        <w:t xml:space="preserve"> and the regional average of 27.2</w:t>
      </w:r>
      <w:r w:rsidR="00CD09FB">
        <w:rPr>
          <w:rFonts w:eastAsia="DengXian"/>
          <w:lang w:eastAsia="en-GB"/>
        </w:rPr>
        <w:t xml:space="preserve"> per cent</w:t>
      </w:r>
      <w:r w:rsidR="0031432C" w:rsidRPr="0031432C">
        <w:rPr>
          <w:rFonts w:eastAsia="DengXian"/>
          <w:lang w:eastAsia="en-GB"/>
        </w:rPr>
        <w:t>.</w:t>
      </w:r>
      <w:r w:rsidR="0031432C" w:rsidRPr="0031432C">
        <w:rPr>
          <w:rFonts w:eastAsia="DengXian"/>
          <w:sz w:val="18"/>
          <w:vertAlign w:val="superscript"/>
          <w:lang w:eastAsia="en-GB"/>
        </w:rPr>
        <w:footnoteReference w:id="9"/>
      </w:r>
      <w:r w:rsidR="0031432C" w:rsidRPr="0031432C">
        <w:rPr>
          <w:rFonts w:eastAsia="DengXian"/>
          <w:lang w:eastAsia="en-GB"/>
        </w:rPr>
        <w:t xml:space="preserve"> While Poland has great potential to lead the world in women’s political representation, in view of its long history of women’s participation in political and public life, women do not yet fully occupy their rightful place </w:t>
      </w:r>
      <w:r w:rsidR="00C138C7">
        <w:rPr>
          <w:rFonts w:eastAsia="DengXian"/>
          <w:lang w:eastAsia="en-GB"/>
        </w:rPr>
        <w:t>at</w:t>
      </w:r>
      <w:r w:rsidR="0031432C" w:rsidRPr="0031432C">
        <w:rPr>
          <w:rFonts w:eastAsia="DengXian"/>
          <w:lang w:eastAsia="en-GB"/>
        </w:rPr>
        <w:t xml:space="preserve"> the highest level of political representation. </w:t>
      </w:r>
    </w:p>
    <w:p w14:paraId="4F1BCD01" w14:textId="13EE3E0A" w:rsidR="0031432C" w:rsidRPr="0031432C" w:rsidRDefault="005F09B9" w:rsidP="0031432C">
      <w:pPr>
        <w:pStyle w:val="SingleTxtG"/>
        <w:rPr>
          <w:rFonts w:eastAsia="DengXian"/>
          <w:lang w:eastAsia="en-GB"/>
        </w:rPr>
      </w:pPr>
      <w:r>
        <w:rPr>
          <w:rFonts w:eastAsia="DengXian"/>
          <w:lang w:eastAsia="en-GB"/>
        </w:rPr>
        <w:t>19.</w:t>
      </w:r>
      <w:r>
        <w:rPr>
          <w:rFonts w:eastAsia="DengXian"/>
          <w:lang w:eastAsia="en-GB"/>
        </w:rPr>
        <w:tab/>
      </w:r>
      <w:r w:rsidR="0031432C" w:rsidRPr="0031432C">
        <w:rPr>
          <w:rFonts w:eastAsia="DengXian"/>
          <w:lang w:eastAsia="en-GB"/>
        </w:rPr>
        <w:t>At 69.7</w:t>
      </w:r>
      <w:r w:rsidR="00CD09FB">
        <w:rPr>
          <w:rFonts w:eastAsia="DengXian"/>
          <w:lang w:eastAsia="en-GB"/>
        </w:rPr>
        <w:t xml:space="preserve"> per cent</w:t>
      </w:r>
      <w:r w:rsidR="0031432C" w:rsidRPr="0031432C">
        <w:rPr>
          <w:rFonts w:eastAsia="DengXian"/>
          <w:lang w:eastAsia="en-GB"/>
        </w:rPr>
        <w:t xml:space="preserve">, women </w:t>
      </w:r>
      <w:proofErr w:type="gramStart"/>
      <w:r w:rsidR="0031432C" w:rsidRPr="0031432C">
        <w:rPr>
          <w:rFonts w:eastAsia="DengXian"/>
          <w:lang w:eastAsia="en-GB"/>
        </w:rPr>
        <w:t>are systematically well represented</w:t>
      </w:r>
      <w:proofErr w:type="gramEnd"/>
      <w:r w:rsidR="0031432C" w:rsidRPr="0031432C">
        <w:rPr>
          <w:rFonts w:eastAsia="DengXian"/>
          <w:lang w:eastAsia="en-GB"/>
        </w:rPr>
        <w:t xml:space="preserve"> in the public administration and institutions across sectors, with the exception of the Foreign Service.</w:t>
      </w:r>
      <w:r w:rsidR="00EC3F96">
        <w:rPr>
          <w:rFonts w:eastAsia="DengXian"/>
          <w:lang w:eastAsia="en-GB"/>
        </w:rPr>
        <w:t xml:space="preserve"> According to data provided by the Government, </w:t>
      </w:r>
      <w:proofErr w:type="gramStart"/>
      <w:r w:rsidR="00EC3F96">
        <w:rPr>
          <w:rFonts w:eastAsia="DengXian"/>
          <w:lang w:eastAsia="en-GB"/>
        </w:rPr>
        <w:t>a</w:t>
      </w:r>
      <w:r w:rsidR="0031432C" w:rsidRPr="0031432C">
        <w:rPr>
          <w:rFonts w:eastAsia="DengXian"/>
          <w:lang w:eastAsia="en-GB"/>
        </w:rPr>
        <w:t>n overwhelming majority of supporting positions are occupied by women</w:t>
      </w:r>
      <w:proofErr w:type="gramEnd"/>
      <w:r w:rsidR="0031432C" w:rsidRPr="0031432C">
        <w:rPr>
          <w:rFonts w:eastAsia="DengXian"/>
          <w:lang w:eastAsia="en-GB"/>
        </w:rPr>
        <w:t xml:space="preserve">, though </w:t>
      </w:r>
      <w:r w:rsidR="00345E2E">
        <w:rPr>
          <w:rFonts w:eastAsia="DengXian"/>
          <w:lang w:eastAsia="en-GB"/>
        </w:rPr>
        <w:t>women</w:t>
      </w:r>
      <w:r w:rsidR="00345E2E" w:rsidRPr="0031432C">
        <w:rPr>
          <w:rFonts w:eastAsia="DengXian"/>
          <w:lang w:eastAsia="en-GB"/>
        </w:rPr>
        <w:t xml:space="preserve"> </w:t>
      </w:r>
      <w:r w:rsidR="0031432C" w:rsidRPr="0031432C">
        <w:rPr>
          <w:rFonts w:eastAsia="DengXian"/>
          <w:lang w:eastAsia="en-GB"/>
        </w:rPr>
        <w:t>also</w:t>
      </w:r>
      <w:r w:rsidR="00345E2E">
        <w:rPr>
          <w:rFonts w:eastAsia="DengXian"/>
          <w:lang w:eastAsia="en-GB"/>
        </w:rPr>
        <w:t xml:space="preserve"> occupy</w:t>
      </w:r>
      <w:r w:rsidR="0031432C" w:rsidRPr="0031432C">
        <w:rPr>
          <w:rFonts w:eastAsia="DengXian"/>
          <w:lang w:eastAsia="en-GB"/>
        </w:rPr>
        <w:t xml:space="preserve"> half of the senior positions.</w:t>
      </w:r>
    </w:p>
    <w:p w14:paraId="7894832A" w14:textId="5ABC342E" w:rsidR="0031432C" w:rsidRPr="0031432C" w:rsidRDefault="005F09B9" w:rsidP="0031432C">
      <w:pPr>
        <w:pStyle w:val="SingleTxtG"/>
        <w:rPr>
          <w:rFonts w:eastAsia="DengXian"/>
          <w:lang w:eastAsia="en-GB"/>
        </w:rPr>
      </w:pPr>
      <w:r>
        <w:rPr>
          <w:rFonts w:eastAsia="DengXian"/>
          <w:lang w:eastAsia="en-GB"/>
        </w:rPr>
        <w:t>20.</w:t>
      </w:r>
      <w:r>
        <w:rPr>
          <w:rFonts w:eastAsia="DengXian"/>
          <w:lang w:eastAsia="en-GB"/>
        </w:rPr>
        <w:tab/>
      </w:r>
      <w:r w:rsidR="0031432C" w:rsidRPr="0031432C">
        <w:rPr>
          <w:rFonts w:eastAsia="DengXian"/>
          <w:lang w:eastAsia="en-GB"/>
        </w:rPr>
        <w:t>Currently</w:t>
      </w:r>
      <w:r w:rsidR="00345E2E">
        <w:rPr>
          <w:rFonts w:eastAsia="DengXian"/>
          <w:lang w:eastAsia="en-GB"/>
        </w:rPr>
        <w:t>,</w:t>
      </w:r>
      <w:r w:rsidR="0031432C" w:rsidRPr="0031432C">
        <w:rPr>
          <w:rFonts w:eastAsia="DengXian"/>
          <w:lang w:eastAsia="en-GB"/>
        </w:rPr>
        <w:t xml:space="preserve"> there are </w:t>
      </w:r>
      <w:proofErr w:type="gramStart"/>
      <w:r w:rsidR="00345E2E">
        <w:rPr>
          <w:rFonts w:eastAsia="DengXian"/>
          <w:lang w:eastAsia="en-GB"/>
        </w:rPr>
        <w:t>6</w:t>
      </w:r>
      <w:proofErr w:type="gramEnd"/>
      <w:r w:rsidR="0031432C" w:rsidRPr="0031432C">
        <w:rPr>
          <w:rFonts w:eastAsia="DengXian"/>
          <w:lang w:eastAsia="en-GB"/>
        </w:rPr>
        <w:t xml:space="preserve"> women cabinet members out of 23. In the Foreign Service, the number of women in senior positions has gradually increased, though it is still much lower in comparison </w:t>
      </w:r>
      <w:r w:rsidR="00345E2E">
        <w:rPr>
          <w:rFonts w:eastAsia="DengXian"/>
          <w:lang w:eastAsia="en-GB"/>
        </w:rPr>
        <w:t>with</w:t>
      </w:r>
      <w:r w:rsidR="0031432C" w:rsidRPr="0031432C">
        <w:rPr>
          <w:rFonts w:eastAsia="DengXian"/>
          <w:lang w:eastAsia="en-GB"/>
        </w:rPr>
        <w:t xml:space="preserve"> men (e.g.</w:t>
      </w:r>
      <w:r w:rsidR="00C138C7">
        <w:rPr>
          <w:rFonts w:eastAsia="DengXian"/>
          <w:lang w:eastAsia="en-GB"/>
        </w:rPr>
        <w:t>,</w:t>
      </w:r>
      <w:r w:rsidR="0031432C" w:rsidRPr="0031432C">
        <w:rPr>
          <w:rFonts w:eastAsia="DengXian"/>
          <w:lang w:eastAsia="en-GB"/>
        </w:rPr>
        <w:t xml:space="preserve"> only 29.3</w:t>
      </w:r>
      <w:r w:rsidR="00CD09FB">
        <w:rPr>
          <w:rFonts w:eastAsia="DengXian"/>
          <w:lang w:eastAsia="en-GB"/>
        </w:rPr>
        <w:t xml:space="preserve"> per cent</w:t>
      </w:r>
      <w:r w:rsidR="0031432C" w:rsidRPr="0031432C">
        <w:rPr>
          <w:rFonts w:eastAsia="DengXian"/>
          <w:lang w:eastAsia="en-GB"/>
        </w:rPr>
        <w:t xml:space="preserve"> of heads of missions are women). In the judiciary, women </w:t>
      </w:r>
      <w:proofErr w:type="gramStart"/>
      <w:r w:rsidR="0031432C" w:rsidRPr="0031432C">
        <w:rPr>
          <w:rFonts w:eastAsia="DengXian"/>
          <w:lang w:eastAsia="en-GB"/>
        </w:rPr>
        <w:t>are well represented</w:t>
      </w:r>
      <w:proofErr w:type="gramEnd"/>
      <w:r w:rsidR="0031432C" w:rsidRPr="0031432C">
        <w:rPr>
          <w:rFonts w:eastAsia="DengXian"/>
          <w:lang w:eastAsia="en-GB"/>
        </w:rPr>
        <w:t xml:space="preserve">, including as presidents of the courts. However, at the most senior level, their representation drops significantly. The current Constitutional Tribunal has </w:t>
      </w:r>
      <w:proofErr w:type="gramStart"/>
      <w:r w:rsidR="00345E2E">
        <w:rPr>
          <w:rFonts w:eastAsia="DengXian"/>
          <w:lang w:eastAsia="en-GB"/>
        </w:rPr>
        <w:t>3</w:t>
      </w:r>
      <w:proofErr w:type="gramEnd"/>
      <w:r w:rsidR="0031432C" w:rsidRPr="0031432C">
        <w:rPr>
          <w:rFonts w:eastAsia="DengXian"/>
          <w:lang w:eastAsia="en-GB"/>
        </w:rPr>
        <w:t xml:space="preserve"> women judges out of 15. The Supreme Court has 10-25</w:t>
      </w:r>
      <w:r w:rsidR="00CD09FB">
        <w:rPr>
          <w:rFonts w:eastAsia="DengXian"/>
          <w:lang w:eastAsia="en-GB"/>
        </w:rPr>
        <w:t xml:space="preserve"> per cent</w:t>
      </w:r>
      <w:r w:rsidR="0031432C" w:rsidRPr="0031432C">
        <w:rPr>
          <w:rFonts w:eastAsia="DengXian"/>
          <w:lang w:eastAsia="en-GB"/>
        </w:rPr>
        <w:t xml:space="preserve"> women in its various chambers.</w:t>
      </w:r>
      <w:r w:rsidR="0031432C" w:rsidRPr="0031432C">
        <w:rPr>
          <w:rFonts w:eastAsia="DengXian"/>
          <w:lang w:eastAsia="zh-CN"/>
        </w:rPr>
        <w:t xml:space="preserve"> </w:t>
      </w:r>
    </w:p>
    <w:p w14:paraId="7478E05C" w14:textId="0D87CFBB" w:rsidR="0031432C" w:rsidRPr="0031432C" w:rsidRDefault="005F09B9" w:rsidP="0031432C">
      <w:pPr>
        <w:pStyle w:val="SingleTxtG"/>
        <w:rPr>
          <w:rFonts w:eastAsia="DengXian"/>
          <w:lang w:eastAsia="en-GB"/>
        </w:rPr>
      </w:pPr>
      <w:r>
        <w:rPr>
          <w:rFonts w:eastAsia="DengXian"/>
          <w:lang w:eastAsia="en-GB"/>
        </w:rPr>
        <w:t>21.</w:t>
      </w:r>
      <w:r>
        <w:rPr>
          <w:rFonts w:eastAsia="DengXian"/>
          <w:lang w:eastAsia="en-GB"/>
        </w:rPr>
        <w:tab/>
      </w:r>
      <w:r w:rsidR="0031432C" w:rsidRPr="0031432C">
        <w:rPr>
          <w:rFonts w:eastAsia="DengXian"/>
          <w:lang w:eastAsia="en-GB"/>
        </w:rPr>
        <w:t>During the visit, it was widely acknowledged that women face</w:t>
      </w:r>
      <w:r w:rsidR="00C138C7">
        <w:rPr>
          <w:rFonts w:eastAsia="DengXian"/>
          <w:lang w:eastAsia="en-GB"/>
        </w:rPr>
        <w:t>d</w:t>
      </w:r>
      <w:r w:rsidR="0031432C" w:rsidRPr="0031432C">
        <w:rPr>
          <w:rFonts w:eastAsia="DengXian"/>
          <w:lang w:eastAsia="en-GB"/>
        </w:rPr>
        <w:t xml:space="preserve"> social and cultural barriers preventing them from occupying the most senior</w:t>
      </w:r>
      <w:r w:rsidR="00C138C7">
        <w:rPr>
          <w:rFonts w:eastAsia="DengXian"/>
          <w:lang w:eastAsia="en-GB"/>
        </w:rPr>
        <w:t>-</w:t>
      </w:r>
      <w:r w:rsidR="0031432C" w:rsidRPr="0031432C">
        <w:rPr>
          <w:rFonts w:eastAsia="DengXian"/>
          <w:lang w:eastAsia="en-GB"/>
        </w:rPr>
        <w:t xml:space="preserve">level positions in the political life of the country. In this respect, the initiatives taken by NGOs aimed at encouraging women to be interested and equipped as candidates are welcome, and they need to </w:t>
      </w:r>
      <w:proofErr w:type="gramStart"/>
      <w:r w:rsidR="0031432C" w:rsidRPr="0031432C">
        <w:rPr>
          <w:rFonts w:eastAsia="DengXian"/>
          <w:lang w:eastAsia="en-GB"/>
        </w:rPr>
        <w:t>be complemented</w:t>
      </w:r>
      <w:proofErr w:type="gramEnd"/>
      <w:r w:rsidR="0031432C" w:rsidRPr="0031432C">
        <w:rPr>
          <w:rFonts w:eastAsia="DengXian"/>
          <w:lang w:eastAsia="en-GB"/>
        </w:rPr>
        <w:t xml:space="preserve"> by further legal and policy measures by the Government. The 2015 proposal introducing an alternating zipper system for electoral lists put forward in order to enhance the chance of </w:t>
      </w:r>
      <w:r w:rsidR="0031432C" w:rsidRPr="0031432C">
        <w:rPr>
          <w:rFonts w:eastAsia="DengXian"/>
          <w:lang w:eastAsia="en-GB"/>
        </w:rPr>
        <w:lastRenderedPageBreak/>
        <w:t xml:space="preserve">women </w:t>
      </w:r>
      <w:proofErr w:type="gramStart"/>
      <w:r w:rsidR="0031432C" w:rsidRPr="0031432C">
        <w:rPr>
          <w:rFonts w:eastAsia="DengXian"/>
          <w:lang w:eastAsia="en-GB"/>
        </w:rPr>
        <w:t>being elected</w:t>
      </w:r>
      <w:proofErr w:type="gramEnd"/>
      <w:r w:rsidR="0031432C" w:rsidRPr="0031432C">
        <w:rPr>
          <w:rFonts w:eastAsia="DengXian"/>
          <w:lang w:eastAsia="en-GB"/>
        </w:rPr>
        <w:t xml:space="preserve"> has been met with strong resistance and is currently stalled. Views </w:t>
      </w:r>
      <w:proofErr w:type="gramStart"/>
      <w:r w:rsidR="00345E2E">
        <w:rPr>
          <w:rFonts w:eastAsia="DengXian"/>
          <w:lang w:eastAsia="en-GB"/>
        </w:rPr>
        <w:t xml:space="preserve">were </w:t>
      </w:r>
      <w:r w:rsidR="0031432C" w:rsidRPr="0031432C">
        <w:rPr>
          <w:rFonts w:eastAsia="DengXian"/>
          <w:lang w:eastAsia="en-GB"/>
        </w:rPr>
        <w:t>expressed</w:t>
      </w:r>
      <w:proofErr w:type="gramEnd"/>
      <w:r w:rsidR="0031432C" w:rsidRPr="0031432C">
        <w:rPr>
          <w:rFonts w:eastAsia="DengXian"/>
          <w:lang w:eastAsia="en-GB"/>
        </w:rPr>
        <w:t xml:space="preserve"> during the visit, including by the </w:t>
      </w:r>
      <w:r w:rsidR="00345E2E">
        <w:rPr>
          <w:rFonts w:eastAsia="DengXian"/>
          <w:lang w:eastAsia="en-GB"/>
        </w:rPr>
        <w:t xml:space="preserve">Government </w:t>
      </w:r>
      <w:r w:rsidR="0031432C" w:rsidRPr="0031432C">
        <w:rPr>
          <w:rFonts w:eastAsia="DengXian"/>
          <w:lang w:eastAsia="en-GB"/>
        </w:rPr>
        <w:t>Plenipotentiary for Civil Society and Equal Treatment</w:t>
      </w:r>
      <w:r w:rsidR="00345E2E">
        <w:rPr>
          <w:rFonts w:eastAsia="DengXian"/>
          <w:lang w:eastAsia="en-GB"/>
        </w:rPr>
        <w:t xml:space="preserve">, </w:t>
      </w:r>
      <w:r w:rsidR="00345E2E" w:rsidRPr="0031432C">
        <w:rPr>
          <w:rFonts w:eastAsia="DengXian"/>
          <w:lang w:eastAsia="en-GB"/>
        </w:rPr>
        <w:t>that adoption of such measures would be anti-constitutional</w:t>
      </w:r>
      <w:r w:rsidR="00345E2E">
        <w:rPr>
          <w:rFonts w:eastAsia="DengXian"/>
          <w:lang w:eastAsia="en-GB"/>
        </w:rPr>
        <w:t>.</w:t>
      </w:r>
      <w:r w:rsidR="0031432C" w:rsidRPr="0031432C">
        <w:rPr>
          <w:rFonts w:eastAsia="DengXian"/>
          <w:lang w:eastAsia="en-GB"/>
        </w:rPr>
        <w:t xml:space="preserve"> </w:t>
      </w:r>
    </w:p>
    <w:p w14:paraId="5C441E3C" w14:textId="69BB164D" w:rsidR="0031432C" w:rsidRPr="0031432C" w:rsidRDefault="005F09B9" w:rsidP="0031432C">
      <w:pPr>
        <w:pStyle w:val="SingleTxtG"/>
        <w:rPr>
          <w:rFonts w:eastAsia="DengXian"/>
          <w:lang w:eastAsia="en-GB"/>
        </w:rPr>
      </w:pPr>
      <w:r>
        <w:rPr>
          <w:rFonts w:eastAsia="DengXian"/>
          <w:lang w:eastAsia="en-GB"/>
        </w:rPr>
        <w:t>22.</w:t>
      </w:r>
      <w:r>
        <w:rPr>
          <w:rFonts w:eastAsia="DengXian"/>
          <w:lang w:eastAsia="en-GB"/>
        </w:rPr>
        <w:tab/>
      </w:r>
      <w:r w:rsidR="00021C69">
        <w:rPr>
          <w:rFonts w:eastAsia="DengXian"/>
          <w:lang w:eastAsia="en-GB"/>
        </w:rPr>
        <w:t xml:space="preserve">The </w:t>
      </w:r>
      <w:r w:rsidR="00115100">
        <w:rPr>
          <w:rFonts w:eastAsia="DengXian"/>
          <w:lang w:eastAsia="en-GB"/>
        </w:rPr>
        <w:t xml:space="preserve">Working </w:t>
      </w:r>
      <w:r w:rsidR="0031432C" w:rsidRPr="0031432C">
        <w:rPr>
          <w:rFonts w:eastAsia="DengXian"/>
          <w:lang w:eastAsia="en-GB"/>
        </w:rPr>
        <w:t>Group reiterates that special measures, including quotas for women, as recommended</w:t>
      </w:r>
      <w:r w:rsidR="003519EA">
        <w:rPr>
          <w:rFonts w:eastAsia="DengXian"/>
          <w:lang w:eastAsia="en-GB"/>
        </w:rPr>
        <w:t xml:space="preserve"> in</w:t>
      </w:r>
      <w:r w:rsidR="0031432C" w:rsidRPr="0031432C">
        <w:rPr>
          <w:rFonts w:eastAsia="DengXian"/>
          <w:lang w:eastAsia="en-GB"/>
        </w:rPr>
        <w:t xml:space="preserve"> </w:t>
      </w:r>
      <w:r w:rsidR="00462B17">
        <w:rPr>
          <w:rFonts w:eastAsia="DengXian"/>
          <w:lang w:eastAsia="en-GB"/>
        </w:rPr>
        <w:t xml:space="preserve">the Convention </w:t>
      </w:r>
      <w:r w:rsidR="00462B17" w:rsidRPr="0031432C">
        <w:rPr>
          <w:rFonts w:eastAsia="DengXian"/>
          <w:lang w:eastAsia="zh-CN"/>
        </w:rPr>
        <w:t>on the Elimination of All Forms of Discrimination against Women</w:t>
      </w:r>
      <w:r w:rsidR="0031432C" w:rsidRPr="0031432C">
        <w:rPr>
          <w:rFonts w:eastAsia="DengXian"/>
          <w:lang w:eastAsia="en-GB"/>
        </w:rPr>
        <w:t>, are necessary to achieve equality between men and women in political and public life, in order to contend with the underlying structural disad</w:t>
      </w:r>
      <w:r w:rsidR="00021C69">
        <w:rPr>
          <w:rFonts w:eastAsia="DengXian"/>
          <w:lang w:eastAsia="en-GB"/>
        </w:rPr>
        <w:t xml:space="preserve">vantaging of women. The </w:t>
      </w:r>
      <w:r w:rsidR="00115100">
        <w:rPr>
          <w:rFonts w:eastAsia="DengXian"/>
          <w:lang w:eastAsia="en-GB"/>
        </w:rPr>
        <w:t xml:space="preserve">Working </w:t>
      </w:r>
      <w:r w:rsidR="0031432C" w:rsidRPr="0031432C">
        <w:rPr>
          <w:rFonts w:eastAsia="DengXian"/>
          <w:lang w:eastAsia="en-GB"/>
        </w:rPr>
        <w:t xml:space="preserve">Group </w:t>
      </w:r>
      <w:r w:rsidR="00172A52">
        <w:rPr>
          <w:rFonts w:eastAsia="DengXian"/>
          <w:lang w:eastAsia="en-GB"/>
        </w:rPr>
        <w:t>has found</w:t>
      </w:r>
      <w:r w:rsidR="007822A6">
        <w:rPr>
          <w:rFonts w:eastAsia="DengXian"/>
          <w:lang w:eastAsia="en-GB"/>
        </w:rPr>
        <w:t xml:space="preserve"> </w:t>
      </w:r>
      <w:r w:rsidR="0031432C" w:rsidRPr="0031432C">
        <w:rPr>
          <w:rFonts w:eastAsia="DengXian"/>
          <w:lang w:eastAsia="en-GB"/>
        </w:rPr>
        <w:t xml:space="preserve">that the most significant increase in the number of women in national parliaments over the years </w:t>
      </w:r>
      <w:proofErr w:type="gramStart"/>
      <w:r w:rsidR="0031432C" w:rsidRPr="0031432C">
        <w:rPr>
          <w:rFonts w:eastAsia="DengXian"/>
          <w:lang w:eastAsia="en-GB"/>
        </w:rPr>
        <w:t>ha</w:t>
      </w:r>
      <w:r w:rsidR="00AA101E">
        <w:rPr>
          <w:rFonts w:eastAsia="DengXian"/>
          <w:lang w:eastAsia="en-GB"/>
        </w:rPr>
        <w:t>d</w:t>
      </w:r>
      <w:r w:rsidR="0031432C" w:rsidRPr="0031432C">
        <w:rPr>
          <w:rFonts w:eastAsia="DengXian"/>
          <w:lang w:eastAsia="en-GB"/>
        </w:rPr>
        <w:t xml:space="preserve"> </w:t>
      </w:r>
      <w:r w:rsidR="00172A52">
        <w:rPr>
          <w:rFonts w:eastAsia="DengXian"/>
          <w:lang w:eastAsia="en-GB"/>
        </w:rPr>
        <w:t>been witnessed</w:t>
      </w:r>
      <w:proofErr w:type="gramEnd"/>
      <w:r w:rsidR="00172A52" w:rsidRPr="0031432C">
        <w:rPr>
          <w:rFonts w:eastAsia="DengXian"/>
          <w:lang w:eastAsia="en-GB"/>
        </w:rPr>
        <w:t xml:space="preserve"> </w:t>
      </w:r>
      <w:r w:rsidR="0031432C" w:rsidRPr="0031432C">
        <w:rPr>
          <w:rFonts w:eastAsia="DengXian"/>
          <w:lang w:eastAsia="en-GB"/>
        </w:rPr>
        <w:t>in countries where special measures, such as gender quotas, ha</w:t>
      </w:r>
      <w:r w:rsidR="00172A52">
        <w:rPr>
          <w:rFonts w:eastAsia="DengXian"/>
          <w:lang w:eastAsia="en-GB"/>
        </w:rPr>
        <w:t>d</w:t>
      </w:r>
      <w:r w:rsidR="0031432C" w:rsidRPr="0031432C">
        <w:rPr>
          <w:rFonts w:eastAsia="DengXian"/>
          <w:lang w:eastAsia="en-GB"/>
        </w:rPr>
        <w:t xml:space="preserve"> been effectively implemented</w:t>
      </w:r>
      <w:r w:rsidR="00172A52">
        <w:rPr>
          <w:rFonts w:eastAsia="DengXian"/>
          <w:lang w:eastAsia="en-GB"/>
        </w:rPr>
        <w:t xml:space="preserve"> (see </w:t>
      </w:r>
      <w:r w:rsidR="00172A52">
        <w:t>A/HRC/23/50)</w:t>
      </w:r>
      <w:r w:rsidR="0031432C" w:rsidRPr="0031432C">
        <w:rPr>
          <w:rFonts w:eastAsia="DengXian"/>
          <w:lang w:eastAsia="en-GB"/>
        </w:rPr>
        <w:t>.</w:t>
      </w:r>
    </w:p>
    <w:p w14:paraId="3C48C488" w14:textId="77777777" w:rsidR="0031432C" w:rsidRPr="0031432C" w:rsidRDefault="00E656D1" w:rsidP="00E656D1">
      <w:pPr>
        <w:pStyle w:val="H1G"/>
        <w:rPr>
          <w:rFonts w:eastAsia="DengXian"/>
          <w:lang w:eastAsia="en-GB"/>
        </w:rPr>
      </w:pPr>
      <w:r>
        <w:rPr>
          <w:rFonts w:eastAsia="DengXian"/>
          <w:lang w:eastAsia="en-GB"/>
        </w:rPr>
        <w:tab/>
      </w:r>
      <w:r w:rsidR="00E42703">
        <w:rPr>
          <w:rFonts w:eastAsia="DengXian"/>
          <w:lang w:eastAsia="en-GB"/>
        </w:rPr>
        <w:t>B</w:t>
      </w:r>
      <w:r>
        <w:rPr>
          <w:rFonts w:eastAsia="DengXian"/>
          <w:lang w:eastAsia="en-GB"/>
        </w:rPr>
        <w:t>.</w:t>
      </w:r>
      <w:r>
        <w:rPr>
          <w:rFonts w:eastAsia="DengXian"/>
          <w:lang w:eastAsia="en-GB"/>
        </w:rPr>
        <w:tab/>
      </w:r>
      <w:r w:rsidR="0031432C" w:rsidRPr="0031432C">
        <w:rPr>
          <w:rFonts w:eastAsia="DengXian"/>
          <w:lang w:eastAsia="en-GB"/>
        </w:rPr>
        <w:t>Women human rights defenders</w:t>
      </w:r>
    </w:p>
    <w:p w14:paraId="4EA85BFD" w14:textId="3005D682" w:rsidR="0031432C" w:rsidRPr="0031432C" w:rsidRDefault="005F09B9" w:rsidP="0031432C">
      <w:pPr>
        <w:pStyle w:val="SingleTxtG"/>
        <w:rPr>
          <w:rFonts w:eastAsia="DengXian"/>
          <w:lang w:eastAsia="en-GB"/>
        </w:rPr>
      </w:pPr>
      <w:r>
        <w:rPr>
          <w:rFonts w:eastAsia="DengXian"/>
          <w:lang w:eastAsia="en-GB"/>
        </w:rPr>
        <w:t>23.</w:t>
      </w:r>
      <w:r>
        <w:rPr>
          <w:rFonts w:eastAsia="DengXian"/>
          <w:lang w:eastAsia="en-GB"/>
        </w:rPr>
        <w:tab/>
      </w:r>
      <w:r w:rsidR="0031432C" w:rsidRPr="0031432C">
        <w:rPr>
          <w:rFonts w:eastAsia="DengXian"/>
          <w:lang w:eastAsia="en-GB"/>
        </w:rPr>
        <w:t xml:space="preserve">Women’s rights organizations have been a key part of the vibrant civil society in Poland and have an essential role to play in the country’s effort </w:t>
      </w:r>
      <w:r w:rsidR="00506719">
        <w:rPr>
          <w:rFonts w:eastAsia="DengXian"/>
          <w:lang w:eastAsia="en-GB"/>
        </w:rPr>
        <w:t>to</w:t>
      </w:r>
      <w:r w:rsidR="0031432C" w:rsidRPr="0031432C">
        <w:rPr>
          <w:rFonts w:eastAsia="DengXian"/>
          <w:lang w:eastAsia="en-GB"/>
        </w:rPr>
        <w:t xml:space="preserve"> eliminat</w:t>
      </w:r>
      <w:r w:rsidR="00506719">
        <w:rPr>
          <w:rFonts w:eastAsia="DengXian"/>
          <w:lang w:eastAsia="en-GB"/>
        </w:rPr>
        <w:t>e</w:t>
      </w:r>
      <w:r w:rsidR="0031432C" w:rsidRPr="0031432C">
        <w:rPr>
          <w:rFonts w:eastAsia="DengXian"/>
          <w:lang w:eastAsia="en-GB"/>
        </w:rPr>
        <w:t xml:space="preserve"> discrimination against women and ensur</w:t>
      </w:r>
      <w:r w:rsidR="00506719">
        <w:rPr>
          <w:rFonts w:eastAsia="DengXian"/>
          <w:lang w:eastAsia="en-GB"/>
        </w:rPr>
        <w:t>e</w:t>
      </w:r>
      <w:r w:rsidR="0031432C" w:rsidRPr="0031432C">
        <w:rPr>
          <w:rFonts w:eastAsia="DengXian"/>
          <w:lang w:eastAsia="en-GB"/>
        </w:rPr>
        <w:t xml:space="preserve"> the empowerment of women. They have cooperated with </w:t>
      </w:r>
      <w:r w:rsidR="00506719">
        <w:rPr>
          <w:rFonts w:eastAsia="DengXian"/>
          <w:lang w:eastAsia="en-GB"/>
        </w:rPr>
        <w:t>S</w:t>
      </w:r>
      <w:r w:rsidR="0031432C" w:rsidRPr="0031432C">
        <w:rPr>
          <w:rFonts w:eastAsia="DengXian"/>
          <w:lang w:eastAsia="en-GB"/>
        </w:rPr>
        <w:t>tate authorities and assumed essential public functions in a range of areas, conducting sexuality education and providing support to victims/survivors of gender-based violence.</w:t>
      </w:r>
    </w:p>
    <w:p w14:paraId="2BDDD6CC" w14:textId="46D07BB4" w:rsidR="0031432C" w:rsidRPr="0031432C" w:rsidRDefault="005F09B9" w:rsidP="0031432C">
      <w:pPr>
        <w:pStyle w:val="SingleTxtG"/>
        <w:rPr>
          <w:rFonts w:eastAsia="DengXian"/>
          <w:lang w:eastAsia="en-GB"/>
        </w:rPr>
      </w:pPr>
      <w:r>
        <w:rPr>
          <w:rFonts w:eastAsia="DengXian"/>
          <w:lang w:eastAsia="en-GB"/>
        </w:rPr>
        <w:t>24.</w:t>
      </w:r>
      <w:r>
        <w:rPr>
          <w:rFonts w:eastAsia="DengXian"/>
          <w:lang w:eastAsia="en-GB"/>
        </w:rPr>
        <w:tab/>
      </w:r>
      <w:r w:rsidR="0031432C" w:rsidRPr="0031432C">
        <w:rPr>
          <w:rFonts w:eastAsia="DengXian"/>
          <w:lang w:eastAsia="en-GB"/>
        </w:rPr>
        <w:t xml:space="preserve">The Working Group is concerned that their capacity to operate </w:t>
      </w:r>
      <w:proofErr w:type="gramStart"/>
      <w:r w:rsidR="0031432C" w:rsidRPr="0031432C">
        <w:rPr>
          <w:rFonts w:eastAsia="DengXian"/>
          <w:lang w:eastAsia="en-GB"/>
        </w:rPr>
        <w:t>is being undermined</w:t>
      </w:r>
      <w:proofErr w:type="gramEnd"/>
      <w:r w:rsidR="0031432C" w:rsidRPr="0031432C">
        <w:rPr>
          <w:rFonts w:eastAsia="DengXian"/>
          <w:lang w:eastAsia="en-GB"/>
        </w:rPr>
        <w:t xml:space="preserve">, with cuts in </w:t>
      </w:r>
      <w:r w:rsidR="00960C76">
        <w:rPr>
          <w:rFonts w:eastAsia="DengXian"/>
          <w:lang w:eastAsia="en-GB"/>
        </w:rPr>
        <w:t>S</w:t>
      </w:r>
      <w:r w:rsidR="0031432C" w:rsidRPr="0031432C">
        <w:rPr>
          <w:rFonts w:eastAsia="DengXian"/>
          <w:lang w:eastAsia="en-GB"/>
        </w:rPr>
        <w:t xml:space="preserve">tate funding and an increasingly intimidating atmosphere. </w:t>
      </w:r>
      <w:proofErr w:type="gramStart"/>
      <w:r w:rsidR="0031432C" w:rsidRPr="0031432C">
        <w:rPr>
          <w:rFonts w:eastAsia="DengXian"/>
          <w:lang w:eastAsia="en-GB"/>
        </w:rPr>
        <w:t>The simultaneous search of premises and seizure of computer hard drives containing sensitive information of four women’s rights organizations</w:t>
      </w:r>
      <w:r w:rsidR="00592762">
        <w:rPr>
          <w:rFonts w:eastAsia="DengXian"/>
          <w:lang w:eastAsia="en-GB"/>
        </w:rPr>
        <w:t xml:space="preserve"> (and some others)</w:t>
      </w:r>
      <w:r w:rsidR="0031432C" w:rsidRPr="0031432C">
        <w:rPr>
          <w:rFonts w:eastAsia="DengXian"/>
          <w:lang w:eastAsia="en-GB"/>
        </w:rPr>
        <w:t xml:space="preserve">, </w:t>
      </w:r>
      <w:r w:rsidR="00592762">
        <w:t xml:space="preserve">in connection with proceedings </w:t>
      </w:r>
      <w:r w:rsidR="00417210">
        <w:t>regarding</w:t>
      </w:r>
      <w:r w:rsidR="00592762">
        <w:t xml:space="preserve"> the abuse of authority by a public officer</w:t>
      </w:r>
      <w:r w:rsidR="008C0A06">
        <w:t>,</w:t>
      </w:r>
      <w:r w:rsidR="008C0A06">
        <w:rPr>
          <w:rFonts w:eastAsia="DengXian"/>
          <w:lang w:eastAsia="en-GB"/>
        </w:rPr>
        <w:t xml:space="preserve"> </w:t>
      </w:r>
      <w:r w:rsidR="0031432C" w:rsidRPr="0031432C">
        <w:rPr>
          <w:rFonts w:eastAsia="DengXian"/>
          <w:lang w:eastAsia="en-GB"/>
        </w:rPr>
        <w:t xml:space="preserve">a day after the </w:t>
      </w:r>
      <w:r w:rsidR="00DD7D8D">
        <w:rPr>
          <w:rFonts w:eastAsia="DengXian"/>
          <w:lang w:eastAsia="en-GB"/>
        </w:rPr>
        <w:t>“</w:t>
      </w:r>
      <w:r w:rsidR="0031432C" w:rsidRPr="0031432C">
        <w:rPr>
          <w:rFonts w:eastAsia="DengXian"/>
          <w:lang w:eastAsia="en-GB"/>
        </w:rPr>
        <w:t>black protests</w:t>
      </w:r>
      <w:r w:rsidR="00DD7D8D">
        <w:rPr>
          <w:rFonts w:eastAsia="DengXian"/>
          <w:lang w:eastAsia="en-GB"/>
        </w:rPr>
        <w:t>”</w:t>
      </w:r>
      <w:r w:rsidR="00592762">
        <w:rPr>
          <w:rFonts w:eastAsia="DengXian"/>
          <w:lang w:eastAsia="en-GB"/>
        </w:rPr>
        <w:t xml:space="preserve"> in October 201</w:t>
      </w:r>
      <w:r w:rsidR="00D05C5D">
        <w:rPr>
          <w:rFonts w:eastAsia="DengXian"/>
          <w:lang w:eastAsia="en-GB"/>
        </w:rPr>
        <w:t>7</w:t>
      </w:r>
      <w:r w:rsidR="0031432C" w:rsidRPr="0031432C">
        <w:rPr>
          <w:rFonts w:eastAsia="DengXian"/>
          <w:lang w:eastAsia="en-GB"/>
        </w:rPr>
        <w:t xml:space="preserve"> in which the leaders of the organi</w:t>
      </w:r>
      <w:r w:rsidR="00DD7D8D">
        <w:rPr>
          <w:rFonts w:eastAsia="DengXian"/>
          <w:lang w:eastAsia="en-GB"/>
        </w:rPr>
        <w:t>z</w:t>
      </w:r>
      <w:r w:rsidR="0031432C" w:rsidRPr="0031432C">
        <w:rPr>
          <w:rFonts w:eastAsia="DengXian"/>
          <w:lang w:eastAsia="en-GB"/>
        </w:rPr>
        <w:t xml:space="preserve">ations </w:t>
      </w:r>
      <w:r w:rsidR="00446B63">
        <w:rPr>
          <w:rFonts w:eastAsia="DengXian"/>
          <w:lang w:eastAsia="en-GB"/>
        </w:rPr>
        <w:t xml:space="preserve">had </w:t>
      </w:r>
      <w:r w:rsidR="0031432C" w:rsidRPr="0031432C">
        <w:rPr>
          <w:rFonts w:eastAsia="DengXian"/>
          <w:lang w:eastAsia="en-GB"/>
        </w:rPr>
        <w:t>actively participated, has left a lingering effect of fear and uncertainty.</w:t>
      </w:r>
      <w:proofErr w:type="gramEnd"/>
    </w:p>
    <w:p w14:paraId="78861A6F" w14:textId="2E2E8351" w:rsidR="0031432C" w:rsidRPr="0031432C" w:rsidRDefault="005F09B9" w:rsidP="0031432C">
      <w:pPr>
        <w:pStyle w:val="SingleTxtG"/>
        <w:rPr>
          <w:rFonts w:eastAsia="DengXian"/>
          <w:lang w:eastAsia="en-GB"/>
        </w:rPr>
      </w:pPr>
      <w:r>
        <w:rPr>
          <w:rFonts w:eastAsia="DengXian"/>
          <w:lang w:eastAsia="en-GB"/>
        </w:rPr>
        <w:t>25.</w:t>
      </w:r>
      <w:r>
        <w:rPr>
          <w:rFonts w:eastAsia="DengXian"/>
          <w:lang w:eastAsia="en-GB"/>
        </w:rPr>
        <w:tab/>
      </w:r>
      <w:r w:rsidR="00E8422E">
        <w:rPr>
          <w:rFonts w:eastAsia="DengXian"/>
          <w:lang w:eastAsia="en-GB"/>
        </w:rPr>
        <w:t xml:space="preserve">The </w:t>
      </w:r>
      <w:r w:rsidR="00115100">
        <w:rPr>
          <w:rFonts w:eastAsia="DengXian"/>
          <w:lang w:eastAsia="en-GB"/>
        </w:rPr>
        <w:t xml:space="preserve">Working </w:t>
      </w:r>
      <w:r w:rsidR="0031432C" w:rsidRPr="0031432C">
        <w:rPr>
          <w:rFonts w:eastAsia="DengXian"/>
          <w:lang w:eastAsia="en-GB"/>
        </w:rPr>
        <w:t xml:space="preserve">Group learned of the trend in recent years of excluding women’s rights groups from </w:t>
      </w:r>
      <w:r w:rsidR="00960C76">
        <w:rPr>
          <w:rFonts w:eastAsia="DengXian"/>
          <w:lang w:eastAsia="en-GB"/>
        </w:rPr>
        <w:t>S</w:t>
      </w:r>
      <w:r w:rsidR="0031432C" w:rsidRPr="0031432C">
        <w:rPr>
          <w:rFonts w:eastAsia="DengXian"/>
          <w:lang w:eastAsia="en-GB"/>
        </w:rPr>
        <w:t xml:space="preserve">tate funding, while preference seems to </w:t>
      </w:r>
      <w:proofErr w:type="gramStart"/>
      <w:r w:rsidR="0031432C" w:rsidRPr="0031432C">
        <w:rPr>
          <w:rFonts w:eastAsia="DengXian"/>
          <w:lang w:eastAsia="en-GB"/>
        </w:rPr>
        <w:t>be given</w:t>
      </w:r>
      <w:proofErr w:type="gramEnd"/>
      <w:r w:rsidR="0031432C" w:rsidRPr="0031432C">
        <w:rPr>
          <w:rFonts w:eastAsia="DengXian"/>
          <w:lang w:eastAsia="en-GB"/>
        </w:rPr>
        <w:t xml:space="preserve"> to organi</w:t>
      </w:r>
      <w:r w:rsidR="00DD7D8D">
        <w:rPr>
          <w:rFonts w:eastAsia="DengXian"/>
          <w:lang w:eastAsia="en-GB"/>
        </w:rPr>
        <w:t>z</w:t>
      </w:r>
      <w:r w:rsidR="0031432C" w:rsidRPr="0031432C">
        <w:rPr>
          <w:rFonts w:eastAsia="DengXian"/>
          <w:lang w:eastAsia="en-GB"/>
        </w:rPr>
        <w:t>ations affiliated with the Church, often</w:t>
      </w:r>
      <w:r w:rsidR="0031432C" w:rsidRPr="0031432C">
        <w:rPr>
          <w:rFonts w:eastAsia="DengXian"/>
          <w:lang w:eastAsia="zh-CN"/>
        </w:rPr>
        <w:t xml:space="preserve"> </w:t>
      </w:r>
      <w:r w:rsidR="0031432C" w:rsidRPr="0031432C">
        <w:rPr>
          <w:rFonts w:eastAsia="DengXian"/>
          <w:lang w:eastAsia="en-GB"/>
        </w:rPr>
        <w:t xml:space="preserve">with a conservative agenda. Although the selection is through an open competition, as submitted by the Government, numerous interlocutors pointed out that feminist organizations today have little chance of receiving </w:t>
      </w:r>
      <w:r w:rsidR="00960C76">
        <w:rPr>
          <w:rFonts w:eastAsia="DengXian"/>
          <w:lang w:eastAsia="en-GB"/>
        </w:rPr>
        <w:t>S</w:t>
      </w:r>
      <w:r w:rsidR="0031432C" w:rsidRPr="0031432C">
        <w:rPr>
          <w:rFonts w:eastAsia="DengXian"/>
          <w:lang w:eastAsia="en-GB"/>
        </w:rPr>
        <w:t xml:space="preserve">tate funding. Indeed, several well-established NGOs with a proven record in providing services for women victims/survivors of domestic violence and training on gender equality in schools have experienced funding cuts since 2016. Some of them received </w:t>
      </w:r>
      <w:r w:rsidR="00417210">
        <w:rPr>
          <w:rFonts w:eastAsia="DengXian"/>
          <w:lang w:eastAsia="en-GB"/>
        </w:rPr>
        <w:t>the</w:t>
      </w:r>
      <w:r w:rsidR="0031432C" w:rsidRPr="0031432C">
        <w:rPr>
          <w:rFonts w:eastAsia="DengXian"/>
          <w:lang w:eastAsia="en-GB"/>
        </w:rPr>
        <w:t xml:space="preserve"> explanation that providing support only to women violated </w:t>
      </w:r>
      <w:r w:rsidR="00417210">
        <w:rPr>
          <w:rFonts w:eastAsia="DengXian"/>
          <w:lang w:eastAsia="en-GB"/>
        </w:rPr>
        <w:t xml:space="preserve">the </w:t>
      </w:r>
      <w:r w:rsidR="0031432C" w:rsidRPr="0031432C">
        <w:rPr>
          <w:rFonts w:eastAsia="DengXian"/>
          <w:lang w:eastAsia="en-GB"/>
        </w:rPr>
        <w:t xml:space="preserve">gender equality principle, as it discriminated against men. This demonstrates a profound lack of understanding of the concept of substantive gender equality, which requires </w:t>
      </w:r>
      <w:r w:rsidR="00417210">
        <w:rPr>
          <w:rFonts w:eastAsia="DengXian"/>
          <w:lang w:eastAsia="en-GB"/>
        </w:rPr>
        <w:t xml:space="preserve">the </w:t>
      </w:r>
      <w:r w:rsidR="0031432C" w:rsidRPr="0031432C">
        <w:rPr>
          <w:rFonts w:eastAsia="DengXian"/>
          <w:lang w:eastAsia="en-GB"/>
        </w:rPr>
        <w:t>adoption of target</w:t>
      </w:r>
      <w:r w:rsidR="00417210">
        <w:rPr>
          <w:rFonts w:eastAsia="DengXian"/>
          <w:lang w:eastAsia="en-GB"/>
        </w:rPr>
        <w:t>ed</w:t>
      </w:r>
      <w:r w:rsidR="0031432C" w:rsidRPr="0031432C">
        <w:rPr>
          <w:rFonts w:eastAsia="DengXian"/>
          <w:lang w:eastAsia="en-GB"/>
        </w:rPr>
        <w:t xml:space="preserve"> measures </w:t>
      </w:r>
      <w:r w:rsidR="00417210">
        <w:rPr>
          <w:rFonts w:eastAsia="DengXian"/>
          <w:lang w:eastAsia="en-GB"/>
        </w:rPr>
        <w:t>to</w:t>
      </w:r>
      <w:r w:rsidR="0031432C" w:rsidRPr="0031432C">
        <w:rPr>
          <w:rFonts w:eastAsia="DengXian"/>
          <w:lang w:eastAsia="en-GB"/>
        </w:rPr>
        <w:t xml:space="preserve"> challeng</w:t>
      </w:r>
      <w:r w:rsidR="00417210">
        <w:rPr>
          <w:rFonts w:eastAsia="DengXian"/>
          <w:lang w:eastAsia="en-GB"/>
        </w:rPr>
        <w:t>e</w:t>
      </w:r>
      <w:r w:rsidR="0031432C" w:rsidRPr="0031432C">
        <w:rPr>
          <w:rFonts w:eastAsia="DengXian"/>
          <w:lang w:eastAsia="en-GB"/>
        </w:rPr>
        <w:t xml:space="preserve"> women’s disadvantage.</w:t>
      </w:r>
    </w:p>
    <w:p w14:paraId="4BB11BB8" w14:textId="674D185C" w:rsidR="0031432C" w:rsidRPr="0031432C" w:rsidRDefault="005F09B9" w:rsidP="0031432C">
      <w:pPr>
        <w:pStyle w:val="SingleTxtG"/>
        <w:rPr>
          <w:rFonts w:eastAsia="DengXian"/>
          <w:lang w:eastAsia="en-GB"/>
        </w:rPr>
      </w:pPr>
      <w:proofErr w:type="gramStart"/>
      <w:r>
        <w:rPr>
          <w:rFonts w:eastAsia="DengXian"/>
          <w:lang w:eastAsia="en-GB"/>
        </w:rPr>
        <w:t>26.</w:t>
      </w:r>
      <w:r>
        <w:rPr>
          <w:rFonts w:eastAsia="DengXian"/>
          <w:lang w:eastAsia="en-GB"/>
        </w:rPr>
        <w:tab/>
      </w:r>
      <w:r w:rsidR="00E8422E">
        <w:rPr>
          <w:rFonts w:eastAsia="DengXian"/>
          <w:lang w:eastAsia="en-GB"/>
        </w:rPr>
        <w:t xml:space="preserve">The </w:t>
      </w:r>
      <w:r w:rsidR="00115100">
        <w:rPr>
          <w:rFonts w:eastAsia="DengXian"/>
          <w:lang w:eastAsia="en-GB"/>
        </w:rPr>
        <w:t xml:space="preserve">Working </w:t>
      </w:r>
      <w:r w:rsidR="0031432C" w:rsidRPr="0031432C">
        <w:rPr>
          <w:rFonts w:eastAsia="DengXian"/>
          <w:lang w:eastAsia="en-GB"/>
        </w:rPr>
        <w:t xml:space="preserve">Group further echoes the concerns expressed by civil society organizations, the Commissioner for Human Rights and the Office for Democratic Institutions and Human Rights of the Organization for Security and Cooperation in Europe regarding the </w:t>
      </w:r>
      <w:r w:rsidR="00446B63">
        <w:rPr>
          <w:rFonts w:eastAsia="DengXian"/>
          <w:lang w:eastAsia="en-GB"/>
        </w:rPr>
        <w:t>recent</w:t>
      </w:r>
      <w:r w:rsidR="0031432C" w:rsidRPr="0031432C">
        <w:rPr>
          <w:rFonts w:eastAsia="DengXian"/>
          <w:lang w:eastAsia="en-GB"/>
        </w:rPr>
        <w:t xml:space="preserve"> establish</w:t>
      </w:r>
      <w:r w:rsidR="00446B63">
        <w:rPr>
          <w:rFonts w:eastAsia="DengXian"/>
          <w:lang w:eastAsia="en-GB"/>
        </w:rPr>
        <w:t>ment of the</w:t>
      </w:r>
      <w:r w:rsidR="0031432C" w:rsidRPr="0031432C">
        <w:rPr>
          <w:rFonts w:eastAsia="DengXian"/>
          <w:lang w:eastAsia="en-GB"/>
        </w:rPr>
        <w:t xml:space="preserve"> National Freedom Institute – Centre for the Development of Civil Society as the sole </w:t>
      </w:r>
      <w:r w:rsidR="00DE3B9E">
        <w:rPr>
          <w:rFonts w:eastAsia="DengXian"/>
          <w:lang w:eastAsia="en-GB"/>
        </w:rPr>
        <w:t xml:space="preserve">institution with the </w:t>
      </w:r>
      <w:r w:rsidR="0031432C" w:rsidRPr="0031432C">
        <w:rPr>
          <w:rFonts w:eastAsia="DengXian"/>
          <w:lang w:eastAsia="en-GB"/>
        </w:rPr>
        <w:t>power to distribute public funds among non-governmental organi</w:t>
      </w:r>
      <w:r w:rsidR="00DD7D8D">
        <w:rPr>
          <w:rFonts w:eastAsia="DengXian"/>
          <w:lang w:eastAsia="en-GB"/>
        </w:rPr>
        <w:t>z</w:t>
      </w:r>
      <w:r w:rsidR="0031432C" w:rsidRPr="0031432C">
        <w:rPr>
          <w:rFonts w:eastAsia="DengXian"/>
          <w:lang w:eastAsia="en-GB"/>
        </w:rPr>
        <w:t>ations.</w:t>
      </w:r>
      <w:proofErr w:type="gramEnd"/>
      <w:r w:rsidR="0031432C" w:rsidRPr="0031432C">
        <w:rPr>
          <w:rFonts w:eastAsia="DengXian"/>
          <w:lang w:eastAsia="en-GB"/>
        </w:rPr>
        <w:t xml:space="preserve"> The centralization of government funds for public organizations in the control of </w:t>
      </w:r>
      <w:r w:rsidR="00DE3B9E">
        <w:rPr>
          <w:rFonts w:eastAsia="DengXian"/>
          <w:lang w:eastAsia="en-GB"/>
        </w:rPr>
        <w:t>a single</w:t>
      </w:r>
      <w:r w:rsidR="00DE3B9E" w:rsidRPr="0031432C">
        <w:rPr>
          <w:rFonts w:eastAsia="DengXian"/>
          <w:lang w:eastAsia="en-GB"/>
        </w:rPr>
        <w:t xml:space="preserve"> </w:t>
      </w:r>
      <w:r w:rsidR="0031432C" w:rsidRPr="0031432C">
        <w:rPr>
          <w:rFonts w:eastAsia="DengXian"/>
          <w:lang w:eastAsia="en-GB"/>
        </w:rPr>
        <w:t>entity could have a negative impact on the functioning of civil society.</w:t>
      </w:r>
    </w:p>
    <w:p w14:paraId="6481445F" w14:textId="3BE87711" w:rsidR="0031432C" w:rsidRPr="0031432C" w:rsidRDefault="005F09B9" w:rsidP="0031432C">
      <w:pPr>
        <w:pStyle w:val="SingleTxtG"/>
        <w:rPr>
          <w:rFonts w:eastAsia="DengXian"/>
          <w:lang w:eastAsia="en-GB"/>
        </w:rPr>
      </w:pPr>
      <w:r>
        <w:rPr>
          <w:rFonts w:eastAsia="DengXian"/>
          <w:lang w:eastAsia="en-GB"/>
        </w:rPr>
        <w:t>27.</w:t>
      </w:r>
      <w:r>
        <w:rPr>
          <w:rFonts w:eastAsia="DengXian"/>
          <w:lang w:eastAsia="en-GB"/>
        </w:rPr>
        <w:tab/>
      </w:r>
      <w:r w:rsidR="0031432C" w:rsidRPr="0031432C">
        <w:rPr>
          <w:rFonts w:eastAsia="DengXian"/>
          <w:lang w:eastAsia="en-GB"/>
        </w:rPr>
        <w:t>Th</w:t>
      </w:r>
      <w:r w:rsidR="00E8422E">
        <w:rPr>
          <w:rFonts w:eastAsia="DengXian"/>
          <w:lang w:eastAsia="en-GB"/>
        </w:rPr>
        <w:t>roughout the visit, the</w:t>
      </w:r>
      <w:r w:rsidR="00115100">
        <w:rPr>
          <w:rFonts w:eastAsia="DengXian"/>
          <w:lang w:eastAsia="en-GB"/>
        </w:rPr>
        <w:t xml:space="preserve"> Working</w:t>
      </w:r>
      <w:r w:rsidR="00E8422E">
        <w:rPr>
          <w:rFonts w:eastAsia="DengXian"/>
          <w:lang w:eastAsia="en-GB"/>
        </w:rPr>
        <w:t xml:space="preserve"> </w:t>
      </w:r>
      <w:r w:rsidR="0031432C" w:rsidRPr="0031432C">
        <w:rPr>
          <w:rFonts w:eastAsia="DengXian"/>
          <w:lang w:eastAsia="en-GB"/>
        </w:rPr>
        <w:t xml:space="preserve">Group heard from various interlocutors about the disabling impact of the funding cuts on the ground. In this context, the experts were particularly pleased to learn that local councils in several cities </w:t>
      </w:r>
      <w:r w:rsidR="00DE3B9E">
        <w:rPr>
          <w:rFonts w:eastAsia="DengXian"/>
          <w:lang w:eastAsia="en-GB"/>
        </w:rPr>
        <w:t>we</w:t>
      </w:r>
      <w:r w:rsidR="0031432C" w:rsidRPr="0031432C">
        <w:rPr>
          <w:rFonts w:eastAsia="DengXian"/>
          <w:lang w:eastAsia="en-GB"/>
        </w:rPr>
        <w:t>re stepping up their effor</w:t>
      </w:r>
      <w:r w:rsidR="00DE3B9E">
        <w:rPr>
          <w:rFonts w:eastAsia="DengXian"/>
          <w:lang w:eastAsia="en-GB"/>
        </w:rPr>
        <w:t>ts to fill in</w:t>
      </w:r>
      <w:r w:rsidR="0031432C" w:rsidRPr="0031432C">
        <w:rPr>
          <w:rFonts w:eastAsia="DengXian"/>
          <w:lang w:eastAsia="en-GB"/>
        </w:rPr>
        <w:t xml:space="preserve"> some of the gap</w:t>
      </w:r>
      <w:r w:rsidR="00DE3B9E">
        <w:rPr>
          <w:rFonts w:eastAsia="DengXian"/>
          <w:lang w:eastAsia="en-GB"/>
        </w:rPr>
        <w:t>s</w:t>
      </w:r>
      <w:r w:rsidR="0031432C" w:rsidRPr="0031432C">
        <w:rPr>
          <w:rFonts w:eastAsia="DengXian"/>
          <w:lang w:eastAsia="en-GB"/>
        </w:rPr>
        <w:t xml:space="preserve"> caused by the cuts in </w:t>
      </w:r>
      <w:r w:rsidR="00960C76">
        <w:rPr>
          <w:rFonts w:eastAsia="DengXian"/>
          <w:lang w:eastAsia="en-GB"/>
        </w:rPr>
        <w:t>S</w:t>
      </w:r>
      <w:r w:rsidR="0031432C" w:rsidRPr="0031432C">
        <w:rPr>
          <w:rFonts w:eastAsia="DengXian"/>
          <w:lang w:eastAsia="en-GB"/>
        </w:rPr>
        <w:t>tate funding. The experts were also pleased to note the positive spirit of solidarity among women’s organizations in working together and supporting each other. The existence of funds established by a feminist group also plays an important role in filling the gap, while its informal flexible working methods make it accessible to grassroots women in small towns and rural areas.</w:t>
      </w:r>
    </w:p>
    <w:p w14:paraId="4E28EB3E" w14:textId="1F4AD024" w:rsidR="0031432C" w:rsidRPr="0031432C" w:rsidRDefault="005F09B9" w:rsidP="0031432C">
      <w:pPr>
        <w:pStyle w:val="SingleTxtG"/>
        <w:rPr>
          <w:rFonts w:eastAsia="DengXian"/>
          <w:lang w:eastAsia="en-GB"/>
        </w:rPr>
      </w:pPr>
      <w:r>
        <w:rPr>
          <w:rFonts w:eastAsia="DengXian"/>
          <w:lang w:eastAsia="en-GB"/>
        </w:rPr>
        <w:t>28.</w:t>
      </w:r>
      <w:r>
        <w:rPr>
          <w:rFonts w:eastAsia="DengXian"/>
          <w:lang w:eastAsia="en-GB"/>
        </w:rPr>
        <w:tab/>
      </w:r>
      <w:r w:rsidR="0031432C" w:rsidRPr="0031432C">
        <w:rPr>
          <w:rFonts w:eastAsia="DengXian"/>
          <w:lang w:eastAsia="en-GB"/>
        </w:rPr>
        <w:t>The valuable knowledge and experiences of women’s rights organi</w:t>
      </w:r>
      <w:r w:rsidR="00DD7D8D">
        <w:rPr>
          <w:rFonts w:eastAsia="DengXian"/>
          <w:lang w:eastAsia="en-GB"/>
        </w:rPr>
        <w:t>z</w:t>
      </w:r>
      <w:r w:rsidR="0031432C" w:rsidRPr="0031432C">
        <w:rPr>
          <w:rFonts w:eastAsia="DengXian"/>
          <w:lang w:eastAsia="en-GB"/>
        </w:rPr>
        <w:t xml:space="preserve">ations </w:t>
      </w:r>
      <w:proofErr w:type="gramStart"/>
      <w:r w:rsidR="0031432C" w:rsidRPr="0031432C">
        <w:rPr>
          <w:rFonts w:eastAsia="DengXian"/>
          <w:lang w:eastAsia="en-GB"/>
        </w:rPr>
        <w:t>should not be dismissed</w:t>
      </w:r>
      <w:proofErr w:type="gramEnd"/>
      <w:r w:rsidR="0031432C" w:rsidRPr="0031432C">
        <w:rPr>
          <w:rFonts w:eastAsia="DengXian"/>
          <w:lang w:eastAsia="en-GB"/>
        </w:rPr>
        <w:t xml:space="preserve">. Not only should they receive the appropriate funding, their voices </w:t>
      </w:r>
      <w:proofErr w:type="gramStart"/>
      <w:r w:rsidR="0031432C" w:rsidRPr="0031432C">
        <w:rPr>
          <w:rFonts w:eastAsia="DengXian"/>
          <w:lang w:eastAsia="en-GB"/>
        </w:rPr>
        <w:t xml:space="preserve">must be </w:t>
      </w:r>
      <w:r w:rsidR="0031432C" w:rsidRPr="0031432C">
        <w:rPr>
          <w:rFonts w:eastAsia="DengXian"/>
          <w:lang w:eastAsia="en-GB"/>
        </w:rPr>
        <w:lastRenderedPageBreak/>
        <w:t>heard</w:t>
      </w:r>
      <w:proofErr w:type="gramEnd"/>
      <w:r w:rsidR="0031432C" w:rsidRPr="0031432C">
        <w:rPr>
          <w:rFonts w:eastAsia="DengXian"/>
          <w:lang w:eastAsia="en-GB"/>
        </w:rPr>
        <w:t xml:space="preserve"> in the formulation of government policies and strategies. International and regional support</w:t>
      </w:r>
      <w:r w:rsidR="00DE3B9E">
        <w:rPr>
          <w:rFonts w:eastAsia="DengXian"/>
          <w:lang w:eastAsia="en-GB"/>
        </w:rPr>
        <w:t xml:space="preserve"> should</w:t>
      </w:r>
      <w:r w:rsidR="0031432C" w:rsidRPr="0031432C">
        <w:rPr>
          <w:rFonts w:eastAsia="DengXian"/>
          <w:lang w:eastAsia="en-GB"/>
        </w:rPr>
        <w:t xml:space="preserve"> also prioriti</w:t>
      </w:r>
      <w:r w:rsidR="00DD7D8D">
        <w:rPr>
          <w:rFonts w:eastAsia="DengXian"/>
          <w:lang w:eastAsia="en-GB"/>
        </w:rPr>
        <w:t>z</w:t>
      </w:r>
      <w:r w:rsidR="0031432C" w:rsidRPr="0031432C">
        <w:rPr>
          <w:rFonts w:eastAsia="DengXian"/>
          <w:lang w:eastAsia="en-GB"/>
        </w:rPr>
        <w:t xml:space="preserve">e women’s rights organizations in </w:t>
      </w:r>
      <w:r w:rsidR="00DE3B9E">
        <w:rPr>
          <w:rFonts w:eastAsia="DengXian"/>
          <w:lang w:eastAsia="en-GB"/>
        </w:rPr>
        <w:t>the current</w:t>
      </w:r>
      <w:r w:rsidR="0031432C" w:rsidRPr="0031432C">
        <w:rPr>
          <w:rFonts w:eastAsia="DengXian"/>
          <w:lang w:eastAsia="en-GB"/>
        </w:rPr>
        <w:t xml:space="preserve"> context of the shrinking space</w:t>
      </w:r>
      <w:r w:rsidR="0031432C" w:rsidRPr="0031432C">
        <w:rPr>
          <w:rFonts w:ascii="Calibri" w:eastAsia="DengXian" w:hAnsi="Calibri"/>
          <w:sz w:val="22"/>
          <w:szCs w:val="22"/>
          <w:lang w:eastAsia="zh-CN"/>
        </w:rPr>
        <w:t xml:space="preserve"> </w:t>
      </w:r>
      <w:r w:rsidR="0031432C" w:rsidRPr="0031432C">
        <w:rPr>
          <w:rFonts w:eastAsia="DengXian"/>
          <w:lang w:eastAsia="en-GB"/>
        </w:rPr>
        <w:t>for civil society organi</w:t>
      </w:r>
      <w:r w:rsidR="00DD7D8D">
        <w:rPr>
          <w:rFonts w:eastAsia="DengXian"/>
          <w:lang w:eastAsia="en-GB"/>
        </w:rPr>
        <w:t>z</w:t>
      </w:r>
      <w:r w:rsidR="0031432C" w:rsidRPr="0031432C">
        <w:rPr>
          <w:rFonts w:eastAsia="DengXian"/>
          <w:lang w:eastAsia="en-GB"/>
        </w:rPr>
        <w:t>ations.</w:t>
      </w:r>
    </w:p>
    <w:p w14:paraId="12D59799" w14:textId="77777777" w:rsidR="0031432C" w:rsidRPr="0031432C" w:rsidRDefault="00E656D1" w:rsidP="00E656D1">
      <w:pPr>
        <w:pStyle w:val="HChG"/>
        <w:rPr>
          <w:rFonts w:eastAsia="DengXian"/>
          <w:lang w:eastAsia="zh-CN"/>
        </w:rPr>
      </w:pPr>
      <w:r>
        <w:rPr>
          <w:rFonts w:eastAsia="DengXian"/>
          <w:lang w:eastAsia="zh-CN"/>
        </w:rPr>
        <w:tab/>
        <w:t>V.</w:t>
      </w:r>
      <w:r>
        <w:rPr>
          <w:rFonts w:eastAsia="DengXian"/>
          <w:lang w:eastAsia="zh-CN"/>
        </w:rPr>
        <w:tab/>
      </w:r>
      <w:r w:rsidR="0031432C" w:rsidRPr="0073449B">
        <w:rPr>
          <w:rFonts w:eastAsia="DengXian"/>
          <w:lang w:eastAsia="zh-CN"/>
        </w:rPr>
        <w:t>Economic and social life</w:t>
      </w:r>
    </w:p>
    <w:p w14:paraId="2725758A" w14:textId="77777777" w:rsidR="0031432C" w:rsidRPr="0031432C" w:rsidRDefault="00E656D1" w:rsidP="00E656D1">
      <w:pPr>
        <w:pStyle w:val="H1G"/>
        <w:rPr>
          <w:rFonts w:eastAsia="DengXian"/>
          <w:lang w:eastAsia="zh-CN"/>
        </w:rPr>
      </w:pPr>
      <w:r>
        <w:rPr>
          <w:rFonts w:eastAsia="DengXian"/>
          <w:lang w:eastAsia="zh-CN"/>
        </w:rPr>
        <w:tab/>
        <w:t>A.</w:t>
      </w:r>
      <w:r>
        <w:rPr>
          <w:rFonts w:eastAsia="DengXian"/>
          <w:lang w:eastAsia="zh-CN"/>
        </w:rPr>
        <w:tab/>
      </w:r>
      <w:r w:rsidR="0031432C" w:rsidRPr="0031432C">
        <w:rPr>
          <w:rFonts w:eastAsia="DengXian"/>
          <w:lang w:eastAsia="zh-CN"/>
        </w:rPr>
        <w:t>Women’s participation in the labour force and economic leadership</w:t>
      </w:r>
    </w:p>
    <w:p w14:paraId="631B085F" w14:textId="55B0992E" w:rsidR="0031432C" w:rsidRPr="0031432C" w:rsidRDefault="005F09B9" w:rsidP="0031432C">
      <w:pPr>
        <w:pStyle w:val="SingleTxtG"/>
        <w:rPr>
          <w:rFonts w:eastAsia="DengXian"/>
          <w:lang w:eastAsia="zh-CN"/>
        </w:rPr>
      </w:pPr>
      <w:r>
        <w:rPr>
          <w:rFonts w:eastAsia="DengXian"/>
          <w:lang w:eastAsia="zh-CN"/>
        </w:rPr>
        <w:t>29.</w:t>
      </w:r>
      <w:r>
        <w:rPr>
          <w:rFonts w:eastAsia="DengXian"/>
          <w:lang w:eastAsia="zh-CN"/>
        </w:rPr>
        <w:tab/>
      </w:r>
      <w:r w:rsidR="0031432C" w:rsidRPr="0031432C">
        <w:rPr>
          <w:rFonts w:eastAsia="DengXian"/>
          <w:lang w:eastAsia="zh-CN"/>
        </w:rPr>
        <w:t xml:space="preserve">The Labour Code provides </w:t>
      </w:r>
      <w:r w:rsidR="0031432C" w:rsidRPr="0031432C">
        <w:rPr>
          <w:rFonts w:eastAsia="DengXian"/>
          <w:lang w:eastAsia="en-GB"/>
        </w:rPr>
        <w:t xml:space="preserve">for protection against discrimination on the ground of gender, among others. </w:t>
      </w:r>
      <w:r w:rsidR="0031432C" w:rsidRPr="0031432C">
        <w:rPr>
          <w:rFonts w:eastAsia="DengXian"/>
          <w:lang w:eastAsia="zh-CN"/>
        </w:rPr>
        <w:t xml:space="preserve">Employees who have been discriminated against have the right to sue for compensation for material as well as non-material damage in the areas of establishing and terminating employment relationships, employment conditions, promotion at work and access to training </w:t>
      </w:r>
      <w:proofErr w:type="gramStart"/>
      <w:r w:rsidR="0031432C" w:rsidRPr="0031432C">
        <w:rPr>
          <w:rFonts w:eastAsia="DengXian"/>
          <w:lang w:eastAsia="zh-CN"/>
        </w:rPr>
        <w:t>for the purpose of</w:t>
      </w:r>
      <w:proofErr w:type="gramEnd"/>
      <w:r w:rsidR="0031432C" w:rsidRPr="0031432C">
        <w:rPr>
          <w:rFonts w:eastAsia="DengXian"/>
          <w:lang w:eastAsia="zh-CN"/>
        </w:rPr>
        <w:t xml:space="preserve"> raising professional qualifications. The 2010 </w:t>
      </w:r>
      <w:r w:rsidR="0073449B">
        <w:rPr>
          <w:rFonts w:eastAsia="DengXian"/>
          <w:lang w:eastAsia="zh-CN"/>
        </w:rPr>
        <w:t xml:space="preserve">Act on </w:t>
      </w:r>
      <w:r w:rsidR="0031432C" w:rsidRPr="0031432C">
        <w:rPr>
          <w:rFonts w:eastAsia="DengXian"/>
          <w:lang w:eastAsia="zh-CN"/>
        </w:rPr>
        <w:t>Equal Treatment widens th</w:t>
      </w:r>
      <w:r w:rsidR="0073449B">
        <w:rPr>
          <w:rFonts w:eastAsia="DengXian"/>
          <w:lang w:eastAsia="zh-CN"/>
        </w:rPr>
        <w:t>is</w:t>
      </w:r>
      <w:r w:rsidR="0031432C" w:rsidRPr="0031432C">
        <w:rPr>
          <w:rFonts w:eastAsia="DengXian"/>
          <w:lang w:eastAsia="zh-CN"/>
        </w:rPr>
        <w:t xml:space="preserve"> protection and covers any other form of employment, such as civil law contracts, self-employment and independent professions</w:t>
      </w:r>
      <w:r w:rsidR="006B7381">
        <w:rPr>
          <w:rFonts w:eastAsia="DengXian"/>
          <w:lang w:eastAsia="zh-CN"/>
        </w:rPr>
        <w:t>,</w:t>
      </w:r>
      <w:r w:rsidR="0031432C" w:rsidRPr="0031432C">
        <w:rPr>
          <w:rFonts w:eastAsia="DengXian"/>
          <w:lang w:eastAsia="zh-CN"/>
        </w:rPr>
        <w:t xml:space="preserve"> and covers all grounds.</w:t>
      </w:r>
      <w:r w:rsidR="0031432C" w:rsidRPr="0031432C">
        <w:rPr>
          <w:rFonts w:ascii="Calibri" w:eastAsia="DengXian" w:hAnsi="Calibri"/>
          <w:sz w:val="22"/>
          <w:szCs w:val="22"/>
          <w:vertAlign w:val="superscript"/>
          <w:lang w:eastAsia="zh-CN"/>
        </w:rPr>
        <w:footnoteReference w:id="10"/>
      </w:r>
      <w:r w:rsidR="0031432C" w:rsidRPr="0031432C">
        <w:rPr>
          <w:rFonts w:eastAsia="DengXian"/>
          <w:lang w:eastAsia="zh-CN"/>
        </w:rPr>
        <w:t xml:space="preserve"> Further amendments to the Labour Code </w:t>
      </w:r>
      <w:proofErr w:type="gramStart"/>
      <w:r w:rsidR="0031432C" w:rsidRPr="0031432C">
        <w:rPr>
          <w:rFonts w:eastAsia="DengXian"/>
          <w:lang w:eastAsia="zh-CN"/>
        </w:rPr>
        <w:t>have been introduced</w:t>
      </w:r>
      <w:proofErr w:type="gramEnd"/>
      <w:r w:rsidR="0031432C" w:rsidRPr="0031432C">
        <w:rPr>
          <w:rFonts w:eastAsia="DengXian"/>
          <w:lang w:eastAsia="zh-CN"/>
        </w:rPr>
        <w:t xml:space="preserve"> regarding the protection of women’s health during pregnancy, </w:t>
      </w:r>
      <w:r w:rsidR="0073449B">
        <w:rPr>
          <w:rFonts w:eastAsia="DengXian"/>
          <w:lang w:eastAsia="zh-CN"/>
        </w:rPr>
        <w:t xml:space="preserve">the </w:t>
      </w:r>
      <w:r w:rsidR="0031432C" w:rsidRPr="0031432C">
        <w:rPr>
          <w:rFonts w:eastAsia="DengXian"/>
          <w:lang w:eastAsia="zh-CN"/>
        </w:rPr>
        <w:t>extension of maternity and paternity leaves and flexible working</w:t>
      </w:r>
      <w:r w:rsidR="0073449B">
        <w:rPr>
          <w:rFonts w:eastAsia="DengXian"/>
          <w:lang w:eastAsia="zh-CN"/>
        </w:rPr>
        <w:t xml:space="preserve"> </w:t>
      </w:r>
      <w:r w:rsidR="0031432C" w:rsidRPr="0031432C">
        <w:rPr>
          <w:rFonts w:eastAsia="DengXian"/>
          <w:lang w:eastAsia="zh-CN"/>
        </w:rPr>
        <w:t>time arrangements.</w:t>
      </w:r>
    </w:p>
    <w:p w14:paraId="1F1D0B2A" w14:textId="11E23377" w:rsidR="0031432C" w:rsidRPr="0031432C" w:rsidRDefault="005F09B9">
      <w:pPr>
        <w:pStyle w:val="SingleTxtG"/>
        <w:rPr>
          <w:rFonts w:eastAsia="DengXian"/>
          <w:lang w:eastAsia="zh-CN"/>
        </w:rPr>
      </w:pPr>
      <w:r>
        <w:rPr>
          <w:rFonts w:eastAsia="DengXian"/>
          <w:lang w:eastAsia="en-GB"/>
        </w:rPr>
        <w:t>30.</w:t>
      </w:r>
      <w:r>
        <w:rPr>
          <w:rFonts w:eastAsia="DengXian"/>
          <w:lang w:eastAsia="en-GB"/>
        </w:rPr>
        <w:tab/>
      </w:r>
      <w:r w:rsidR="0031432C" w:rsidRPr="0031432C">
        <w:rPr>
          <w:rFonts w:eastAsia="DengXian"/>
          <w:lang w:eastAsia="en-GB"/>
        </w:rPr>
        <w:t xml:space="preserve">Women have strong participation in the labour force in Poland. Throughout history, women have contributed significantly to the country’s economy and development while standing up for the rights and dignity of all workers. </w:t>
      </w:r>
      <w:r w:rsidR="0031432C" w:rsidRPr="0031432C">
        <w:rPr>
          <w:rFonts w:eastAsia="DengXian"/>
          <w:lang w:eastAsia="zh-CN"/>
        </w:rPr>
        <w:t xml:space="preserve">Stories of the </w:t>
      </w:r>
      <w:r w:rsidR="0073449B">
        <w:rPr>
          <w:rFonts w:eastAsia="DengXian"/>
          <w:lang w:eastAsia="zh-CN"/>
        </w:rPr>
        <w:t>5,000</w:t>
      </w:r>
      <w:r w:rsidR="0031432C" w:rsidRPr="0031432C">
        <w:rPr>
          <w:rFonts w:eastAsia="DengXian"/>
          <w:lang w:eastAsia="zh-CN"/>
        </w:rPr>
        <w:t xml:space="preserve"> women workers of the </w:t>
      </w:r>
      <w:r w:rsidR="00CD09FB" w:rsidRPr="00CD09FB">
        <w:rPr>
          <w:rFonts w:eastAsia="DengXian"/>
          <w:lang w:eastAsia="zh-CN"/>
        </w:rPr>
        <w:t>Gdańsk</w:t>
      </w:r>
      <w:r w:rsidR="0031432C" w:rsidRPr="0031432C">
        <w:rPr>
          <w:rFonts w:eastAsia="DengXian"/>
          <w:lang w:eastAsia="zh-CN"/>
        </w:rPr>
        <w:t xml:space="preserve"> Shipyard, which the experts visited during the mission, are a humbling example. </w:t>
      </w:r>
      <w:proofErr w:type="gramStart"/>
      <w:r w:rsidR="0031432C" w:rsidRPr="0031432C">
        <w:rPr>
          <w:rFonts w:eastAsia="DengXian"/>
          <w:lang w:eastAsia="en-GB"/>
        </w:rPr>
        <w:t>Still,</w:t>
      </w:r>
      <w:proofErr w:type="gramEnd"/>
      <w:r w:rsidR="0031432C" w:rsidRPr="0031432C">
        <w:rPr>
          <w:rFonts w:eastAsia="DengXian"/>
          <w:lang w:eastAsia="en-GB"/>
        </w:rPr>
        <w:t xml:space="preserve"> disparities in labour force participation </w:t>
      </w:r>
      <w:r w:rsidR="0073449B">
        <w:rPr>
          <w:rFonts w:eastAsia="DengXian"/>
          <w:lang w:eastAsia="en-GB"/>
        </w:rPr>
        <w:t>between</w:t>
      </w:r>
      <w:r w:rsidR="0031432C" w:rsidRPr="0031432C">
        <w:rPr>
          <w:rFonts w:eastAsia="DengXian"/>
          <w:lang w:eastAsia="en-GB"/>
        </w:rPr>
        <w:t xml:space="preserve"> women and men persist. Women’s labour force participation currently stands at 48.4</w:t>
      </w:r>
      <w:r w:rsidR="00CD09FB">
        <w:rPr>
          <w:rFonts w:eastAsia="DengXian"/>
          <w:lang w:eastAsia="en-GB"/>
        </w:rPr>
        <w:t xml:space="preserve"> per cent</w:t>
      </w:r>
      <w:r w:rsidR="0031432C" w:rsidRPr="0031432C">
        <w:rPr>
          <w:rFonts w:eastAsia="DengXian"/>
          <w:lang w:eastAsia="en-GB"/>
        </w:rPr>
        <w:t xml:space="preserve">, as compared </w:t>
      </w:r>
      <w:r w:rsidR="0073449B">
        <w:rPr>
          <w:rFonts w:eastAsia="DengXian"/>
          <w:lang w:eastAsia="en-GB"/>
        </w:rPr>
        <w:t>with</w:t>
      </w:r>
      <w:r w:rsidR="0031432C" w:rsidRPr="0031432C">
        <w:rPr>
          <w:rFonts w:eastAsia="DengXian"/>
          <w:lang w:eastAsia="en-GB"/>
        </w:rPr>
        <w:t xml:space="preserve"> 65.2</w:t>
      </w:r>
      <w:r w:rsidR="00CD09FB">
        <w:rPr>
          <w:rFonts w:eastAsia="DengXian"/>
          <w:lang w:eastAsia="en-GB"/>
        </w:rPr>
        <w:t xml:space="preserve"> per cent</w:t>
      </w:r>
      <w:r w:rsidR="0031432C" w:rsidRPr="0031432C">
        <w:rPr>
          <w:rFonts w:eastAsia="DengXian"/>
          <w:lang w:eastAsia="en-GB"/>
        </w:rPr>
        <w:t xml:space="preserve"> for men.</w:t>
      </w:r>
      <w:r w:rsidR="0031432C" w:rsidRPr="0031432C">
        <w:rPr>
          <w:rFonts w:ascii="Calibri" w:eastAsia="DengXian" w:hAnsi="Calibri"/>
          <w:sz w:val="22"/>
          <w:szCs w:val="22"/>
          <w:vertAlign w:val="superscript"/>
          <w:lang w:eastAsia="zh-CN"/>
        </w:rPr>
        <w:footnoteReference w:id="11"/>
      </w:r>
      <w:r w:rsidR="0031432C" w:rsidRPr="0031432C">
        <w:rPr>
          <w:rFonts w:eastAsia="DengXian"/>
          <w:lang w:eastAsia="en-GB"/>
        </w:rPr>
        <w:t xml:space="preserve"> It drops significantly for women with young children, older women, women with disabilities</w:t>
      </w:r>
      <w:r w:rsidR="0073449B">
        <w:rPr>
          <w:rFonts w:eastAsia="DengXian"/>
          <w:lang w:eastAsia="en-GB"/>
        </w:rPr>
        <w:t xml:space="preserve">, </w:t>
      </w:r>
      <w:r w:rsidR="0031432C" w:rsidRPr="0031432C">
        <w:rPr>
          <w:rFonts w:eastAsia="DengXian"/>
          <w:lang w:eastAsia="en-GB"/>
        </w:rPr>
        <w:t>Roma women and women in rural areas. For instance, 13.1</w:t>
      </w:r>
      <w:r w:rsidR="00CD09FB">
        <w:rPr>
          <w:rFonts w:eastAsia="DengXian"/>
          <w:lang w:eastAsia="en-GB"/>
        </w:rPr>
        <w:t xml:space="preserve"> per cent</w:t>
      </w:r>
      <w:r w:rsidR="0031432C" w:rsidRPr="0031432C">
        <w:rPr>
          <w:rFonts w:eastAsia="DengXian"/>
          <w:lang w:eastAsia="en-GB"/>
        </w:rPr>
        <w:t xml:space="preserve"> of </w:t>
      </w:r>
      <w:r w:rsidR="0031432C" w:rsidRPr="0031432C">
        <w:rPr>
          <w:rFonts w:eastAsia="DengXian"/>
          <w:lang w:eastAsia="zh-CN"/>
        </w:rPr>
        <w:t>women with disabilities were active in the labour market according to the 2011 National Census.</w:t>
      </w:r>
      <w:r w:rsidR="0031432C" w:rsidRPr="0031432C">
        <w:rPr>
          <w:rFonts w:ascii="Calibri" w:eastAsia="DengXian" w:hAnsi="Calibri"/>
          <w:sz w:val="22"/>
          <w:szCs w:val="22"/>
          <w:vertAlign w:val="superscript"/>
          <w:lang w:eastAsia="zh-CN"/>
        </w:rPr>
        <w:footnoteReference w:id="12"/>
      </w:r>
      <w:r w:rsidR="0031432C" w:rsidRPr="0031432C">
        <w:rPr>
          <w:rFonts w:eastAsia="DengXian"/>
          <w:lang w:eastAsia="zh-CN"/>
        </w:rPr>
        <w:t xml:space="preserve"> </w:t>
      </w:r>
      <w:r w:rsidR="006B7381">
        <w:rPr>
          <w:rFonts w:eastAsia="DengXian"/>
          <w:lang w:eastAsia="en-GB"/>
        </w:rPr>
        <w:t>A labour force survey conducted by the Government in the second quarter of 2018 shows that, a</w:t>
      </w:r>
      <w:r w:rsidR="0031432C" w:rsidRPr="0031432C">
        <w:rPr>
          <w:rFonts w:eastAsia="DengXian"/>
          <w:lang w:eastAsia="en-GB"/>
        </w:rPr>
        <w:t>lthough unemployment rates for women and men are identical (4.9</w:t>
      </w:r>
      <w:r w:rsidR="00CD09FB">
        <w:rPr>
          <w:rFonts w:eastAsia="DengXian"/>
          <w:lang w:eastAsia="en-GB"/>
        </w:rPr>
        <w:t xml:space="preserve"> per cent</w:t>
      </w:r>
      <w:r w:rsidR="0031432C" w:rsidRPr="0031432C">
        <w:rPr>
          <w:rFonts w:eastAsia="DengXian"/>
          <w:lang w:eastAsia="en-GB"/>
        </w:rPr>
        <w:t>), women’s employment rate at 46.1</w:t>
      </w:r>
      <w:r w:rsidR="00CD09FB">
        <w:rPr>
          <w:rFonts w:eastAsia="DengXian"/>
          <w:lang w:eastAsia="en-GB"/>
        </w:rPr>
        <w:t xml:space="preserve"> per cent</w:t>
      </w:r>
      <w:r w:rsidR="0031432C" w:rsidRPr="0031432C">
        <w:rPr>
          <w:rFonts w:eastAsia="DengXian"/>
          <w:lang w:eastAsia="en-GB"/>
        </w:rPr>
        <w:t xml:space="preserve"> is significantly lower than the 62</w:t>
      </w:r>
      <w:r w:rsidR="00CD09FB">
        <w:rPr>
          <w:rFonts w:eastAsia="DengXian"/>
          <w:lang w:eastAsia="en-GB"/>
        </w:rPr>
        <w:t xml:space="preserve"> per cent</w:t>
      </w:r>
      <w:r w:rsidR="0031432C" w:rsidRPr="0031432C">
        <w:rPr>
          <w:rFonts w:eastAsia="DengXian"/>
          <w:lang w:eastAsia="en-GB"/>
        </w:rPr>
        <w:t xml:space="preserve"> for men.</w:t>
      </w:r>
      <w:r w:rsidR="0031432C" w:rsidRPr="0031432C">
        <w:rPr>
          <w:rFonts w:eastAsia="DengXian"/>
          <w:sz w:val="18"/>
          <w:vertAlign w:val="superscript"/>
          <w:lang w:eastAsia="en-GB"/>
        </w:rPr>
        <w:footnoteReference w:id="13"/>
      </w:r>
      <w:r w:rsidR="0031432C" w:rsidRPr="0031432C">
        <w:rPr>
          <w:rFonts w:eastAsia="DengXian"/>
          <w:lang w:eastAsia="en-GB"/>
        </w:rPr>
        <w:t xml:space="preserve"> Furthermore, there are twice as many women (10.8</w:t>
      </w:r>
      <w:r w:rsidR="00CD09FB">
        <w:rPr>
          <w:rFonts w:eastAsia="DengXian"/>
          <w:lang w:eastAsia="en-GB"/>
        </w:rPr>
        <w:t xml:space="preserve"> per cent</w:t>
      </w:r>
      <w:r w:rsidR="0031432C" w:rsidRPr="0031432C">
        <w:rPr>
          <w:rFonts w:eastAsia="DengXian"/>
          <w:lang w:eastAsia="en-GB"/>
        </w:rPr>
        <w:t>) in part</w:t>
      </w:r>
      <w:r w:rsidR="0073449B">
        <w:rPr>
          <w:rFonts w:eastAsia="DengXian"/>
          <w:lang w:eastAsia="en-GB"/>
        </w:rPr>
        <w:t>-</w:t>
      </w:r>
      <w:r w:rsidR="0031432C" w:rsidRPr="0031432C">
        <w:rPr>
          <w:rFonts w:eastAsia="DengXian"/>
          <w:lang w:eastAsia="en-GB"/>
        </w:rPr>
        <w:t>time jobs than men (4.7</w:t>
      </w:r>
      <w:r w:rsidR="00CD09FB">
        <w:rPr>
          <w:rFonts w:eastAsia="DengXian"/>
          <w:lang w:eastAsia="en-GB"/>
        </w:rPr>
        <w:t xml:space="preserve"> per cent</w:t>
      </w:r>
      <w:r w:rsidR="0031432C" w:rsidRPr="0031432C">
        <w:rPr>
          <w:rFonts w:eastAsia="DengXian"/>
          <w:lang w:eastAsia="en-GB"/>
        </w:rPr>
        <w:t>)</w:t>
      </w:r>
      <w:r w:rsidR="0073449B">
        <w:rPr>
          <w:rFonts w:eastAsia="DengXian"/>
          <w:lang w:eastAsia="en-GB"/>
        </w:rPr>
        <w:t>. A</w:t>
      </w:r>
      <w:r w:rsidR="0031432C" w:rsidRPr="0031432C">
        <w:rPr>
          <w:rFonts w:eastAsia="DengXian"/>
          <w:lang w:eastAsia="en-GB"/>
        </w:rPr>
        <w:t>mong those not working full</w:t>
      </w:r>
      <w:r w:rsidR="0073449B">
        <w:rPr>
          <w:rFonts w:eastAsia="DengXian"/>
          <w:lang w:eastAsia="en-GB"/>
        </w:rPr>
        <w:t>-</w:t>
      </w:r>
      <w:r w:rsidR="0031432C" w:rsidRPr="0031432C">
        <w:rPr>
          <w:rFonts w:eastAsia="DengXian"/>
          <w:lang w:eastAsia="en-GB"/>
        </w:rPr>
        <w:t>time</w:t>
      </w:r>
      <w:r w:rsidR="0073449B">
        <w:rPr>
          <w:rFonts w:eastAsia="DengXian"/>
          <w:lang w:eastAsia="en-GB"/>
        </w:rPr>
        <w:t>,</w:t>
      </w:r>
      <w:r w:rsidR="0031432C" w:rsidRPr="0031432C">
        <w:rPr>
          <w:rFonts w:eastAsia="DengXian"/>
          <w:lang w:eastAsia="en-GB"/>
        </w:rPr>
        <w:t xml:space="preserve"> the majority who want to work full</w:t>
      </w:r>
      <w:r w:rsidR="0073449B">
        <w:rPr>
          <w:rFonts w:eastAsia="DengXian"/>
          <w:lang w:eastAsia="en-GB"/>
        </w:rPr>
        <w:t>-</w:t>
      </w:r>
      <w:r w:rsidR="0031432C" w:rsidRPr="0031432C">
        <w:rPr>
          <w:rFonts w:eastAsia="DengXian"/>
          <w:lang w:eastAsia="en-GB"/>
        </w:rPr>
        <w:t>time are women</w:t>
      </w:r>
      <w:r w:rsidR="0073449B">
        <w:rPr>
          <w:rFonts w:eastAsia="DengXian"/>
          <w:lang w:eastAsia="en-GB"/>
        </w:rPr>
        <w:t>.</w:t>
      </w:r>
      <w:r w:rsidR="0031432C" w:rsidRPr="0031432C">
        <w:rPr>
          <w:rFonts w:eastAsia="DengXian"/>
          <w:lang w:eastAsia="en-GB"/>
        </w:rPr>
        <w:t xml:space="preserve"> For some groups of women, the employment rate is much lower, for example, 35.5</w:t>
      </w:r>
      <w:r w:rsidR="00CD09FB">
        <w:rPr>
          <w:rFonts w:eastAsia="DengXian"/>
          <w:lang w:eastAsia="en-GB"/>
        </w:rPr>
        <w:t xml:space="preserve"> per cent</w:t>
      </w:r>
      <w:r w:rsidR="0031432C" w:rsidRPr="0031432C">
        <w:rPr>
          <w:rFonts w:eastAsia="DengXian"/>
          <w:lang w:eastAsia="en-GB"/>
        </w:rPr>
        <w:t xml:space="preserve"> in the case of older women</w:t>
      </w:r>
      <w:r w:rsidR="0073449B">
        <w:rPr>
          <w:rFonts w:eastAsia="DengXian"/>
          <w:lang w:eastAsia="en-GB"/>
        </w:rPr>
        <w:t xml:space="preserve"> 55 to 64 years of age</w:t>
      </w:r>
      <w:r w:rsidR="0031432C" w:rsidRPr="0031432C">
        <w:rPr>
          <w:rFonts w:eastAsia="DengXian"/>
          <w:lang w:eastAsia="en-GB"/>
        </w:rPr>
        <w:t xml:space="preserve">, as compared </w:t>
      </w:r>
      <w:r w:rsidR="0073449B">
        <w:rPr>
          <w:rFonts w:eastAsia="DengXian"/>
          <w:lang w:eastAsia="en-GB"/>
        </w:rPr>
        <w:t>with</w:t>
      </w:r>
      <w:r w:rsidR="0031432C" w:rsidRPr="0031432C">
        <w:rPr>
          <w:rFonts w:eastAsia="DengXian"/>
          <w:lang w:eastAsia="en-GB"/>
        </w:rPr>
        <w:t xml:space="preserve"> 54.2</w:t>
      </w:r>
      <w:r w:rsidR="00CD09FB">
        <w:rPr>
          <w:rFonts w:eastAsia="DengXian"/>
          <w:lang w:eastAsia="en-GB"/>
        </w:rPr>
        <w:t xml:space="preserve"> per cent</w:t>
      </w:r>
      <w:r w:rsidR="0031432C" w:rsidRPr="0031432C">
        <w:rPr>
          <w:rFonts w:eastAsia="DengXian"/>
          <w:lang w:eastAsia="en-GB"/>
        </w:rPr>
        <w:t xml:space="preserve"> for men </w:t>
      </w:r>
      <w:r w:rsidR="0073449B">
        <w:rPr>
          <w:rFonts w:eastAsia="DengXian"/>
          <w:lang w:eastAsia="en-GB"/>
        </w:rPr>
        <w:t xml:space="preserve">in </w:t>
      </w:r>
      <w:r w:rsidR="0031432C" w:rsidRPr="0031432C">
        <w:rPr>
          <w:rFonts w:eastAsia="DengXian"/>
          <w:lang w:eastAsia="en-GB"/>
        </w:rPr>
        <w:t>the same age group.</w:t>
      </w:r>
      <w:r w:rsidR="0031432C" w:rsidRPr="0031432C">
        <w:rPr>
          <w:rFonts w:ascii="Calibri" w:eastAsia="DengXian" w:hAnsi="Calibri"/>
          <w:sz w:val="22"/>
          <w:szCs w:val="22"/>
          <w:vertAlign w:val="superscript"/>
          <w:lang w:eastAsia="zh-CN"/>
        </w:rPr>
        <w:footnoteReference w:id="14"/>
      </w:r>
    </w:p>
    <w:p w14:paraId="38421E41" w14:textId="30A09F83" w:rsidR="0031432C" w:rsidRPr="0031432C" w:rsidRDefault="005F09B9" w:rsidP="0031432C">
      <w:pPr>
        <w:pStyle w:val="SingleTxtG"/>
        <w:rPr>
          <w:rFonts w:eastAsia="DengXian"/>
          <w:lang w:eastAsia="en-GB"/>
        </w:rPr>
      </w:pPr>
      <w:r>
        <w:rPr>
          <w:rFonts w:eastAsia="DengXian"/>
          <w:lang w:eastAsia="en-GB"/>
        </w:rPr>
        <w:t>31.</w:t>
      </w:r>
      <w:r>
        <w:rPr>
          <w:rFonts w:eastAsia="DengXian"/>
          <w:lang w:eastAsia="en-GB"/>
        </w:rPr>
        <w:tab/>
      </w:r>
      <w:r w:rsidR="005756F1">
        <w:rPr>
          <w:rFonts w:eastAsia="DengXian"/>
          <w:lang w:eastAsia="en-GB"/>
        </w:rPr>
        <w:t>The</w:t>
      </w:r>
      <w:r w:rsidR="0031432C" w:rsidRPr="0031432C">
        <w:rPr>
          <w:rFonts w:eastAsia="DengXian"/>
          <w:lang w:eastAsia="en-GB"/>
        </w:rPr>
        <w:t xml:space="preserve"> gender pay gap</w:t>
      </w:r>
      <w:r w:rsidR="005756F1">
        <w:rPr>
          <w:rFonts w:eastAsia="DengXian"/>
          <w:lang w:eastAsia="en-GB"/>
        </w:rPr>
        <w:t xml:space="preserve"> in Poland</w:t>
      </w:r>
      <w:r w:rsidR="0073449B">
        <w:rPr>
          <w:rFonts w:eastAsia="DengXian"/>
          <w:lang w:eastAsia="en-GB"/>
        </w:rPr>
        <w:t xml:space="preserve"> stands</w:t>
      </w:r>
      <w:r w:rsidR="0031432C" w:rsidRPr="0031432C">
        <w:rPr>
          <w:rFonts w:eastAsia="DengXian"/>
          <w:lang w:eastAsia="en-GB"/>
        </w:rPr>
        <w:t xml:space="preserve"> at 7.2</w:t>
      </w:r>
      <w:r w:rsidR="00CD09FB">
        <w:rPr>
          <w:rFonts w:eastAsia="DengXian"/>
          <w:lang w:eastAsia="en-GB"/>
        </w:rPr>
        <w:t xml:space="preserve"> per cent</w:t>
      </w:r>
      <w:r w:rsidR="0073449B">
        <w:rPr>
          <w:rFonts w:eastAsia="DengXian"/>
          <w:lang w:eastAsia="en-GB"/>
        </w:rPr>
        <w:t>, which</w:t>
      </w:r>
      <w:r w:rsidR="0031432C" w:rsidRPr="0031432C">
        <w:rPr>
          <w:rFonts w:eastAsia="DengXian"/>
          <w:lang w:eastAsia="en-GB"/>
        </w:rPr>
        <w:t xml:space="preserve"> is below the E</w:t>
      </w:r>
      <w:r w:rsidR="00CD09FB">
        <w:rPr>
          <w:rFonts w:eastAsia="DengXian"/>
          <w:lang w:eastAsia="en-GB"/>
        </w:rPr>
        <w:t>uropean Union</w:t>
      </w:r>
      <w:r w:rsidR="0031432C" w:rsidRPr="0031432C">
        <w:rPr>
          <w:rFonts w:eastAsia="DengXian"/>
          <w:lang w:eastAsia="en-GB"/>
        </w:rPr>
        <w:t xml:space="preserve"> average of 16</w:t>
      </w:r>
      <w:r w:rsidR="00CD09FB">
        <w:rPr>
          <w:rFonts w:eastAsia="DengXian"/>
          <w:lang w:eastAsia="en-GB"/>
        </w:rPr>
        <w:t xml:space="preserve"> per cent</w:t>
      </w:r>
      <w:r w:rsidR="0031432C" w:rsidRPr="0031432C">
        <w:rPr>
          <w:rFonts w:eastAsia="DengXian"/>
          <w:lang w:eastAsia="en-GB"/>
        </w:rPr>
        <w:t>.</w:t>
      </w:r>
      <w:r w:rsidR="0031432C" w:rsidRPr="0031432C">
        <w:rPr>
          <w:rFonts w:ascii="Calibri" w:eastAsia="DengXian" w:hAnsi="Calibri"/>
          <w:sz w:val="22"/>
          <w:szCs w:val="22"/>
          <w:vertAlign w:val="superscript"/>
          <w:lang w:eastAsia="zh-CN"/>
        </w:rPr>
        <w:footnoteReference w:id="15"/>
      </w:r>
      <w:r w:rsidR="0031432C" w:rsidRPr="0031432C">
        <w:rPr>
          <w:rFonts w:eastAsia="DengXian"/>
          <w:lang w:eastAsia="en-GB"/>
        </w:rPr>
        <w:t xml:space="preserve"> The gap is particularly high in the private sector. The Working Group acknowledges the Government’s recent efforts, in line with the recommendation of the Committee</w:t>
      </w:r>
      <w:r w:rsidR="00462B17">
        <w:rPr>
          <w:rFonts w:eastAsia="DengXian"/>
          <w:lang w:eastAsia="en-GB"/>
        </w:rPr>
        <w:t xml:space="preserve"> </w:t>
      </w:r>
      <w:r w:rsidR="00462B17" w:rsidRPr="0031432C">
        <w:rPr>
          <w:rFonts w:eastAsia="DengXian"/>
          <w:lang w:eastAsia="zh-CN"/>
        </w:rPr>
        <w:t>on the Elimination of Discrimination against Women</w:t>
      </w:r>
      <w:r w:rsidR="0031432C" w:rsidRPr="0031432C">
        <w:rPr>
          <w:rFonts w:eastAsia="DengXian"/>
          <w:lang w:eastAsia="en-GB"/>
        </w:rPr>
        <w:t xml:space="preserve">, to address the problem through the development of a new </w:t>
      </w:r>
      <w:r w:rsidR="0073449B">
        <w:rPr>
          <w:rFonts w:eastAsia="DengXian"/>
          <w:lang w:eastAsia="en-GB"/>
        </w:rPr>
        <w:t xml:space="preserve">“Equal Pay” </w:t>
      </w:r>
      <w:r w:rsidR="0031432C" w:rsidRPr="0031432C">
        <w:rPr>
          <w:rFonts w:eastAsia="DengXian"/>
          <w:lang w:eastAsia="en-GB"/>
        </w:rPr>
        <w:t xml:space="preserve">computer application to enable private businesses to assess their gender pay gap. The Working Group considers </w:t>
      </w:r>
      <w:r w:rsidR="0073449B">
        <w:rPr>
          <w:rFonts w:eastAsia="DengXian"/>
          <w:lang w:eastAsia="en-GB"/>
        </w:rPr>
        <w:t xml:space="preserve">this </w:t>
      </w:r>
      <w:proofErr w:type="gramStart"/>
      <w:r w:rsidR="0073449B">
        <w:rPr>
          <w:rFonts w:eastAsia="DengXian"/>
          <w:lang w:eastAsia="en-GB"/>
        </w:rPr>
        <w:t>to be</w:t>
      </w:r>
      <w:r w:rsidR="0031432C" w:rsidRPr="0031432C">
        <w:rPr>
          <w:rFonts w:eastAsia="DengXian"/>
          <w:lang w:eastAsia="en-GB"/>
        </w:rPr>
        <w:t xml:space="preserve"> a</w:t>
      </w:r>
      <w:proofErr w:type="gramEnd"/>
      <w:r w:rsidR="0031432C" w:rsidRPr="0031432C">
        <w:rPr>
          <w:rFonts w:eastAsia="DengXian"/>
          <w:lang w:eastAsia="en-GB"/>
        </w:rPr>
        <w:t xml:space="preserve"> good practice. However, further work is required</w:t>
      </w:r>
      <w:r w:rsidR="00231BE3">
        <w:rPr>
          <w:rFonts w:eastAsia="DengXian"/>
          <w:lang w:eastAsia="en-GB"/>
        </w:rPr>
        <w:t>.</w:t>
      </w:r>
      <w:r w:rsidR="0031432C" w:rsidRPr="0031432C">
        <w:rPr>
          <w:rFonts w:eastAsia="DengXian"/>
          <w:lang w:eastAsia="en-GB"/>
        </w:rPr>
        <w:t xml:space="preserve"> </w:t>
      </w:r>
      <w:r w:rsidR="00231BE3">
        <w:rPr>
          <w:rFonts w:eastAsia="DengXian"/>
          <w:lang w:eastAsia="en-GB"/>
        </w:rPr>
        <w:t>H</w:t>
      </w:r>
      <w:r w:rsidR="0031432C" w:rsidRPr="0031432C">
        <w:rPr>
          <w:rFonts w:eastAsia="DengXian"/>
          <w:lang w:eastAsia="en-GB"/>
        </w:rPr>
        <w:t xml:space="preserve">orizontal and vertical occupational segregation, including the undervaluation of women’s work in highly feminized occupations </w:t>
      </w:r>
      <w:r w:rsidR="0031432C" w:rsidRPr="0031432C">
        <w:rPr>
          <w:rFonts w:eastAsia="DengXian"/>
          <w:lang w:eastAsia="en-GB"/>
        </w:rPr>
        <w:lastRenderedPageBreak/>
        <w:t>or enterprises</w:t>
      </w:r>
      <w:r w:rsidR="00231BE3">
        <w:rPr>
          <w:rFonts w:eastAsia="DengXian"/>
          <w:lang w:eastAsia="en-GB"/>
        </w:rPr>
        <w:t>,</w:t>
      </w:r>
      <w:r w:rsidR="0031432C" w:rsidRPr="0031432C">
        <w:rPr>
          <w:rFonts w:eastAsia="DengXian"/>
          <w:lang w:eastAsia="en-GB"/>
        </w:rPr>
        <w:t xml:space="preserve"> </w:t>
      </w:r>
      <w:proofErr w:type="gramStart"/>
      <w:r w:rsidR="0031432C" w:rsidRPr="0031432C">
        <w:rPr>
          <w:rFonts w:eastAsia="DengXian"/>
          <w:lang w:eastAsia="en-GB"/>
        </w:rPr>
        <w:t>should be examined</w:t>
      </w:r>
      <w:proofErr w:type="gramEnd"/>
      <w:r w:rsidR="0031432C" w:rsidRPr="0031432C">
        <w:rPr>
          <w:rFonts w:eastAsia="DengXian"/>
          <w:lang w:eastAsia="en-GB"/>
        </w:rPr>
        <w:t>.</w:t>
      </w:r>
      <w:r w:rsidR="0031432C" w:rsidRPr="0031432C">
        <w:rPr>
          <w:rFonts w:eastAsia="DengXian"/>
          <w:lang w:eastAsia="zh-CN"/>
        </w:rPr>
        <w:t xml:space="preserve"> As explained by ILO, </w:t>
      </w:r>
      <w:r w:rsidR="0031432C" w:rsidRPr="0031432C">
        <w:rPr>
          <w:rFonts w:eastAsia="DengXian"/>
          <w:lang w:eastAsia="en-GB"/>
        </w:rPr>
        <w:t>not only are gender pay gaps rooted in well-entrenched stereotypes, they also represent a summary indicator that captures many disadvantages faced by girls and women both within and outside the labour market, thus requiring comprehensive, cross-cutting approaches to gender equality to reduce the gender pay gap.</w:t>
      </w:r>
      <w:r w:rsidR="0031432C" w:rsidRPr="0031432C">
        <w:rPr>
          <w:rFonts w:ascii="Calibri" w:eastAsia="DengXian" w:hAnsi="Calibri"/>
          <w:sz w:val="22"/>
          <w:szCs w:val="22"/>
          <w:vertAlign w:val="superscript"/>
          <w:lang w:eastAsia="zh-CN"/>
        </w:rPr>
        <w:footnoteReference w:id="16"/>
      </w:r>
      <w:r w:rsidR="0031432C" w:rsidRPr="0031432C">
        <w:rPr>
          <w:rFonts w:eastAsia="DengXian"/>
          <w:lang w:eastAsia="en-GB"/>
        </w:rPr>
        <w:t xml:space="preserve"> </w:t>
      </w:r>
    </w:p>
    <w:p w14:paraId="5B8F6ED7" w14:textId="6EEC9B13" w:rsidR="0031432C" w:rsidRPr="0031432C" w:rsidRDefault="005F09B9" w:rsidP="0031432C">
      <w:pPr>
        <w:pStyle w:val="SingleTxtG"/>
        <w:rPr>
          <w:rFonts w:eastAsia="DengXian"/>
          <w:lang w:eastAsia="zh-CN"/>
        </w:rPr>
      </w:pPr>
      <w:r>
        <w:rPr>
          <w:rFonts w:eastAsia="DengXian"/>
          <w:lang w:eastAsia="en-GB"/>
        </w:rPr>
        <w:t>32.</w:t>
      </w:r>
      <w:r>
        <w:rPr>
          <w:rFonts w:eastAsia="DengXian"/>
          <w:lang w:eastAsia="en-GB"/>
        </w:rPr>
        <w:tab/>
      </w:r>
      <w:r w:rsidR="0031432C" w:rsidRPr="0031432C">
        <w:rPr>
          <w:rFonts w:eastAsia="DengXian"/>
          <w:lang w:eastAsia="en-GB"/>
        </w:rPr>
        <w:t>The lowest earnings are in the “feminized professions”, such as the garment industry and cashier</w:t>
      </w:r>
      <w:r w:rsidR="00231BE3">
        <w:rPr>
          <w:rFonts w:eastAsia="DengXian"/>
          <w:lang w:eastAsia="en-GB"/>
        </w:rPr>
        <w:t xml:space="preserve"> jobs</w:t>
      </w:r>
      <w:r w:rsidR="0031432C" w:rsidRPr="0031432C">
        <w:rPr>
          <w:rFonts w:eastAsia="DengXian"/>
          <w:lang w:eastAsia="en-GB"/>
        </w:rPr>
        <w:t>, thus contributing to a growing phenomenon of working poor women.</w:t>
      </w:r>
      <w:r w:rsidR="0031432C" w:rsidRPr="0031432C">
        <w:rPr>
          <w:rFonts w:ascii="Calibri" w:eastAsia="DengXian" w:hAnsi="Calibri"/>
          <w:sz w:val="22"/>
          <w:szCs w:val="22"/>
          <w:vertAlign w:val="superscript"/>
          <w:lang w:eastAsia="zh-CN"/>
        </w:rPr>
        <w:footnoteReference w:id="17"/>
      </w:r>
      <w:r w:rsidR="0031432C" w:rsidRPr="0031432C">
        <w:rPr>
          <w:rFonts w:eastAsia="DengXian"/>
          <w:lang w:eastAsia="en-GB"/>
        </w:rPr>
        <w:t xml:space="preserve"> Furthermore, in these low paying sectors and in the informal economy in general, the working conditions are often exploitative</w:t>
      </w:r>
      <w:r w:rsidR="00231BE3">
        <w:rPr>
          <w:rFonts w:eastAsia="DengXian"/>
          <w:lang w:eastAsia="en-GB"/>
        </w:rPr>
        <w:t>,</w:t>
      </w:r>
      <w:r w:rsidR="0031432C" w:rsidRPr="0031432C">
        <w:rPr>
          <w:rFonts w:eastAsia="DengXian"/>
          <w:lang w:eastAsia="en-GB"/>
        </w:rPr>
        <w:t xml:space="preserve"> and the legal protection is weaker or non-existent, as is the case with domestic workers, many of whom are migrant women from Ukraine. This appears to be an understudied phenomenon and requires further attention by the Government to prevent the exploitation of unprotected workers and ensure access to basic services and labour and social protection.</w:t>
      </w:r>
    </w:p>
    <w:p w14:paraId="289C1608" w14:textId="74E6B6AB" w:rsidR="0031432C" w:rsidRPr="0031432C" w:rsidRDefault="00CF23F7">
      <w:pPr>
        <w:pStyle w:val="SingleTxtG"/>
        <w:rPr>
          <w:rFonts w:eastAsia="DengXian"/>
          <w:lang w:eastAsia="zh-CN"/>
        </w:rPr>
      </w:pPr>
      <w:r>
        <w:rPr>
          <w:rFonts w:eastAsia="DengXian"/>
          <w:lang w:eastAsia="en-GB"/>
        </w:rPr>
        <w:t>33.</w:t>
      </w:r>
      <w:r>
        <w:rPr>
          <w:rFonts w:eastAsia="DengXian"/>
          <w:lang w:eastAsia="en-GB"/>
        </w:rPr>
        <w:tab/>
      </w:r>
      <w:r w:rsidR="0031432C" w:rsidRPr="0031432C">
        <w:rPr>
          <w:rFonts w:eastAsia="DengXian"/>
          <w:lang w:eastAsia="en-GB"/>
        </w:rPr>
        <w:t xml:space="preserve">These factors </w:t>
      </w:r>
      <w:r w:rsidR="00C65036">
        <w:rPr>
          <w:rFonts w:eastAsia="DengXian"/>
          <w:lang w:eastAsia="en-GB"/>
        </w:rPr>
        <w:t>in</w:t>
      </w:r>
      <w:r w:rsidR="0031432C" w:rsidRPr="0031432C">
        <w:rPr>
          <w:rFonts w:eastAsia="DengXian"/>
          <w:lang w:eastAsia="en-GB"/>
        </w:rPr>
        <w:t xml:space="preserve"> women’s labour force participation</w:t>
      </w:r>
      <w:r w:rsidR="00C65036">
        <w:rPr>
          <w:rFonts w:eastAsia="DengXian"/>
          <w:lang w:eastAsia="en-GB"/>
        </w:rPr>
        <w:t>,</w:t>
      </w:r>
      <w:r w:rsidR="0031432C" w:rsidRPr="0031432C">
        <w:rPr>
          <w:rFonts w:eastAsia="DengXian"/>
          <w:lang w:eastAsia="zh-CN"/>
        </w:rPr>
        <w:t xml:space="preserve"> such as </w:t>
      </w:r>
      <w:r w:rsidR="0031432C" w:rsidRPr="0031432C">
        <w:rPr>
          <w:rFonts w:eastAsia="DengXian"/>
          <w:lang w:eastAsia="en-GB"/>
        </w:rPr>
        <w:t>lower pay, higher numbers of part-time workers and shorter working careers</w:t>
      </w:r>
      <w:r w:rsidR="00C65036">
        <w:rPr>
          <w:rFonts w:eastAsia="DengXian"/>
          <w:lang w:eastAsia="en-GB"/>
        </w:rPr>
        <w:t>,</w:t>
      </w:r>
      <w:r w:rsidR="0031432C" w:rsidRPr="0031432C">
        <w:rPr>
          <w:rFonts w:eastAsia="DengXian"/>
          <w:lang w:eastAsia="en-GB"/>
        </w:rPr>
        <w:t xml:space="preserve"> have implications for women’s financial independence in the short and long</w:t>
      </w:r>
      <w:r w:rsidR="00231BE3">
        <w:rPr>
          <w:rFonts w:eastAsia="DengXian"/>
          <w:lang w:eastAsia="en-GB"/>
        </w:rPr>
        <w:t xml:space="preserve"> </w:t>
      </w:r>
      <w:r w:rsidR="0031432C" w:rsidRPr="0031432C">
        <w:rPr>
          <w:rFonts w:eastAsia="DengXian"/>
          <w:lang w:eastAsia="en-GB"/>
        </w:rPr>
        <w:t xml:space="preserve">term and </w:t>
      </w:r>
      <w:r w:rsidR="00C65036">
        <w:rPr>
          <w:rFonts w:eastAsia="DengXian"/>
          <w:lang w:eastAsia="en-GB"/>
        </w:rPr>
        <w:t xml:space="preserve">their </w:t>
      </w:r>
      <w:r w:rsidR="0031432C" w:rsidRPr="0031432C">
        <w:rPr>
          <w:rFonts w:eastAsia="DengXian"/>
          <w:lang w:eastAsia="en-GB"/>
        </w:rPr>
        <w:t xml:space="preserve">retirement benefits. </w:t>
      </w:r>
      <w:r w:rsidR="0031432C" w:rsidRPr="0031432C">
        <w:rPr>
          <w:rFonts w:eastAsia="DengXian"/>
          <w:lang w:eastAsia="zh-CN"/>
        </w:rPr>
        <w:t>T</w:t>
      </w:r>
      <w:r w:rsidR="0031432C" w:rsidRPr="0031432C">
        <w:rPr>
          <w:rFonts w:eastAsia="DengXian"/>
          <w:lang w:eastAsia="en-GB"/>
        </w:rPr>
        <w:t xml:space="preserve">he majority of women collect a much lower level of retirement benefits </w:t>
      </w:r>
      <w:proofErr w:type="gramStart"/>
      <w:r w:rsidR="0031432C" w:rsidRPr="0031432C">
        <w:rPr>
          <w:rFonts w:eastAsia="DengXian"/>
          <w:lang w:eastAsia="en-GB"/>
        </w:rPr>
        <w:t>than men</w:t>
      </w:r>
      <w:proofErr w:type="gramEnd"/>
      <w:r w:rsidR="0031432C" w:rsidRPr="0031432C">
        <w:rPr>
          <w:rFonts w:eastAsia="DengXian"/>
          <w:lang w:eastAsia="en-GB"/>
        </w:rPr>
        <w:t>. The gender pension gap stands at 23</w:t>
      </w:r>
      <w:r w:rsidR="00CD09FB">
        <w:rPr>
          <w:rFonts w:eastAsia="DengXian"/>
          <w:lang w:eastAsia="en-GB"/>
        </w:rPr>
        <w:t xml:space="preserve"> per cent</w:t>
      </w:r>
      <w:r w:rsidR="0031432C" w:rsidRPr="0031432C">
        <w:rPr>
          <w:rFonts w:eastAsia="DengXian"/>
          <w:lang w:eastAsia="en-GB"/>
        </w:rPr>
        <w:t>.</w:t>
      </w:r>
      <w:r w:rsidR="0031432C" w:rsidRPr="0031432C">
        <w:rPr>
          <w:rFonts w:ascii="Calibri" w:eastAsia="DengXian" w:hAnsi="Calibri"/>
          <w:sz w:val="22"/>
          <w:szCs w:val="22"/>
          <w:vertAlign w:val="superscript"/>
          <w:lang w:eastAsia="zh-CN"/>
        </w:rPr>
        <w:footnoteReference w:id="18"/>
      </w:r>
      <w:r w:rsidR="0031432C" w:rsidRPr="0031432C">
        <w:rPr>
          <w:rFonts w:eastAsia="DengXian"/>
          <w:lang w:eastAsia="en-GB"/>
        </w:rPr>
        <w:t xml:space="preserve"> </w:t>
      </w:r>
      <w:r w:rsidR="0031432C" w:rsidRPr="0031432C">
        <w:rPr>
          <w:rFonts w:eastAsia="DengXian"/>
          <w:lang w:eastAsia="zh-CN"/>
        </w:rPr>
        <w:t xml:space="preserve">According to a survey, only 39 </w:t>
      </w:r>
      <w:r w:rsidR="00CD09FB">
        <w:rPr>
          <w:rFonts w:eastAsia="DengXian"/>
          <w:lang w:eastAsia="zh-CN"/>
        </w:rPr>
        <w:t>per cent</w:t>
      </w:r>
      <w:r w:rsidR="0031432C" w:rsidRPr="0031432C">
        <w:rPr>
          <w:rFonts w:eastAsia="DengXian"/>
          <w:lang w:eastAsia="zh-CN"/>
        </w:rPr>
        <w:t xml:space="preserve"> of Roma women in comparison to 56 </w:t>
      </w:r>
      <w:r w:rsidR="00CD09FB">
        <w:rPr>
          <w:rFonts w:eastAsia="DengXian"/>
          <w:lang w:eastAsia="zh-CN"/>
        </w:rPr>
        <w:t>per cent</w:t>
      </w:r>
      <w:r w:rsidR="0031432C" w:rsidRPr="0031432C">
        <w:rPr>
          <w:rFonts w:eastAsia="DengXian"/>
          <w:lang w:eastAsia="zh-CN"/>
        </w:rPr>
        <w:t xml:space="preserve"> of Roma men have or expect pension entitlements.</w:t>
      </w:r>
      <w:r w:rsidR="0031432C" w:rsidRPr="0031432C">
        <w:rPr>
          <w:rFonts w:ascii="Calibri" w:eastAsia="DengXian" w:hAnsi="Calibri"/>
          <w:sz w:val="22"/>
          <w:szCs w:val="22"/>
          <w:vertAlign w:val="superscript"/>
          <w:lang w:eastAsia="zh-CN"/>
        </w:rPr>
        <w:footnoteReference w:id="19"/>
      </w:r>
      <w:r w:rsidR="0031432C" w:rsidRPr="0031432C">
        <w:rPr>
          <w:rFonts w:eastAsia="DengXian"/>
          <w:lang w:eastAsia="zh-CN"/>
        </w:rPr>
        <w:t xml:space="preserve"> </w:t>
      </w:r>
      <w:r w:rsidR="0031432C" w:rsidRPr="0031432C">
        <w:rPr>
          <w:rFonts w:eastAsia="DengXian"/>
          <w:lang w:eastAsia="en-GB"/>
        </w:rPr>
        <w:t>The different retirement age for men and women</w:t>
      </w:r>
      <w:r w:rsidR="00754EAA">
        <w:rPr>
          <w:rFonts w:eastAsia="DengXian"/>
          <w:lang w:eastAsia="en-GB"/>
        </w:rPr>
        <w:t>, standing</w:t>
      </w:r>
      <w:r w:rsidR="0031432C" w:rsidRPr="0031432C">
        <w:rPr>
          <w:rFonts w:eastAsia="DengXian"/>
          <w:lang w:eastAsia="en-GB"/>
        </w:rPr>
        <w:t xml:space="preserve"> at 65</w:t>
      </w:r>
      <w:r w:rsidR="00754EAA">
        <w:rPr>
          <w:rFonts w:eastAsia="DengXian"/>
          <w:lang w:eastAsia="en-GB"/>
        </w:rPr>
        <w:t xml:space="preserve"> years</w:t>
      </w:r>
      <w:r w:rsidR="0031432C" w:rsidRPr="0031432C">
        <w:rPr>
          <w:rFonts w:eastAsia="DengXian"/>
          <w:lang w:eastAsia="en-GB"/>
        </w:rPr>
        <w:t xml:space="preserve"> and 60</w:t>
      </w:r>
      <w:r w:rsidR="00754EAA">
        <w:rPr>
          <w:rFonts w:eastAsia="DengXian"/>
          <w:lang w:eastAsia="en-GB"/>
        </w:rPr>
        <w:t xml:space="preserve"> years</w:t>
      </w:r>
      <w:r w:rsidR="0031432C" w:rsidRPr="0031432C">
        <w:rPr>
          <w:rFonts w:eastAsia="DengXian"/>
          <w:lang w:eastAsia="en-GB"/>
        </w:rPr>
        <w:t xml:space="preserve"> respectively</w:t>
      </w:r>
      <w:r w:rsidR="00754EAA">
        <w:rPr>
          <w:rFonts w:eastAsia="DengXian"/>
          <w:lang w:eastAsia="en-GB"/>
        </w:rPr>
        <w:t>,</w:t>
      </w:r>
      <w:r w:rsidR="0031432C" w:rsidRPr="0031432C">
        <w:rPr>
          <w:rFonts w:eastAsia="DengXian"/>
          <w:lang w:eastAsia="en-GB"/>
        </w:rPr>
        <w:t xml:space="preserve"> is a factor leading to reduced old-age pension</w:t>
      </w:r>
      <w:r w:rsidR="00231BE3">
        <w:rPr>
          <w:rFonts w:eastAsia="DengXian"/>
          <w:lang w:eastAsia="en-GB"/>
        </w:rPr>
        <w:t>s</w:t>
      </w:r>
      <w:r w:rsidR="0031432C" w:rsidRPr="0031432C">
        <w:rPr>
          <w:rFonts w:eastAsia="DengXian"/>
          <w:lang w:eastAsia="en-GB"/>
        </w:rPr>
        <w:t xml:space="preserve"> for women</w:t>
      </w:r>
      <w:r w:rsidR="00231BE3">
        <w:rPr>
          <w:rFonts w:eastAsia="DengXian"/>
          <w:lang w:eastAsia="en-GB"/>
        </w:rPr>
        <w:t>,</w:t>
      </w:r>
      <w:r w:rsidR="0031432C" w:rsidRPr="0031432C">
        <w:rPr>
          <w:rFonts w:eastAsia="DengXian"/>
          <w:lang w:eastAsia="en-GB"/>
        </w:rPr>
        <w:t xml:space="preserve"> and the European Commission has recommended equaliz</w:t>
      </w:r>
      <w:r w:rsidR="00231BE3">
        <w:rPr>
          <w:rFonts w:eastAsia="DengXian"/>
          <w:lang w:eastAsia="en-GB"/>
        </w:rPr>
        <w:t>ing</w:t>
      </w:r>
      <w:r w:rsidR="0031432C" w:rsidRPr="0031432C">
        <w:rPr>
          <w:rFonts w:eastAsia="DengXian"/>
          <w:lang w:eastAsia="en-GB"/>
        </w:rPr>
        <w:t xml:space="preserve"> the retirement age for women and men.</w:t>
      </w:r>
      <w:r w:rsidR="0031432C" w:rsidRPr="0031432C">
        <w:rPr>
          <w:rFonts w:eastAsia="DengXian"/>
          <w:sz w:val="18"/>
          <w:vertAlign w:val="superscript"/>
          <w:lang w:eastAsia="en-GB"/>
        </w:rPr>
        <w:footnoteReference w:id="20"/>
      </w:r>
    </w:p>
    <w:p w14:paraId="07060847" w14:textId="326220F5" w:rsidR="0031432C" w:rsidRPr="0031432C" w:rsidRDefault="00CF23F7" w:rsidP="0031432C">
      <w:pPr>
        <w:pStyle w:val="SingleTxtG"/>
        <w:rPr>
          <w:rFonts w:eastAsia="DengXian"/>
          <w:color w:val="FF0000"/>
          <w:u w:val="single"/>
          <w:lang w:eastAsia="en-GB"/>
        </w:rPr>
      </w:pPr>
      <w:r>
        <w:rPr>
          <w:rFonts w:eastAsia="DengXian"/>
          <w:lang w:eastAsia="zh-CN"/>
        </w:rPr>
        <w:t>34.</w:t>
      </w:r>
      <w:r>
        <w:rPr>
          <w:rFonts w:eastAsia="DengXian"/>
          <w:lang w:eastAsia="zh-CN"/>
        </w:rPr>
        <w:tab/>
      </w:r>
      <w:r w:rsidR="0031432C" w:rsidRPr="0031432C">
        <w:rPr>
          <w:rFonts w:eastAsia="DengXian"/>
          <w:lang w:eastAsia="zh-CN"/>
        </w:rPr>
        <w:t>The Working Group welcomes the fact that the proportion of women managers in Poland (36</w:t>
      </w:r>
      <w:r w:rsidR="00CD09FB">
        <w:rPr>
          <w:rFonts w:eastAsia="DengXian"/>
          <w:lang w:eastAsia="zh-CN"/>
        </w:rPr>
        <w:t xml:space="preserve"> per cent</w:t>
      </w:r>
      <w:r w:rsidR="0031432C" w:rsidRPr="0031432C">
        <w:rPr>
          <w:rFonts w:eastAsia="DengXian"/>
          <w:lang w:eastAsia="zh-CN"/>
        </w:rPr>
        <w:t>) is one of the highest among Organi</w:t>
      </w:r>
      <w:r w:rsidR="00462B17">
        <w:rPr>
          <w:rFonts w:eastAsia="DengXian"/>
          <w:lang w:eastAsia="zh-CN"/>
        </w:rPr>
        <w:t>z</w:t>
      </w:r>
      <w:r w:rsidR="0031432C" w:rsidRPr="0031432C">
        <w:rPr>
          <w:rFonts w:eastAsia="DengXian"/>
          <w:lang w:eastAsia="zh-CN"/>
        </w:rPr>
        <w:t>ation for Economic Cooperation and Development (OECD) countries (the average is 32</w:t>
      </w:r>
      <w:r w:rsidR="00CD09FB">
        <w:rPr>
          <w:rFonts w:eastAsia="DengXian"/>
          <w:lang w:eastAsia="zh-CN"/>
        </w:rPr>
        <w:t xml:space="preserve"> per cent</w:t>
      </w:r>
      <w:r w:rsidR="0031432C" w:rsidRPr="0031432C">
        <w:rPr>
          <w:rFonts w:eastAsia="DengXian"/>
          <w:lang w:eastAsia="zh-CN"/>
        </w:rPr>
        <w:t>). However, at 7</w:t>
      </w:r>
      <w:r w:rsidR="00CD09FB">
        <w:rPr>
          <w:rFonts w:eastAsia="DengXian"/>
          <w:lang w:eastAsia="zh-CN"/>
        </w:rPr>
        <w:t xml:space="preserve"> per cent</w:t>
      </w:r>
      <w:r w:rsidR="0031432C" w:rsidRPr="0031432C">
        <w:rPr>
          <w:rFonts w:eastAsia="DengXian"/>
          <w:lang w:eastAsia="zh-CN"/>
        </w:rPr>
        <w:t xml:space="preserve">, the proportion of women on boards is below the OECD average </w:t>
      </w:r>
      <w:r w:rsidR="00231BE3">
        <w:rPr>
          <w:rFonts w:eastAsia="DengXian"/>
          <w:lang w:eastAsia="zh-CN"/>
        </w:rPr>
        <w:t xml:space="preserve">of </w:t>
      </w:r>
      <w:r w:rsidR="0031432C" w:rsidRPr="0031432C">
        <w:rPr>
          <w:rFonts w:eastAsia="DengXian"/>
          <w:lang w:eastAsia="zh-CN"/>
        </w:rPr>
        <w:t>10</w:t>
      </w:r>
      <w:r w:rsidR="00CD09FB">
        <w:rPr>
          <w:rFonts w:eastAsia="DengXian"/>
          <w:lang w:eastAsia="zh-CN"/>
        </w:rPr>
        <w:t xml:space="preserve"> per cent</w:t>
      </w:r>
      <w:r w:rsidR="0031432C" w:rsidRPr="0031432C">
        <w:rPr>
          <w:rFonts w:eastAsia="DengXian"/>
          <w:lang w:eastAsia="zh-CN"/>
        </w:rPr>
        <w:t>.</w:t>
      </w:r>
      <w:r w:rsidR="0031432C" w:rsidRPr="0031432C">
        <w:rPr>
          <w:rFonts w:ascii="Calibri" w:eastAsia="DengXian" w:hAnsi="Calibri"/>
          <w:sz w:val="22"/>
          <w:szCs w:val="22"/>
          <w:vertAlign w:val="superscript"/>
          <w:lang w:eastAsia="zh-CN"/>
        </w:rPr>
        <w:footnoteReference w:id="21"/>
      </w:r>
      <w:r w:rsidR="0031432C" w:rsidRPr="0031432C">
        <w:rPr>
          <w:rFonts w:eastAsia="DengXian"/>
          <w:lang w:eastAsia="zh-CN"/>
        </w:rPr>
        <w:t xml:space="preserve"> The Working Group </w:t>
      </w:r>
      <w:r w:rsidR="005A60BB">
        <w:rPr>
          <w:rFonts w:eastAsia="DengXian"/>
          <w:lang w:eastAsia="zh-CN"/>
        </w:rPr>
        <w:t>is</w:t>
      </w:r>
      <w:r w:rsidR="0031432C" w:rsidRPr="0031432C">
        <w:rPr>
          <w:rFonts w:eastAsia="DengXian"/>
          <w:lang w:eastAsia="zh-CN"/>
        </w:rPr>
        <w:t xml:space="preserve"> also pleased to learn that the Government has introduced temporary special measures to achieve equal participation of women in the supervisory boards of </w:t>
      </w:r>
      <w:r w:rsidR="00960C76">
        <w:rPr>
          <w:rFonts w:eastAsia="DengXian"/>
          <w:lang w:eastAsia="zh-CN"/>
        </w:rPr>
        <w:t>S</w:t>
      </w:r>
      <w:r w:rsidR="0031432C" w:rsidRPr="0031432C">
        <w:rPr>
          <w:rFonts w:eastAsia="DengXian"/>
          <w:lang w:eastAsia="zh-CN"/>
        </w:rPr>
        <w:t>tate-owned companies. The 30</w:t>
      </w:r>
      <w:r w:rsidR="00CD09FB">
        <w:rPr>
          <w:rFonts w:eastAsia="DengXian"/>
          <w:lang w:eastAsia="zh-CN"/>
        </w:rPr>
        <w:t xml:space="preserve"> per cent</w:t>
      </w:r>
      <w:r w:rsidR="0031432C" w:rsidRPr="0031432C">
        <w:rPr>
          <w:rFonts w:eastAsia="DengXian"/>
          <w:lang w:eastAsia="zh-CN"/>
        </w:rPr>
        <w:t xml:space="preserve"> quota </w:t>
      </w:r>
      <w:proofErr w:type="gramStart"/>
      <w:r w:rsidR="0031432C" w:rsidRPr="0031432C">
        <w:rPr>
          <w:rFonts w:eastAsia="DengXian"/>
          <w:lang w:eastAsia="zh-CN"/>
        </w:rPr>
        <w:t>has already been met</w:t>
      </w:r>
      <w:proofErr w:type="gramEnd"/>
      <w:r w:rsidR="00231BE3">
        <w:rPr>
          <w:rFonts w:eastAsia="DengXian"/>
          <w:lang w:eastAsia="zh-CN"/>
        </w:rPr>
        <w:t>,</w:t>
      </w:r>
      <w:r w:rsidR="0031432C" w:rsidRPr="0031432C">
        <w:rPr>
          <w:rFonts w:eastAsia="DengXian"/>
          <w:lang w:eastAsia="zh-CN"/>
        </w:rPr>
        <w:t xml:space="preserve"> and </w:t>
      </w:r>
      <w:r w:rsidR="005A60BB">
        <w:rPr>
          <w:rFonts w:eastAsia="DengXian"/>
          <w:lang w:eastAsia="zh-CN"/>
        </w:rPr>
        <w:t xml:space="preserve">a </w:t>
      </w:r>
      <w:r w:rsidR="0031432C" w:rsidRPr="0031432C">
        <w:rPr>
          <w:rFonts w:eastAsia="DengXian"/>
          <w:lang w:eastAsia="zh-CN"/>
        </w:rPr>
        <w:t>35</w:t>
      </w:r>
      <w:r w:rsidR="00CD09FB">
        <w:rPr>
          <w:rFonts w:eastAsia="DengXian"/>
          <w:lang w:eastAsia="zh-CN"/>
        </w:rPr>
        <w:t xml:space="preserve"> per cent</w:t>
      </w:r>
      <w:r w:rsidR="0031432C" w:rsidRPr="0031432C">
        <w:rPr>
          <w:rFonts w:eastAsia="DengXian"/>
          <w:lang w:eastAsia="zh-CN"/>
        </w:rPr>
        <w:t xml:space="preserve"> </w:t>
      </w:r>
      <w:r w:rsidR="005A60BB">
        <w:rPr>
          <w:rFonts w:eastAsia="DengXian"/>
          <w:lang w:eastAsia="zh-CN"/>
        </w:rPr>
        <w:t xml:space="preserve">quota </w:t>
      </w:r>
      <w:r w:rsidR="0031432C" w:rsidRPr="0031432C">
        <w:rPr>
          <w:rFonts w:eastAsia="DengXian"/>
          <w:lang w:eastAsia="zh-CN"/>
        </w:rPr>
        <w:t xml:space="preserve">is set for 2020. </w:t>
      </w:r>
      <w:r w:rsidR="00231BE3">
        <w:rPr>
          <w:rFonts w:eastAsia="DengXian"/>
          <w:lang w:eastAsia="zh-CN"/>
        </w:rPr>
        <w:t>The Working Group</w:t>
      </w:r>
      <w:r w:rsidR="0031432C" w:rsidRPr="0031432C">
        <w:rPr>
          <w:rFonts w:eastAsia="DengXian"/>
          <w:lang w:eastAsia="zh-CN"/>
        </w:rPr>
        <w:t xml:space="preserve"> encourage</w:t>
      </w:r>
      <w:r w:rsidR="00231BE3">
        <w:rPr>
          <w:rFonts w:eastAsia="DengXian"/>
          <w:lang w:eastAsia="zh-CN"/>
        </w:rPr>
        <w:t>s</w:t>
      </w:r>
      <w:r w:rsidR="0031432C" w:rsidRPr="0031432C">
        <w:rPr>
          <w:rFonts w:eastAsia="DengXian"/>
          <w:lang w:eastAsia="zh-CN"/>
        </w:rPr>
        <w:t xml:space="preserve"> the adoption of measures for publicly listed companies. This would place Poland in a leading position in this field, as one of the few countries </w:t>
      </w:r>
      <w:r w:rsidR="00231BE3">
        <w:rPr>
          <w:rFonts w:eastAsia="DengXian"/>
          <w:lang w:eastAsia="zh-CN"/>
        </w:rPr>
        <w:t>that</w:t>
      </w:r>
      <w:r w:rsidR="00231BE3" w:rsidRPr="0031432C">
        <w:rPr>
          <w:rFonts w:eastAsia="DengXian"/>
          <w:lang w:eastAsia="zh-CN"/>
        </w:rPr>
        <w:t xml:space="preserve"> </w:t>
      </w:r>
      <w:r w:rsidR="0031432C" w:rsidRPr="0031432C">
        <w:rPr>
          <w:rFonts w:eastAsia="DengXian"/>
          <w:lang w:eastAsia="zh-CN"/>
        </w:rPr>
        <w:t>have adopted effective temporary special measures specifically directed at accelerating de facto equality for women in corporate leadership, entrepreneurship and trade.</w:t>
      </w:r>
    </w:p>
    <w:p w14:paraId="0D783754" w14:textId="77777777" w:rsidR="0031432C" w:rsidRPr="0031432C" w:rsidRDefault="00E656D1" w:rsidP="00E656D1">
      <w:pPr>
        <w:pStyle w:val="H1G"/>
        <w:rPr>
          <w:rFonts w:eastAsia="DengXian"/>
          <w:lang w:eastAsia="en-GB"/>
        </w:rPr>
      </w:pPr>
      <w:r>
        <w:rPr>
          <w:rFonts w:eastAsia="DengXian"/>
          <w:lang w:eastAsia="en-GB"/>
        </w:rPr>
        <w:tab/>
      </w:r>
      <w:r w:rsidR="0031432C" w:rsidRPr="0031432C">
        <w:rPr>
          <w:rFonts w:eastAsia="DengXian"/>
          <w:lang w:eastAsia="en-GB"/>
        </w:rPr>
        <w:t>B.</w:t>
      </w:r>
      <w:r>
        <w:rPr>
          <w:rFonts w:eastAsia="DengXian"/>
          <w:lang w:eastAsia="en-GB"/>
        </w:rPr>
        <w:tab/>
      </w:r>
      <w:r w:rsidR="0031432C" w:rsidRPr="0031432C">
        <w:rPr>
          <w:rFonts w:eastAsia="DengXian"/>
          <w:lang w:eastAsia="en-GB"/>
        </w:rPr>
        <w:t>Education</w:t>
      </w:r>
    </w:p>
    <w:p w14:paraId="57EF5972" w14:textId="3736EBC8" w:rsidR="0031432C" w:rsidRPr="0031432C" w:rsidRDefault="00CF23F7" w:rsidP="0031432C">
      <w:pPr>
        <w:pStyle w:val="SingleTxtG"/>
        <w:rPr>
          <w:lang w:eastAsia="zh-CN"/>
        </w:rPr>
      </w:pPr>
      <w:r>
        <w:rPr>
          <w:lang w:eastAsia="zh-CN"/>
        </w:rPr>
        <w:t>35.</w:t>
      </w:r>
      <w:r>
        <w:rPr>
          <w:lang w:eastAsia="zh-CN"/>
        </w:rPr>
        <w:tab/>
      </w:r>
      <w:r w:rsidR="0031432C" w:rsidRPr="0031432C">
        <w:rPr>
          <w:lang w:eastAsia="zh-CN"/>
        </w:rPr>
        <w:t xml:space="preserve">The Constitution provides </w:t>
      </w:r>
      <w:proofErr w:type="gramStart"/>
      <w:r w:rsidR="0031432C" w:rsidRPr="0031432C">
        <w:rPr>
          <w:lang w:eastAsia="zh-CN"/>
        </w:rPr>
        <w:t>for free</w:t>
      </w:r>
      <w:proofErr w:type="gramEnd"/>
      <w:r w:rsidR="0031432C" w:rsidRPr="0031432C">
        <w:rPr>
          <w:lang w:eastAsia="zh-CN"/>
        </w:rPr>
        <w:t xml:space="preserve"> and compulsory education up to the age of 18</w:t>
      </w:r>
      <w:r w:rsidR="00D15774">
        <w:rPr>
          <w:lang w:eastAsia="zh-CN"/>
        </w:rPr>
        <w:t xml:space="preserve"> years,</w:t>
      </w:r>
      <w:r w:rsidR="0031432C" w:rsidRPr="0031432C">
        <w:rPr>
          <w:lang w:eastAsia="zh-CN"/>
        </w:rPr>
        <w:t xml:space="preserve"> and discrimination in education is prohibited under the 2016 Law on School Education. In recent years</w:t>
      </w:r>
      <w:r w:rsidR="008D7C5C">
        <w:rPr>
          <w:lang w:eastAsia="zh-CN"/>
        </w:rPr>
        <w:t>,</w:t>
      </w:r>
      <w:r w:rsidR="0031432C" w:rsidRPr="0031432C">
        <w:rPr>
          <w:lang w:eastAsia="zh-CN"/>
        </w:rPr>
        <w:t xml:space="preserve"> the Government has been undertaking reforms of national curricula for basic compulsory education</w:t>
      </w:r>
      <w:r w:rsidR="005A60BB">
        <w:rPr>
          <w:lang w:eastAsia="zh-CN"/>
        </w:rPr>
        <w:t>,</w:t>
      </w:r>
      <w:r w:rsidR="0031432C" w:rsidRPr="0031432C">
        <w:rPr>
          <w:lang w:eastAsia="zh-CN"/>
        </w:rPr>
        <w:t xml:space="preserve"> includ</w:t>
      </w:r>
      <w:r w:rsidR="005A60BB">
        <w:rPr>
          <w:lang w:eastAsia="zh-CN"/>
        </w:rPr>
        <w:t>ing</w:t>
      </w:r>
      <w:r w:rsidR="0031432C" w:rsidRPr="0031432C">
        <w:rPr>
          <w:lang w:eastAsia="zh-CN"/>
        </w:rPr>
        <w:t xml:space="preserve"> measures to advance equal opportunities for women and men. </w:t>
      </w:r>
    </w:p>
    <w:p w14:paraId="144752A4" w14:textId="09C5F278" w:rsidR="0031432C" w:rsidRPr="0031432C" w:rsidRDefault="00CF23F7" w:rsidP="0031432C">
      <w:pPr>
        <w:pStyle w:val="SingleTxtG"/>
        <w:rPr>
          <w:lang w:eastAsia="zh-CN"/>
        </w:rPr>
      </w:pPr>
      <w:r>
        <w:rPr>
          <w:lang w:eastAsia="zh-CN"/>
        </w:rPr>
        <w:lastRenderedPageBreak/>
        <w:t>36.</w:t>
      </w:r>
      <w:r>
        <w:rPr>
          <w:lang w:eastAsia="zh-CN"/>
        </w:rPr>
        <w:tab/>
      </w:r>
      <w:r w:rsidR="0031432C" w:rsidRPr="0031432C">
        <w:rPr>
          <w:lang w:eastAsia="zh-CN"/>
        </w:rPr>
        <w:t>Girls have achieved a high educational attainment at all levels, particularly at the tertiary level. According to OECD, 54 per</w:t>
      </w:r>
      <w:r w:rsidR="00172A52">
        <w:rPr>
          <w:lang w:eastAsia="zh-CN"/>
        </w:rPr>
        <w:t xml:space="preserve"> </w:t>
      </w:r>
      <w:r w:rsidR="0031432C" w:rsidRPr="0031432C">
        <w:rPr>
          <w:lang w:eastAsia="zh-CN"/>
        </w:rPr>
        <w:t>cent of women and 34 per</w:t>
      </w:r>
      <w:r w:rsidR="00172A52">
        <w:rPr>
          <w:lang w:eastAsia="zh-CN"/>
        </w:rPr>
        <w:t xml:space="preserve"> </w:t>
      </w:r>
      <w:r w:rsidR="0031432C" w:rsidRPr="0031432C">
        <w:rPr>
          <w:lang w:eastAsia="zh-CN"/>
        </w:rPr>
        <w:t xml:space="preserve">cent of men </w:t>
      </w:r>
      <w:r w:rsidR="008D7C5C">
        <w:rPr>
          <w:lang w:eastAsia="zh-CN"/>
        </w:rPr>
        <w:t>complete</w:t>
      </w:r>
      <w:r w:rsidR="0031432C" w:rsidRPr="0031432C">
        <w:rPr>
          <w:lang w:eastAsia="zh-CN"/>
        </w:rPr>
        <w:t xml:space="preserve"> tertiary education. Fifty-five percent of new entrants into doctoral programmes in Poland are women, one of the highest </w:t>
      </w:r>
      <w:r w:rsidR="000C0289">
        <w:rPr>
          <w:lang w:eastAsia="zh-CN"/>
        </w:rPr>
        <w:t xml:space="preserve">rates </w:t>
      </w:r>
      <w:r w:rsidR="0031432C" w:rsidRPr="0031432C">
        <w:rPr>
          <w:lang w:eastAsia="zh-CN"/>
        </w:rPr>
        <w:t xml:space="preserve">across OECD countries. However, women represent a minority </w:t>
      </w:r>
      <w:r w:rsidR="005A60BB">
        <w:rPr>
          <w:lang w:eastAsia="zh-CN"/>
        </w:rPr>
        <w:t>among</w:t>
      </w:r>
      <w:r w:rsidR="0031432C" w:rsidRPr="0031432C">
        <w:rPr>
          <w:lang w:eastAsia="zh-CN"/>
        </w:rPr>
        <w:t xml:space="preserve"> academic staff in high</w:t>
      </w:r>
      <w:r w:rsidR="005A60BB">
        <w:rPr>
          <w:lang w:eastAsia="zh-CN"/>
        </w:rPr>
        <w:t>er</w:t>
      </w:r>
      <w:r w:rsidR="0031432C" w:rsidRPr="0031432C">
        <w:rPr>
          <w:lang w:eastAsia="zh-CN"/>
        </w:rPr>
        <w:t xml:space="preserve"> education institutions. Furthermore, only 39</w:t>
      </w:r>
      <w:r w:rsidR="00CD09FB">
        <w:rPr>
          <w:lang w:eastAsia="zh-CN"/>
        </w:rPr>
        <w:t xml:space="preserve"> per cent</w:t>
      </w:r>
      <w:r w:rsidR="0031432C" w:rsidRPr="0031432C">
        <w:rPr>
          <w:lang w:eastAsia="zh-CN"/>
        </w:rPr>
        <w:t xml:space="preserve"> of graduates in vocational education and training are female, compared </w:t>
      </w:r>
      <w:r w:rsidR="000C0289">
        <w:rPr>
          <w:lang w:eastAsia="zh-CN"/>
        </w:rPr>
        <w:t>with</w:t>
      </w:r>
      <w:r w:rsidR="0031432C" w:rsidRPr="0031432C">
        <w:rPr>
          <w:lang w:eastAsia="zh-CN"/>
        </w:rPr>
        <w:t xml:space="preserve"> the OECD average of 46</w:t>
      </w:r>
      <w:r w:rsidR="00CD09FB">
        <w:rPr>
          <w:lang w:eastAsia="zh-CN"/>
        </w:rPr>
        <w:t xml:space="preserve"> per cent</w:t>
      </w:r>
      <w:r w:rsidR="0031432C" w:rsidRPr="0031432C">
        <w:rPr>
          <w:lang w:eastAsia="zh-CN"/>
        </w:rPr>
        <w:t>.</w:t>
      </w:r>
      <w:r w:rsidR="0031432C" w:rsidRPr="0031432C">
        <w:rPr>
          <w:vertAlign w:val="superscript"/>
          <w:lang w:eastAsia="zh-CN"/>
        </w:rPr>
        <w:footnoteReference w:id="22"/>
      </w:r>
    </w:p>
    <w:p w14:paraId="0F3A2A75" w14:textId="7DCDF3D8" w:rsidR="0031432C" w:rsidRPr="0031432C" w:rsidRDefault="00CF23F7" w:rsidP="0031432C">
      <w:pPr>
        <w:pStyle w:val="SingleTxtG"/>
        <w:rPr>
          <w:lang w:eastAsia="zh-CN"/>
        </w:rPr>
      </w:pPr>
      <w:r>
        <w:rPr>
          <w:lang w:eastAsia="zh-CN"/>
        </w:rPr>
        <w:t>37.</w:t>
      </w:r>
      <w:r>
        <w:rPr>
          <w:lang w:eastAsia="zh-CN"/>
        </w:rPr>
        <w:tab/>
      </w:r>
      <w:r w:rsidR="0031432C" w:rsidRPr="0031432C">
        <w:rPr>
          <w:lang w:eastAsia="zh-CN"/>
        </w:rPr>
        <w:t xml:space="preserve">In addition, Roma girls are at </w:t>
      </w:r>
      <w:r w:rsidR="000C0289">
        <w:rPr>
          <w:lang w:eastAsia="zh-CN"/>
        </w:rPr>
        <w:t xml:space="preserve">a </w:t>
      </w:r>
      <w:r w:rsidR="0031432C" w:rsidRPr="0031432C">
        <w:rPr>
          <w:lang w:eastAsia="zh-CN"/>
        </w:rPr>
        <w:t>disadvantage in the education system. Not only do challenges to secure non-discriminatory education for Roma children persist, as there are still attempts to place them in special schools on the ground of their insufficient knowledge of Polish,</w:t>
      </w:r>
      <w:r w:rsidR="0031432C" w:rsidRPr="0031432C">
        <w:rPr>
          <w:rFonts w:ascii="Calibri" w:hAnsi="Calibri"/>
          <w:sz w:val="22"/>
          <w:szCs w:val="22"/>
          <w:vertAlign w:val="superscript"/>
          <w:lang w:eastAsia="zh-CN"/>
        </w:rPr>
        <w:footnoteReference w:id="23"/>
      </w:r>
      <w:r w:rsidR="0031432C" w:rsidRPr="0031432C">
        <w:rPr>
          <w:lang w:eastAsia="zh-CN"/>
        </w:rPr>
        <w:t xml:space="preserve"> Roma girls are more likely</w:t>
      </w:r>
      <w:r w:rsidR="007B3A7D">
        <w:rPr>
          <w:lang w:eastAsia="zh-CN"/>
        </w:rPr>
        <w:t xml:space="preserve"> than Roma boys</w:t>
      </w:r>
      <w:r w:rsidR="0031432C" w:rsidRPr="0031432C">
        <w:rPr>
          <w:lang w:eastAsia="zh-CN"/>
        </w:rPr>
        <w:t xml:space="preserve"> to stop school before </w:t>
      </w:r>
      <w:r w:rsidR="007B3A7D">
        <w:rPr>
          <w:lang w:eastAsia="zh-CN"/>
        </w:rPr>
        <w:t>16 years of age</w:t>
      </w:r>
      <w:r w:rsidR="0031432C" w:rsidRPr="0031432C">
        <w:rPr>
          <w:lang w:eastAsia="zh-CN"/>
        </w:rPr>
        <w:t>.</w:t>
      </w:r>
      <w:r w:rsidR="0031432C" w:rsidRPr="0031432C">
        <w:rPr>
          <w:rFonts w:ascii="Calibri" w:hAnsi="Calibri"/>
          <w:sz w:val="22"/>
          <w:szCs w:val="22"/>
          <w:vertAlign w:val="superscript"/>
          <w:lang w:eastAsia="zh-CN"/>
        </w:rPr>
        <w:footnoteReference w:id="24"/>
      </w:r>
    </w:p>
    <w:p w14:paraId="457B8BEB" w14:textId="1AD28AB4" w:rsidR="0031432C" w:rsidRPr="0031432C" w:rsidRDefault="00CF23F7" w:rsidP="0031432C">
      <w:pPr>
        <w:pStyle w:val="SingleTxtG"/>
        <w:rPr>
          <w:lang w:eastAsia="zh-CN"/>
        </w:rPr>
      </w:pPr>
      <w:r>
        <w:rPr>
          <w:lang w:eastAsia="zh-CN"/>
        </w:rPr>
        <w:t>38.</w:t>
      </w:r>
      <w:r>
        <w:rPr>
          <w:lang w:eastAsia="zh-CN"/>
        </w:rPr>
        <w:tab/>
      </w:r>
      <w:r w:rsidR="0031432C" w:rsidRPr="0031432C">
        <w:rPr>
          <w:lang w:eastAsia="zh-CN"/>
        </w:rPr>
        <w:t xml:space="preserve"> </w:t>
      </w:r>
      <w:r w:rsidR="0063737D">
        <w:rPr>
          <w:lang w:eastAsia="zh-CN"/>
        </w:rPr>
        <w:t>H</w:t>
      </w:r>
      <w:r w:rsidR="0031432C" w:rsidRPr="0031432C">
        <w:rPr>
          <w:lang w:eastAsia="zh-CN"/>
        </w:rPr>
        <w:t>uman rights education</w:t>
      </w:r>
      <w:r w:rsidR="0063737D">
        <w:rPr>
          <w:lang w:eastAsia="zh-CN"/>
        </w:rPr>
        <w:t xml:space="preserve"> is not a compulsory </w:t>
      </w:r>
      <w:r w:rsidR="00592762">
        <w:rPr>
          <w:lang w:eastAsia="zh-CN"/>
        </w:rPr>
        <w:t xml:space="preserve">stand-alone </w:t>
      </w:r>
      <w:r w:rsidR="0063737D">
        <w:rPr>
          <w:lang w:eastAsia="zh-CN"/>
        </w:rPr>
        <w:t>subject</w:t>
      </w:r>
      <w:r w:rsidR="0031432C" w:rsidRPr="0031432C">
        <w:rPr>
          <w:lang w:eastAsia="zh-CN"/>
        </w:rPr>
        <w:t>.</w:t>
      </w:r>
      <w:r w:rsidR="0031432C" w:rsidRPr="0031432C">
        <w:rPr>
          <w:rFonts w:eastAsia="DengXian"/>
          <w:bCs/>
          <w:lang w:eastAsia="zh-CN"/>
        </w:rPr>
        <w:t xml:space="preserve"> At the primary and secondary school level</w:t>
      </w:r>
      <w:r w:rsidR="000C0289">
        <w:rPr>
          <w:rFonts w:eastAsia="DengXian"/>
          <w:bCs/>
          <w:lang w:eastAsia="zh-CN"/>
        </w:rPr>
        <w:t>s</w:t>
      </w:r>
      <w:r w:rsidR="0031432C" w:rsidRPr="0031432C">
        <w:rPr>
          <w:rFonts w:eastAsia="DengXian"/>
          <w:bCs/>
          <w:lang w:eastAsia="zh-CN"/>
        </w:rPr>
        <w:t xml:space="preserve">, this type of content </w:t>
      </w:r>
      <w:proofErr w:type="gramStart"/>
      <w:r w:rsidR="0031432C" w:rsidRPr="0031432C">
        <w:rPr>
          <w:rFonts w:eastAsia="DengXian"/>
          <w:bCs/>
          <w:lang w:eastAsia="zh-CN"/>
        </w:rPr>
        <w:t>may be conveyed</w:t>
      </w:r>
      <w:proofErr w:type="gramEnd"/>
      <w:r w:rsidR="0031432C" w:rsidRPr="0031432C">
        <w:rPr>
          <w:rFonts w:eastAsia="DengXian"/>
          <w:bCs/>
          <w:lang w:eastAsia="zh-CN"/>
        </w:rPr>
        <w:t xml:space="preserve"> during the teaching of other subjects, but the topics of gender equality and gender stereotype</w:t>
      </w:r>
      <w:r w:rsidR="000C0289">
        <w:rPr>
          <w:rFonts w:eastAsia="DengXian"/>
          <w:bCs/>
          <w:lang w:eastAsia="zh-CN"/>
        </w:rPr>
        <w:t>s</w:t>
      </w:r>
      <w:r w:rsidR="0031432C" w:rsidRPr="0031432C">
        <w:rPr>
          <w:rFonts w:eastAsia="DengXian"/>
          <w:bCs/>
          <w:lang w:eastAsia="zh-CN"/>
        </w:rPr>
        <w:t xml:space="preserve"> are largely left out </w:t>
      </w:r>
      <w:r w:rsidR="000C0289">
        <w:rPr>
          <w:rFonts w:eastAsia="DengXian"/>
          <w:bCs/>
          <w:lang w:eastAsia="zh-CN"/>
        </w:rPr>
        <w:t>of</w:t>
      </w:r>
      <w:r w:rsidR="0031432C" w:rsidRPr="0031432C">
        <w:rPr>
          <w:rFonts w:eastAsia="DengXian"/>
          <w:bCs/>
          <w:lang w:eastAsia="zh-CN"/>
        </w:rPr>
        <w:t xml:space="preserve"> </w:t>
      </w:r>
      <w:r w:rsidR="00B6551C">
        <w:rPr>
          <w:rFonts w:eastAsia="DengXian"/>
          <w:bCs/>
          <w:lang w:eastAsia="zh-CN"/>
        </w:rPr>
        <w:t xml:space="preserve">the </w:t>
      </w:r>
      <w:r w:rsidR="0031432C" w:rsidRPr="0031432C">
        <w:rPr>
          <w:rFonts w:eastAsia="DengXian"/>
          <w:bCs/>
          <w:lang w:eastAsia="zh-CN"/>
        </w:rPr>
        <w:t>core curricul</w:t>
      </w:r>
      <w:r w:rsidR="00B6551C">
        <w:rPr>
          <w:rFonts w:eastAsia="DengXian"/>
          <w:bCs/>
          <w:lang w:eastAsia="zh-CN"/>
        </w:rPr>
        <w:t>um, a</w:t>
      </w:r>
      <w:r w:rsidR="00B6551C" w:rsidRPr="00B6551C">
        <w:rPr>
          <w:rFonts w:eastAsia="DengXian"/>
          <w:bCs/>
          <w:lang w:eastAsia="zh-CN"/>
        </w:rPr>
        <w:t>ccording to the Commissioner for Human Rights</w:t>
      </w:r>
      <w:r w:rsidR="0031432C" w:rsidRPr="0031432C">
        <w:rPr>
          <w:rFonts w:eastAsia="DengXian"/>
          <w:bCs/>
          <w:lang w:eastAsia="zh-CN"/>
        </w:rPr>
        <w:t xml:space="preserve">. </w:t>
      </w:r>
      <w:r w:rsidR="00B6551C">
        <w:rPr>
          <w:rFonts w:eastAsia="DengXian"/>
          <w:bCs/>
          <w:lang w:eastAsia="zh-CN"/>
        </w:rPr>
        <w:t xml:space="preserve">Non-discrimination and gender equality do not seem to be part of the values </w:t>
      </w:r>
      <w:r w:rsidR="000C0289">
        <w:rPr>
          <w:rFonts w:eastAsia="DengXian"/>
          <w:bCs/>
          <w:lang w:eastAsia="zh-CN"/>
        </w:rPr>
        <w:t>underpinning</w:t>
      </w:r>
      <w:r w:rsidR="00B6551C">
        <w:rPr>
          <w:rFonts w:eastAsia="DengXian"/>
          <w:bCs/>
          <w:lang w:eastAsia="zh-CN"/>
        </w:rPr>
        <w:t xml:space="preserve"> the core curriculum, which include generosity, cooperation, solidarity, altruism and </w:t>
      </w:r>
      <w:r w:rsidR="000C0289">
        <w:rPr>
          <w:rFonts w:eastAsia="DengXian"/>
          <w:bCs/>
          <w:lang w:eastAsia="zh-CN"/>
        </w:rPr>
        <w:t xml:space="preserve">the </w:t>
      </w:r>
      <w:r w:rsidR="00B6551C">
        <w:rPr>
          <w:rFonts w:eastAsia="DengXian"/>
          <w:bCs/>
          <w:lang w:eastAsia="zh-CN"/>
        </w:rPr>
        <w:t xml:space="preserve">building </w:t>
      </w:r>
      <w:r w:rsidR="000C0289">
        <w:rPr>
          <w:rFonts w:eastAsia="DengXian"/>
          <w:bCs/>
          <w:lang w:eastAsia="zh-CN"/>
        </w:rPr>
        <w:t xml:space="preserve">of </w:t>
      </w:r>
      <w:r w:rsidR="00B6551C">
        <w:rPr>
          <w:rFonts w:eastAsia="DengXian"/>
          <w:bCs/>
          <w:lang w:eastAsia="zh-CN"/>
        </w:rPr>
        <w:t xml:space="preserve">social relations. </w:t>
      </w:r>
      <w:r w:rsidR="0031432C" w:rsidRPr="0031432C">
        <w:rPr>
          <w:rFonts w:eastAsia="DengXian"/>
          <w:bCs/>
          <w:lang w:eastAsia="zh-CN"/>
        </w:rPr>
        <w:t xml:space="preserve">These topics </w:t>
      </w:r>
      <w:proofErr w:type="gramStart"/>
      <w:r w:rsidR="0031432C" w:rsidRPr="0031432C">
        <w:rPr>
          <w:rFonts w:eastAsia="DengXian"/>
          <w:bCs/>
          <w:lang w:eastAsia="zh-CN"/>
        </w:rPr>
        <w:t>have been taught</w:t>
      </w:r>
      <w:proofErr w:type="gramEnd"/>
      <w:r w:rsidR="0031432C" w:rsidRPr="0031432C">
        <w:rPr>
          <w:rFonts w:eastAsia="DengXian"/>
          <w:bCs/>
          <w:lang w:eastAsia="zh-CN"/>
        </w:rPr>
        <w:t xml:space="preserve"> only in interested schools th</w:t>
      </w:r>
      <w:r w:rsidR="00CE0E6C">
        <w:rPr>
          <w:rFonts w:eastAsia="DengXian"/>
          <w:bCs/>
          <w:lang w:eastAsia="zh-CN"/>
        </w:rPr>
        <w:t>rough</w:t>
      </w:r>
      <w:r w:rsidR="0031432C" w:rsidRPr="0031432C">
        <w:rPr>
          <w:rFonts w:eastAsia="DengXian"/>
          <w:bCs/>
          <w:lang w:eastAsia="zh-CN"/>
        </w:rPr>
        <w:t xml:space="preserve"> cooperation with human rights NGOs, after obtaining the consent of the school’s headmaster and the parents</w:t>
      </w:r>
      <w:r w:rsidR="000C0289">
        <w:rPr>
          <w:rFonts w:eastAsia="DengXian"/>
          <w:bCs/>
          <w:lang w:eastAsia="zh-CN"/>
        </w:rPr>
        <w:t>’</w:t>
      </w:r>
      <w:r w:rsidR="0031432C" w:rsidRPr="0031432C">
        <w:rPr>
          <w:rFonts w:eastAsia="DengXian"/>
          <w:bCs/>
          <w:lang w:eastAsia="zh-CN"/>
        </w:rPr>
        <w:t xml:space="preserve"> council. H</w:t>
      </w:r>
      <w:r w:rsidR="0031432C" w:rsidRPr="0031432C">
        <w:rPr>
          <w:lang w:eastAsia="zh-CN"/>
        </w:rPr>
        <w:t>owever, such cooperation has become increasingly difficult</w:t>
      </w:r>
      <w:r w:rsidR="000C0289">
        <w:rPr>
          <w:lang w:eastAsia="zh-CN"/>
        </w:rPr>
        <w:t>,</w:t>
      </w:r>
      <w:r w:rsidR="0031432C" w:rsidRPr="0031432C">
        <w:rPr>
          <w:lang w:eastAsia="zh-CN"/>
        </w:rPr>
        <w:t xml:space="preserve"> due to the pressure </w:t>
      </w:r>
      <w:r w:rsidR="000C0289">
        <w:rPr>
          <w:lang w:eastAsia="zh-CN"/>
        </w:rPr>
        <w:t>put</w:t>
      </w:r>
      <w:r w:rsidR="0031432C" w:rsidRPr="0031432C">
        <w:rPr>
          <w:lang w:eastAsia="zh-CN"/>
        </w:rPr>
        <w:t xml:space="preserve"> on the schools by various actors. For example, many interlocutors mentioned the cancellation of the “Rainbow Friday” event, an important initiative undertaken by </w:t>
      </w:r>
      <w:r w:rsidR="000C0289">
        <w:rPr>
          <w:lang w:eastAsia="zh-CN"/>
        </w:rPr>
        <w:t>various</w:t>
      </w:r>
      <w:r w:rsidR="000C0289" w:rsidRPr="0031432C">
        <w:rPr>
          <w:lang w:eastAsia="zh-CN"/>
        </w:rPr>
        <w:t xml:space="preserve"> </w:t>
      </w:r>
      <w:r w:rsidR="0031432C" w:rsidRPr="0031432C">
        <w:rPr>
          <w:lang w:eastAsia="zh-CN"/>
        </w:rPr>
        <w:t xml:space="preserve">schools to address homophobia, </w:t>
      </w:r>
      <w:r w:rsidR="000C0289">
        <w:rPr>
          <w:lang w:eastAsia="zh-CN"/>
        </w:rPr>
        <w:t>in the light of</w:t>
      </w:r>
      <w:r w:rsidR="000C0289" w:rsidRPr="0031432C">
        <w:rPr>
          <w:lang w:eastAsia="zh-CN"/>
        </w:rPr>
        <w:t xml:space="preserve"> </w:t>
      </w:r>
      <w:r w:rsidR="0031432C" w:rsidRPr="0031432C">
        <w:rPr>
          <w:lang w:eastAsia="zh-CN"/>
        </w:rPr>
        <w:t xml:space="preserve">the pressure they were facing from ultraconservative groups, </w:t>
      </w:r>
      <w:r w:rsidR="000C0289">
        <w:rPr>
          <w:lang w:eastAsia="zh-CN"/>
        </w:rPr>
        <w:t xml:space="preserve">which </w:t>
      </w:r>
      <w:proofErr w:type="gramStart"/>
      <w:r w:rsidR="000C0289">
        <w:rPr>
          <w:lang w:eastAsia="zh-CN"/>
        </w:rPr>
        <w:t xml:space="preserve">were </w:t>
      </w:r>
      <w:r w:rsidR="0031432C" w:rsidRPr="0031432C">
        <w:rPr>
          <w:lang w:eastAsia="zh-CN"/>
        </w:rPr>
        <w:t>sometimes supported</w:t>
      </w:r>
      <w:proofErr w:type="gramEnd"/>
      <w:r w:rsidR="0031432C" w:rsidRPr="0031432C">
        <w:rPr>
          <w:lang w:eastAsia="zh-CN"/>
        </w:rPr>
        <w:t xml:space="preserve"> by the authorities. In this context, some municipalities such as </w:t>
      </w:r>
      <w:r w:rsidR="00CD09FB" w:rsidRPr="00CD09FB">
        <w:rPr>
          <w:rFonts w:eastAsia="DengXian"/>
          <w:lang w:eastAsia="zh-CN"/>
        </w:rPr>
        <w:t>Gdańsk</w:t>
      </w:r>
      <w:r w:rsidR="0031432C" w:rsidRPr="0031432C">
        <w:rPr>
          <w:lang w:eastAsia="zh-CN"/>
        </w:rPr>
        <w:t xml:space="preserve"> ha</w:t>
      </w:r>
      <w:r w:rsidR="000C0289">
        <w:rPr>
          <w:lang w:eastAsia="zh-CN"/>
        </w:rPr>
        <w:t>ve</w:t>
      </w:r>
      <w:r w:rsidR="0031432C" w:rsidRPr="0031432C">
        <w:rPr>
          <w:lang w:eastAsia="zh-CN"/>
        </w:rPr>
        <w:t xml:space="preserve"> developed their own human rights education programmes.</w:t>
      </w:r>
    </w:p>
    <w:p w14:paraId="2FB37FCD" w14:textId="1559F207" w:rsidR="0031432C" w:rsidRPr="0031432C" w:rsidRDefault="00CF23F7">
      <w:pPr>
        <w:pStyle w:val="SingleTxtG"/>
        <w:rPr>
          <w:lang w:eastAsia="zh-CN"/>
        </w:rPr>
      </w:pPr>
      <w:r>
        <w:rPr>
          <w:lang w:eastAsia="zh-CN"/>
        </w:rPr>
        <w:t>39.</w:t>
      </w:r>
      <w:r>
        <w:rPr>
          <w:lang w:eastAsia="zh-CN"/>
        </w:rPr>
        <w:tab/>
      </w:r>
      <w:r w:rsidR="0031432C" w:rsidRPr="0031432C">
        <w:rPr>
          <w:lang w:eastAsia="zh-CN"/>
        </w:rPr>
        <w:t xml:space="preserve">The Working Group </w:t>
      </w:r>
      <w:r w:rsidR="009A15D2">
        <w:rPr>
          <w:lang w:eastAsia="zh-CN"/>
        </w:rPr>
        <w:t>learned</w:t>
      </w:r>
      <w:r w:rsidR="0031432C" w:rsidRPr="0031432C">
        <w:rPr>
          <w:lang w:eastAsia="zh-CN"/>
        </w:rPr>
        <w:t xml:space="preserve"> about the problems with sexuality education, which is indispensable for the practical realization of </w:t>
      </w:r>
      <w:proofErr w:type="gramStart"/>
      <w:r w:rsidR="0031432C" w:rsidRPr="0031432C">
        <w:rPr>
          <w:lang w:eastAsia="zh-CN"/>
        </w:rPr>
        <w:t>women’s</w:t>
      </w:r>
      <w:proofErr w:type="gramEnd"/>
      <w:r w:rsidR="0031432C" w:rsidRPr="0031432C">
        <w:rPr>
          <w:lang w:eastAsia="zh-CN"/>
        </w:rPr>
        <w:t xml:space="preserve"> and girls’ sexual and reproductive rights. According to information </w:t>
      </w:r>
      <w:r w:rsidR="009A15D2">
        <w:rPr>
          <w:lang w:eastAsia="zh-CN"/>
        </w:rPr>
        <w:t>from</w:t>
      </w:r>
      <w:r w:rsidR="0031432C" w:rsidRPr="0031432C">
        <w:rPr>
          <w:lang w:eastAsia="zh-CN"/>
        </w:rPr>
        <w:t xml:space="preserve"> the Government, </w:t>
      </w:r>
      <w:r w:rsidR="001217E4">
        <w:rPr>
          <w:lang w:eastAsia="zh-CN"/>
        </w:rPr>
        <w:t xml:space="preserve">sexuality education has always been a part of </w:t>
      </w:r>
      <w:r w:rsidR="008C0A06">
        <w:rPr>
          <w:lang w:eastAsia="zh-CN"/>
        </w:rPr>
        <w:t>general education and</w:t>
      </w:r>
      <w:r w:rsidR="0031432C" w:rsidRPr="0031432C">
        <w:rPr>
          <w:lang w:eastAsia="zh-CN"/>
        </w:rPr>
        <w:t xml:space="preserve"> is included in the subjects of science, biology and social studies. There is also an optional “Education for Family Life”</w:t>
      </w:r>
      <w:r w:rsidR="00D41400">
        <w:rPr>
          <w:lang w:eastAsia="zh-CN"/>
        </w:rPr>
        <w:t xml:space="preserve"> course</w:t>
      </w:r>
      <w:r w:rsidR="0031432C" w:rsidRPr="0031432C">
        <w:rPr>
          <w:lang w:eastAsia="zh-CN"/>
        </w:rPr>
        <w:t>. However, as the title suggests, the focus of this course is on preparation for heterosexual marriage and women’s traditional roles in the family, while important dimensions of reproductive and sexual health and auton</w:t>
      </w:r>
      <w:r w:rsidR="008C0A06">
        <w:rPr>
          <w:lang w:eastAsia="zh-CN"/>
        </w:rPr>
        <w:t xml:space="preserve">omy seem not to </w:t>
      </w:r>
      <w:proofErr w:type="gramStart"/>
      <w:r w:rsidR="008C0A06">
        <w:rPr>
          <w:lang w:eastAsia="zh-CN"/>
        </w:rPr>
        <w:t>be addressed</w:t>
      </w:r>
      <w:proofErr w:type="gramEnd"/>
      <w:r w:rsidR="008C0A06">
        <w:rPr>
          <w:lang w:eastAsia="zh-CN"/>
        </w:rPr>
        <w:t>.</w:t>
      </w:r>
      <w:r w:rsidR="0031432C" w:rsidRPr="0031432C">
        <w:rPr>
          <w:lang w:eastAsia="zh-CN"/>
        </w:rPr>
        <w:t xml:space="preserve"> According to some interlocutors, the teaching of the subject </w:t>
      </w:r>
      <w:proofErr w:type="gramStart"/>
      <w:r w:rsidR="0031432C" w:rsidRPr="0031432C">
        <w:rPr>
          <w:lang w:eastAsia="zh-CN"/>
        </w:rPr>
        <w:t>is frequently infused</w:t>
      </w:r>
      <w:proofErr w:type="gramEnd"/>
      <w:r w:rsidR="0031432C" w:rsidRPr="0031432C">
        <w:rPr>
          <w:lang w:eastAsia="zh-CN"/>
        </w:rPr>
        <w:t xml:space="preserve"> with references to Catholic religious doctrine</w:t>
      </w:r>
      <w:r w:rsidR="001A5741">
        <w:rPr>
          <w:lang w:eastAsia="zh-CN"/>
        </w:rPr>
        <w:t xml:space="preserve"> and raises</w:t>
      </w:r>
      <w:r w:rsidR="006078B8">
        <w:rPr>
          <w:lang w:eastAsia="zh-CN"/>
        </w:rPr>
        <w:t xml:space="preserve"> questions about its consistency with </w:t>
      </w:r>
      <w:r w:rsidR="006078B8" w:rsidRPr="0031432C">
        <w:rPr>
          <w:lang w:eastAsia="zh-CN"/>
        </w:rPr>
        <w:t xml:space="preserve">the current state of </w:t>
      </w:r>
      <w:r w:rsidR="002E7788">
        <w:rPr>
          <w:lang w:eastAsia="zh-CN"/>
        </w:rPr>
        <w:t xml:space="preserve">scientific </w:t>
      </w:r>
      <w:r w:rsidR="006078B8" w:rsidRPr="0031432C">
        <w:rPr>
          <w:lang w:eastAsia="zh-CN"/>
        </w:rPr>
        <w:t xml:space="preserve">knowledge and </w:t>
      </w:r>
      <w:r w:rsidR="006078B8">
        <w:rPr>
          <w:lang w:eastAsia="zh-CN"/>
        </w:rPr>
        <w:t xml:space="preserve">respect for </w:t>
      </w:r>
      <w:r w:rsidR="006078B8" w:rsidRPr="0031432C">
        <w:rPr>
          <w:lang w:eastAsia="zh-CN"/>
        </w:rPr>
        <w:t>the principle of gender equality</w:t>
      </w:r>
      <w:r w:rsidR="0031432C" w:rsidRPr="0031432C">
        <w:rPr>
          <w:lang w:eastAsia="zh-CN"/>
        </w:rPr>
        <w:t>.</w:t>
      </w:r>
    </w:p>
    <w:p w14:paraId="143AB59D" w14:textId="399C9862" w:rsidR="0031432C" w:rsidRPr="0031432C" w:rsidRDefault="00CF23F7" w:rsidP="0031432C">
      <w:pPr>
        <w:pStyle w:val="SingleTxtG"/>
        <w:rPr>
          <w:lang w:eastAsia="zh-CN"/>
        </w:rPr>
      </w:pPr>
      <w:r>
        <w:rPr>
          <w:lang w:eastAsia="zh-CN"/>
        </w:rPr>
        <w:t>40.</w:t>
      </w:r>
      <w:r>
        <w:rPr>
          <w:lang w:eastAsia="zh-CN"/>
        </w:rPr>
        <w:tab/>
      </w:r>
      <w:r w:rsidR="0031432C" w:rsidRPr="0031432C">
        <w:rPr>
          <w:lang w:eastAsia="zh-CN"/>
        </w:rPr>
        <w:t xml:space="preserve">Sexuality education, together with human rights education, is indispensable for addressing the problem of gender-based violence, including harassment and sexual harassment. There is no law regulating harassment based on gender </w:t>
      </w:r>
      <w:r w:rsidR="00D41400">
        <w:rPr>
          <w:lang w:eastAsia="zh-CN"/>
        </w:rPr>
        <w:t>or</w:t>
      </w:r>
      <w:r w:rsidR="00D41400" w:rsidRPr="0031432C">
        <w:rPr>
          <w:lang w:eastAsia="zh-CN"/>
        </w:rPr>
        <w:t xml:space="preserve"> </w:t>
      </w:r>
      <w:r w:rsidR="0031432C" w:rsidRPr="0031432C">
        <w:rPr>
          <w:lang w:eastAsia="zh-CN"/>
        </w:rPr>
        <w:t xml:space="preserve">sexual harassment in education institutions, as the </w:t>
      </w:r>
      <w:r w:rsidR="0072284B">
        <w:rPr>
          <w:lang w:eastAsia="zh-CN"/>
        </w:rPr>
        <w:t xml:space="preserve">Act on </w:t>
      </w:r>
      <w:r w:rsidR="0031432C" w:rsidRPr="0031432C">
        <w:rPr>
          <w:lang w:eastAsia="zh-CN"/>
        </w:rPr>
        <w:t xml:space="preserve">Equal Treatment does not cover this area. While the Working Group received no data regarding the extent of the problem in primary and secondary education, a study from the Commissioner for Human Rights indicates that many female university students have experienced some form of harassment or sexual harassment during their studies, often </w:t>
      </w:r>
      <w:r w:rsidR="00AA4A39">
        <w:rPr>
          <w:lang w:eastAsia="zh-CN"/>
        </w:rPr>
        <w:t>by</w:t>
      </w:r>
      <w:r w:rsidR="0031432C" w:rsidRPr="0031432C">
        <w:rPr>
          <w:lang w:eastAsia="zh-CN"/>
        </w:rPr>
        <w:t xml:space="preserve"> university employees. The Working Group learned that shame and stigma attached to sexual harassment and situations of domestic violence </w:t>
      </w:r>
      <w:r w:rsidR="0072284B">
        <w:rPr>
          <w:lang w:eastAsia="zh-CN"/>
        </w:rPr>
        <w:t xml:space="preserve">often </w:t>
      </w:r>
      <w:r w:rsidR="0031432C" w:rsidRPr="0031432C">
        <w:rPr>
          <w:lang w:eastAsia="zh-CN"/>
        </w:rPr>
        <w:t>make it difficult for students to come forward.</w:t>
      </w:r>
    </w:p>
    <w:p w14:paraId="2B560F38" w14:textId="4FA23F7D" w:rsidR="0031432C" w:rsidRPr="0031432C" w:rsidRDefault="00CF23F7" w:rsidP="0031432C">
      <w:pPr>
        <w:pStyle w:val="SingleTxtG"/>
        <w:rPr>
          <w:lang w:eastAsia="zh-CN"/>
        </w:rPr>
      </w:pPr>
      <w:r>
        <w:rPr>
          <w:lang w:eastAsia="zh-CN"/>
        </w:rPr>
        <w:t>41.</w:t>
      </w:r>
      <w:r>
        <w:rPr>
          <w:lang w:eastAsia="zh-CN"/>
        </w:rPr>
        <w:tab/>
      </w:r>
      <w:r w:rsidR="0031432C" w:rsidRPr="0031432C">
        <w:rPr>
          <w:lang w:eastAsia="zh-CN"/>
        </w:rPr>
        <w:t xml:space="preserve">Furthermore, threats to freedom of expression in education institutions and </w:t>
      </w:r>
      <w:r w:rsidR="0072284B">
        <w:rPr>
          <w:lang w:eastAsia="zh-CN"/>
        </w:rPr>
        <w:t xml:space="preserve">to </w:t>
      </w:r>
      <w:r w:rsidR="0031432C" w:rsidRPr="0031432C">
        <w:rPr>
          <w:lang w:eastAsia="zh-CN"/>
        </w:rPr>
        <w:t xml:space="preserve">academic freedom have been reported, </w:t>
      </w:r>
      <w:r w:rsidR="0072284B">
        <w:rPr>
          <w:lang w:eastAsia="zh-CN"/>
        </w:rPr>
        <w:t xml:space="preserve">which is </w:t>
      </w:r>
      <w:r w:rsidR="0031432C" w:rsidRPr="0031432C">
        <w:rPr>
          <w:lang w:eastAsia="zh-CN"/>
        </w:rPr>
        <w:t xml:space="preserve">a trend observed in many countries recently. The Working Group has received information that some teachers who participated in the </w:t>
      </w:r>
      <w:r w:rsidR="0072284B">
        <w:rPr>
          <w:lang w:eastAsia="zh-CN"/>
        </w:rPr>
        <w:t>“</w:t>
      </w:r>
      <w:r w:rsidR="0031432C" w:rsidRPr="0031432C">
        <w:rPr>
          <w:lang w:eastAsia="zh-CN"/>
        </w:rPr>
        <w:t>black protests</w:t>
      </w:r>
      <w:r w:rsidR="0072284B">
        <w:rPr>
          <w:lang w:eastAsia="zh-CN"/>
        </w:rPr>
        <w:t>”</w:t>
      </w:r>
      <w:r w:rsidR="0031432C" w:rsidRPr="0031432C">
        <w:rPr>
          <w:lang w:eastAsia="zh-CN"/>
        </w:rPr>
        <w:t xml:space="preserve"> </w:t>
      </w:r>
      <w:proofErr w:type="gramStart"/>
      <w:r w:rsidR="0031432C" w:rsidRPr="0031432C">
        <w:rPr>
          <w:lang w:eastAsia="zh-CN"/>
        </w:rPr>
        <w:t>were disciplined</w:t>
      </w:r>
      <w:proofErr w:type="gramEnd"/>
      <w:r w:rsidR="0031432C" w:rsidRPr="0031432C">
        <w:rPr>
          <w:lang w:eastAsia="zh-CN"/>
        </w:rPr>
        <w:t xml:space="preserve">. Moreover, the </w:t>
      </w:r>
      <w:r w:rsidR="00115100">
        <w:rPr>
          <w:lang w:eastAsia="zh-CN"/>
        </w:rPr>
        <w:t xml:space="preserve">Working </w:t>
      </w:r>
      <w:r w:rsidR="0031432C" w:rsidRPr="0031432C">
        <w:rPr>
          <w:lang w:eastAsia="zh-CN"/>
        </w:rPr>
        <w:t xml:space="preserve">Group learned that funding for </w:t>
      </w:r>
      <w:r w:rsidR="0031432C" w:rsidRPr="0031432C">
        <w:rPr>
          <w:lang w:eastAsia="zh-CN"/>
        </w:rPr>
        <w:lastRenderedPageBreak/>
        <w:t xml:space="preserve">gender studies research, for which Poland </w:t>
      </w:r>
      <w:proofErr w:type="gramStart"/>
      <w:r w:rsidR="0031432C" w:rsidRPr="0031432C">
        <w:rPr>
          <w:lang w:eastAsia="zh-CN"/>
        </w:rPr>
        <w:t>has been known</w:t>
      </w:r>
      <w:proofErr w:type="gramEnd"/>
      <w:r w:rsidR="0031432C" w:rsidRPr="0031432C">
        <w:rPr>
          <w:lang w:eastAsia="zh-CN"/>
        </w:rPr>
        <w:t xml:space="preserve"> in the region, is becoming more restrictive, while gender studies scholars report facing a more hostile environment. </w:t>
      </w:r>
    </w:p>
    <w:p w14:paraId="1F92A040" w14:textId="77777777" w:rsidR="0031432C" w:rsidRPr="0031432C" w:rsidRDefault="00E656D1" w:rsidP="00E656D1">
      <w:pPr>
        <w:pStyle w:val="HChG"/>
        <w:rPr>
          <w:rFonts w:eastAsia="DengXian"/>
          <w:lang w:eastAsia="en-GB"/>
        </w:rPr>
      </w:pPr>
      <w:r>
        <w:rPr>
          <w:rFonts w:eastAsia="DengXian"/>
          <w:lang w:eastAsia="en-GB"/>
        </w:rPr>
        <w:tab/>
        <w:t>VI.</w:t>
      </w:r>
      <w:r>
        <w:rPr>
          <w:rFonts w:eastAsia="DengXian"/>
          <w:lang w:eastAsia="en-GB"/>
        </w:rPr>
        <w:tab/>
      </w:r>
      <w:r w:rsidR="0031432C" w:rsidRPr="0031432C">
        <w:rPr>
          <w:rFonts w:eastAsia="DengXian"/>
          <w:lang w:eastAsia="en-GB"/>
        </w:rPr>
        <w:t>Health</w:t>
      </w:r>
    </w:p>
    <w:p w14:paraId="571A86F9" w14:textId="2722C33D" w:rsidR="0031432C" w:rsidRPr="0031432C" w:rsidRDefault="00CF23F7" w:rsidP="0031432C">
      <w:pPr>
        <w:pStyle w:val="SingleTxtG"/>
        <w:rPr>
          <w:rFonts w:eastAsia="DengXian"/>
          <w:lang w:eastAsia="zh-CN"/>
        </w:rPr>
      </w:pPr>
      <w:bookmarkStart w:id="1" w:name="_Hlk5197921"/>
      <w:r>
        <w:rPr>
          <w:rFonts w:eastAsia="DengXian"/>
          <w:lang w:eastAsia="zh-CN"/>
        </w:rPr>
        <w:t>42.</w:t>
      </w:r>
      <w:r>
        <w:rPr>
          <w:rFonts w:eastAsia="DengXian"/>
          <w:lang w:eastAsia="zh-CN"/>
        </w:rPr>
        <w:tab/>
      </w:r>
      <w:r w:rsidR="0031432C" w:rsidRPr="0031432C">
        <w:rPr>
          <w:rFonts w:eastAsia="DengXian"/>
          <w:lang w:eastAsia="zh-CN"/>
        </w:rPr>
        <w:t>The Constitution provides for universal health</w:t>
      </w:r>
      <w:r w:rsidR="009D57BF">
        <w:rPr>
          <w:rFonts w:eastAsia="DengXian"/>
          <w:lang w:eastAsia="zh-CN"/>
        </w:rPr>
        <w:t xml:space="preserve"> </w:t>
      </w:r>
      <w:r w:rsidR="0031432C" w:rsidRPr="0031432C">
        <w:rPr>
          <w:rFonts w:eastAsia="DengXian"/>
          <w:lang w:eastAsia="zh-CN"/>
        </w:rPr>
        <w:t xml:space="preserve">care for </w:t>
      </w:r>
      <w:r w:rsidR="009D57BF">
        <w:rPr>
          <w:rFonts w:eastAsia="DengXian"/>
          <w:lang w:eastAsia="zh-CN"/>
        </w:rPr>
        <w:t>the</w:t>
      </w:r>
      <w:r w:rsidR="0031432C" w:rsidRPr="0031432C">
        <w:rPr>
          <w:rFonts w:eastAsia="DengXian"/>
          <w:lang w:eastAsia="zh-CN"/>
        </w:rPr>
        <w:t xml:space="preserve"> citizens</w:t>
      </w:r>
      <w:r w:rsidR="009D57BF">
        <w:rPr>
          <w:rFonts w:eastAsia="DengXian"/>
          <w:lang w:eastAsia="zh-CN"/>
        </w:rPr>
        <w:t xml:space="preserve"> of Poland</w:t>
      </w:r>
      <w:r w:rsidR="0031432C" w:rsidRPr="0031432C">
        <w:rPr>
          <w:rFonts w:eastAsia="DengXian"/>
          <w:lang w:eastAsia="zh-CN"/>
        </w:rPr>
        <w:t>, while the 2004 Act Concerning the Public Funding of Health Care extends the coverage to those granted refugee status or subsidiary protection in Poland. According to the same Act, care for pregnant women and girls during childbirth and confinement is financed through public funds, as are specialist obstetric-gynaecological health</w:t>
      </w:r>
      <w:r w:rsidR="009D57BF">
        <w:rPr>
          <w:rFonts w:eastAsia="DengXian"/>
          <w:lang w:eastAsia="zh-CN"/>
        </w:rPr>
        <w:t>-</w:t>
      </w:r>
      <w:r w:rsidR="0031432C" w:rsidRPr="0031432C">
        <w:rPr>
          <w:rFonts w:eastAsia="DengXian"/>
          <w:lang w:eastAsia="zh-CN"/>
        </w:rPr>
        <w:t>care services for women and gynaecological services for girls.</w:t>
      </w:r>
    </w:p>
    <w:p w14:paraId="2FB8E27D" w14:textId="34382F38" w:rsidR="0031432C" w:rsidRPr="0031432C" w:rsidRDefault="00CF23F7" w:rsidP="00130FAB">
      <w:pPr>
        <w:pStyle w:val="SingleTxtG"/>
        <w:rPr>
          <w:rFonts w:eastAsia="DengXian"/>
          <w:lang w:eastAsia="zh-CN"/>
        </w:rPr>
      </w:pPr>
      <w:proofErr w:type="gramStart"/>
      <w:r>
        <w:rPr>
          <w:rFonts w:eastAsia="DengXian"/>
          <w:lang w:eastAsia="zh-CN"/>
        </w:rPr>
        <w:t>43.</w:t>
      </w:r>
      <w:r>
        <w:rPr>
          <w:rFonts w:eastAsia="DengXian"/>
          <w:lang w:eastAsia="zh-CN"/>
        </w:rPr>
        <w:tab/>
      </w:r>
      <w:r w:rsidR="0031432C" w:rsidRPr="0031432C">
        <w:rPr>
          <w:rFonts w:eastAsia="DengXian"/>
          <w:lang w:eastAsia="zh-CN"/>
        </w:rPr>
        <w:t>The Working Group acknowledges that the Government has in recent years adopted several measures aimed at protecting women’s health needs, particularly those related to maternal health</w:t>
      </w:r>
      <w:r w:rsidR="009D57BF">
        <w:rPr>
          <w:rFonts w:eastAsia="DengXian"/>
          <w:lang w:eastAsia="zh-CN"/>
        </w:rPr>
        <w:t xml:space="preserve"> </w:t>
      </w:r>
      <w:r w:rsidR="0031432C" w:rsidRPr="0031432C">
        <w:rPr>
          <w:rFonts w:eastAsia="DengXian"/>
          <w:lang w:eastAsia="zh-CN"/>
        </w:rPr>
        <w:t>care, including the recent adoption of standards on perinatal health</w:t>
      </w:r>
      <w:r w:rsidR="009D57BF">
        <w:rPr>
          <w:rFonts w:eastAsia="DengXian"/>
          <w:lang w:eastAsia="zh-CN"/>
        </w:rPr>
        <w:t xml:space="preserve"> </w:t>
      </w:r>
      <w:r w:rsidR="0031432C" w:rsidRPr="0031432C">
        <w:rPr>
          <w:rFonts w:eastAsia="DengXian"/>
          <w:lang w:eastAsia="zh-CN"/>
        </w:rPr>
        <w:t xml:space="preserve">care, </w:t>
      </w:r>
      <w:r w:rsidR="005A31CF">
        <w:rPr>
          <w:rFonts w:eastAsia="DengXian"/>
          <w:lang w:eastAsia="zh-CN"/>
        </w:rPr>
        <w:t xml:space="preserve">the issuance of </w:t>
      </w:r>
      <w:r w:rsidR="0031432C" w:rsidRPr="0031432C">
        <w:rPr>
          <w:rFonts w:eastAsia="DengXian"/>
          <w:lang w:eastAsia="zh-CN"/>
        </w:rPr>
        <w:t xml:space="preserve">recommendations for reducing </w:t>
      </w:r>
      <w:r w:rsidR="000D7DEE">
        <w:rPr>
          <w:rFonts w:eastAsia="DengXian"/>
          <w:lang w:eastAsia="zh-CN"/>
        </w:rPr>
        <w:t xml:space="preserve">the number of </w:t>
      </w:r>
      <w:r w:rsidR="0031432C" w:rsidRPr="0031432C">
        <w:rPr>
          <w:rFonts w:eastAsia="DengXian"/>
          <w:lang w:eastAsia="zh-CN"/>
        </w:rPr>
        <w:t>caesarean sections, a</w:t>
      </w:r>
      <w:r w:rsidR="005A31CF">
        <w:rPr>
          <w:rFonts w:eastAsia="DengXian"/>
          <w:lang w:eastAsia="zh-CN"/>
        </w:rPr>
        <w:t>nd</w:t>
      </w:r>
      <w:r w:rsidR="009D57BF">
        <w:rPr>
          <w:rFonts w:eastAsia="DengXian"/>
          <w:lang w:eastAsia="zh-CN"/>
        </w:rPr>
        <w:t xml:space="preserve"> the</w:t>
      </w:r>
      <w:r w:rsidR="0031432C" w:rsidRPr="0031432C">
        <w:rPr>
          <w:rFonts w:eastAsia="DengXian"/>
          <w:lang w:eastAsia="zh-CN"/>
        </w:rPr>
        <w:t xml:space="preserve"> introduction of </w:t>
      </w:r>
      <w:r w:rsidR="009D57BF">
        <w:rPr>
          <w:rFonts w:eastAsia="DengXian"/>
          <w:lang w:eastAsia="zh-CN"/>
        </w:rPr>
        <w:t xml:space="preserve">a </w:t>
      </w:r>
      <w:r w:rsidR="0031432C" w:rsidRPr="0031432C">
        <w:rPr>
          <w:rFonts w:eastAsia="DengXian"/>
          <w:lang w:eastAsia="zh-CN"/>
        </w:rPr>
        <w:t xml:space="preserve">programme </w:t>
      </w:r>
      <w:r w:rsidR="000D7DEE">
        <w:rPr>
          <w:rFonts w:eastAsia="DengXian"/>
          <w:lang w:eastAsia="zh-CN"/>
        </w:rPr>
        <w:t xml:space="preserve">to </w:t>
      </w:r>
      <w:r w:rsidR="0031432C" w:rsidRPr="0031432C">
        <w:rPr>
          <w:rFonts w:eastAsia="DengXian"/>
          <w:lang w:eastAsia="zh-CN"/>
        </w:rPr>
        <w:t xml:space="preserve">coordinate care </w:t>
      </w:r>
      <w:r w:rsidR="000D7DEE">
        <w:rPr>
          <w:rFonts w:eastAsia="DengXian"/>
          <w:lang w:eastAsia="zh-CN"/>
        </w:rPr>
        <w:t>for</w:t>
      </w:r>
      <w:r w:rsidR="0031432C" w:rsidRPr="0031432C">
        <w:rPr>
          <w:rFonts w:eastAsia="DengXian"/>
          <w:lang w:eastAsia="zh-CN"/>
        </w:rPr>
        <w:t xml:space="preserve"> pregnant women.</w:t>
      </w:r>
      <w:proofErr w:type="gramEnd"/>
      <w:r w:rsidR="0031432C" w:rsidRPr="0031432C">
        <w:rPr>
          <w:rFonts w:eastAsia="DengXian"/>
          <w:lang w:eastAsia="zh-CN"/>
        </w:rPr>
        <w:t xml:space="preserve"> In addition, the Government has developed the Strategy for Pe</w:t>
      </w:r>
      <w:r w:rsidR="005A31CF">
        <w:rPr>
          <w:rFonts w:eastAsia="DengXian"/>
          <w:lang w:eastAsia="zh-CN"/>
        </w:rPr>
        <w:t>rsons</w:t>
      </w:r>
      <w:r w:rsidR="0031432C" w:rsidRPr="0031432C">
        <w:rPr>
          <w:rFonts w:eastAsia="DengXian"/>
          <w:lang w:eastAsia="zh-CN"/>
        </w:rPr>
        <w:t xml:space="preserve"> with Disabilities 2018</w:t>
      </w:r>
      <w:r w:rsidR="005A31CF">
        <w:rPr>
          <w:rFonts w:ascii="Arial" w:hAnsi="Arial" w:cs="Arial"/>
          <w:color w:val="222222"/>
          <w:sz w:val="21"/>
          <w:szCs w:val="21"/>
          <w:shd w:val="clear" w:color="auto" w:fill="FFFFFF"/>
        </w:rPr>
        <w:t>–</w:t>
      </w:r>
      <w:r w:rsidR="0031432C" w:rsidRPr="0031432C">
        <w:rPr>
          <w:rFonts w:eastAsia="DengXian"/>
          <w:lang w:eastAsia="zh-CN"/>
        </w:rPr>
        <w:t>2030, which</w:t>
      </w:r>
      <w:r w:rsidR="000D7DEE">
        <w:rPr>
          <w:rFonts w:eastAsia="DengXian"/>
          <w:lang w:eastAsia="zh-CN"/>
        </w:rPr>
        <w:t xml:space="preserve"> </w:t>
      </w:r>
      <w:proofErr w:type="gramStart"/>
      <w:r w:rsidR="000D7DEE">
        <w:rPr>
          <w:rFonts w:eastAsia="DengXian"/>
          <w:lang w:eastAsia="zh-CN"/>
        </w:rPr>
        <w:t>sh</w:t>
      </w:r>
      <w:r w:rsidR="0031432C" w:rsidRPr="0031432C">
        <w:rPr>
          <w:rFonts w:eastAsia="DengXian"/>
          <w:lang w:eastAsia="zh-CN"/>
        </w:rPr>
        <w:t>ould, inter alia, improve</w:t>
      </w:r>
      <w:proofErr w:type="gramEnd"/>
      <w:r w:rsidR="0031432C" w:rsidRPr="0031432C">
        <w:rPr>
          <w:rFonts w:eastAsia="DengXian"/>
          <w:lang w:eastAsia="zh-CN"/>
        </w:rPr>
        <w:t xml:space="preserve"> access </w:t>
      </w:r>
      <w:r w:rsidR="005A31CF">
        <w:rPr>
          <w:rFonts w:eastAsia="DengXian"/>
          <w:lang w:eastAsia="zh-CN"/>
        </w:rPr>
        <w:t>for</w:t>
      </w:r>
      <w:r w:rsidR="0031432C" w:rsidRPr="0031432C">
        <w:rPr>
          <w:rFonts w:eastAsia="DengXian"/>
          <w:lang w:eastAsia="zh-CN"/>
        </w:rPr>
        <w:t xml:space="preserve"> women with disabilities to medical facilities</w:t>
      </w:r>
      <w:r w:rsidR="00AB3123">
        <w:rPr>
          <w:rFonts w:eastAsia="DengXian"/>
          <w:lang w:eastAsia="zh-CN"/>
        </w:rPr>
        <w:t>,</w:t>
      </w:r>
      <w:r w:rsidR="00D64137">
        <w:rPr>
          <w:rFonts w:eastAsia="DengXian"/>
          <w:lang w:eastAsia="zh-CN"/>
        </w:rPr>
        <w:t xml:space="preserve"> and has </w:t>
      </w:r>
      <w:r w:rsidR="00AB3123">
        <w:rPr>
          <w:rFonts w:eastAsia="DengXian"/>
          <w:lang w:eastAsia="zh-CN"/>
        </w:rPr>
        <w:t xml:space="preserve">started </w:t>
      </w:r>
      <w:r w:rsidR="00D64137">
        <w:rPr>
          <w:rFonts w:eastAsia="DengXian"/>
          <w:lang w:eastAsia="zh-CN"/>
        </w:rPr>
        <w:t>implementation of</w:t>
      </w:r>
      <w:r w:rsidR="000D7DEE">
        <w:rPr>
          <w:rFonts w:eastAsia="DengXian"/>
          <w:lang w:eastAsia="zh-CN"/>
        </w:rPr>
        <w:t xml:space="preserve"> the</w:t>
      </w:r>
      <w:r w:rsidR="00592762">
        <w:rPr>
          <w:rFonts w:eastAsia="DengXian"/>
          <w:lang w:eastAsia="zh-CN"/>
        </w:rPr>
        <w:t xml:space="preserve"> Accessibility Plus for Health programme</w:t>
      </w:r>
      <w:r w:rsidR="000D7DEE">
        <w:rPr>
          <w:rFonts w:eastAsia="DengXian"/>
          <w:lang w:eastAsia="zh-CN"/>
        </w:rPr>
        <w:t>.</w:t>
      </w:r>
      <w:r w:rsidR="0031432C" w:rsidRPr="0031432C">
        <w:rPr>
          <w:rFonts w:eastAsia="DengXian"/>
          <w:lang w:eastAsia="zh-CN"/>
        </w:rPr>
        <w:t xml:space="preserve"> The 2016 Act on Support </w:t>
      </w:r>
      <w:r w:rsidR="000D7DEE">
        <w:rPr>
          <w:rFonts w:eastAsia="DengXian"/>
          <w:lang w:eastAsia="zh-CN"/>
        </w:rPr>
        <w:t>for</w:t>
      </w:r>
      <w:r w:rsidR="0031432C" w:rsidRPr="0031432C">
        <w:rPr>
          <w:rFonts w:eastAsia="DengXian"/>
          <w:lang w:eastAsia="zh-CN"/>
        </w:rPr>
        <w:t xml:space="preserve"> Pregnant Women and Families (</w:t>
      </w:r>
      <w:r w:rsidR="005A31CF">
        <w:rPr>
          <w:rFonts w:eastAsia="DengXian"/>
          <w:lang w:eastAsia="zh-CN"/>
        </w:rPr>
        <w:t>“</w:t>
      </w:r>
      <w:r w:rsidR="0031432C" w:rsidRPr="0031432C">
        <w:rPr>
          <w:rFonts w:eastAsia="DengXian"/>
          <w:lang w:eastAsia="zh-CN"/>
        </w:rPr>
        <w:t>For Life</w:t>
      </w:r>
      <w:r w:rsidR="005A31CF">
        <w:rPr>
          <w:rFonts w:eastAsia="DengXian"/>
          <w:lang w:eastAsia="zh-CN"/>
        </w:rPr>
        <w:t>”</w:t>
      </w:r>
      <w:r w:rsidR="0031432C" w:rsidRPr="0031432C">
        <w:rPr>
          <w:rFonts w:eastAsia="DengXian"/>
          <w:lang w:eastAsia="zh-CN"/>
        </w:rPr>
        <w:t xml:space="preserve">) provides for support </w:t>
      </w:r>
      <w:r w:rsidR="005A31CF">
        <w:rPr>
          <w:rFonts w:eastAsia="DengXian"/>
          <w:lang w:eastAsia="zh-CN"/>
        </w:rPr>
        <w:t>for</w:t>
      </w:r>
      <w:r w:rsidR="0031432C" w:rsidRPr="0031432C">
        <w:rPr>
          <w:rFonts w:eastAsia="DengXian"/>
          <w:lang w:eastAsia="zh-CN"/>
        </w:rPr>
        <w:t xml:space="preserve"> women with </w:t>
      </w:r>
      <w:r w:rsidR="005A31CF">
        <w:rPr>
          <w:rFonts w:eastAsia="DengXian"/>
          <w:lang w:eastAsia="zh-CN"/>
        </w:rPr>
        <w:t xml:space="preserve">a </w:t>
      </w:r>
      <w:r w:rsidR="0031432C" w:rsidRPr="0031432C">
        <w:rPr>
          <w:rFonts w:eastAsia="DengXian"/>
          <w:lang w:eastAsia="zh-CN"/>
        </w:rPr>
        <w:t>prenatal diagnosis of severe defects of the foetus in relation to pregnancy, prenatal diagnostics and therapy as well as palliative and hospice care.</w:t>
      </w:r>
    </w:p>
    <w:p w14:paraId="62D59BB1" w14:textId="1AE41D08" w:rsidR="0031432C" w:rsidRPr="0031432C" w:rsidRDefault="00CF23F7" w:rsidP="0031432C">
      <w:pPr>
        <w:pStyle w:val="SingleTxtG"/>
        <w:rPr>
          <w:rFonts w:eastAsia="DengXian"/>
          <w:lang w:eastAsia="zh-CN"/>
        </w:rPr>
      </w:pPr>
      <w:r>
        <w:rPr>
          <w:rFonts w:eastAsia="DengXian"/>
          <w:lang w:eastAsia="zh-CN"/>
        </w:rPr>
        <w:t>44.</w:t>
      </w:r>
      <w:r>
        <w:rPr>
          <w:rFonts w:eastAsia="DengXian"/>
          <w:lang w:eastAsia="zh-CN"/>
        </w:rPr>
        <w:tab/>
      </w:r>
      <w:r w:rsidR="0031432C" w:rsidRPr="0031432C">
        <w:rPr>
          <w:rFonts w:eastAsia="DengXian"/>
          <w:lang w:eastAsia="zh-CN"/>
        </w:rPr>
        <w:t xml:space="preserve">However, certain challenges remain in securing women’s right to health, particularly for women facing multiple and intersecting forms of discrimination. The Working Group learned that in certain places rural women </w:t>
      </w:r>
      <w:r w:rsidR="00592762">
        <w:rPr>
          <w:rFonts w:eastAsia="DengXian"/>
          <w:lang w:eastAsia="zh-CN"/>
        </w:rPr>
        <w:t xml:space="preserve">still </w:t>
      </w:r>
      <w:r w:rsidR="0031432C" w:rsidRPr="0031432C">
        <w:rPr>
          <w:rFonts w:eastAsia="DengXian"/>
          <w:lang w:eastAsia="zh-CN"/>
        </w:rPr>
        <w:t>face</w:t>
      </w:r>
      <w:r w:rsidR="000D7DEE">
        <w:rPr>
          <w:rFonts w:eastAsia="DengXian"/>
          <w:lang w:eastAsia="zh-CN"/>
        </w:rPr>
        <w:t>d</w:t>
      </w:r>
      <w:r w:rsidR="0031432C" w:rsidRPr="0031432C">
        <w:rPr>
          <w:rFonts w:eastAsia="DengXian"/>
          <w:lang w:eastAsia="zh-CN"/>
        </w:rPr>
        <w:t xml:space="preserve"> obstacles </w:t>
      </w:r>
      <w:r w:rsidR="00172A52">
        <w:rPr>
          <w:rFonts w:eastAsia="DengXian"/>
          <w:lang w:eastAsia="zh-CN"/>
        </w:rPr>
        <w:t>in their access to</w:t>
      </w:r>
      <w:r w:rsidR="0031432C" w:rsidRPr="0031432C">
        <w:rPr>
          <w:rFonts w:eastAsia="DengXian"/>
          <w:lang w:eastAsia="zh-CN"/>
        </w:rPr>
        <w:t xml:space="preserve"> health services and </w:t>
      </w:r>
      <w:r w:rsidR="000D7DEE">
        <w:rPr>
          <w:rFonts w:eastAsia="DengXian"/>
          <w:lang w:eastAsia="zh-CN"/>
        </w:rPr>
        <w:t xml:space="preserve">health-care </w:t>
      </w:r>
      <w:r w:rsidR="0031432C" w:rsidRPr="0031432C">
        <w:rPr>
          <w:rFonts w:eastAsia="DengXian"/>
          <w:lang w:eastAsia="zh-CN"/>
        </w:rPr>
        <w:t xml:space="preserve">providers such as gynaecologists, for example due to </w:t>
      </w:r>
      <w:r w:rsidR="000D7DEE">
        <w:rPr>
          <w:rFonts w:eastAsia="DengXian"/>
          <w:lang w:eastAsia="zh-CN"/>
        </w:rPr>
        <w:t xml:space="preserve">geographical </w:t>
      </w:r>
      <w:r w:rsidR="0031432C" w:rsidRPr="0031432C">
        <w:rPr>
          <w:rFonts w:eastAsia="DengXian"/>
          <w:lang w:eastAsia="zh-CN"/>
        </w:rPr>
        <w:t>distance, and that women with disabilities, Roma women</w:t>
      </w:r>
      <w:r w:rsidR="00115100">
        <w:rPr>
          <w:rFonts w:eastAsia="DengXian"/>
          <w:lang w:eastAsia="zh-CN"/>
        </w:rPr>
        <w:t>, sex workers and</w:t>
      </w:r>
      <w:r w:rsidR="0031432C" w:rsidRPr="0031432C">
        <w:rPr>
          <w:rFonts w:eastAsia="DengXian"/>
          <w:lang w:eastAsia="zh-CN"/>
        </w:rPr>
        <w:t xml:space="preserve"> </w:t>
      </w:r>
      <w:r w:rsidR="00115100">
        <w:rPr>
          <w:rFonts w:eastAsia="DengXian"/>
          <w:lang w:eastAsia="zh-CN"/>
        </w:rPr>
        <w:t>lesbian, bisexual, transgender and intersex</w:t>
      </w:r>
      <w:r w:rsidR="0031432C" w:rsidRPr="0031432C">
        <w:rPr>
          <w:rFonts w:eastAsia="DengXian"/>
          <w:lang w:eastAsia="zh-CN"/>
        </w:rPr>
        <w:t xml:space="preserve"> </w:t>
      </w:r>
      <w:r w:rsidR="00281A59">
        <w:rPr>
          <w:rFonts w:eastAsia="DengXian"/>
          <w:lang w:eastAsia="zh-CN"/>
        </w:rPr>
        <w:t>women</w:t>
      </w:r>
      <w:r w:rsidR="00281A59" w:rsidRPr="0031432C">
        <w:rPr>
          <w:rFonts w:eastAsia="DengXian"/>
          <w:lang w:eastAsia="zh-CN"/>
        </w:rPr>
        <w:t xml:space="preserve"> </w:t>
      </w:r>
      <w:r w:rsidR="0031432C" w:rsidRPr="0031432C">
        <w:rPr>
          <w:rFonts w:eastAsia="DengXian"/>
          <w:lang w:eastAsia="zh-CN"/>
        </w:rPr>
        <w:t>have limited access to health services</w:t>
      </w:r>
      <w:r w:rsidR="000D7DEE">
        <w:rPr>
          <w:rFonts w:eastAsia="DengXian"/>
          <w:lang w:eastAsia="zh-CN"/>
        </w:rPr>
        <w:t xml:space="preserve"> that are</w:t>
      </w:r>
      <w:r w:rsidR="0031432C" w:rsidRPr="0031432C">
        <w:rPr>
          <w:rFonts w:eastAsia="DengXian"/>
          <w:lang w:eastAsia="zh-CN"/>
        </w:rPr>
        <w:t xml:space="preserve"> tailored to their needs. Access to health services is particularly difficult for migrants in irregular situations, </w:t>
      </w:r>
      <w:r w:rsidR="005A31CF">
        <w:rPr>
          <w:rFonts w:eastAsia="DengXian"/>
          <w:lang w:eastAsia="zh-CN"/>
        </w:rPr>
        <w:t>who</w:t>
      </w:r>
      <w:r w:rsidR="005A31CF" w:rsidRPr="0031432C">
        <w:rPr>
          <w:rFonts w:eastAsia="DengXian"/>
          <w:lang w:eastAsia="zh-CN"/>
        </w:rPr>
        <w:t xml:space="preserve"> </w:t>
      </w:r>
      <w:r w:rsidR="0031432C" w:rsidRPr="0031432C">
        <w:rPr>
          <w:rFonts w:eastAsia="DengXian"/>
          <w:lang w:eastAsia="zh-CN"/>
        </w:rPr>
        <w:t>constitute</w:t>
      </w:r>
      <w:r w:rsidR="005A31CF">
        <w:rPr>
          <w:rFonts w:eastAsia="DengXian"/>
          <w:lang w:eastAsia="zh-CN"/>
        </w:rPr>
        <w:t xml:space="preserve"> the</w:t>
      </w:r>
      <w:r w:rsidR="0031432C" w:rsidRPr="0031432C">
        <w:rPr>
          <w:rFonts w:eastAsia="DengXian"/>
          <w:lang w:eastAsia="zh-CN"/>
        </w:rPr>
        <w:t xml:space="preserve"> majority of sex workers, according to interlocutors.</w:t>
      </w:r>
    </w:p>
    <w:p w14:paraId="37C2BDAD" w14:textId="700BE967" w:rsidR="0031432C" w:rsidRPr="0031432C" w:rsidRDefault="00CF23F7" w:rsidP="0031432C">
      <w:pPr>
        <w:pStyle w:val="SingleTxtG"/>
        <w:rPr>
          <w:rFonts w:eastAsia="DengXian"/>
          <w:lang w:eastAsia="zh-CN"/>
        </w:rPr>
      </w:pPr>
      <w:r>
        <w:rPr>
          <w:rFonts w:eastAsia="DengXian"/>
          <w:lang w:eastAsia="zh-CN"/>
        </w:rPr>
        <w:t>45.</w:t>
      </w:r>
      <w:bookmarkStart w:id="2" w:name="_Hlk532377296"/>
      <w:r>
        <w:rPr>
          <w:rFonts w:eastAsia="DengXian"/>
          <w:lang w:eastAsia="zh-CN"/>
        </w:rPr>
        <w:tab/>
      </w:r>
      <w:r w:rsidR="0031432C" w:rsidRPr="0031432C">
        <w:rPr>
          <w:rFonts w:eastAsia="DengXian"/>
          <w:iCs/>
          <w:lang w:eastAsia="zh-CN"/>
        </w:rPr>
        <w:t xml:space="preserve">Moreover, notwithstanding the effort to improve the quality of care and women’s experience during childbirth, the Working Group learned of cases of negligence, mistreatment and various types of abuse experienced by pregnant women in health facilities. </w:t>
      </w:r>
      <w:bookmarkEnd w:id="2"/>
      <w:r w:rsidR="0031432C" w:rsidRPr="0031432C">
        <w:rPr>
          <w:rFonts w:eastAsia="DengXian"/>
          <w:iCs/>
          <w:lang w:eastAsia="zh-CN"/>
        </w:rPr>
        <w:t xml:space="preserve">In addition, </w:t>
      </w:r>
      <w:r w:rsidR="0031432C" w:rsidRPr="0031432C">
        <w:rPr>
          <w:lang w:eastAsia="zh-CN"/>
        </w:rPr>
        <w:t>i</w:t>
      </w:r>
      <w:r w:rsidR="0031432C" w:rsidRPr="0031432C">
        <w:rPr>
          <w:rFonts w:eastAsia="DengXian"/>
          <w:lang w:eastAsia="zh-CN"/>
        </w:rPr>
        <w:t>nfertility treatment</w:t>
      </w:r>
      <w:r w:rsidR="003C782C">
        <w:rPr>
          <w:lang w:eastAsia="zh-CN"/>
        </w:rPr>
        <w:t xml:space="preserve"> in the form of</w:t>
      </w:r>
      <w:r w:rsidR="0025558A">
        <w:rPr>
          <w:lang w:eastAsia="zh-CN"/>
        </w:rPr>
        <w:t xml:space="preserve"> in vitro fertilization </w:t>
      </w:r>
      <w:proofErr w:type="gramStart"/>
      <w:r w:rsidR="0031432C" w:rsidRPr="0031432C">
        <w:rPr>
          <w:lang w:eastAsia="zh-CN"/>
        </w:rPr>
        <w:t>is no longer being funded</w:t>
      </w:r>
      <w:proofErr w:type="gramEnd"/>
      <w:r w:rsidR="0031432C" w:rsidRPr="0031432C">
        <w:rPr>
          <w:lang w:eastAsia="zh-CN"/>
        </w:rPr>
        <w:t xml:space="preserve"> by the State. The Working Group </w:t>
      </w:r>
      <w:proofErr w:type="gramStart"/>
      <w:r w:rsidR="0031432C" w:rsidRPr="0031432C">
        <w:rPr>
          <w:lang w:eastAsia="zh-CN"/>
        </w:rPr>
        <w:t>was informed</w:t>
      </w:r>
      <w:proofErr w:type="gramEnd"/>
      <w:r w:rsidR="0031432C" w:rsidRPr="0031432C">
        <w:rPr>
          <w:lang w:eastAsia="zh-CN"/>
        </w:rPr>
        <w:t xml:space="preserve"> of challenges to meet</w:t>
      </w:r>
      <w:r w:rsidR="003C782C">
        <w:rPr>
          <w:lang w:eastAsia="zh-CN"/>
        </w:rPr>
        <w:t>ing</w:t>
      </w:r>
      <w:r w:rsidR="0031432C" w:rsidRPr="0031432C">
        <w:rPr>
          <w:lang w:eastAsia="zh-CN"/>
        </w:rPr>
        <w:t xml:space="preserve"> the health needs of women and children with disabilities and ensur</w:t>
      </w:r>
      <w:r w:rsidR="00C35048">
        <w:rPr>
          <w:lang w:eastAsia="zh-CN"/>
        </w:rPr>
        <w:t>ing</w:t>
      </w:r>
      <w:r w:rsidR="0031432C" w:rsidRPr="0031432C">
        <w:rPr>
          <w:lang w:eastAsia="zh-CN"/>
        </w:rPr>
        <w:t xml:space="preserve"> their full integration </w:t>
      </w:r>
      <w:r w:rsidR="003C782C">
        <w:rPr>
          <w:lang w:eastAsia="zh-CN"/>
        </w:rPr>
        <w:t>in</w:t>
      </w:r>
      <w:r w:rsidR="0031432C" w:rsidRPr="0031432C">
        <w:rPr>
          <w:lang w:eastAsia="zh-CN"/>
        </w:rPr>
        <w:t>to society. In addition, women’s right to reproductive self-determination (i.e.</w:t>
      </w:r>
      <w:r w:rsidR="003C782C">
        <w:rPr>
          <w:lang w:eastAsia="zh-CN"/>
        </w:rPr>
        <w:t>,</w:t>
      </w:r>
      <w:r w:rsidR="0031432C" w:rsidRPr="0031432C">
        <w:rPr>
          <w:lang w:eastAsia="zh-CN"/>
        </w:rPr>
        <w:t xml:space="preserve"> the right to decide whether or not to have children and </w:t>
      </w:r>
      <w:r w:rsidR="00824CCA">
        <w:rPr>
          <w:lang w:eastAsia="zh-CN"/>
        </w:rPr>
        <w:t xml:space="preserve">to </w:t>
      </w:r>
      <w:r w:rsidR="0031432C" w:rsidRPr="0031432C">
        <w:rPr>
          <w:lang w:eastAsia="zh-CN"/>
        </w:rPr>
        <w:t xml:space="preserve">determine </w:t>
      </w:r>
      <w:r w:rsidR="00824CCA">
        <w:rPr>
          <w:lang w:eastAsia="zh-CN"/>
        </w:rPr>
        <w:t xml:space="preserve">the </w:t>
      </w:r>
      <w:r w:rsidR="0031432C" w:rsidRPr="0031432C">
        <w:rPr>
          <w:lang w:eastAsia="zh-CN"/>
        </w:rPr>
        <w:t xml:space="preserve">number, timing and spacing of children, as well as to have </w:t>
      </w:r>
      <w:r w:rsidR="00824CCA">
        <w:rPr>
          <w:lang w:eastAsia="zh-CN"/>
        </w:rPr>
        <w:t xml:space="preserve">the </w:t>
      </w:r>
      <w:r w:rsidR="0031432C" w:rsidRPr="0031432C">
        <w:rPr>
          <w:lang w:eastAsia="zh-CN"/>
        </w:rPr>
        <w:t>information and means to do so) is seriously restricted.</w:t>
      </w:r>
    </w:p>
    <w:bookmarkEnd w:id="1"/>
    <w:p w14:paraId="44F370A9" w14:textId="77777777" w:rsidR="0031432C" w:rsidRPr="0031432C" w:rsidRDefault="00E656D1" w:rsidP="00E656D1">
      <w:pPr>
        <w:pStyle w:val="H1G"/>
        <w:rPr>
          <w:lang w:eastAsia="zh-CN"/>
        </w:rPr>
      </w:pPr>
      <w:r>
        <w:rPr>
          <w:rFonts w:eastAsia="DengXian"/>
          <w:lang w:eastAsia="zh-CN"/>
        </w:rPr>
        <w:tab/>
        <w:t>A.</w:t>
      </w:r>
      <w:r>
        <w:rPr>
          <w:rFonts w:eastAsia="DengXian"/>
          <w:lang w:eastAsia="zh-CN"/>
        </w:rPr>
        <w:tab/>
      </w:r>
      <w:r w:rsidR="0031432C" w:rsidRPr="0031432C">
        <w:rPr>
          <w:rFonts w:eastAsia="DengXian"/>
          <w:lang w:eastAsia="zh-CN"/>
        </w:rPr>
        <w:t>Affordable modern contraception</w:t>
      </w:r>
      <w:r w:rsidR="0031432C" w:rsidRPr="0031432C">
        <w:rPr>
          <w:lang w:eastAsia="zh-CN"/>
        </w:rPr>
        <w:t xml:space="preserve"> </w:t>
      </w:r>
    </w:p>
    <w:p w14:paraId="4A35E2EE" w14:textId="310E3729" w:rsidR="008C0A06" w:rsidRDefault="00CF23F7" w:rsidP="0031432C">
      <w:pPr>
        <w:pStyle w:val="SingleTxtG"/>
        <w:rPr>
          <w:lang w:eastAsia="zh-CN"/>
        </w:rPr>
      </w:pPr>
      <w:r>
        <w:rPr>
          <w:lang w:eastAsia="zh-CN"/>
        </w:rPr>
        <w:t>46.</w:t>
      </w:r>
      <w:r>
        <w:rPr>
          <w:lang w:eastAsia="zh-CN"/>
        </w:rPr>
        <w:tab/>
      </w:r>
      <w:r w:rsidR="0031432C" w:rsidRPr="0031432C">
        <w:rPr>
          <w:lang w:eastAsia="zh-CN"/>
        </w:rPr>
        <w:t>While the Government subsidi</w:t>
      </w:r>
      <w:r w:rsidR="004D0A49">
        <w:rPr>
          <w:lang w:eastAsia="zh-CN"/>
        </w:rPr>
        <w:t>z</w:t>
      </w:r>
      <w:r w:rsidR="0031432C" w:rsidRPr="0031432C">
        <w:rPr>
          <w:lang w:eastAsia="zh-CN"/>
        </w:rPr>
        <w:t xml:space="preserve">es some contraceptives, NGO interlocutors noted that modern contraceptives and related information and services </w:t>
      </w:r>
      <w:r w:rsidR="004D0A49">
        <w:rPr>
          <w:lang w:eastAsia="zh-CN"/>
        </w:rPr>
        <w:t>we</w:t>
      </w:r>
      <w:r w:rsidR="0031432C" w:rsidRPr="0031432C">
        <w:rPr>
          <w:lang w:eastAsia="zh-CN"/>
        </w:rPr>
        <w:t xml:space="preserve">re not readily available to many women because of costs, lack of information, geographic location and legal status. </w:t>
      </w:r>
      <w:r w:rsidR="004D0A49">
        <w:rPr>
          <w:lang w:eastAsia="zh-CN"/>
        </w:rPr>
        <w:t>I</w:t>
      </w:r>
      <w:r w:rsidR="0031432C" w:rsidRPr="0031432C">
        <w:rPr>
          <w:lang w:eastAsia="zh-CN"/>
        </w:rPr>
        <w:t xml:space="preserve">t </w:t>
      </w:r>
      <w:proofErr w:type="gramStart"/>
      <w:r w:rsidR="0031432C" w:rsidRPr="0031432C">
        <w:rPr>
          <w:lang w:eastAsia="zh-CN"/>
        </w:rPr>
        <w:t>is reported</w:t>
      </w:r>
      <w:proofErr w:type="gramEnd"/>
      <w:r w:rsidR="0031432C" w:rsidRPr="0031432C">
        <w:rPr>
          <w:lang w:eastAsia="zh-CN"/>
        </w:rPr>
        <w:t xml:space="preserve"> that women have to pay full price for </w:t>
      </w:r>
      <w:r w:rsidR="004D0A49">
        <w:rPr>
          <w:lang w:eastAsia="zh-CN"/>
        </w:rPr>
        <w:t>the</w:t>
      </w:r>
      <w:r w:rsidR="0031432C" w:rsidRPr="0031432C">
        <w:rPr>
          <w:lang w:eastAsia="zh-CN"/>
        </w:rPr>
        <w:t xml:space="preserve"> vast majority of hormonal contraception, </w:t>
      </w:r>
      <w:r w:rsidR="004D0A49">
        <w:rPr>
          <w:lang w:eastAsia="zh-CN"/>
        </w:rPr>
        <w:t>the</w:t>
      </w:r>
      <w:r w:rsidR="004D0A49" w:rsidRPr="0031432C">
        <w:rPr>
          <w:lang w:eastAsia="zh-CN"/>
        </w:rPr>
        <w:t xml:space="preserve"> </w:t>
      </w:r>
      <w:r w:rsidR="0031432C" w:rsidRPr="0031432C">
        <w:rPr>
          <w:lang w:eastAsia="zh-CN"/>
        </w:rPr>
        <w:t xml:space="preserve">costs </w:t>
      </w:r>
      <w:r w:rsidR="004D0A49">
        <w:rPr>
          <w:lang w:eastAsia="zh-CN"/>
        </w:rPr>
        <w:t xml:space="preserve">of which </w:t>
      </w:r>
      <w:r w:rsidR="0031432C" w:rsidRPr="0031432C">
        <w:rPr>
          <w:lang w:eastAsia="zh-CN"/>
        </w:rPr>
        <w:t>are too high for many women.</w:t>
      </w:r>
      <w:r w:rsidR="0031432C" w:rsidRPr="0031432C">
        <w:rPr>
          <w:vertAlign w:val="superscript"/>
          <w:lang w:eastAsia="zh-CN"/>
        </w:rPr>
        <w:footnoteReference w:id="25"/>
      </w:r>
      <w:r w:rsidR="0031432C" w:rsidRPr="0031432C">
        <w:rPr>
          <w:lang w:eastAsia="zh-CN"/>
        </w:rPr>
        <w:t xml:space="preserve"> Adolescent girls face additional barriers in accessing contraceptives, as they require parental consent.</w:t>
      </w:r>
    </w:p>
    <w:p w14:paraId="104F8EA5" w14:textId="63AE5B0A" w:rsidR="0031432C" w:rsidRPr="0031432C" w:rsidRDefault="00CF23F7" w:rsidP="0031432C">
      <w:pPr>
        <w:pStyle w:val="SingleTxtG"/>
        <w:rPr>
          <w:lang w:eastAsia="zh-CN"/>
        </w:rPr>
      </w:pPr>
      <w:r>
        <w:rPr>
          <w:lang w:eastAsia="zh-CN"/>
        </w:rPr>
        <w:t>47.</w:t>
      </w:r>
      <w:r>
        <w:rPr>
          <w:lang w:eastAsia="zh-CN"/>
        </w:rPr>
        <w:tab/>
      </w:r>
      <w:r w:rsidR="0031432C" w:rsidRPr="0031432C">
        <w:rPr>
          <w:lang w:eastAsia="zh-CN"/>
        </w:rPr>
        <w:t xml:space="preserve">Furthermore, emergency contraceptive pills, which were previously available over the counter, can </w:t>
      </w:r>
      <w:proofErr w:type="gramStart"/>
      <w:r w:rsidR="0031432C" w:rsidRPr="0031432C">
        <w:rPr>
          <w:lang w:eastAsia="zh-CN"/>
        </w:rPr>
        <w:t>now</w:t>
      </w:r>
      <w:proofErr w:type="gramEnd"/>
      <w:r w:rsidR="0031432C" w:rsidRPr="0031432C">
        <w:rPr>
          <w:lang w:eastAsia="zh-CN"/>
        </w:rPr>
        <w:t xml:space="preserve"> only be obtained with a doctor’s prescription. Considering the circumstances in which emergency contraceptive pills are typically used, this requirement poses a significant barrier and defeats the very purpose of </w:t>
      </w:r>
      <w:r w:rsidR="00C441AC">
        <w:rPr>
          <w:lang w:eastAsia="zh-CN"/>
        </w:rPr>
        <w:t>their</w:t>
      </w:r>
      <w:r w:rsidR="0031432C" w:rsidRPr="0031432C">
        <w:rPr>
          <w:lang w:eastAsia="zh-CN"/>
        </w:rPr>
        <w:t xml:space="preserve"> use. Not only does it take </w:t>
      </w:r>
      <w:r w:rsidR="0031432C" w:rsidRPr="0031432C">
        <w:rPr>
          <w:lang w:eastAsia="zh-CN"/>
        </w:rPr>
        <w:lastRenderedPageBreak/>
        <w:t xml:space="preserve">time to </w:t>
      </w:r>
      <w:proofErr w:type="gramStart"/>
      <w:r w:rsidR="0031432C" w:rsidRPr="0031432C">
        <w:rPr>
          <w:lang w:eastAsia="zh-CN"/>
        </w:rPr>
        <w:t>be seen</w:t>
      </w:r>
      <w:proofErr w:type="gramEnd"/>
      <w:r w:rsidR="0031432C" w:rsidRPr="0031432C">
        <w:rPr>
          <w:lang w:eastAsia="zh-CN"/>
        </w:rPr>
        <w:t xml:space="preserve"> by a doctor, it has been reported that many doctors refuse to prescribe the</w:t>
      </w:r>
      <w:r w:rsidR="00C441AC">
        <w:rPr>
          <w:lang w:eastAsia="zh-CN"/>
        </w:rPr>
        <w:t xml:space="preserve"> pills</w:t>
      </w:r>
      <w:r w:rsidR="0031432C" w:rsidRPr="0031432C">
        <w:rPr>
          <w:lang w:eastAsia="zh-CN"/>
        </w:rPr>
        <w:t xml:space="preserve">, </w:t>
      </w:r>
      <w:r w:rsidR="00C441AC">
        <w:rPr>
          <w:lang w:eastAsia="zh-CN"/>
        </w:rPr>
        <w:t>claiming</w:t>
      </w:r>
      <w:r w:rsidR="0031432C" w:rsidRPr="0031432C">
        <w:rPr>
          <w:lang w:eastAsia="zh-CN"/>
        </w:rPr>
        <w:t xml:space="preserve"> conscientious objection. Moreover, some pharmacists have started to invoke the conscientious objection clause to refuse the sale of emergency contraceptives, even though this is illegal. Emergency contraception and antiretroviral drug</w:t>
      </w:r>
      <w:r w:rsidR="004D0A49">
        <w:rPr>
          <w:lang w:eastAsia="zh-CN"/>
        </w:rPr>
        <w:t>s</w:t>
      </w:r>
      <w:r w:rsidR="0031432C" w:rsidRPr="0031432C">
        <w:rPr>
          <w:lang w:eastAsia="zh-CN"/>
        </w:rPr>
        <w:t xml:space="preserve"> or related information </w:t>
      </w:r>
      <w:proofErr w:type="gramStart"/>
      <w:r w:rsidR="0031432C" w:rsidRPr="0031432C">
        <w:rPr>
          <w:lang w:eastAsia="zh-CN"/>
        </w:rPr>
        <w:t>are</w:t>
      </w:r>
      <w:proofErr w:type="gramEnd"/>
      <w:r w:rsidR="0031432C" w:rsidRPr="0031432C">
        <w:rPr>
          <w:lang w:eastAsia="zh-CN"/>
        </w:rPr>
        <w:t xml:space="preserve"> not provided to women victims/survivors of sexual violence at police station</w:t>
      </w:r>
      <w:r w:rsidR="00C441AC">
        <w:rPr>
          <w:lang w:eastAsia="zh-CN"/>
        </w:rPr>
        <w:t>s</w:t>
      </w:r>
      <w:r w:rsidR="0031432C" w:rsidRPr="0031432C">
        <w:rPr>
          <w:lang w:eastAsia="zh-CN"/>
        </w:rPr>
        <w:t>.</w:t>
      </w:r>
    </w:p>
    <w:p w14:paraId="571FFCAC" w14:textId="71C95344" w:rsidR="0031432C" w:rsidRPr="0031432C" w:rsidRDefault="00CF23F7" w:rsidP="0031432C">
      <w:pPr>
        <w:pStyle w:val="SingleTxtG"/>
        <w:rPr>
          <w:lang w:eastAsia="zh-CN"/>
        </w:rPr>
      </w:pPr>
      <w:r>
        <w:rPr>
          <w:lang w:eastAsia="zh-CN"/>
        </w:rPr>
        <w:t>48.</w:t>
      </w:r>
      <w:r>
        <w:rPr>
          <w:lang w:eastAsia="zh-CN"/>
        </w:rPr>
        <w:tab/>
      </w:r>
      <w:r w:rsidR="0031432C" w:rsidRPr="0031432C">
        <w:rPr>
          <w:lang w:eastAsia="zh-CN"/>
        </w:rPr>
        <w:t>Women cannot voluntarily choose surgical sterili</w:t>
      </w:r>
      <w:r w:rsidR="00960C76">
        <w:rPr>
          <w:lang w:eastAsia="zh-CN"/>
        </w:rPr>
        <w:t>z</w:t>
      </w:r>
      <w:r w:rsidR="0031432C" w:rsidRPr="0031432C">
        <w:rPr>
          <w:lang w:eastAsia="zh-CN"/>
        </w:rPr>
        <w:t>ation unless there are medical indications established by a doctor, such as that pregnancy would constitute a threat to life</w:t>
      </w:r>
      <w:r w:rsidR="004D0A49">
        <w:rPr>
          <w:lang w:eastAsia="zh-CN"/>
        </w:rPr>
        <w:t>. This</w:t>
      </w:r>
      <w:r w:rsidR="0031432C" w:rsidRPr="0031432C">
        <w:rPr>
          <w:lang w:eastAsia="zh-CN"/>
        </w:rPr>
        <w:t xml:space="preserve"> is not consistent with the State</w:t>
      </w:r>
      <w:r w:rsidR="00960C76">
        <w:rPr>
          <w:lang w:eastAsia="zh-CN"/>
        </w:rPr>
        <w:t>’s</w:t>
      </w:r>
      <w:r w:rsidR="0031432C" w:rsidRPr="0031432C">
        <w:rPr>
          <w:lang w:eastAsia="zh-CN"/>
        </w:rPr>
        <w:t xml:space="preserve"> obligation to provide access to a full range of contraceptive methods. </w:t>
      </w:r>
      <w:r w:rsidR="005756F1">
        <w:rPr>
          <w:lang w:eastAsia="zh-CN"/>
        </w:rPr>
        <w:t>Conversely</w:t>
      </w:r>
      <w:r w:rsidR="0031432C" w:rsidRPr="0031432C">
        <w:rPr>
          <w:lang w:eastAsia="zh-CN"/>
        </w:rPr>
        <w:t xml:space="preserve">, there have been reports of women with intellectual and psychosocial disabilities living in institutions </w:t>
      </w:r>
      <w:proofErr w:type="gramStart"/>
      <w:r w:rsidR="0031432C" w:rsidRPr="0031432C">
        <w:rPr>
          <w:lang w:eastAsia="zh-CN"/>
        </w:rPr>
        <w:t>being sterilized</w:t>
      </w:r>
      <w:proofErr w:type="gramEnd"/>
      <w:r w:rsidR="00A01C2A">
        <w:rPr>
          <w:lang w:eastAsia="zh-CN"/>
        </w:rPr>
        <w:t>.</w:t>
      </w:r>
      <w:r w:rsidR="00A01C2A" w:rsidRPr="0031432C">
        <w:rPr>
          <w:rFonts w:ascii="Calibri" w:hAnsi="Calibri"/>
          <w:sz w:val="22"/>
          <w:szCs w:val="22"/>
          <w:vertAlign w:val="superscript"/>
          <w:lang w:eastAsia="zh-CN"/>
        </w:rPr>
        <w:footnoteReference w:id="26"/>
      </w:r>
      <w:r w:rsidR="00A01C2A" w:rsidRPr="0031432C">
        <w:rPr>
          <w:lang w:eastAsia="zh-CN"/>
        </w:rPr>
        <w:t xml:space="preserve"> </w:t>
      </w:r>
      <w:r w:rsidR="00A01C2A">
        <w:rPr>
          <w:lang w:eastAsia="zh-CN"/>
        </w:rPr>
        <w:t>These allegations</w:t>
      </w:r>
      <w:r w:rsidR="008C0A06">
        <w:rPr>
          <w:lang w:eastAsia="zh-CN"/>
        </w:rPr>
        <w:t xml:space="preserve"> require </w:t>
      </w:r>
      <w:r w:rsidR="0031432C" w:rsidRPr="0031432C">
        <w:rPr>
          <w:lang w:eastAsia="zh-CN"/>
        </w:rPr>
        <w:t>investigation.</w:t>
      </w:r>
    </w:p>
    <w:p w14:paraId="012D3D30" w14:textId="77777777" w:rsidR="0031432C" w:rsidRPr="0031432C" w:rsidRDefault="00E656D1" w:rsidP="00E656D1">
      <w:pPr>
        <w:pStyle w:val="H1G"/>
        <w:rPr>
          <w:rFonts w:eastAsia="DengXian"/>
          <w:lang w:eastAsia="en-GB"/>
        </w:rPr>
      </w:pPr>
      <w:r>
        <w:rPr>
          <w:rFonts w:eastAsia="DengXian"/>
          <w:lang w:eastAsia="en-GB"/>
        </w:rPr>
        <w:tab/>
        <w:t>B.</w:t>
      </w:r>
      <w:r>
        <w:rPr>
          <w:rFonts w:eastAsia="DengXian"/>
          <w:lang w:eastAsia="en-GB"/>
        </w:rPr>
        <w:tab/>
      </w:r>
      <w:r w:rsidR="0031432C" w:rsidRPr="0031432C">
        <w:rPr>
          <w:rFonts w:eastAsia="DengXian"/>
          <w:lang w:eastAsia="en-GB"/>
        </w:rPr>
        <w:t xml:space="preserve">Voluntary termination of pregnancy </w:t>
      </w:r>
    </w:p>
    <w:p w14:paraId="3F9100BA" w14:textId="53626CAC" w:rsidR="0031432C" w:rsidRPr="0031432C" w:rsidRDefault="00CF23F7" w:rsidP="0031432C">
      <w:pPr>
        <w:pStyle w:val="SingleTxtG"/>
        <w:rPr>
          <w:rFonts w:eastAsia="DengXian"/>
          <w:color w:val="FF0000"/>
          <w:lang w:eastAsia="zh-CN"/>
        </w:rPr>
      </w:pPr>
      <w:r>
        <w:rPr>
          <w:rFonts w:eastAsia="DengXian"/>
          <w:lang w:eastAsia="zh-CN"/>
        </w:rPr>
        <w:t>49.</w:t>
      </w:r>
      <w:r>
        <w:rPr>
          <w:rFonts w:eastAsia="DengXian"/>
          <w:lang w:eastAsia="zh-CN"/>
        </w:rPr>
        <w:tab/>
      </w:r>
      <w:r w:rsidR="0031432C" w:rsidRPr="0031432C">
        <w:rPr>
          <w:rFonts w:eastAsia="DengXian"/>
          <w:lang w:eastAsia="zh-CN"/>
        </w:rPr>
        <w:t xml:space="preserve">The 1993 Act on </w:t>
      </w:r>
      <w:r w:rsidR="0047702E">
        <w:rPr>
          <w:rFonts w:eastAsia="DengXian"/>
          <w:lang w:eastAsia="zh-CN"/>
        </w:rPr>
        <w:t>F</w:t>
      </w:r>
      <w:r w:rsidR="0031432C" w:rsidRPr="0031432C">
        <w:rPr>
          <w:rFonts w:eastAsia="DengXian"/>
          <w:lang w:eastAsia="zh-CN"/>
        </w:rPr>
        <w:t xml:space="preserve">amily </w:t>
      </w:r>
      <w:r w:rsidR="0047702E">
        <w:rPr>
          <w:rFonts w:eastAsia="DengXian"/>
          <w:lang w:eastAsia="zh-CN"/>
        </w:rPr>
        <w:t>P</w:t>
      </w:r>
      <w:r w:rsidR="0031432C" w:rsidRPr="0031432C">
        <w:rPr>
          <w:rFonts w:eastAsia="DengXian"/>
          <w:lang w:eastAsia="zh-CN"/>
        </w:rPr>
        <w:t xml:space="preserve">lanning, </w:t>
      </w:r>
      <w:r w:rsidR="0047702E">
        <w:rPr>
          <w:rFonts w:eastAsia="DengXian"/>
          <w:lang w:eastAsia="zh-CN"/>
        </w:rPr>
        <w:t>P</w:t>
      </w:r>
      <w:r w:rsidR="0031432C" w:rsidRPr="0031432C">
        <w:rPr>
          <w:rFonts w:eastAsia="DengXian"/>
          <w:lang w:eastAsia="zh-CN"/>
        </w:rPr>
        <w:t xml:space="preserve">rotection of the </w:t>
      </w:r>
      <w:r w:rsidR="0047702E">
        <w:rPr>
          <w:rFonts w:eastAsia="DengXian"/>
          <w:lang w:eastAsia="zh-CN"/>
        </w:rPr>
        <w:t>F</w:t>
      </w:r>
      <w:r w:rsidR="0031432C" w:rsidRPr="0031432C">
        <w:rPr>
          <w:rFonts w:eastAsia="DengXian"/>
          <w:lang w:eastAsia="zh-CN"/>
        </w:rPr>
        <w:t xml:space="preserve">oetus and </w:t>
      </w:r>
      <w:r w:rsidR="0047702E">
        <w:rPr>
          <w:rFonts w:eastAsia="DengXian"/>
          <w:lang w:eastAsia="zh-CN"/>
        </w:rPr>
        <w:t>C</w:t>
      </w:r>
      <w:r w:rsidR="0031432C" w:rsidRPr="0031432C">
        <w:rPr>
          <w:rFonts w:eastAsia="DengXian"/>
          <w:lang w:eastAsia="zh-CN"/>
        </w:rPr>
        <w:t xml:space="preserve">onditions for the </w:t>
      </w:r>
      <w:r w:rsidR="0047702E">
        <w:rPr>
          <w:rFonts w:eastAsia="DengXian"/>
          <w:lang w:eastAsia="zh-CN"/>
        </w:rPr>
        <w:t>A</w:t>
      </w:r>
      <w:r w:rsidR="0031432C" w:rsidRPr="0031432C">
        <w:rPr>
          <w:rFonts w:eastAsia="DengXian"/>
          <w:lang w:eastAsia="zh-CN"/>
        </w:rPr>
        <w:t xml:space="preserve">dmissibility of </w:t>
      </w:r>
      <w:r w:rsidR="0047702E">
        <w:rPr>
          <w:rFonts w:eastAsia="DengXian"/>
          <w:lang w:eastAsia="zh-CN"/>
        </w:rPr>
        <w:t>A</w:t>
      </w:r>
      <w:r w:rsidR="0031432C" w:rsidRPr="0031432C">
        <w:rPr>
          <w:rFonts w:eastAsia="DengXian"/>
          <w:lang w:eastAsia="zh-CN"/>
        </w:rPr>
        <w:t xml:space="preserve">bortion </w:t>
      </w:r>
      <w:proofErr w:type="gramStart"/>
      <w:r w:rsidR="0031432C" w:rsidRPr="0031432C">
        <w:rPr>
          <w:rFonts w:eastAsia="DengXian"/>
          <w:lang w:eastAsia="zh-CN"/>
        </w:rPr>
        <w:t>brought an end to</w:t>
      </w:r>
      <w:proofErr w:type="gramEnd"/>
      <w:r w:rsidR="0031432C" w:rsidRPr="0031432C">
        <w:rPr>
          <w:rFonts w:eastAsia="DengXian"/>
          <w:lang w:eastAsia="zh-CN"/>
        </w:rPr>
        <w:t xml:space="preserve"> decades of liberalization of the law where</w:t>
      </w:r>
      <w:r w:rsidR="00272A9E">
        <w:rPr>
          <w:rFonts w:eastAsia="DengXian"/>
          <w:lang w:eastAsia="zh-CN"/>
        </w:rPr>
        <w:t>by</w:t>
      </w:r>
      <w:r w:rsidR="0031432C" w:rsidRPr="0031432C">
        <w:rPr>
          <w:rFonts w:eastAsia="DengXian"/>
          <w:lang w:eastAsia="zh-CN"/>
        </w:rPr>
        <w:t xml:space="preserve"> abortion was allowed on request. </w:t>
      </w:r>
      <w:proofErr w:type="gramStart"/>
      <w:r w:rsidR="0031432C" w:rsidRPr="0031432C">
        <w:rPr>
          <w:rFonts w:eastAsia="DengXian"/>
          <w:lang w:eastAsia="zh-CN"/>
        </w:rPr>
        <w:t>The 1993 law, often referred to as one of Europe</w:t>
      </w:r>
      <w:r w:rsidR="00C441AC">
        <w:rPr>
          <w:rFonts w:eastAsia="DengXian"/>
          <w:lang w:eastAsia="zh-CN"/>
        </w:rPr>
        <w:t>’</w:t>
      </w:r>
      <w:r w:rsidR="0031432C" w:rsidRPr="0031432C">
        <w:rPr>
          <w:rFonts w:eastAsia="DengXian"/>
          <w:lang w:eastAsia="zh-CN"/>
        </w:rPr>
        <w:t xml:space="preserve">s most restrictive abortion laws, permits termination of pregnancy in three circumstances only: (1) when the pregnancy threatens the life or health of the pregnant woman; (2) when prenatal tests or other medical circumstances indicate the high probability of severe and irreversible impairment of the foetus or an incurable disease threatening its life; </w:t>
      </w:r>
      <w:r w:rsidR="00C441AC">
        <w:rPr>
          <w:rFonts w:eastAsia="DengXian"/>
          <w:lang w:eastAsia="zh-CN"/>
        </w:rPr>
        <w:t xml:space="preserve">and </w:t>
      </w:r>
      <w:r w:rsidR="0031432C" w:rsidRPr="0031432C">
        <w:rPr>
          <w:rFonts w:eastAsia="DengXian"/>
          <w:lang w:eastAsia="zh-CN"/>
        </w:rPr>
        <w:t>(3) when there is a reasonable suspicion that the pregnancy arose as a result of a prohibited act.</w:t>
      </w:r>
      <w:proofErr w:type="gramEnd"/>
      <w:r w:rsidR="0031432C" w:rsidRPr="0031432C">
        <w:rPr>
          <w:rFonts w:eastAsia="DengXian"/>
          <w:lang w:eastAsia="zh-CN"/>
        </w:rPr>
        <w:t xml:space="preserve"> The first two circumstances need to </w:t>
      </w:r>
      <w:proofErr w:type="gramStart"/>
      <w:r w:rsidR="0031432C" w:rsidRPr="0031432C">
        <w:rPr>
          <w:rFonts w:eastAsia="DengXian"/>
          <w:lang w:eastAsia="zh-CN"/>
        </w:rPr>
        <w:t>be established</w:t>
      </w:r>
      <w:proofErr w:type="gramEnd"/>
      <w:r w:rsidR="0031432C" w:rsidRPr="0031432C">
        <w:rPr>
          <w:rFonts w:eastAsia="DengXian"/>
          <w:lang w:eastAsia="zh-CN"/>
        </w:rPr>
        <w:t xml:space="preserve"> by a doctor and the third one by </w:t>
      </w:r>
      <w:r w:rsidR="00272A9E">
        <w:rPr>
          <w:rFonts w:eastAsia="DengXian"/>
          <w:lang w:eastAsia="zh-CN"/>
        </w:rPr>
        <w:t xml:space="preserve">a </w:t>
      </w:r>
      <w:r w:rsidR="0031432C" w:rsidRPr="0031432C">
        <w:rPr>
          <w:rFonts w:eastAsia="DengXian"/>
          <w:lang w:eastAsia="zh-CN"/>
        </w:rPr>
        <w:t xml:space="preserve">public prosecutor. A minor or a fully incapacitated woman will need to have the consent of her legal </w:t>
      </w:r>
      <w:proofErr w:type="gramStart"/>
      <w:r w:rsidR="0031432C" w:rsidRPr="0031432C">
        <w:rPr>
          <w:rFonts w:eastAsia="DengXian"/>
          <w:lang w:eastAsia="zh-CN"/>
        </w:rPr>
        <w:t>representative,</w:t>
      </w:r>
      <w:proofErr w:type="gramEnd"/>
      <w:r w:rsidR="0031432C" w:rsidRPr="0031432C">
        <w:rPr>
          <w:rFonts w:eastAsia="DengXian"/>
          <w:lang w:eastAsia="zh-CN"/>
        </w:rPr>
        <w:t xml:space="preserve"> and </w:t>
      </w:r>
      <w:r w:rsidR="00272A9E">
        <w:rPr>
          <w:rFonts w:eastAsia="DengXian"/>
          <w:lang w:eastAsia="zh-CN"/>
        </w:rPr>
        <w:t xml:space="preserve">of </w:t>
      </w:r>
      <w:r w:rsidR="0031432C" w:rsidRPr="0031432C">
        <w:rPr>
          <w:rFonts w:eastAsia="DengXian"/>
          <w:lang w:eastAsia="zh-CN"/>
        </w:rPr>
        <w:t>a custody court if she is under 13</w:t>
      </w:r>
      <w:r w:rsidR="00272A9E">
        <w:rPr>
          <w:rFonts w:eastAsia="DengXian"/>
          <w:lang w:eastAsia="zh-CN"/>
        </w:rPr>
        <w:t xml:space="preserve"> years of age</w:t>
      </w:r>
      <w:r w:rsidR="0031432C" w:rsidRPr="0031432C">
        <w:rPr>
          <w:rFonts w:eastAsia="DengXian"/>
          <w:lang w:eastAsia="zh-CN"/>
        </w:rPr>
        <w:t>. Moreover, some hospitals impose additional requirements such as the opinions of at least two specialist physicians, or a special council, or the head of the hospital maternity ward, which leads to a prolonged waiting period resulting in restrict</w:t>
      </w:r>
      <w:r w:rsidR="00272A9E">
        <w:rPr>
          <w:rFonts w:eastAsia="DengXian"/>
          <w:lang w:eastAsia="zh-CN"/>
        </w:rPr>
        <w:t>ed</w:t>
      </w:r>
      <w:r w:rsidR="0031432C" w:rsidRPr="0031432C">
        <w:rPr>
          <w:rFonts w:eastAsia="DengXian"/>
          <w:lang w:eastAsia="zh-CN"/>
        </w:rPr>
        <w:t xml:space="preserve"> access to the medical procedure guaranteed by law.</w:t>
      </w:r>
    </w:p>
    <w:p w14:paraId="38D5B271" w14:textId="33CE8672" w:rsidR="0031432C" w:rsidRPr="0031432C" w:rsidRDefault="00CF23F7" w:rsidP="0031432C">
      <w:pPr>
        <w:pStyle w:val="SingleTxtG"/>
        <w:rPr>
          <w:b/>
          <w:lang w:eastAsia="zh-CN"/>
        </w:rPr>
      </w:pPr>
      <w:r>
        <w:rPr>
          <w:rFonts w:eastAsia="DengXian"/>
          <w:lang w:eastAsia="zh-CN"/>
        </w:rPr>
        <w:t>50.</w:t>
      </w:r>
      <w:r>
        <w:rPr>
          <w:rFonts w:eastAsia="DengXian"/>
          <w:lang w:eastAsia="zh-CN"/>
        </w:rPr>
        <w:tab/>
      </w:r>
      <w:r w:rsidR="0031432C" w:rsidRPr="0031432C">
        <w:rPr>
          <w:rFonts w:eastAsia="DengXian"/>
          <w:lang w:eastAsia="zh-CN"/>
        </w:rPr>
        <w:t xml:space="preserve">In addition, the mechanism for resolving disagreements between doctors and pregnant women in cases of risk to </w:t>
      </w:r>
      <w:r w:rsidR="00272A9E">
        <w:rPr>
          <w:rFonts w:eastAsia="DengXian"/>
          <w:lang w:eastAsia="zh-CN"/>
        </w:rPr>
        <w:t xml:space="preserve">the health of the </w:t>
      </w:r>
      <w:r w:rsidR="0031432C" w:rsidRPr="0031432C">
        <w:rPr>
          <w:rFonts w:eastAsia="DengXian"/>
          <w:lang w:eastAsia="zh-CN"/>
        </w:rPr>
        <w:t xml:space="preserve">pregnant woman or </w:t>
      </w:r>
      <w:r w:rsidR="00272A9E">
        <w:rPr>
          <w:rFonts w:eastAsia="DengXian"/>
          <w:lang w:eastAsia="zh-CN"/>
        </w:rPr>
        <w:t xml:space="preserve">the </w:t>
      </w:r>
      <w:r w:rsidR="0031432C" w:rsidRPr="0031432C">
        <w:rPr>
          <w:rFonts w:eastAsia="DengXian"/>
          <w:lang w:eastAsia="zh-CN"/>
        </w:rPr>
        <w:t>foet</w:t>
      </w:r>
      <w:r w:rsidR="00272A9E">
        <w:rPr>
          <w:rFonts w:eastAsia="DengXian"/>
          <w:lang w:eastAsia="zh-CN"/>
        </w:rPr>
        <w:t>us</w:t>
      </w:r>
      <w:r w:rsidR="0031432C" w:rsidRPr="0031432C">
        <w:rPr>
          <w:rFonts w:eastAsia="DengXian"/>
          <w:lang w:eastAsia="zh-CN"/>
        </w:rPr>
        <w:t xml:space="preserve">, </w:t>
      </w:r>
      <w:r w:rsidR="00C441AC">
        <w:rPr>
          <w:rFonts w:eastAsia="DengXian"/>
          <w:lang w:eastAsia="zh-CN"/>
        </w:rPr>
        <w:t xml:space="preserve">namely </w:t>
      </w:r>
      <w:r w:rsidR="0031432C" w:rsidRPr="0031432C">
        <w:rPr>
          <w:lang w:eastAsia="zh-CN"/>
        </w:rPr>
        <w:t>the Patients’ Ombudsperson appeal procedure, is not effective, as considered by the Committee of Ministers of the Council of Europe.</w:t>
      </w:r>
      <w:r w:rsidR="0031432C" w:rsidRPr="0031432C">
        <w:rPr>
          <w:sz w:val="18"/>
          <w:vertAlign w:val="superscript"/>
          <w:lang w:eastAsia="zh-CN"/>
        </w:rPr>
        <w:footnoteReference w:id="27"/>
      </w:r>
      <w:r w:rsidR="0031432C" w:rsidRPr="0031432C">
        <w:rPr>
          <w:lang w:eastAsia="zh-CN"/>
        </w:rPr>
        <w:t xml:space="preserve"> Not only does the </w:t>
      </w:r>
      <w:r w:rsidR="00272A9E">
        <w:rPr>
          <w:lang w:eastAsia="zh-CN"/>
        </w:rPr>
        <w:t>30</w:t>
      </w:r>
      <w:r w:rsidR="0031432C" w:rsidRPr="0031432C">
        <w:rPr>
          <w:lang w:eastAsia="zh-CN"/>
        </w:rPr>
        <w:t xml:space="preserve">-day time limit </w:t>
      </w:r>
      <w:r w:rsidR="00272A9E">
        <w:rPr>
          <w:lang w:eastAsia="zh-CN"/>
        </w:rPr>
        <w:t>o</w:t>
      </w:r>
      <w:r w:rsidR="0031432C" w:rsidRPr="0031432C">
        <w:rPr>
          <w:lang w:eastAsia="zh-CN"/>
        </w:rPr>
        <w:t>n such a time</w:t>
      </w:r>
      <w:r w:rsidR="007A4C96">
        <w:rPr>
          <w:lang w:eastAsia="zh-CN"/>
        </w:rPr>
        <w:t>-</w:t>
      </w:r>
      <w:r w:rsidR="0031432C" w:rsidRPr="0031432C">
        <w:rPr>
          <w:lang w:eastAsia="zh-CN"/>
        </w:rPr>
        <w:t xml:space="preserve">sensitive procedure represent a barrier to timely access, only four complaints </w:t>
      </w:r>
      <w:proofErr w:type="gramStart"/>
      <w:r w:rsidR="00272A9E">
        <w:rPr>
          <w:lang w:eastAsia="zh-CN"/>
        </w:rPr>
        <w:t>have been</w:t>
      </w:r>
      <w:r w:rsidR="0031432C" w:rsidRPr="0031432C">
        <w:rPr>
          <w:lang w:eastAsia="zh-CN"/>
        </w:rPr>
        <w:t xml:space="preserve"> received</w:t>
      </w:r>
      <w:proofErr w:type="gramEnd"/>
      <w:r w:rsidR="00272A9E">
        <w:rPr>
          <w:lang w:eastAsia="zh-CN"/>
        </w:rPr>
        <w:t xml:space="preserve"> under the procedure,</w:t>
      </w:r>
      <w:r w:rsidR="0031432C" w:rsidRPr="0031432C">
        <w:rPr>
          <w:lang w:eastAsia="zh-CN"/>
        </w:rPr>
        <w:t xml:space="preserve"> and all of them </w:t>
      </w:r>
      <w:r w:rsidR="00272A9E">
        <w:rPr>
          <w:lang w:eastAsia="zh-CN"/>
        </w:rPr>
        <w:t xml:space="preserve">were </w:t>
      </w:r>
      <w:r w:rsidR="0031432C" w:rsidRPr="0031432C">
        <w:rPr>
          <w:lang w:eastAsia="zh-CN"/>
        </w:rPr>
        <w:t xml:space="preserve">dismissed. Analysis undertaken by the Commissioner for Human Rights has found significant irregularities in </w:t>
      </w:r>
      <w:r w:rsidR="00272A9E">
        <w:rPr>
          <w:lang w:eastAsia="zh-CN"/>
        </w:rPr>
        <w:t>the procedure’s</w:t>
      </w:r>
      <w:r w:rsidR="0031432C" w:rsidRPr="0031432C">
        <w:rPr>
          <w:lang w:eastAsia="zh-CN"/>
        </w:rPr>
        <w:t xml:space="preserve"> operation. </w:t>
      </w:r>
    </w:p>
    <w:p w14:paraId="792B7A4E" w14:textId="3F4E47AA" w:rsidR="0031432C" w:rsidRPr="0031432C" w:rsidRDefault="00CF23F7" w:rsidP="0031432C">
      <w:pPr>
        <w:pStyle w:val="SingleTxtG"/>
        <w:rPr>
          <w:rFonts w:eastAsia="DengXian"/>
          <w:lang w:eastAsia="zh-CN"/>
        </w:rPr>
      </w:pPr>
      <w:r>
        <w:rPr>
          <w:lang w:eastAsia="zh-CN"/>
        </w:rPr>
        <w:t>51.</w:t>
      </w:r>
      <w:r>
        <w:rPr>
          <w:lang w:eastAsia="zh-CN"/>
        </w:rPr>
        <w:tab/>
      </w:r>
      <w:r w:rsidR="0031432C" w:rsidRPr="0031432C">
        <w:rPr>
          <w:lang w:eastAsia="zh-CN"/>
        </w:rPr>
        <w:t>Moreover, the regulatory framework on the use of conscientious objection is not effective, as recogni</w:t>
      </w:r>
      <w:r w:rsidR="00272A9E">
        <w:rPr>
          <w:lang w:eastAsia="zh-CN"/>
        </w:rPr>
        <w:t>z</w:t>
      </w:r>
      <w:r w:rsidR="0031432C" w:rsidRPr="0031432C">
        <w:rPr>
          <w:lang w:eastAsia="zh-CN"/>
        </w:rPr>
        <w:t>ed by the European Court of Human Rights judgments.</w:t>
      </w:r>
      <w:r w:rsidR="0031432C" w:rsidRPr="0031432C">
        <w:rPr>
          <w:sz w:val="18"/>
          <w:vertAlign w:val="superscript"/>
          <w:lang w:eastAsia="zh-CN"/>
        </w:rPr>
        <w:footnoteReference w:id="28"/>
      </w:r>
      <w:r w:rsidR="0031432C" w:rsidRPr="0031432C">
        <w:rPr>
          <w:lang w:eastAsia="zh-CN"/>
        </w:rPr>
        <w:t xml:space="preserve"> No data is available on the extent of the use of </w:t>
      </w:r>
      <w:r w:rsidR="00272A9E">
        <w:rPr>
          <w:lang w:eastAsia="zh-CN"/>
        </w:rPr>
        <w:t xml:space="preserve">the </w:t>
      </w:r>
      <w:r w:rsidR="0031432C" w:rsidRPr="0031432C">
        <w:rPr>
          <w:lang w:eastAsia="zh-CN"/>
        </w:rPr>
        <w:t xml:space="preserve">conscientious objection clause by doctors, who are no longer obliged to provide referrals since the lifting of the requirement by a Constitutional Court ruling in October 2015. It </w:t>
      </w:r>
      <w:proofErr w:type="gramStart"/>
      <w:r w:rsidR="0031432C" w:rsidRPr="0031432C">
        <w:rPr>
          <w:lang w:eastAsia="zh-CN"/>
        </w:rPr>
        <w:t>has been reported</w:t>
      </w:r>
      <w:proofErr w:type="gramEnd"/>
      <w:r w:rsidR="0031432C" w:rsidRPr="0031432C">
        <w:rPr>
          <w:lang w:eastAsia="zh-CN"/>
        </w:rPr>
        <w:t xml:space="preserve"> that in certain areas there are no abortion providers and that there have been attempts to create abortion free zones. According to some interlocutors, frequent</w:t>
      </w:r>
      <w:r w:rsidR="00272A9E">
        <w:rPr>
          <w:lang w:eastAsia="zh-CN"/>
        </w:rPr>
        <w:t xml:space="preserve"> </w:t>
      </w:r>
      <w:r w:rsidR="0031432C" w:rsidRPr="0031432C">
        <w:rPr>
          <w:lang w:eastAsia="zh-CN"/>
        </w:rPr>
        <w:t xml:space="preserve">use of </w:t>
      </w:r>
      <w:r w:rsidR="00C441AC" w:rsidRPr="0031432C">
        <w:rPr>
          <w:lang w:eastAsia="zh-CN"/>
        </w:rPr>
        <w:t>con</w:t>
      </w:r>
      <w:r w:rsidR="00C441AC">
        <w:rPr>
          <w:lang w:eastAsia="zh-CN"/>
        </w:rPr>
        <w:t>scientious</w:t>
      </w:r>
      <w:r w:rsidR="0031432C" w:rsidRPr="0031432C">
        <w:rPr>
          <w:lang w:eastAsia="zh-CN"/>
        </w:rPr>
        <w:t xml:space="preserve"> objection by doctors </w:t>
      </w:r>
      <w:proofErr w:type="gramStart"/>
      <w:r w:rsidR="00272A9E">
        <w:rPr>
          <w:lang w:eastAsia="zh-CN"/>
        </w:rPr>
        <w:t>is</w:t>
      </w:r>
      <w:r w:rsidR="0031432C" w:rsidRPr="0031432C">
        <w:rPr>
          <w:lang w:eastAsia="zh-CN"/>
        </w:rPr>
        <w:t xml:space="preserve"> not only based</w:t>
      </w:r>
      <w:proofErr w:type="gramEnd"/>
      <w:r w:rsidR="0031432C" w:rsidRPr="0031432C">
        <w:rPr>
          <w:lang w:eastAsia="zh-CN"/>
        </w:rPr>
        <w:t xml:space="preserve"> on personal religious convictions but </w:t>
      </w:r>
      <w:r w:rsidR="00272A9E">
        <w:rPr>
          <w:lang w:eastAsia="zh-CN"/>
        </w:rPr>
        <w:t xml:space="preserve">is also </w:t>
      </w:r>
      <w:r w:rsidR="0031432C" w:rsidRPr="0031432C">
        <w:rPr>
          <w:lang w:eastAsia="zh-CN"/>
        </w:rPr>
        <w:t xml:space="preserve">due to fear of prosecution and </w:t>
      </w:r>
      <w:r w:rsidR="00272A9E">
        <w:rPr>
          <w:lang w:eastAsia="zh-CN"/>
        </w:rPr>
        <w:t xml:space="preserve">a </w:t>
      </w:r>
      <w:r w:rsidR="0031432C" w:rsidRPr="0031432C">
        <w:rPr>
          <w:lang w:eastAsia="zh-CN"/>
        </w:rPr>
        <w:t>stigmati</w:t>
      </w:r>
      <w:r w:rsidR="00272A9E">
        <w:rPr>
          <w:lang w:eastAsia="zh-CN"/>
        </w:rPr>
        <w:t>z</w:t>
      </w:r>
      <w:r w:rsidR="0031432C" w:rsidRPr="0031432C">
        <w:rPr>
          <w:lang w:eastAsia="zh-CN"/>
        </w:rPr>
        <w:t xml:space="preserve">ing environment for doctors. </w:t>
      </w:r>
    </w:p>
    <w:p w14:paraId="13FFF9B3" w14:textId="45AF72A9" w:rsidR="0031432C" w:rsidRPr="0031432C" w:rsidRDefault="00CF23F7" w:rsidP="0031432C">
      <w:pPr>
        <w:pStyle w:val="SingleTxtG"/>
        <w:rPr>
          <w:lang w:eastAsia="zh-CN"/>
        </w:rPr>
      </w:pPr>
      <w:r>
        <w:rPr>
          <w:lang w:eastAsia="zh-CN"/>
        </w:rPr>
        <w:t>52.</w:t>
      </w:r>
      <w:r>
        <w:rPr>
          <w:lang w:eastAsia="zh-CN"/>
        </w:rPr>
        <w:tab/>
      </w:r>
      <w:r w:rsidR="0031432C" w:rsidRPr="005E7220">
        <w:rPr>
          <w:lang w:eastAsia="zh-CN"/>
        </w:rPr>
        <w:t>As a result of the additional barriers in practice, access to legal abortion is limited</w:t>
      </w:r>
      <w:r w:rsidR="0031432C" w:rsidRPr="0031432C">
        <w:rPr>
          <w:lang w:eastAsia="zh-CN"/>
        </w:rPr>
        <w:t>. Some women travel abroad for abortion services or opt for illegal abortion in Poland and</w:t>
      </w:r>
      <w:r w:rsidR="005E7220">
        <w:rPr>
          <w:lang w:eastAsia="zh-CN"/>
        </w:rPr>
        <w:t>,</w:t>
      </w:r>
      <w:r w:rsidR="0031432C" w:rsidRPr="0031432C">
        <w:rPr>
          <w:lang w:eastAsia="zh-CN"/>
        </w:rPr>
        <w:t xml:space="preserve"> in </w:t>
      </w:r>
      <w:r w:rsidR="005E7220">
        <w:rPr>
          <w:lang w:eastAsia="zh-CN"/>
        </w:rPr>
        <w:t>the event</w:t>
      </w:r>
      <w:r w:rsidR="005E7220" w:rsidRPr="0031432C">
        <w:rPr>
          <w:lang w:eastAsia="zh-CN"/>
        </w:rPr>
        <w:t xml:space="preserve"> </w:t>
      </w:r>
      <w:r w:rsidR="0031432C" w:rsidRPr="0031432C">
        <w:rPr>
          <w:lang w:eastAsia="zh-CN"/>
        </w:rPr>
        <w:t>of complications</w:t>
      </w:r>
      <w:r w:rsidR="005E7220">
        <w:rPr>
          <w:lang w:eastAsia="zh-CN"/>
        </w:rPr>
        <w:t>,</w:t>
      </w:r>
      <w:r w:rsidR="0031432C" w:rsidRPr="0031432C">
        <w:rPr>
          <w:lang w:eastAsia="zh-CN"/>
        </w:rPr>
        <w:t xml:space="preserve"> are afraid </w:t>
      </w:r>
      <w:r w:rsidR="005E7220">
        <w:rPr>
          <w:rFonts w:eastAsia="DengXian"/>
          <w:lang w:eastAsia="zh-CN"/>
        </w:rPr>
        <w:t>to</w:t>
      </w:r>
      <w:r w:rsidR="0031432C" w:rsidRPr="0031432C">
        <w:rPr>
          <w:rFonts w:eastAsia="DengXian"/>
          <w:lang w:eastAsia="zh-CN"/>
        </w:rPr>
        <w:t xml:space="preserve"> seek medical attention in hospitals. The restrictive </w:t>
      </w:r>
      <w:r w:rsidR="0031432C" w:rsidRPr="0031432C">
        <w:rPr>
          <w:rFonts w:eastAsia="DengXian"/>
          <w:lang w:eastAsia="zh-CN"/>
        </w:rPr>
        <w:lastRenderedPageBreak/>
        <w:t xml:space="preserve">framework particularly </w:t>
      </w:r>
      <w:r w:rsidR="005E7220" w:rsidRPr="0031432C">
        <w:rPr>
          <w:rFonts w:eastAsia="DengXian"/>
          <w:lang w:eastAsia="zh-CN"/>
        </w:rPr>
        <w:t xml:space="preserve">affects </w:t>
      </w:r>
      <w:r w:rsidR="0031432C" w:rsidRPr="0031432C">
        <w:rPr>
          <w:rFonts w:eastAsia="DengXian"/>
          <w:lang w:eastAsia="zh-CN"/>
        </w:rPr>
        <w:t>women who are socioeconomically disadvantaged and migrant women in irregular situations.</w:t>
      </w:r>
    </w:p>
    <w:p w14:paraId="5E1B0923" w14:textId="46E1C21B" w:rsidR="0031432C" w:rsidRPr="0031432C" w:rsidRDefault="00CF23F7" w:rsidP="0031432C">
      <w:pPr>
        <w:pStyle w:val="SingleTxtG"/>
        <w:rPr>
          <w:lang w:eastAsia="zh-CN"/>
        </w:rPr>
      </w:pPr>
      <w:r>
        <w:rPr>
          <w:lang w:eastAsia="zh-CN"/>
        </w:rPr>
        <w:t>53.</w:t>
      </w:r>
      <w:r>
        <w:rPr>
          <w:lang w:eastAsia="zh-CN"/>
        </w:rPr>
        <w:tab/>
      </w:r>
      <w:r w:rsidR="0031432C" w:rsidRPr="0031432C">
        <w:rPr>
          <w:lang w:eastAsia="zh-CN"/>
        </w:rPr>
        <w:t>In recent years, regulation of abortion has increasingly been a subject of national discussion, with repeated attempts to change the Act. The issue has come under a particularly intense spotlight in the last few years</w:t>
      </w:r>
      <w:r w:rsidR="005E7220">
        <w:rPr>
          <w:lang w:eastAsia="zh-CN"/>
        </w:rPr>
        <w:t>,</w:t>
      </w:r>
      <w:r w:rsidR="0031432C" w:rsidRPr="0031432C">
        <w:rPr>
          <w:lang w:eastAsia="zh-CN"/>
        </w:rPr>
        <w:t xml:space="preserve"> when citizen-led legislative initiatives seeking to introduce a total ban on abortion and </w:t>
      </w:r>
      <w:r w:rsidR="005E7220">
        <w:rPr>
          <w:lang w:eastAsia="zh-CN"/>
        </w:rPr>
        <w:t>others</w:t>
      </w:r>
      <w:r w:rsidR="0031432C" w:rsidRPr="0031432C">
        <w:rPr>
          <w:lang w:eastAsia="zh-CN"/>
        </w:rPr>
        <w:t xml:space="preserve"> aimed at liberalization of </w:t>
      </w:r>
      <w:r w:rsidR="005E7220">
        <w:rPr>
          <w:lang w:eastAsia="zh-CN"/>
        </w:rPr>
        <w:t xml:space="preserve">the </w:t>
      </w:r>
      <w:r w:rsidR="0031432C" w:rsidRPr="0031432C">
        <w:rPr>
          <w:lang w:eastAsia="zh-CN"/>
        </w:rPr>
        <w:t xml:space="preserve">law </w:t>
      </w:r>
      <w:proofErr w:type="gramStart"/>
      <w:r w:rsidR="0031432C" w:rsidRPr="0031432C">
        <w:rPr>
          <w:lang w:eastAsia="zh-CN"/>
        </w:rPr>
        <w:t>were introduced</w:t>
      </w:r>
      <w:proofErr w:type="gramEnd"/>
      <w:r w:rsidR="0031432C" w:rsidRPr="0031432C">
        <w:rPr>
          <w:lang w:eastAsia="zh-CN"/>
        </w:rPr>
        <w:t>.</w:t>
      </w:r>
    </w:p>
    <w:p w14:paraId="4E3A7DFF" w14:textId="2CD1D01F" w:rsidR="0031432C" w:rsidRPr="0031432C" w:rsidRDefault="00CF23F7" w:rsidP="0031432C">
      <w:pPr>
        <w:pStyle w:val="SingleTxtG"/>
        <w:rPr>
          <w:rFonts w:eastAsia="DengXian"/>
          <w:lang w:val="hr-HR" w:eastAsia="hr-HR"/>
        </w:rPr>
      </w:pPr>
      <w:r>
        <w:rPr>
          <w:rFonts w:eastAsia="DengXian"/>
          <w:lang w:eastAsia="en-GB"/>
        </w:rPr>
        <w:t>54.</w:t>
      </w:r>
      <w:r>
        <w:rPr>
          <w:rFonts w:eastAsia="DengXian"/>
          <w:lang w:eastAsia="en-GB"/>
        </w:rPr>
        <w:tab/>
      </w:r>
      <w:r w:rsidR="0031432C" w:rsidRPr="0031432C">
        <w:rPr>
          <w:rFonts w:eastAsia="DengXian"/>
          <w:lang w:eastAsia="en-GB"/>
        </w:rPr>
        <w:t>The Working Group stresses that restrictive laws on abortion increase maternal mortality and morbidity rates due to unsafe abortions and are not efficient in reducing the rate of abortion, as shown by data from the World Health Organization.</w:t>
      </w:r>
      <w:r w:rsidR="0031432C" w:rsidRPr="0031432C">
        <w:rPr>
          <w:rFonts w:eastAsia="DengXian"/>
          <w:vertAlign w:val="superscript"/>
          <w:lang w:eastAsia="zh-CN"/>
        </w:rPr>
        <w:footnoteReference w:id="29"/>
      </w:r>
      <w:r w:rsidR="0031432C" w:rsidRPr="0031432C">
        <w:rPr>
          <w:rFonts w:eastAsia="DengXian"/>
          <w:lang w:eastAsia="zh-CN"/>
        </w:rPr>
        <w:t xml:space="preserve"> The Working Group has </w:t>
      </w:r>
      <w:r w:rsidR="001A3363">
        <w:rPr>
          <w:rFonts w:eastAsia="DengXian"/>
          <w:lang w:eastAsia="zh-CN"/>
        </w:rPr>
        <w:t xml:space="preserve">previously </w:t>
      </w:r>
      <w:r w:rsidR="0031432C" w:rsidRPr="0031432C">
        <w:rPr>
          <w:rFonts w:eastAsia="DengXian"/>
          <w:lang w:eastAsia="zh-CN"/>
        </w:rPr>
        <w:t>called for allowing women to terminate the</w:t>
      </w:r>
      <w:r w:rsidR="001A3363">
        <w:rPr>
          <w:rFonts w:eastAsia="DengXian"/>
          <w:lang w:eastAsia="zh-CN"/>
        </w:rPr>
        <w:t>ir</w:t>
      </w:r>
      <w:r w:rsidR="0031432C" w:rsidRPr="0031432C">
        <w:rPr>
          <w:rFonts w:eastAsia="DengXian"/>
          <w:lang w:eastAsia="zh-CN"/>
        </w:rPr>
        <w:t xml:space="preserve"> pregnancy on request in the first trimester</w:t>
      </w:r>
      <w:r w:rsidR="001A3363">
        <w:rPr>
          <w:rFonts w:eastAsia="DengXian"/>
          <w:lang w:eastAsia="zh-CN"/>
        </w:rPr>
        <w:t xml:space="preserve"> (see </w:t>
      </w:r>
      <w:r w:rsidR="001A3363" w:rsidRPr="00661F78">
        <w:t>A/HRC/32/44</w:t>
      </w:r>
      <w:r w:rsidR="001A3363">
        <w:t>)</w:t>
      </w:r>
      <w:r w:rsidR="0031432C" w:rsidRPr="0031432C">
        <w:rPr>
          <w:rFonts w:eastAsia="DengXian"/>
          <w:lang w:eastAsia="zh-CN"/>
        </w:rPr>
        <w:t>.</w:t>
      </w:r>
    </w:p>
    <w:p w14:paraId="35008A43" w14:textId="77777777" w:rsidR="0031432C" w:rsidRPr="0031432C" w:rsidRDefault="00E656D1" w:rsidP="00E656D1">
      <w:pPr>
        <w:pStyle w:val="HChG"/>
        <w:rPr>
          <w:rFonts w:eastAsia="DengXian"/>
          <w:lang w:eastAsia="zh-CN"/>
        </w:rPr>
      </w:pPr>
      <w:r>
        <w:rPr>
          <w:rFonts w:eastAsia="DengXian"/>
          <w:lang w:eastAsia="zh-CN"/>
        </w:rPr>
        <w:tab/>
        <w:t>VII.</w:t>
      </w:r>
      <w:r>
        <w:rPr>
          <w:rFonts w:eastAsia="DengXian"/>
          <w:lang w:eastAsia="zh-CN"/>
        </w:rPr>
        <w:tab/>
      </w:r>
      <w:r w:rsidR="0031432C" w:rsidRPr="0031432C">
        <w:rPr>
          <w:rFonts w:eastAsia="DengXian"/>
          <w:lang w:eastAsia="zh-CN"/>
        </w:rPr>
        <w:t>Family and culture</w:t>
      </w:r>
    </w:p>
    <w:p w14:paraId="70C4F205" w14:textId="66643C55" w:rsidR="0031432C" w:rsidRPr="0031432C" w:rsidRDefault="00CF23F7" w:rsidP="0031432C">
      <w:pPr>
        <w:pStyle w:val="SingleTxtG"/>
        <w:rPr>
          <w:rFonts w:eastAsia="DengXian"/>
          <w:lang w:eastAsia="en-GB"/>
        </w:rPr>
      </w:pPr>
      <w:r>
        <w:rPr>
          <w:rFonts w:eastAsia="DengXian"/>
          <w:lang w:eastAsia="en-GB"/>
        </w:rPr>
        <w:t>55.</w:t>
      </w:r>
      <w:r>
        <w:rPr>
          <w:rFonts w:eastAsia="DengXian"/>
          <w:lang w:eastAsia="en-GB"/>
        </w:rPr>
        <w:tab/>
      </w:r>
      <w:r w:rsidR="0031432C" w:rsidRPr="0031432C">
        <w:rPr>
          <w:rFonts w:eastAsia="DengXian"/>
          <w:lang w:eastAsia="en-GB"/>
        </w:rPr>
        <w:t>As expressed by the Special Rapporteur in the field of cultural rights,</w:t>
      </w:r>
      <w:r w:rsidR="0031432C" w:rsidRPr="0031432C">
        <w:rPr>
          <w:rFonts w:eastAsia="DengXian"/>
          <w:vertAlign w:val="superscript"/>
          <w:lang w:eastAsia="en-GB"/>
        </w:rPr>
        <w:footnoteReference w:id="30"/>
      </w:r>
      <w:r w:rsidR="0031432C" w:rsidRPr="0031432C">
        <w:rPr>
          <w:rFonts w:eastAsia="DengXian"/>
          <w:lang w:eastAsia="en-GB"/>
        </w:rPr>
        <w:t xml:space="preserve"> the Working Group experts were deeply impressed with the richness and diversity of the Polish culture. At the same time, they observed with concern the current trend </w:t>
      </w:r>
      <w:r w:rsidR="005E7220">
        <w:rPr>
          <w:rFonts w:eastAsia="DengXian"/>
          <w:lang w:eastAsia="en-GB"/>
        </w:rPr>
        <w:t>of</w:t>
      </w:r>
      <w:r w:rsidR="0031432C" w:rsidRPr="0031432C">
        <w:rPr>
          <w:rFonts w:eastAsia="DengXian"/>
          <w:lang w:eastAsia="en-GB"/>
        </w:rPr>
        <w:t xml:space="preserve"> normali</w:t>
      </w:r>
      <w:r w:rsidR="005E7220">
        <w:rPr>
          <w:rFonts w:eastAsia="DengXian"/>
          <w:lang w:eastAsia="en-GB"/>
        </w:rPr>
        <w:t>z</w:t>
      </w:r>
      <w:r w:rsidR="0031432C" w:rsidRPr="0031432C">
        <w:rPr>
          <w:rFonts w:eastAsia="DengXian"/>
          <w:lang w:eastAsia="en-GB"/>
        </w:rPr>
        <w:t xml:space="preserve">ing only certain cultural and family norms and practices </w:t>
      </w:r>
      <w:r w:rsidR="005E7220">
        <w:rPr>
          <w:rFonts w:eastAsia="DengXian"/>
          <w:lang w:eastAsia="en-GB"/>
        </w:rPr>
        <w:t>that</w:t>
      </w:r>
      <w:r w:rsidR="005E7220" w:rsidRPr="0031432C">
        <w:rPr>
          <w:rFonts w:eastAsia="DengXian"/>
          <w:lang w:eastAsia="en-GB"/>
        </w:rPr>
        <w:t xml:space="preserve"> </w:t>
      </w:r>
      <w:r w:rsidR="0031432C" w:rsidRPr="0031432C">
        <w:rPr>
          <w:rFonts w:eastAsia="DengXian"/>
          <w:lang w:eastAsia="en-GB"/>
        </w:rPr>
        <w:t>fit the traditional image of the roles of women and men in the family and society.</w:t>
      </w:r>
    </w:p>
    <w:p w14:paraId="4E85A72C" w14:textId="616D7142" w:rsidR="0031432C" w:rsidRPr="0031432C" w:rsidRDefault="00CF23F7" w:rsidP="0031432C">
      <w:pPr>
        <w:pStyle w:val="SingleTxtG"/>
        <w:rPr>
          <w:rFonts w:eastAsia="DengXian"/>
          <w:lang w:eastAsia="en-GB"/>
        </w:rPr>
      </w:pPr>
      <w:r>
        <w:rPr>
          <w:rFonts w:eastAsia="DengXian"/>
          <w:lang w:eastAsia="en-GB"/>
        </w:rPr>
        <w:t>56.</w:t>
      </w:r>
      <w:r>
        <w:rPr>
          <w:rFonts w:eastAsia="DengXian"/>
          <w:lang w:eastAsia="en-GB"/>
        </w:rPr>
        <w:tab/>
      </w:r>
      <w:r w:rsidR="0031432C" w:rsidRPr="0031432C">
        <w:rPr>
          <w:rFonts w:eastAsia="DengXian"/>
          <w:lang w:eastAsia="en-GB"/>
        </w:rPr>
        <w:t xml:space="preserve">While the concept of a </w:t>
      </w:r>
      <w:r w:rsidR="005E7220">
        <w:rPr>
          <w:rFonts w:eastAsia="DengXian"/>
          <w:lang w:eastAsia="en-GB"/>
        </w:rPr>
        <w:t>“</w:t>
      </w:r>
      <w:r w:rsidR="0031432C" w:rsidRPr="0031432C">
        <w:rPr>
          <w:rFonts w:eastAsia="DengXian"/>
          <w:lang w:eastAsia="en-GB"/>
        </w:rPr>
        <w:t>traditional Polish family</w:t>
      </w:r>
      <w:r w:rsidR="005E7220">
        <w:rPr>
          <w:rFonts w:eastAsia="DengXian"/>
          <w:lang w:eastAsia="en-GB"/>
        </w:rPr>
        <w:t>”</w:t>
      </w:r>
      <w:r w:rsidR="0031432C" w:rsidRPr="0031432C">
        <w:rPr>
          <w:rFonts w:eastAsia="DengXian"/>
          <w:lang w:eastAsia="en-GB"/>
        </w:rPr>
        <w:t xml:space="preserve"> seems to </w:t>
      </w:r>
      <w:proofErr w:type="gramStart"/>
      <w:r w:rsidR="0031432C" w:rsidRPr="0031432C">
        <w:rPr>
          <w:rFonts w:eastAsia="DengXian"/>
          <w:lang w:eastAsia="en-GB"/>
        </w:rPr>
        <w:t>be actively promoted</w:t>
      </w:r>
      <w:proofErr w:type="gramEnd"/>
      <w:r w:rsidR="0031432C" w:rsidRPr="0031432C">
        <w:rPr>
          <w:rFonts w:eastAsia="DengXian"/>
          <w:lang w:eastAsia="en-GB"/>
        </w:rPr>
        <w:t xml:space="preserve"> through laws, policies and public discourse, advocates for gender equality are increasingly being characteri</w:t>
      </w:r>
      <w:r w:rsidR="005E7220">
        <w:rPr>
          <w:rFonts w:eastAsia="DengXian"/>
          <w:lang w:eastAsia="en-GB"/>
        </w:rPr>
        <w:t>z</w:t>
      </w:r>
      <w:r w:rsidR="0031432C" w:rsidRPr="0031432C">
        <w:rPr>
          <w:rFonts w:eastAsia="DengXian"/>
          <w:lang w:eastAsia="en-GB"/>
        </w:rPr>
        <w:t xml:space="preserve">ed as </w:t>
      </w:r>
      <w:r w:rsidR="005E7220">
        <w:rPr>
          <w:rFonts w:eastAsia="DengXian"/>
          <w:lang w:eastAsia="en-GB"/>
        </w:rPr>
        <w:t>“</w:t>
      </w:r>
      <w:r w:rsidR="0031432C" w:rsidRPr="0031432C">
        <w:rPr>
          <w:rFonts w:eastAsia="DengXian"/>
          <w:lang w:eastAsia="en-GB"/>
        </w:rPr>
        <w:t>anti-family</w:t>
      </w:r>
      <w:r w:rsidR="005E7220">
        <w:rPr>
          <w:rFonts w:eastAsia="DengXian"/>
          <w:lang w:eastAsia="en-GB"/>
        </w:rPr>
        <w:t>”</w:t>
      </w:r>
      <w:r w:rsidR="0031432C" w:rsidRPr="0031432C">
        <w:rPr>
          <w:rFonts w:eastAsia="DengXian"/>
          <w:lang w:eastAsia="en-GB"/>
        </w:rPr>
        <w:t xml:space="preserve"> and </w:t>
      </w:r>
      <w:r w:rsidR="005E7220">
        <w:rPr>
          <w:rFonts w:eastAsia="DengXian"/>
          <w:lang w:eastAsia="en-GB"/>
        </w:rPr>
        <w:t>“</w:t>
      </w:r>
      <w:r w:rsidR="0031432C" w:rsidRPr="0031432C">
        <w:rPr>
          <w:rFonts w:eastAsia="DengXian"/>
          <w:lang w:eastAsia="en-GB"/>
        </w:rPr>
        <w:t>anti-Polish</w:t>
      </w:r>
      <w:r w:rsidR="005E7220">
        <w:rPr>
          <w:rFonts w:eastAsia="DengXian"/>
          <w:lang w:eastAsia="en-GB"/>
        </w:rPr>
        <w:t>”</w:t>
      </w:r>
      <w:r w:rsidR="0031432C" w:rsidRPr="0031432C">
        <w:rPr>
          <w:rFonts w:eastAsia="DengXian"/>
          <w:lang w:eastAsia="en-GB"/>
        </w:rPr>
        <w:t xml:space="preserve">. The concept of </w:t>
      </w:r>
      <w:r w:rsidR="005E7220">
        <w:rPr>
          <w:rFonts w:eastAsia="DengXian"/>
          <w:lang w:eastAsia="en-GB"/>
        </w:rPr>
        <w:t>“</w:t>
      </w:r>
      <w:r w:rsidR="0031432C" w:rsidRPr="0031432C">
        <w:rPr>
          <w:rFonts w:eastAsia="DengXian"/>
          <w:lang w:eastAsia="en-GB"/>
        </w:rPr>
        <w:t>gender ideology</w:t>
      </w:r>
      <w:r w:rsidR="005E7220">
        <w:rPr>
          <w:rFonts w:eastAsia="DengXian"/>
          <w:lang w:eastAsia="en-GB"/>
        </w:rPr>
        <w:t>”</w:t>
      </w:r>
      <w:r w:rsidR="0031432C" w:rsidRPr="0031432C">
        <w:rPr>
          <w:rFonts w:eastAsia="DengXian"/>
          <w:lang w:eastAsia="en-GB"/>
        </w:rPr>
        <w:t xml:space="preserve"> is being p</w:t>
      </w:r>
      <w:r w:rsidR="005E7220">
        <w:rPr>
          <w:rFonts w:eastAsia="DengXian"/>
          <w:lang w:eastAsia="en-GB"/>
        </w:rPr>
        <w:t>itted</w:t>
      </w:r>
      <w:r w:rsidR="0031432C" w:rsidRPr="0031432C">
        <w:rPr>
          <w:rFonts w:eastAsia="DengXian"/>
          <w:lang w:eastAsia="en-GB"/>
        </w:rPr>
        <w:t xml:space="preserve"> against family and culture and used as a political tool to intimidate, undermine and stigmati</w:t>
      </w:r>
      <w:r w:rsidR="005E7220">
        <w:rPr>
          <w:rFonts w:eastAsia="DengXian"/>
          <w:lang w:eastAsia="en-GB"/>
        </w:rPr>
        <w:t>z</w:t>
      </w:r>
      <w:r w:rsidR="0031432C" w:rsidRPr="0031432C">
        <w:rPr>
          <w:rFonts w:eastAsia="DengXian"/>
          <w:lang w:eastAsia="en-GB"/>
        </w:rPr>
        <w:t xml:space="preserve">e women human rights defenders, as well as the </w:t>
      </w:r>
      <w:proofErr w:type="gramStart"/>
      <w:r w:rsidR="0031432C" w:rsidRPr="0031432C">
        <w:rPr>
          <w:rFonts w:eastAsia="DengXian"/>
          <w:lang w:eastAsia="en-GB"/>
        </w:rPr>
        <w:t>whole</w:t>
      </w:r>
      <w:proofErr w:type="gramEnd"/>
      <w:r w:rsidR="0031432C" w:rsidRPr="0031432C">
        <w:rPr>
          <w:rFonts w:eastAsia="DengXian"/>
          <w:lang w:eastAsia="en-GB"/>
        </w:rPr>
        <w:t xml:space="preserve"> academic field of gender studies. The Working Group echoes the concerns expressed by the Committee </w:t>
      </w:r>
      <w:r w:rsidR="00462B17" w:rsidRPr="0031432C">
        <w:rPr>
          <w:rFonts w:eastAsia="DengXian"/>
          <w:lang w:eastAsia="zh-CN"/>
        </w:rPr>
        <w:t>on the Elimination of All Forms of Discrimination against Women</w:t>
      </w:r>
      <w:r w:rsidR="00462B17" w:rsidRPr="0031432C">
        <w:rPr>
          <w:rFonts w:eastAsia="DengXian"/>
          <w:lang w:eastAsia="en-GB"/>
        </w:rPr>
        <w:t xml:space="preserve"> </w:t>
      </w:r>
      <w:r w:rsidR="0031432C" w:rsidRPr="0031432C">
        <w:rPr>
          <w:rFonts w:eastAsia="DengXian"/>
          <w:lang w:eastAsia="en-GB"/>
        </w:rPr>
        <w:t xml:space="preserve">and the Special Rapporteur </w:t>
      </w:r>
      <w:r w:rsidR="005E7220">
        <w:rPr>
          <w:rFonts w:eastAsia="DengXian"/>
          <w:lang w:eastAsia="en-GB"/>
        </w:rPr>
        <w:t>in the field of</w:t>
      </w:r>
      <w:r w:rsidR="0031432C" w:rsidRPr="0031432C">
        <w:rPr>
          <w:rFonts w:eastAsia="DengXian"/>
          <w:lang w:eastAsia="en-GB"/>
        </w:rPr>
        <w:t xml:space="preserve"> cultural rights about the absence of measures to counter the campaign by the Catholic Church against “gender ideology” and the reported religious and cultural narratives used to justify discrimination against women.</w:t>
      </w:r>
      <w:r w:rsidR="0031432C" w:rsidRPr="0031432C">
        <w:rPr>
          <w:rFonts w:eastAsia="DengXian"/>
          <w:vertAlign w:val="superscript"/>
          <w:lang w:eastAsia="en-GB"/>
        </w:rPr>
        <w:footnoteReference w:id="31"/>
      </w:r>
      <w:r w:rsidR="0031432C" w:rsidRPr="0031432C">
        <w:rPr>
          <w:rFonts w:eastAsia="DengXian"/>
          <w:lang w:eastAsia="en-GB"/>
        </w:rPr>
        <w:t xml:space="preserve"> </w:t>
      </w:r>
    </w:p>
    <w:p w14:paraId="786B1879" w14:textId="77777777" w:rsidR="0031432C" w:rsidRPr="0031432C" w:rsidRDefault="00B03C86" w:rsidP="00E656D1">
      <w:pPr>
        <w:pStyle w:val="H1G"/>
        <w:rPr>
          <w:rFonts w:eastAsia="DengXian"/>
          <w:lang w:eastAsia="en-GB"/>
        </w:rPr>
      </w:pPr>
      <w:r>
        <w:rPr>
          <w:rFonts w:eastAsia="DengXian"/>
          <w:lang w:eastAsia="en-GB"/>
        </w:rPr>
        <w:tab/>
        <w:t>A.</w:t>
      </w:r>
      <w:r>
        <w:rPr>
          <w:rFonts w:eastAsia="DengXian"/>
          <w:lang w:eastAsia="en-GB"/>
        </w:rPr>
        <w:tab/>
      </w:r>
      <w:r w:rsidR="0031432C" w:rsidRPr="0031432C">
        <w:rPr>
          <w:rFonts w:eastAsia="DengXian"/>
          <w:lang w:eastAsia="en-GB"/>
        </w:rPr>
        <w:t>Gender stereotypes</w:t>
      </w:r>
    </w:p>
    <w:p w14:paraId="3F96E3D3" w14:textId="6373463B" w:rsidR="0031432C" w:rsidRPr="0031432C" w:rsidRDefault="00CF23F7" w:rsidP="0031432C">
      <w:pPr>
        <w:pStyle w:val="SingleTxtG"/>
        <w:rPr>
          <w:rFonts w:eastAsia="DengXian"/>
          <w:lang w:eastAsia="en-GB"/>
        </w:rPr>
      </w:pPr>
      <w:r>
        <w:rPr>
          <w:rFonts w:eastAsia="DengXian"/>
          <w:lang w:eastAsia="en-GB"/>
        </w:rPr>
        <w:t>57.</w:t>
      </w:r>
      <w:r>
        <w:rPr>
          <w:rFonts w:eastAsia="DengXian"/>
          <w:lang w:eastAsia="en-GB"/>
        </w:rPr>
        <w:tab/>
      </w:r>
      <w:r w:rsidR="0031432C" w:rsidRPr="0031432C">
        <w:rPr>
          <w:rFonts w:eastAsia="DengXian"/>
          <w:lang w:eastAsia="en-GB"/>
        </w:rPr>
        <w:t>The problem of gender stereotypes is widespread and deep-rooted but generally dis</w:t>
      </w:r>
      <w:r w:rsidR="00E548CA">
        <w:rPr>
          <w:rFonts w:eastAsia="DengXian"/>
          <w:lang w:eastAsia="en-GB"/>
        </w:rPr>
        <w:t>reg</w:t>
      </w:r>
      <w:r w:rsidR="0031432C" w:rsidRPr="0031432C">
        <w:rPr>
          <w:rFonts w:eastAsia="DengXian"/>
          <w:lang w:eastAsia="en-GB"/>
        </w:rPr>
        <w:t>arded, according to various interlocutors. Research has demonstrated how the media, the education system and the public discourse contribute to perpetrating stereotypical roles of women and their implied inferiority.</w:t>
      </w:r>
      <w:r w:rsidR="0031432C" w:rsidRPr="0031432C">
        <w:rPr>
          <w:rFonts w:eastAsia="DengXian"/>
          <w:vertAlign w:val="superscript"/>
          <w:lang w:eastAsia="en-GB"/>
        </w:rPr>
        <w:footnoteReference w:id="32"/>
      </w:r>
      <w:r w:rsidR="0031432C" w:rsidRPr="0031432C">
        <w:rPr>
          <w:rFonts w:eastAsia="DengXian"/>
          <w:lang w:eastAsia="en-GB"/>
        </w:rPr>
        <w:t xml:space="preserve"> International human rights treaty bodies have repeatedly expressed </w:t>
      </w:r>
      <w:r w:rsidR="0031432C" w:rsidRPr="0031432C">
        <w:rPr>
          <w:rFonts w:eastAsia="DengXian"/>
          <w:lang w:eastAsia="zh-CN"/>
        </w:rPr>
        <w:t>concerns about the persistence of harmful stereotypes and the</w:t>
      </w:r>
      <w:r w:rsidR="00157B37">
        <w:rPr>
          <w:rFonts w:eastAsia="DengXian"/>
          <w:lang w:eastAsia="zh-CN"/>
        </w:rPr>
        <w:t>ir</w:t>
      </w:r>
      <w:r w:rsidR="0031432C" w:rsidRPr="0031432C">
        <w:rPr>
          <w:rFonts w:eastAsia="DengXian"/>
          <w:lang w:eastAsia="zh-CN"/>
        </w:rPr>
        <w:t xml:space="preserve"> adverse impact on the enjoyment by women of their human rights, and particularly the negative stereotypes </w:t>
      </w:r>
      <w:r w:rsidR="00157B37">
        <w:rPr>
          <w:rFonts w:eastAsia="DengXian"/>
          <w:lang w:eastAsia="zh-CN"/>
        </w:rPr>
        <w:t>of</w:t>
      </w:r>
      <w:r w:rsidR="0031432C" w:rsidRPr="0031432C">
        <w:rPr>
          <w:rFonts w:eastAsia="DengXian"/>
          <w:lang w:eastAsia="zh-CN"/>
        </w:rPr>
        <w:t xml:space="preserve"> Roma women, lesbian, bisexual, transgender and intersex women and women with disabilities</w:t>
      </w:r>
      <w:r w:rsidR="00E548CA">
        <w:rPr>
          <w:rFonts w:eastAsia="DengXian"/>
          <w:lang w:eastAsia="zh-CN"/>
        </w:rPr>
        <w:t xml:space="preserve"> (see </w:t>
      </w:r>
      <w:r w:rsidR="00E548CA" w:rsidRPr="00661F78">
        <w:t>E/C.12/POL/CO/6</w:t>
      </w:r>
      <w:r w:rsidR="00E548CA">
        <w:t xml:space="preserve"> and</w:t>
      </w:r>
      <w:r w:rsidR="00E548CA" w:rsidRPr="00661F78">
        <w:t xml:space="preserve"> CEDAW/C/POL/CO/7-8</w:t>
      </w:r>
      <w:r w:rsidR="00E548CA">
        <w:t>)</w:t>
      </w:r>
      <w:r w:rsidR="0031432C" w:rsidRPr="0031432C">
        <w:rPr>
          <w:rFonts w:eastAsia="DengXian"/>
          <w:lang w:eastAsia="zh-CN"/>
        </w:rPr>
        <w:t>.</w:t>
      </w:r>
    </w:p>
    <w:p w14:paraId="1AAEF7E3" w14:textId="7BE82D4B" w:rsidR="0031432C" w:rsidRPr="0031432C" w:rsidRDefault="00CF23F7" w:rsidP="0031432C">
      <w:pPr>
        <w:pStyle w:val="SingleTxtG"/>
        <w:rPr>
          <w:rFonts w:eastAsia="DengXian"/>
          <w:lang w:eastAsia="en-GB"/>
        </w:rPr>
      </w:pPr>
      <w:r>
        <w:rPr>
          <w:rFonts w:eastAsia="DengXian"/>
          <w:lang w:eastAsia="en-GB"/>
        </w:rPr>
        <w:t>58.</w:t>
      </w:r>
      <w:r>
        <w:rPr>
          <w:rFonts w:eastAsia="DengXian"/>
          <w:lang w:eastAsia="en-GB"/>
        </w:rPr>
        <w:tab/>
      </w:r>
      <w:r w:rsidR="0031432C" w:rsidRPr="0031432C">
        <w:rPr>
          <w:rFonts w:eastAsia="DengXian"/>
          <w:lang w:eastAsia="en-GB"/>
        </w:rPr>
        <w:t xml:space="preserve">According to some interlocutors, gender stereotypes associated with feminine and masculine qualities persist in the education system. In the media, men seem to dominate public and political discussions as invited experts and politicians, while women are mostly relegated to shows on fashion or beauty, which reflects and </w:t>
      </w:r>
      <w:r w:rsidR="00110F9E" w:rsidRPr="0031432C">
        <w:rPr>
          <w:rFonts w:eastAsia="DengXian"/>
          <w:lang w:eastAsia="en-GB"/>
        </w:rPr>
        <w:t>reinforces</w:t>
      </w:r>
      <w:r w:rsidR="0031432C" w:rsidRPr="0031432C">
        <w:rPr>
          <w:rFonts w:eastAsia="DengXian"/>
          <w:lang w:eastAsia="en-GB"/>
        </w:rPr>
        <w:t xml:space="preserve"> gender stereotypes, as confirmed by the monitoring and analysis conducted by the National Broadcasting Council. The Working Group was pleased to learn that the </w:t>
      </w:r>
      <w:r w:rsidR="00110F9E">
        <w:rPr>
          <w:rFonts w:eastAsia="DengXian"/>
          <w:lang w:eastAsia="en-GB"/>
        </w:rPr>
        <w:t>Council had</w:t>
      </w:r>
      <w:r w:rsidR="00110F9E" w:rsidRPr="0031432C">
        <w:rPr>
          <w:rFonts w:eastAsia="DengXian"/>
          <w:lang w:eastAsia="en-GB"/>
        </w:rPr>
        <w:t xml:space="preserve"> </w:t>
      </w:r>
      <w:r w:rsidR="0031432C" w:rsidRPr="0031432C">
        <w:rPr>
          <w:rFonts w:eastAsia="DengXian"/>
          <w:lang w:eastAsia="en-GB"/>
        </w:rPr>
        <w:t xml:space="preserve">intervened in cases of </w:t>
      </w:r>
      <w:r w:rsidR="0031432C" w:rsidRPr="0031432C">
        <w:rPr>
          <w:rFonts w:eastAsia="DengXian"/>
          <w:lang w:eastAsia="en-GB"/>
        </w:rPr>
        <w:lastRenderedPageBreak/>
        <w:t xml:space="preserve">programmes </w:t>
      </w:r>
      <w:r w:rsidR="00110F9E">
        <w:rPr>
          <w:rFonts w:eastAsia="DengXian"/>
          <w:lang w:eastAsia="en-GB"/>
        </w:rPr>
        <w:t>with content that was</w:t>
      </w:r>
      <w:r w:rsidR="0031432C" w:rsidRPr="0031432C">
        <w:rPr>
          <w:rFonts w:eastAsia="DengXian"/>
          <w:lang w:eastAsia="en-GB"/>
        </w:rPr>
        <w:t xml:space="preserve"> degrading towards Ukrainian women, as well as content promoting sexual violence.</w:t>
      </w:r>
      <w:r w:rsidR="0031432C" w:rsidRPr="0031432C">
        <w:rPr>
          <w:rFonts w:eastAsia="DengXian"/>
          <w:vertAlign w:val="superscript"/>
          <w:lang w:eastAsia="en-GB"/>
        </w:rPr>
        <w:footnoteReference w:id="33"/>
      </w:r>
      <w:r w:rsidR="0031432C" w:rsidRPr="0031432C">
        <w:rPr>
          <w:rFonts w:eastAsia="DengXian"/>
          <w:lang w:eastAsia="en-GB"/>
        </w:rPr>
        <w:t xml:space="preserve"> The Working Group encourages the N</w:t>
      </w:r>
      <w:r w:rsidR="00110F9E">
        <w:rPr>
          <w:rFonts w:eastAsia="DengXian"/>
          <w:lang w:eastAsia="en-GB"/>
        </w:rPr>
        <w:t>ational Broadcasting Council</w:t>
      </w:r>
      <w:r w:rsidR="0031432C" w:rsidRPr="0031432C">
        <w:rPr>
          <w:rFonts w:eastAsia="DengXian"/>
          <w:lang w:eastAsia="en-GB"/>
        </w:rPr>
        <w:t xml:space="preserve"> to use the powers entrusted to it by the Broadcast Act of 1992 </w:t>
      </w:r>
      <w:proofErr w:type="gramStart"/>
      <w:r w:rsidR="0031432C" w:rsidRPr="0031432C">
        <w:rPr>
          <w:rFonts w:eastAsia="DengXian"/>
          <w:lang w:eastAsia="en-GB"/>
        </w:rPr>
        <w:t>to the fullest extent</w:t>
      </w:r>
      <w:proofErr w:type="gramEnd"/>
      <w:r w:rsidR="0031432C" w:rsidRPr="0031432C">
        <w:rPr>
          <w:rFonts w:eastAsia="DengXian"/>
          <w:lang w:eastAsia="en-GB"/>
        </w:rPr>
        <w:t xml:space="preserve">, especially </w:t>
      </w:r>
      <w:r w:rsidR="00110F9E">
        <w:rPr>
          <w:rFonts w:eastAsia="DengXian"/>
          <w:lang w:eastAsia="en-GB"/>
        </w:rPr>
        <w:t xml:space="preserve">with regard to </w:t>
      </w:r>
      <w:r w:rsidR="0031432C" w:rsidRPr="0031432C">
        <w:rPr>
          <w:rFonts w:eastAsia="DengXian"/>
          <w:lang w:eastAsia="en-GB"/>
        </w:rPr>
        <w:t>monitoring and issuing corrective measures for non-compliance a</w:t>
      </w:r>
      <w:r w:rsidR="00110F9E">
        <w:rPr>
          <w:rFonts w:eastAsia="DengXian"/>
          <w:lang w:eastAsia="en-GB"/>
        </w:rPr>
        <w:t>nd</w:t>
      </w:r>
      <w:r w:rsidR="0031432C" w:rsidRPr="0031432C">
        <w:rPr>
          <w:rFonts w:eastAsia="DengXian"/>
          <w:lang w:eastAsia="en-GB"/>
        </w:rPr>
        <w:t xml:space="preserve"> undertaking awareness</w:t>
      </w:r>
      <w:r w:rsidR="00110F9E">
        <w:rPr>
          <w:rFonts w:eastAsia="DengXian"/>
          <w:lang w:eastAsia="en-GB"/>
        </w:rPr>
        <w:t>-raising</w:t>
      </w:r>
      <w:r w:rsidR="0031432C" w:rsidRPr="0031432C">
        <w:rPr>
          <w:rFonts w:eastAsia="DengXian"/>
          <w:lang w:eastAsia="en-GB"/>
        </w:rPr>
        <w:t xml:space="preserve"> activities. </w:t>
      </w:r>
    </w:p>
    <w:p w14:paraId="456877F6" w14:textId="77777777" w:rsidR="0031432C" w:rsidRPr="0031432C" w:rsidRDefault="00B03C86" w:rsidP="00B03C86">
      <w:pPr>
        <w:pStyle w:val="H1G"/>
        <w:rPr>
          <w:rFonts w:eastAsia="DengXian"/>
          <w:lang w:eastAsia="en-GB"/>
        </w:rPr>
      </w:pPr>
      <w:r>
        <w:rPr>
          <w:rFonts w:eastAsia="DengXian"/>
          <w:lang w:eastAsia="en-GB"/>
        </w:rPr>
        <w:tab/>
        <w:t>B.</w:t>
      </w:r>
      <w:r>
        <w:rPr>
          <w:rFonts w:eastAsia="DengXian"/>
          <w:lang w:eastAsia="en-GB"/>
        </w:rPr>
        <w:tab/>
      </w:r>
      <w:r w:rsidR="0031432C" w:rsidRPr="0031432C">
        <w:rPr>
          <w:rFonts w:eastAsia="DengXian"/>
          <w:lang w:eastAsia="en-GB"/>
        </w:rPr>
        <w:t>Family life</w:t>
      </w:r>
    </w:p>
    <w:p w14:paraId="53CEF08F" w14:textId="1C4CA5B0" w:rsidR="0031432C" w:rsidRPr="0031432C" w:rsidRDefault="00CF23F7" w:rsidP="0031432C">
      <w:pPr>
        <w:pStyle w:val="SingleTxtG"/>
        <w:rPr>
          <w:rFonts w:eastAsia="DengXian"/>
          <w:lang w:eastAsia="en-GB"/>
        </w:rPr>
      </w:pPr>
      <w:r>
        <w:rPr>
          <w:rFonts w:eastAsia="DengXian"/>
          <w:lang w:eastAsia="en-GB"/>
        </w:rPr>
        <w:t>59.</w:t>
      </w:r>
      <w:r>
        <w:rPr>
          <w:rFonts w:eastAsia="DengXian"/>
          <w:lang w:eastAsia="en-GB"/>
        </w:rPr>
        <w:tab/>
      </w:r>
      <w:r w:rsidR="0031432C" w:rsidRPr="0031432C">
        <w:rPr>
          <w:rFonts w:eastAsia="DengXian"/>
          <w:lang w:eastAsia="en-GB"/>
        </w:rPr>
        <w:t xml:space="preserve">Marriage, family, motherhood and parenthood </w:t>
      </w:r>
      <w:proofErr w:type="gramStart"/>
      <w:r w:rsidR="0031432C" w:rsidRPr="0031432C">
        <w:rPr>
          <w:rFonts w:eastAsia="DengXian"/>
          <w:lang w:eastAsia="en-GB"/>
        </w:rPr>
        <w:t>are protected</w:t>
      </w:r>
      <w:proofErr w:type="gramEnd"/>
      <w:r w:rsidR="0031432C" w:rsidRPr="0031432C">
        <w:rPr>
          <w:rFonts w:eastAsia="DengXian"/>
          <w:lang w:eastAsia="en-GB"/>
        </w:rPr>
        <w:t xml:space="preserve"> under the Constitution, which defines marriage as a union between a woman and a man. While different family forms and intimate relationships exist, same</w:t>
      </w:r>
      <w:r w:rsidR="00EE7617">
        <w:rPr>
          <w:rFonts w:eastAsia="DengXian"/>
          <w:lang w:eastAsia="en-GB"/>
        </w:rPr>
        <w:t>-</w:t>
      </w:r>
      <w:r w:rsidR="0031432C" w:rsidRPr="0031432C">
        <w:rPr>
          <w:rFonts w:eastAsia="DengXian"/>
          <w:lang w:eastAsia="en-GB"/>
        </w:rPr>
        <w:t>sex partnerships are not legally recogni</w:t>
      </w:r>
      <w:r w:rsidR="00110F9E">
        <w:rPr>
          <w:rFonts w:eastAsia="DengXian"/>
          <w:lang w:eastAsia="en-GB"/>
        </w:rPr>
        <w:t>z</w:t>
      </w:r>
      <w:r w:rsidR="0031432C" w:rsidRPr="0031432C">
        <w:rPr>
          <w:rFonts w:eastAsia="DengXian"/>
          <w:lang w:eastAsia="en-GB"/>
        </w:rPr>
        <w:t>ed</w:t>
      </w:r>
      <w:r w:rsidR="00110F9E">
        <w:rPr>
          <w:rFonts w:eastAsia="DengXian"/>
          <w:lang w:eastAsia="en-GB"/>
        </w:rPr>
        <w:t>,</w:t>
      </w:r>
      <w:r w:rsidR="0031432C" w:rsidRPr="0031432C">
        <w:rPr>
          <w:rFonts w:eastAsia="DengXian"/>
          <w:lang w:eastAsia="en-GB"/>
        </w:rPr>
        <w:t xml:space="preserve"> and </w:t>
      </w:r>
      <w:r w:rsidR="00110F9E">
        <w:rPr>
          <w:rFonts w:eastAsia="DengXian"/>
          <w:lang w:eastAsia="en-GB"/>
        </w:rPr>
        <w:t xml:space="preserve">people in such relationships </w:t>
      </w:r>
      <w:r w:rsidR="0031432C" w:rsidRPr="0031432C">
        <w:rPr>
          <w:rFonts w:eastAsia="DengXian"/>
          <w:lang w:eastAsia="en-GB"/>
        </w:rPr>
        <w:t xml:space="preserve">encounter difficulties under family laws </w:t>
      </w:r>
      <w:r w:rsidR="00110F9E">
        <w:rPr>
          <w:rFonts w:eastAsia="DengXian"/>
          <w:lang w:eastAsia="en-GB"/>
        </w:rPr>
        <w:t>that</w:t>
      </w:r>
      <w:r w:rsidR="00110F9E" w:rsidRPr="0031432C">
        <w:rPr>
          <w:rFonts w:eastAsia="DengXian"/>
          <w:lang w:eastAsia="en-GB"/>
        </w:rPr>
        <w:t xml:space="preserve"> </w:t>
      </w:r>
      <w:r w:rsidR="0031432C" w:rsidRPr="0031432C">
        <w:rPr>
          <w:rFonts w:eastAsia="DengXian"/>
          <w:lang w:eastAsia="en-GB"/>
        </w:rPr>
        <w:t>are based on heterosexual relationships</w:t>
      </w:r>
      <w:r w:rsidR="00110F9E">
        <w:rPr>
          <w:rFonts w:eastAsia="DengXian"/>
          <w:lang w:eastAsia="en-GB"/>
        </w:rPr>
        <w:t>,</w:t>
      </w:r>
      <w:r w:rsidR="0031432C" w:rsidRPr="0031432C">
        <w:rPr>
          <w:rFonts w:eastAsia="DengXian"/>
          <w:lang w:eastAsia="en-GB"/>
        </w:rPr>
        <w:t xml:space="preserve"> </w:t>
      </w:r>
      <w:r w:rsidR="00110F9E">
        <w:rPr>
          <w:rFonts w:eastAsia="DengXian"/>
          <w:lang w:eastAsia="en-GB"/>
        </w:rPr>
        <w:t>for example with regard to</w:t>
      </w:r>
      <w:r w:rsidR="0031432C" w:rsidRPr="0031432C">
        <w:rPr>
          <w:rFonts w:eastAsia="DengXian"/>
          <w:lang w:eastAsia="en-GB"/>
        </w:rPr>
        <w:t xml:space="preserve"> the exercise of parental authority. Transgender persons face difficulties in having their </w:t>
      </w:r>
      <w:r w:rsidR="00504BA6">
        <w:rPr>
          <w:rFonts w:eastAsia="DengXian"/>
          <w:lang w:eastAsia="en-GB"/>
        </w:rPr>
        <w:t>g</w:t>
      </w:r>
      <w:r w:rsidR="0031432C" w:rsidRPr="0031432C">
        <w:rPr>
          <w:rFonts w:eastAsia="DengXian"/>
          <w:lang w:eastAsia="en-GB"/>
        </w:rPr>
        <w:t>ender identity legally recogni</w:t>
      </w:r>
      <w:r w:rsidR="00110F9E">
        <w:rPr>
          <w:rFonts w:eastAsia="DengXian"/>
          <w:lang w:eastAsia="en-GB"/>
        </w:rPr>
        <w:t>z</w:t>
      </w:r>
      <w:r w:rsidR="0031432C" w:rsidRPr="0031432C">
        <w:rPr>
          <w:rFonts w:eastAsia="DengXian"/>
          <w:lang w:eastAsia="en-GB"/>
        </w:rPr>
        <w:t xml:space="preserve">ed. Additionally, the parental rights </w:t>
      </w:r>
      <w:r w:rsidR="00967EEB">
        <w:rPr>
          <w:rFonts w:eastAsia="DengXian"/>
          <w:lang w:eastAsia="en-GB"/>
        </w:rPr>
        <w:t>of</w:t>
      </w:r>
      <w:r w:rsidR="0031432C" w:rsidRPr="0031432C">
        <w:rPr>
          <w:rFonts w:eastAsia="DengXian"/>
          <w:lang w:eastAsia="en-GB"/>
        </w:rPr>
        <w:t xml:space="preserve"> underage unwed mothers are not recognized</w:t>
      </w:r>
      <w:r w:rsidR="00110F9E">
        <w:rPr>
          <w:rFonts w:eastAsia="DengXian"/>
          <w:lang w:eastAsia="en-GB"/>
        </w:rPr>
        <w:t>,</w:t>
      </w:r>
      <w:r w:rsidR="0031432C" w:rsidRPr="0031432C">
        <w:rPr>
          <w:rFonts w:eastAsia="DengXian"/>
          <w:lang w:eastAsia="en-GB"/>
        </w:rPr>
        <w:t xml:space="preserve"> and the right to marry </w:t>
      </w:r>
      <w:r w:rsidR="00967EEB">
        <w:rPr>
          <w:rFonts w:eastAsia="DengXian"/>
          <w:lang w:eastAsia="en-GB"/>
        </w:rPr>
        <w:t xml:space="preserve">is restricted </w:t>
      </w:r>
      <w:r w:rsidR="0031432C" w:rsidRPr="0031432C">
        <w:rPr>
          <w:rFonts w:eastAsia="DengXian"/>
          <w:lang w:eastAsia="en-GB"/>
        </w:rPr>
        <w:t xml:space="preserve">for persons with intellectual disabilities. Moreover, </w:t>
      </w:r>
      <w:r w:rsidR="0031432C" w:rsidRPr="0031432C">
        <w:rPr>
          <w:rFonts w:eastAsia="Calibri"/>
          <w:iCs/>
        </w:rPr>
        <w:t>the practice of separating infants from their underage mothers who are staying in correctional institutions is particularly concerning.</w:t>
      </w:r>
      <w:r w:rsidR="00643E4D">
        <w:rPr>
          <w:rStyle w:val="FootnoteReference"/>
          <w:rFonts w:eastAsia="Calibri"/>
          <w:iCs/>
        </w:rPr>
        <w:footnoteReference w:id="34"/>
      </w:r>
    </w:p>
    <w:p w14:paraId="44EF6FC5" w14:textId="0F29AFC5" w:rsidR="0031432C" w:rsidRPr="0031432C" w:rsidRDefault="00CF23F7" w:rsidP="0031432C">
      <w:pPr>
        <w:pStyle w:val="SingleTxtG"/>
        <w:rPr>
          <w:rFonts w:eastAsia="DengXian"/>
          <w:color w:val="FF0000"/>
          <w:lang w:eastAsia="en-GB"/>
        </w:rPr>
      </w:pPr>
      <w:r>
        <w:rPr>
          <w:rFonts w:eastAsia="DengXian"/>
          <w:lang w:eastAsia="en-GB"/>
        </w:rPr>
        <w:t>60.</w:t>
      </w:r>
      <w:r>
        <w:rPr>
          <w:rFonts w:eastAsia="DengXian"/>
          <w:lang w:eastAsia="en-GB"/>
        </w:rPr>
        <w:tab/>
      </w:r>
      <w:r w:rsidR="0031432C" w:rsidRPr="0031432C">
        <w:rPr>
          <w:rFonts w:eastAsia="DengXian"/>
          <w:lang w:eastAsia="en-GB"/>
        </w:rPr>
        <w:t>The Working Group recogni</w:t>
      </w:r>
      <w:r w:rsidR="00462B17">
        <w:rPr>
          <w:rFonts w:eastAsia="DengXian"/>
          <w:lang w:eastAsia="en-GB"/>
        </w:rPr>
        <w:t>z</w:t>
      </w:r>
      <w:r w:rsidR="0031432C" w:rsidRPr="0031432C">
        <w:rPr>
          <w:rFonts w:eastAsia="DengXian"/>
          <w:lang w:eastAsia="en-GB"/>
        </w:rPr>
        <w:t xml:space="preserve">es that the Government has taken social policy measures to support </w:t>
      </w:r>
      <w:r w:rsidR="00967EEB">
        <w:rPr>
          <w:rFonts w:eastAsia="DengXian"/>
          <w:lang w:eastAsia="en-GB"/>
        </w:rPr>
        <w:t xml:space="preserve">the </w:t>
      </w:r>
      <w:r w:rsidR="0031432C" w:rsidRPr="0031432C">
        <w:rPr>
          <w:rFonts w:eastAsia="DengXian"/>
          <w:lang w:eastAsia="en-GB"/>
        </w:rPr>
        <w:t xml:space="preserve">family as a value protected under the Constitution. In 2016, for example, it introduced a </w:t>
      </w:r>
      <w:proofErr w:type="spellStart"/>
      <w:r w:rsidR="0031432C" w:rsidRPr="0031432C">
        <w:rPr>
          <w:rFonts w:eastAsia="DengXian"/>
          <w:lang w:eastAsia="en-GB"/>
        </w:rPr>
        <w:t>pronatalist</w:t>
      </w:r>
      <w:proofErr w:type="spellEnd"/>
      <w:r w:rsidR="0031432C" w:rsidRPr="0031432C">
        <w:rPr>
          <w:rFonts w:eastAsia="DengXian"/>
          <w:lang w:eastAsia="en-GB"/>
        </w:rPr>
        <w:t xml:space="preserve"> and poverty reduction programme called “Family 500 plus”</w:t>
      </w:r>
      <w:r w:rsidR="00967EEB">
        <w:rPr>
          <w:rFonts w:eastAsia="DengXian"/>
          <w:lang w:eastAsia="en-GB"/>
        </w:rPr>
        <w:t>,</w:t>
      </w:r>
      <w:r w:rsidR="0031432C" w:rsidRPr="0031432C">
        <w:rPr>
          <w:rFonts w:eastAsia="DengXian"/>
          <w:lang w:eastAsia="en-GB"/>
        </w:rPr>
        <w:t xml:space="preserve"> which provides cash transfers of 500 zlotys to every second and further child, while provision is means tested for the first child. While </w:t>
      </w:r>
      <w:proofErr w:type="gramStart"/>
      <w:r w:rsidR="0031432C" w:rsidRPr="0031432C">
        <w:rPr>
          <w:rFonts w:eastAsia="DengXian"/>
          <w:lang w:eastAsia="en-GB"/>
        </w:rPr>
        <w:t>this was generally viewed by different interlocutors</w:t>
      </w:r>
      <w:proofErr w:type="gramEnd"/>
      <w:r w:rsidR="0031432C" w:rsidRPr="0031432C">
        <w:rPr>
          <w:rFonts w:eastAsia="DengXian"/>
          <w:lang w:eastAsia="en-GB"/>
        </w:rPr>
        <w:t xml:space="preserve"> as a positive measure </w:t>
      </w:r>
      <w:r w:rsidR="00D27752">
        <w:rPr>
          <w:rFonts w:eastAsia="DengXian"/>
          <w:lang w:eastAsia="en-GB"/>
        </w:rPr>
        <w:t>for</w:t>
      </w:r>
      <w:r w:rsidR="0031432C" w:rsidRPr="0031432C">
        <w:rPr>
          <w:rFonts w:eastAsia="DengXian"/>
          <w:lang w:eastAsia="en-GB"/>
        </w:rPr>
        <w:t xml:space="preserve"> reducing poverty, particularly for those in precarious situations, concerns were also expressed regarding possible negative effects on the participation of women in the labour force and their long-term economic security and independence. There </w:t>
      </w:r>
      <w:r w:rsidR="00D27752">
        <w:rPr>
          <w:rFonts w:eastAsia="DengXian"/>
          <w:lang w:eastAsia="en-GB"/>
        </w:rPr>
        <w:t>we</w:t>
      </w:r>
      <w:r w:rsidR="0031432C" w:rsidRPr="0031432C">
        <w:rPr>
          <w:rFonts w:eastAsia="DengXian"/>
          <w:lang w:eastAsia="en-GB"/>
        </w:rPr>
        <w:t xml:space="preserve">re already indications of visible decline in </w:t>
      </w:r>
      <w:r w:rsidR="00D27752">
        <w:rPr>
          <w:rFonts w:eastAsia="DengXian"/>
          <w:lang w:eastAsia="en-GB"/>
        </w:rPr>
        <w:t xml:space="preserve">the </w:t>
      </w:r>
      <w:r w:rsidR="0031432C" w:rsidRPr="0031432C">
        <w:rPr>
          <w:rFonts w:eastAsia="DengXian"/>
          <w:lang w:eastAsia="en-GB"/>
        </w:rPr>
        <w:t xml:space="preserve">labour force participation of young women </w:t>
      </w:r>
      <w:r w:rsidR="00D27752">
        <w:rPr>
          <w:rFonts w:eastAsia="DengXian"/>
          <w:lang w:eastAsia="en-GB"/>
        </w:rPr>
        <w:t>in</w:t>
      </w:r>
      <w:r w:rsidR="0031432C" w:rsidRPr="0031432C">
        <w:rPr>
          <w:rFonts w:eastAsia="DengXian"/>
          <w:lang w:eastAsia="en-GB"/>
        </w:rPr>
        <w:t xml:space="preserve"> 2017 and 2018.</w:t>
      </w:r>
      <w:r w:rsidR="0031432C" w:rsidRPr="0031432C">
        <w:rPr>
          <w:rFonts w:eastAsia="DengXian"/>
          <w:vertAlign w:val="superscript"/>
          <w:lang w:eastAsia="en-GB"/>
        </w:rPr>
        <w:footnoteReference w:id="35"/>
      </w:r>
      <w:r w:rsidR="0031432C" w:rsidRPr="0031432C">
        <w:rPr>
          <w:rFonts w:eastAsia="DengXian"/>
          <w:lang w:eastAsia="en-GB"/>
        </w:rPr>
        <w:t xml:space="preserve"> While the Working Group recogni</w:t>
      </w:r>
      <w:r w:rsidR="00D27752">
        <w:rPr>
          <w:rFonts w:eastAsia="DengXian"/>
          <w:lang w:eastAsia="en-GB"/>
        </w:rPr>
        <w:t>z</w:t>
      </w:r>
      <w:r w:rsidR="0031432C" w:rsidRPr="0031432C">
        <w:rPr>
          <w:rFonts w:eastAsia="DengXian"/>
          <w:lang w:eastAsia="en-GB"/>
        </w:rPr>
        <w:t xml:space="preserve">es the immediate positive impact of the measure, </w:t>
      </w:r>
      <w:r w:rsidR="00D27752">
        <w:rPr>
          <w:rFonts w:eastAsia="DengXian"/>
          <w:lang w:eastAsia="en-GB"/>
        </w:rPr>
        <w:t>its</w:t>
      </w:r>
      <w:r w:rsidR="0031432C" w:rsidRPr="0031432C">
        <w:rPr>
          <w:rFonts w:eastAsia="DengXian"/>
          <w:lang w:eastAsia="en-GB"/>
        </w:rPr>
        <w:t xml:space="preserve"> implementation should not create a shift towards confining women solely to the role of mothers and carers in service of the family at the expense of their participation in the formal economy</w:t>
      </w:r>
      <w:r w:rsidR="00D27752">
        <w:rPr>
          <w:rFonts w:eastAsia="DengXian"/>
          <w:lang w:eastAsia="en-GB"/>
        </w:rPr>
        <w:t xml:space="preserve"> and</w:t>
      </w:r>
      <w:r w:rsidR="0031432C" w:rsidRPr="0031432C">
        <w:rPr>
          <w:rFonts w:eastAsia="DengXian"/>
          <w:lang w:eastAsia="en-GB"/>
        </w:rPr>
        <w:t xml:space="preserve"> in other spheres of public life. </w:t>
      </w:r>
    </w:p>
    <w:p w14:paraId="309FBFE5" w14:textId="6BF9BB5F" w:rsidR="0031432C" w:rsidRPr="0031432C" w:rsidRDefault="00CF23F7" w:rsidP="0031432C">
      <w:pPr>
        <w:pStyle w:val="SingleTxtG"/>
        <w:rPr>
          <w:rFonts w:eastAsia="DengXian"/>
          <w:lang w:eastAsia="en-GB"/>
        </w:rPr>
      </w:pPr>
      <w:r>
        <w:rPr>
          <w:rFonts w:eastAsia="DengXian"/>
          <w:lang w:eastAsia="en-GB"/>
        </w:rPr>
        <w:t>61.</w:t>
      </w:r>
      <w:r>
        <w:rPr>
          <w:rFonts w:eastAsia="DengXian"/>
          <w:lang w:eastAsia="en-GB"/>
        </w:rPr>
        <w:tab/>
      </w:r>
      <w:r w:rsidR="0031432C" w:rsidRPr="0031432C">
        <w:rPr>
          <w:rFonts w:eastAsia="DengXian"/>
          <w:lang w:eastAsia="en-GB"/>
        </w:rPr>
        <w:t>The Working Group also notes that Poland has generous legal provisions for maternity, paternity</w:t>
      </w:r>
      <w:r w:rsidR="00D27752">
        <w:rPr>
          <w:rFonts w:eastAsia="DengXian"/>
          <w:lang w:eastAsia="en-GB"/>
        </w:rPr>
        <w:t xml:space="preserve"> and</w:t>
      </w:r>
      <w:r w:rsidR="0031432C" w:rsidRPr="0031432C">
        <w:rPr>
          <w:rFonts w:eastAsia="DengXian"/>
          <w:lang w:eastAsia="en-GB"/>
        </w:rPr>
        <w:t xml:space="preserve"> parental leaves under the labour law</w:t>
      </w:r>
      <w:r w:rsidR="0031432C" w:rsidRPr="0031432C">
        <w:rPr>
          <w:rFonts w:eastAsia="DengXian"/>
          <w:lang w:eastAsia="zh-CN"/>
        </w:rPr>
        <w:t xml:space="preserve">. Paid maternity leave </w:t>
      </w:r>
      <w:r w:rsidR="00D27752">
        <w:rPr>
          <w:rFonts w:eastAsia="DengXian"/>
          <w:lang w:eastAsia="zh-CN"/>
        </w:rPr>
        <w:t>lasts for</w:t>
      </w:r>
      <w:r w:rsidR="0031432C" w:rsidRPr="0031432C">
        <w:rPr>
          <w:rFonts w:eastAsia="DengXian"/>
          <w:lang w:eastAsia="zh-CN"/>
        </w:rPr>
        <w:t xml:space="preserve"> 20 weeks and increases when there is a multiple birth. </w:t>
      </w:r>
      <w:r w:rsidR="0031432C" w:rsidRPr="0031432C">
        <w:rPr>
          <w:rFonts w:eastAsia="DengXian"/>
          <w:lang w:eastAsia="en-GB"/>
        </w:rPr>
        <w:t xml:space="preserve">Paid paternity leave </w:t>
      </w:r>
      <w:r w:rsidR="00D27752">
        <w:rPr>
          <w:rFonts w:eastAsia="DengXian"/>
          <w:lang w:eastAsia="en-GB"/>
        </w:rPr>
        <w:t>lasts for</w:t>
      </w:r>
      <w:r w:rsidR="0031432C" w:rsidRPr="0031432C">
        <w:rPr>
          <w:rFonts w:eastAsia="DengXian"/>
          <w:lang w:eastAsia="en-GB"/>
        </w:rPr>
        <w:t xml:space="preserve"> two weeks</w:t>
      </w:r>
      <w:r w:rsidR="0031432C" w:rsidRPr="0031432C">
        <w:rPr>
          <w:rFonts w:eastAsia="DengXian"/>
          <w:lang w:eastAsia="zh-CN"/>
        </w:rPr>
        <w:t xml:space="preserve">. </w:t>
      </w:r>
      <w:r w:rsidR="0031432C" w:rsidRPr="0031432C">
        <w:rPr>
          <w:rFonts w:eastAsia="DengXian"/>
          <w:lang w:eastAsia="en-GB"/>
        </w:rPr>
        <w:t xml:space="preserve">Since 2013, parents of young children </w:t>
      </w:r>
      <w:r w:rsidR="00D27752">
        <w:rPr>
          <w:rFonts w:eastAsia="DengXian"/>
          <w:lang w:eastAsia="en-GB"/>
        </w:rPr>
        <w:t>have been</w:t>
      </w:r>
      <w:r w:rsidR="0031432C" w:rsidRPr="0031432C">
        <w:rPr>
          <w:rFonts w:eastAsia="DengXian"/>
          <w:lang w:eastAsia="en-GB"/>
        </w:rPr>
        <w:t xml:space="preserve"> entitled to paid parental leave</w:t>
      </w:r>
      <w:r w:rsidR="00FE0042">
        <w:rPr>
          <w:rFonts w:eastAsia="DengXian"/>
          <w:lang w:eastAsia="en-GB"/>
        </w:rPr>
        <w:t xml:space="preserve"> of up to 32 or 34 weeks</w:t>
      </w:r>
      <w:r w:rsidR="0031432C" w:rsidRPr="0031432C">
        <w:rPr>
          <w:rFonts w:eastAsia="DengXian"/>
          <w:lang w:eastAsia="en-GB"/>
        </w:rPr>
        <w:t xml:space="preserve">, the first 14 weeks of which are reserved for the mother, while the </w:t>
      </w:r>
      <w:proofErr w:type="gramStart"/>
      <w:r w:rsidR="0031432C" w:rsidRPr="0031432C">
        <w:rPr>
          <w:rFonts w:eastAsia="DengXian"/>
          <w:lang w:eastAsia="en-GB"/>
        </w:rPr>
        <w:t>remainder c</w:t>
      </w:r>
      <w:r w:rsidR="00D27752">
        <w:rPr>
          <w:rFonts w:eastAsia="DengXian"/>
          <w:lang w:eastAsia="en-GB"/>
        </w:rPr>
        <w:t>an</w:t>
      </w:r>
      <w:r w:rsidR="0031432C" w:rsidRPr="0031432C">
        <w:rPr>
          <w:rFonts w:eastAsia="DengXian"/>
          <w:lang w:eastAsia="en-GB"/>
        </w:rPr>
        <w:t xml:space="preserve"> be shared by the mother and the father</w:t>
      </w:r>
      <w:proofErr w:type="gramEnd"/>
      <w:r w:rsidR="0031432C" w:rsidRPr="0031432C">
        <w:rPr>
          <w:rFonts w:eastAsia="DengXian"/>
          <w:lang w:eastAsia="en-GB"/>
        </w:rPr>
        <w:t xml:space="preserve">. Additionally, parents are also entitled to 36 months’ unpaid parental leave, only one month </w:t>
      </w:r>
      <w:r w:rsidR="00E902FB">
        <w:rPr>
          <w:rFonts w:eastAsia="DengXian"/>
          <w:lang w:eastAsia="en-GB"/>
        </w:rPr>
        <w:t xml:space="preserve">of which </w:t>
      </w:r>
      <w:proofErr w:type="gramStart"/>
      <w:r w:rsidR="00E902FB">
        <w:rPr>
          <w:rFonts w:eastAsia="DengXian"/>
          <w:lang w:eastAsia="en-GB"/>
        </w:rPr>
        <w:t>must</w:t>
      </w:r>
      <w:r w:rsidR="0031432C" w:rsidRPr="0031432C">
        <w:rPr>
          <w:rFonts w:eastAsia="DengXian"/>
          <w:lang w:eastAsia="en-GB"/>
        </w:rPr>
        <w:t xml:space="preserve"> be used</w:t>
      </w:r>
      <w:proofErr w:type="gramEnd"/>
      <w:r w:rsidR="0031432C" w:rsidRPr="0031432C">
        <w:rPr>
          <w:rFonts w:eastAsia="DengXian"/>
          <w:lang w:eastAsia="en-GB"/>
        </w:rPr>
        <w:t xml:space="preserve"> by </w:t>
      </w:r>
      <w:r w:rsidR="00E902FB">
        <w:rPr>
          <w:rFonts w:eastAsia="DengXian"/>
          <w:lang w:eastAsia="en-GB"/>
        </w:rPr>
        <w:t>both</w:t>
      </w:r>
      <w:r w:rsidR="0031432C" w:rsidRPr="0031432C">
        <w:rPr>
          <w:rFonts w:eastAsia="DengXian"/>
          <w:lang w:eastAsia="en-GB"/>
        </w:rPr>
        <w:t xml:space="preserve"> parents</w:t>
      </w:r>
      <w:r w:rsidR="00E902FB">
        <w:rPr>
          <w:rFonts w:eastAsia="DengXian"/>
          <w:lang w:eastAsia="en-GB"/>
        </w:rPr>
        <w:t xml:space="preserve"> and is not </w:t>
      </w:r>
      <w:r w:rsidR="0031432C" w:rsidRPr="0031432C">
        <w:rPr>
          <w:rFonts w:eastAsia="DengXian"/>
          <w:lang w:eastAsia="en-GB"/>
        </w:rPr>
        <w:t xml:space="preserve">transferable. </w:t>
      </w:r>
      <w:proofErr w:type="gramStart"/>
      <w:r w:rsidR="00D27752">
        <w:rPr>
          <w:rFonts w:eastAsia="DengXian"/>
          <w:lang w:eastAsia="en-GB"/>
        </w:rPr>
        <w:t>W</w:t>
      </w:r>
      <w:r w:rsidR="0031432C" w:rsidRPr="0031432C">
        <w:rPr>
          <w:rFonts w:eastAsia="DengXian"/>
          <w:lang w:eastAsia="en-GB"/>
        </w:rPr>
        <w:t>om</w:t>
      </w:r>
      <w:r w:rsidR="00E902FB">
        <w:rPr>
          <w:rFonts w:eastAsia="DengXian"/>
          <w:lang w:eastAsia="en-GB"/>
        </w:rPr>
        <w:t>e</w:t>
      </w:r>
      <w:r w:rsidR="0031432C" w:rsidRPr="0031432C">
        <w:rPr>
          <w:rFonts w:eastAsia="DengXian"/>
          <w:lang w:eastAsia="en-GB"/>
        </w:rPr>
        <w:t xml:space="preserve">n who </w:t>
      </w:r>
      <w:r w:rsidR="00D27752">
        <w:rPr>
          <w:rFonts w:eastAsia="DengXian"/>
          <w:lang w:eastAsia="en-GB"/>
        </w:rPr>
        <w:t>are</w:t>
      </w:r>
      <w:r w:rsidR="0031432C" w:rsidRPr="0031432C">
        <w:rPr>
          <w:rFonts w:eastAsia="DengXian"/>
          <w:lang w:eastAsia="en-GB"/>
        </w:rPr>
        <w:t xml:space="preserve"> pregnant or on maternity</w:t>
      </w:r>
      <w:r w:rsidR="00D27752">
        <w:rPr>
          <w:rFonts w:eastAsia="DengXian"/>
          <w:lang w:eastAsia="en-GB"/>
        </w:rPr>
        <w:t xml:space="preserve"> leave</w:t>
      </w:r>
      <w:r w:rsidR="0031432C" w:rsidRPr="0031432C">
        <w:rPr>
          <w:rFonts w:eastAsia="DengXian"/>
          <w:lang w:eastAsia="en-GB"/>
        </w:rPr>
        <w:t xml:space="preserve"> and m</w:t>
      </w:r>
      <w:r w:rsidR="00D27752">
        <w:rPr>
          <w:rFonts w:eastAsia="DengXian"/>
          <w:lang w:eastAsia="en-GB"/>
        </w:rPr>
        <w:t>e</w:t>
      </w:r>
      <w:r w:rsidR="0031432C" w:rsidRPr="0031432C">
        <w:rPr>
          <w:rFonts w:eastAsia="DengXian"/>
          <w:lang w:eastAsia="en-GB"/>
        </w:rPr>
        <w:t xml:space="preserve">n </w:t>
      </w:r>
      <w:r w:rsidR="00D27752">
        <w:rPr>
          <w:rFonts w:eastAsia="DengXian"/>
          <w:lang w:eastAsia="en-GB"/>
        </w:rPr>
        <w:t xml:space="preserve">who are </w:t>
      </w:r>
      <w:r w:rsidR="0031432C" w:rsidRPr="0031432C">
        <w:rPr>
          <w:rFonts w:eastAsia="DengXian"/>
          <w:lang w:eastAsia="en-GB"/>
        </w:rPr>
        <w:t>on paternity leave are protected by the Labour Code against dismissal</w:t>
      </w:r>
      <w:proofErr w:type="gramEnd"/>
      <w:r w:rsidR="00D27752">
        <w:rPr>
          <w:rFonts w:eastAsia="DengXian"/>
          <w:lang w:eastAsia="en-GB"/>
        </w:rPr>
        <w:t>,</w:t>
      </w:r>
      <w:r w:rsidR="0031432C" w:rsidRPr="0031432C">
        <w:rPr>
          <w:rFonts w:eastAsia="DengXian"/>
          <w:lang w:eastAsia="en-GB"/>
        </w:rPr>
        <w:t xml:space="preserve"> and their return to the same or an equivalent job</w:t>
      </w:r>
      <w:r w:rsidR="00D27752">
        <w:rPr>
          <w:rFonts w:eastAsia="DengXian"/>
          <w:lang w:eastAsia="en-GB"/>
        </w:rPr>
        <w:t xml:space="preserve"> is</w:t>
      </w:r>
      <w:r w:rsidR="0031432C" w:rsidRPr="0031432C">
        <w:rPr>
          <w:rFonts w:eastAsia="DengXian"/>
          <w:lang w:eastAsia="en-GB"/>
        </w:rPr>
        <w:t xml:space="preserve"> guaranteed.</w:t>
      </w:r>
      <w:r w:rsidR="0031432C" w:rsidRPr="0031432C">
        <w:rPr>
          <w:rFonts w:eastAsia="DengXian"/>
          <w:vertAlign w:val="superscript"/>
          <w:lang w:eastAsia="en-GB"/>
        </w:rPr>
        <w:footnoteReference w:id="36"/>
      </w:r>
      <w:r w:rsidR="0031432C" w:rsidRPr="0031432C">
        <w:rPr>
          <w:rFonts w:eastAsia="DengXian"/>
          <w:lang w:eastAsia="en-GB"/>
        </w:rPr>
        <w:t xml:space="preserve"> </w:t>
      </w:r>
    </w:p>
    <w:p w14:paraId="7B917A2C" w14:textId="7B17A346" w:rsidR="0031432C" w:rsidRPr="0031432C" w:rsidRDefault="00CF23F7" w:rsidP="0031432C">
      <w:pPr>
        <w:pStyle w:val="SingleTxtG"/>
        <w:rPr>
          <w:rFonts w:eastAsia="DengXian"/>
          <w:lang w:eastAsia="en-GB"/>
        </w:rPr>
      </w:pPr>
      <w:r>
        <w:rPr>
          <w:rFonts w:eastAsia="DengXian"/>
          <w:lang w:eastAsia="zh-CN"/>
        </w:rPr>
        <w:t>62.</w:t>
      </w:r>
      <w:r>
        <w:rPr>
          <w:rFonts w:eastAsia="DengXian"/>
          <w:lang w:eastAsia="zh-CN"/>
        </w:rPr>
        <w:tab/>
      </w:r>
      <w:r w:rsidR="0031432C" w:rsidRPr="00574FE0">
        <w:rPr>
          <w:rFonts w:eastAsia="DengXian"/>
          <w:lang w:eastAsia="zh-CN"/>
        </w:rPr>
        <w:t>The guarantee of an independent</w:t>
      </w:r>
      <w:r w:rsidR="00574FE0">
        <w:rPr>
          <w:rFonts w:eastAsia="DengXian"/>
          <w:lang w:eastAsia="zh-CN"/>
        </w:rPr>
        <w:t xml:space="preserve">, </w:t>
      </w:r>
      <w:r w:rsidR="0031432C" w:rsidRPr="00574FE0">
        <w:rPr>
          <w:rFonts w:eastAsia="DengXian"/>
          <w:lang w:eastAsia="zh-CN"/>
        </w:rPr>
        <w:t xml:space="preserve">paid paternity leave is important for </w:t>
      </w:r>
      <w:r w:rsidR="00D27752" w:rsidRPr="00574FE0">
        <w:rPr>
          <w:rFonts w:eastAsia="DengXian"/>
          <w:lang w:eastAsia="zh-CN"/>
        </w:rPr>
        <w:t xml:space="preserve">the </w:t>
      </w:r>
      <w:r w:rsidR="0031432C" w:rsidRPr="00574FE0">
        <w:rPr>
          <w:rFonts w:eastAsia="DengXian"/>
          <w:lang w:eastAsia="zh-CN"/>
        </w:rPr>
        <w:t>sharing</w:t>
      </w:r>
      <w:r w:rsidR="0031432C" w:rsidRPr="0031432C">
        <w:rPr>
          <w:rFonts w:eastAsia="DengXian"/>
          <w:lang w:eastAsia="zh-CN"/>
        </w:rPr>
        <w:t xml:space="preserve"> of parenting roles between women and men and their ability to balance </w:t>
      </w:r>
      <w:r w:rsidR="000C0A3E">
        <w:rPr>
          <w:rFonts w:eastAsia="DengXian"/>
          <w:lang w:eastAsia="zh-CN"/>
        </w:rPr>
        <w:t xml:space="preserve">their </w:t>
      </w:r>
      <w:r w:rsidR="0031432C" w:rsidRPr="0031432C">
        <w:rPr>
          <w:rFonts w:eastAsia="DengXian"/>
          <w:lang w:eastAsia="zh-CN"/>
        </w:rPr>
        <w:t xml:space="preserve">social and professional lives. However, mothers are </w:t>
      </w:r>
      <w:r w:rsidR="000C0A3E">
        <w:rPr>
          <w:rFonts w:eastAsia="DengXian"/>
          <w:lang w:eastAsia="zh-CN"/>
        </w:rPr>
        <w:t xml:space="preserve">the </w:t>
      </w:r>
      <w:r w:rsidR="0031432C" w:rsidRPr="0031432C">
        <w:rPr>
          <w:rFonts w:eastAsia="DengXian"/>
          <w:lang w:eastAsia="zh-CN"/>
        </w:rPr>
        <w:t>predominant users of leave entitlements</w:t>
      </w:r>
      <w:r w:rsidR="000C0A3E">
        <w:rPr>
          <w:rFonts w:eastAsia="DengXian"/>
          <w:lang w:eastAsia="zh-CN"/>
        </w:rPr>
        <w:t>;</w:t>
      </w:r>
      <w:r w:rsidR="0031432C" w:rsidRPr="0031432C">
        <w:rPr>
          <w:rFonts w:eastAsia="DengXian"/>
          <w:lang w:eastAsia="zh-CN"/>
        </w:rPr>
        <w:t xml:space="preserve"> less than 3</w:t>
      </w:r>
      <w:r w:rsidR="00CD09FB">
        <w:rPr>
          <w:rFonts w:eastAsia="DengXian"/>
          <w:lang w:eastAsia="zh-CN"/>
        </w:rPr>
        <w:t xml:space="preserve"> per cent</w:t>
      </w:r>
      <w:r w:rsidR="0031432C" w:rsidRPr="0031432C">
        <w:rPr>
          <w:rFonts w:eastAsia="DengXian"/>
          <w:lang w:eastAsia="zh-CN"/>
        </w:rPr>
        <w:t xml:space="preserve"> of fathers take parental leave.</w:t>
      </w:r>
      <w:r w:rsidR="0031432C" w:rsidRPr="0031432C">
        <w:rPr>
          <w:rFonts w:eastAsia="DengXian"/>
          <w:vertAlign w:val="superscript"/>
          <w:lang w:eastAsia="zh-CN"/>
        </w:rPr>
        <w:footnoteReference w:id="37"/>
      </w:r>
      <w:r w:rsidR="0031432C" w:rsidRPr="0031432C">
        <w:rPr>
          <w:rFonts w:eastAsia="DengXian"/>
          <w:lang w:eastAsia="zh-CN"/>
        </w:rPr>
        <w:t xml:space="preserve"> The individual entitlement to a greater portion of the parental leave</w:t>
      </w:r>
      <w:r w:rsidR="000C0A3E">
        <w:rPr>
          <w:rFonts w:eastAsia="DengXian"/>
          <w:lang w:eastAsia="zh-CN"/>
        </w:rPr>
        <w:t>,</w:t>
      </w:r>
      <w:r w:rsidR="0031432C" w:rsidRPr="0031432C">
        <w:rPr>
          <w:rFonts w:eastAsia="DengXian"/>
          <w:lang w:eastAsia="zh-CN"/>
        </w:rPr>
        <w:t xml:space="preserve"> which cannot be transferred</w:t>
      </w:r>
      <w:r w:rsidR="000C0A3E">
        <w:rPr>
          <w:rFonts w:eastAsia="DengXian"/>
          <w:lang w:eastAsia="zh-CN"/>
        </w:rPr>
        <w:t>,</w:t>
      </w:r>
      <w:r w:rsidR="0031432C" w:rsidRPr="0031432C">
        <w:rPr>
          <w:rFonts w:eastAsia="DengXian"/>
          <w:lang w:eastAsia="zh-CN"/>
        </w:rPr>
        <w:t xml:space="preserve"> could be a way of encouraging fathers to take </w:t>
      </w:r>
      <w:proofErr w:type="gramStart"/>
      <w:r w:rsidR="0031432C" w:rsidRPr="0031432C">
        <w:rPr>
          <w:rFonts w:eastAsia="DengXian"/>
          <w:lang w:eastAsia="zh-CN"/>
        </w:rPr>
        <w:t>more parental leave</w:t>
      </w:r>
      <w:proofErr w:type="gramEnd"/>
      <w:r w:rsidR="0031432C" w:rsidRPr="0031432C">
        <w:rPr>
          <w:rFonts w:eastAsia="DengXian"/>
          <w:lang w:eastAsia="zh-CN"/>
        </w:rPr>
        <w:t xml:space="preserve"> and assume more childcare functions.</w:t>
      </w:r>
    </w:p>
    <w:p w14:paraId="1708DCDA" w14:textId="712B81CE" w:rsidR="0031432C" w:rsidRPr="0031432C" w:rsidRDefault="00CF23F7" w:rsidP="0031432C">
      <w:pPr>
        <w:pStyle w:val="SingleTxtG"/>
        <w:rPr>
          <w:rFonts w:eastAsia="DengXian"/>
          <w:lang w:eastAsia="en-GB"/>
        </w:rPr>
      </w:pPr>
      <w:r>
        <w:rPr>
          <w:rFonts w:eastAsia="DengXian"/>
          <w:lang w:eastAsia="en-GB"/>
        </w:rPr>
        <w:lastRenderedPageBreak/>
        <w:t>63.</w:t>
      </w:r>
      <w:r>
        <w:rPr>
          <w:rFonts w:eastAsia="DengXian"/>
          <w:lang w:eastAsia="en-GB"/>
        </w:rPr>
        <w:tab/>
      </w:r>
      <w:r w:rsidR="0031432C" w:rsidRPr="0031432C">
        <w:rPr>
          <w:rFonts w:eastAsia="DengXian"/>
          <w:lang w:eastAsia="en-GB"/>
        </w:rPr>
        <w:t>The Working Group has learn</w:t>
      </w:r>
      <w:r w:rsidR="00443D99">
        <w:rPr>
          <w:rFonts w:eastAsia="DengXian"/>
          <w:lang w:eastAsia="en-GB"/>
        </w:rPr>
        <w:t>ed</w:t>
      </w:r>
      <w:r w:rsidR="0031432C" w:rsidRPr="0031432C">
        <w:rPr>
          <w:rFonts w:eastAsia="DengXian"/>
          <w:lang w:eastAsia="en-GB"/>
        </w:rPr>
        <w:t xml:space="preserve"> that there is </w:t>
      </w:r>
      <w:r w:rsidR="00443D99">
        <w:rPr>
          <w:rFonts w:eastAsia="DengXian"/>
          <w:lang w:eastAsia="en-GB"/>
        </w:rPr>
        <w:t xml:space="preserve">mounting </w:t>
      </w:r>
      <w:r w:rsidR="0031432C" w:rsidRPr="0031432C">
        <w:rPr>
          <w:rFonts w:eastAsia="DengXian"/>
          <w:lang w:eastAsia="en-GB"/>
        </w:rPr>
        <w:t xml:space="preserve">pressure </w:t>
      </w:r>
      <w:r w:rsidR="000C0A3E">
        <w:rPr>
          <w:rFonts w:eastAsia="DengXian"/>
          <w:lang w:eastAsia="en-GB"/>
        </w:rPr>
        <w:t>on</w:t>
      </w:r>
      <w:r w:rsidR="0031432C" w:rsidRPr="0031432C">
        <w:rPr>
          <w:rFonts w:eastAsia="DengXian"/>
          <w:lang w:eastAsia="en-GB"/>
        </w:rPr>
        <w:t xml:space="preserve"> women to prioritize </w:t>
      </w:r>
      <w:r w:rsidR="000C0A3E">
        <w:rPr>
          <w:rFonts w:eastAsia="DengXian"/>
          <w:lang w:eastAsia="en-GB"/>
        </w:rPr>
        <w:t xml:space="preserve">the </w:t>
      </w:r>
      <w:r w:rsidR="0031432C" w:rsidRPr="0031432C">
        <w:rPr>
          <w:rFonts w:eastAsia="DengXian"/>
          <w:lang w:eastAsia="en-GB"/>
        </w:rPr>
        <w:t>traditional roles of mother and caregiver, in a context where there is already an unequal division of care and household tasks in the family</w:t>
      </w:r>
      <w:r w:rsidR="000C0A3E">
        <w:rPr>
          <w:rFonts w:eastAsia="DengXian"/>
          <w:lang w:eastAsia="en-GB"/>
        </w:rPr>
        <w:t>. This</w:t>
      </w:r>
      <w:r w:rsidR="0031432C" w:rsidRPr="0031432C">
        <w:rPr>
          <w:rFonts w:eastAsia="DengXian"/>
          <w:lang w:eastAsia="en-GB"/>
        </w:rPr>
        <w:t xml:space="preserve"> often result</w:t>
      </w:r>
      <w:r w:rsidR="000C0A3E">
        <w:rPr>
          <w:rFonts w:eastAsia="DengXian"/>
          <w:lang w:eastAsia="en-GB"/>
        </w:rPr>
        <w:t>s</w:t>
      </w:r>
      <w:r w:rsidR="0031432C" w:rsidRPr="0031432C">
        <w:rPr>
          <w:rFonts w:eastAsia="DengXian"/>
          <w:lang w:eastAsia="en-GB"/>
        </w:rPr>
        <w:t xml:space="preserve"> in women</w:t>
      </w:r>
      <w:r w:rsidR="000C0A3E">
        <w:rPr>
          <w:rFonts w:eastAsia="DengXian"/>
          <w:lang w:eastAsia="en-GB"/>
        </w:rPr>
        <w:t xml:space="preserve"> holding</w:t>
      </w:r>
      <w:r w:rsidR="0031432C" w:rsidRPr="0031432C">
        <w:rPr>
          <w:rFonts w:eastAsia="DengXian"/>
          <w:lang w:eastAsia="en-GB"/>
        </w:rPr>
        <w:t xml:space="preserve"> disadvantaged positions in other spheres of life, including </w:t>
      </w:r>
      <w:r w:rsidR="000C0A3E">
        <w:rPr>
          <w:rFonts w:eastAsia="DengXian"/>
          <w:lang w:eastAsia="en-GB"/>
        </w:rPr>
        <w:t xml:space="preserve">the </w:t>
      </w:r>
      <w:r w:rsidR="0031432C" w:rsidRPr="0031432C">
        <w:rPr>
          <w:rFonts w:eastAsia="DengXian"/>
          <w:lang w:eastAsia="en-GB"/>
        </w:rPr>
        <w:t>economic</w:t>
      </w:r>
      <w:r w:rsidR="000C0A3E">
        <w:rPr>
          <w:rFonts w:eastAsia="DengXian"/>
          <w:lang w:eastAsia="en-GB"/>
        </w:rPr>
        <w:t>,</w:t>
      </w:r>
      <w:r w:rsidR="0031432C" w:rsidRPr="0031432C">
        <w:rPr>
          <w:rFonts w:eastAsia="DengXian"/>
          <w:lang w:eastAsia="en-GB"/>
        </w:rPr>
        <w:t xml:space="preserve"> public and political</w:t>
      </w:r>
      <w:r w:rsidR="000C0A3E">
        <w:rPr>
          <w:rFonts w:eastAsia="DengXian"/>
          <w:lang w:eastAsia="en-GB"/>
        </w:rPr>
        <w:t xml:space="preserve"> spheres</w:t>
      </w:r>
      <w:r w:rsidR="0031432C" w:rsidRPr="0031432C">
        <w:rPr>
          <w:rFonts w:eastAsia="DengXian"/>
          <w:lang w:eastAsia="en-GB"/>
        </w:rPr>
        <w:t>.</w:t>
      </w:r>
      <w:r w:rsidR="0031432C" w:rsidRPr="0031432C">
        <w:rPr>
          <w:rFonts w:eastAsia="DengXian"/>
          <w:vertAlign w:val="superscript"/>
          <w:lang w:eastAsia="en-GB"/>
        </w:rPr>
        <w:t xml:space="preserve"> </w:t>
      </w:r>
      <w:r w:rsidR="0031432C" w:rsidRPr="0031432C">
        <w:rPr>
          <w:rFonts w:eastAsia="DengXian"/>
          <w:lang w:eastAsia="en-GB"/>
        </w:rPr>
        <w:t xml:space="preserve">Women in Poland spend on average almost two and a half hours </w:t>
      </w:r>
      <w:r w:rsidR="000C0A3E">
        <w:rPr>
          <w:rFonts w:eastAsia="DengXian"/>
          <w:lang w:eastAsia="en-GB"/>
        </w:rPr>
        <w:t xml:space="preserve">more </w:t>
      </w:r>
      <w:r w:rsidR="0031432C" w:rsidRPr="0031432C">
        <w:rPr>
          <w:rFonts w:eastAsia="DengXian"/>
          <w:lang w:eastAsia="en-GB"/>
        </w:rPr>
        <w:t>per day on unpaid work than men</w:t>
      </w:r>
      <w:r w:rsidR="000C0A3E">
        <w:rPr>
          <w:rFonts w:eastAsia="DengXian"/>
          <w:lang w:eastAsia="en-GB"/>
        </w:rPr>
        <w:t xml:space="preserve"> do</w:t>
      </w:r>
      <w:r w:rsidR="0031432C" w:rsidRPr="0031432C">
        <w:rPr>
          <w:rFonts w:eastAsia="DengXian"/>
          <w:lang w:eastAsia="en-GB"/>
        </w:rPr>
        <w:t xml:space="preserve">. More than half of parents have a traditional view of women’s role in paid and unpaid work, implying that women should be prepared to reduce </w:t>
      </w:r>
      <w:r w:rsidR="000C0A3E">
        <w:rPr>
          <w:rFonts w:eastAsia="DengXian"/>
          <w:lang w:eastAsia="en-GB"/>
        </w:rPr>
        <w:t xml:space="preserve">their </w:t>
      </w:r>
      <w:r w:rsidR="0031432C" w:rsidRPr="0031432C">
        <w:rPr>
          <w:rFonts w:eastAsia="DengXian"/>
          <w:lang w:eastAsia="en-GB"/>
        </w:rPr>
        <w:t>labour force participation for care commitments.</w:t>
      </w:r>
      <w:r w:rsidR="0031432C" w:rsidRPr="0031432C">
        <w:rPr>
          <w:rFonts w:eastAsia="DengXian"/>
          <w:vertAlign w:val="superscript"/>
          <w:lang w:eastAsia="en-GB"/>
        </w:rPr>
        <w:footnoteReference w:id="38"/>
      </w:r>
      <w:r w:rsidR="0031432C" w:rsidRPr="0031432C">
        <w:rPr>
          <w:rFonts w:eastAsia="DengXian"/>
          <w:lang w:eastAsia="en-GB"/>
        </w:rPr>
        <w:t xml:space="preserve"> Indeed, the study by the Human Rights Commissioner points to the widely held stereotypes in Polish society concerning </w:t>
      </w:r>
      <w:proofErr w:type="gramStart"/>
      <w:r w:rsidR="0031432C" w:rsidRPr="0031432C">
        <w:rPr>
          <w:rFonts w:eastAsia="DengXian"/>
          <w:lang w:eastAsia="en-GB"/>
        </w:rPr>
        <w:t>women’s</w:t>
      </w:r>
      <w:proofErr w:type="gramEnd"/>
      <w:r w:rsidR="0031432C" w:rsidRPr="0031432C">
        <w:rPr>
          <w:rFonts w:eastAsia="DengXian"/>
          <w:lang w:eastAsia="en-GB"/>
        </w:rPr>
        <w:t xml:space="preserve"> and men’s professional and familial responsibilities</w:t>
      </w:r>
      <w:r w:rsidR="000C0A3E">
        <w:rPr>
          <w:rFonts w:eastAsia="DengXian"/>
          <w:lang w:eastAsia="en-GB"/>
        </w:rPr>
        <w:t>. T</w:t>
      </w:r>
      <w:r w:rsidR="0031432C" w:rsidRPr="0031432C">
        <w:rPr>
          <w:rFonts w:eastAsia="DengXian"/>
          <w:lang w:eastAsia="en-GB"/>
        </w:rPr>
        <w:t xml:space="preserve">he respondents’ statements indicate that </w:t>
      </w:r>
      <w:r w:rsidR="000C0A3E">
        <w:rPr>
          <w:rFonts w:eastAsia="DengXian"/>
          <w:lang w:eastAsia="en-GB"/>
        </w:rPr>
        <w:t xml:space="preserve">there is </w:t>
      </w:r>
      <w:r w:rsidR="0031432C" w:rsidRPr="0031432C">
        <w:rPr>
          <w:rFonts w:eastAsia="DengXian"/>
          <w:lang w:eastAsia="en-GB"/>
        </w:rPr>
        <w:t>a deep</w:t>
      </w:r>
      <w:r w:rsidR="000C0A3E">
        <w:rPr>
          <w:rFonts w:eastAsia="DengXian"/>
          <w:lang w:eastAsia="en-GB"/>
        </w:rPr>
        <w:t>-</w:t>
      </w:r>
      <w:r w:rsidR="0031432C" w:rsidRPr="0031432C">
        <w:rPr>
          <w:rFonts w:eastAsia="DengXian"/>
          <w:lang w:eastAsia="en-GB"/>
        </w:rPr>
        <w:t xml:space="preserve">rooted belief that it is women’s duty to be fully engaged in the care of children, while it would be </w:t>
      </w:r>
      <w:r w:rsidR="000C0A3E">
        <w:rPr>
          <w:rFonts w:eastAsia="DengXian"/>
          <w:lang w:eastAsia="en-GB"/>
        </w:rPr>
        <w:t>“</w:t>
      </w:r>
      <w:proofErr w:type="spellStart"/>
      <w:r w:rsidR="000C0A3E">
        <w:rPr>
          <w:rFonts w:eastAsia="DengXian"/>
          <w:lang w:eastAsia="en-GB"/>
        </w:rPr>
        <w:t>un</w:t>
      </w:r>
      <w:r w:rsidR="0031432C" w:rsidRPr="0031432C">
        <w:rPr>
          <w:rFonts w:eastAsia="DengXian"/>
          <w:lang w:eastAsia="en-GB"/>
        </w:rPr>
        <w:t>masculine</w:t>
      </w:r>
      <w:proofErr w:type="spellEnd"/>
      <w:r w:rsidR="000C0A3E">
        <w:rPr>
          <w:rFonts w:eastAsia="DengXian"/>
          <w:lang w:eastAsia="en-GB"/>
        </w:rPr>
        <w:t>”</w:t>
      </w:r>
      <w:r w:rsidR="0031432C" w:rsidRPr="0031432C">
        <w:rPr>
          <w:rFonts w:eastAsia="DengXian"/>
          <w:lang w:eastAsia="en-GB"/>
        </w:rPr>
        <w:t xml:space="preserve"> for men to take a break from employment to assume parental duties. </w:t>
      </w:r>
    </w:p>
    <w:p w14:paraId="4A0D5C34" w14:textId="7CF3F141" w:rsidR="0031432C" w:rsidRPr="0031432C" w:rsidRDefault="00CF23F7" w:rsidP="0031432C">
      <w:pPr>
        <w:pStyle w:val="SingleTxtG"/>
        <w:rPr>
          <w:rFonts w:eastAsia="DengXian"/>
          <w:lang w:eastAsia="en-GB"/>
        </w:rPr>
      </w:pPr>
      <w:r>
        <w:rPr>
          <w:rFonts w:eastAsia="DengXian"/>
          <w:lang w:eastAsia="en-GB"/>
        </w:rPr>
        <w:t>64.</w:t>
      </w:r>
      <w:r>
        <w:rPr>
          <w:rFonts w:eastAsia="DengXian"/>
          <w:lang w:eastAsia="en-GB"/>
        </w:rPr>
        <w:tab/>
      </w:r>
      <w:r w:rsidR="0031432C" w:rsidRPr="0031432C">
        <w:rPr>
          <w:rFonts w:eastAsia="DengXian"/>
          <w:lang w:eastAsia="en-GB"/>
        </w:rPr>
        <w:t xml:space="preserve">The Working Group welcomes the efforts of the Government </w:t>
      </w:r>
      <w:r w:rsidR="000C0A3E">
        <w:rPr>
          <w:rFonts w:eastAsia="DengXian"/>
          <w:lang w:eastAsia="en-GB"/>
        </w:rPr>
        <w:t>to</w:t>
      </w:r>
      <w:r w:rsidR="0031432C" w:rsidRPr="0031432C">
        <w:rPr>
          <w:rFonts w:eastAsia="DengXian"/>
          <w:lang w:eastAsia="en-GB"/>
        </w:rPr>
        <w:t xml:space="preserve"> increas</w:t>
      </w:r>
      <w:r w:rsidR="000C0A3E">
        <w:rPr>
          <w:rFonts w:eastAsia="DengXian"/>
          <w:lang w:eastAsia="en-GB"/>
        </w:rPr>
        <w:t>e</w:t>
      </w:r>
      <w:r w:rsidR="0031432C" w:rsidRPr="0031432C">
        <w:rPr>
          <w:rFonts w:eastAsia="DengXian"/>
          <w:lang w:eastAsia="en-GB"/>
        </w:rPr>
        <w:t xml:space="preserve"> the availability of childcare facilities, especially for children below </w:t>
      </w:r>
      <w:r w:rsidR="000C0A3E">
        <w:rPr>
          <w:rFonts w:eastAsia="DengXian"/>
          <w:lang w:eastAsia="en-GB"/>
        </w:rPr>
        <w:t>3 years of</w:t>
      </w:r>
      <w:r w:rsidR="0031432C" w:rsidRPr="0031432C">
        <w:rPr>
          <w:rFonts w:eastAsia="DengXian"/>
          <w:lang w:eastAsia="en-GB"/>
        </w:rPr>
        <w:t xml:space="preserve"> age. The adoption of the 2011 Act on Care for Children up to the Age of Three, which provides the legal framework concerning various forms of care for children aged 3</w:t>
      </w:r>
      <w:r w:rsidR="000C0A3E">
        <w:rPr>
          <w:rFonts w:eastAsia="DengXian"/>
          <w:lang w:eastAsia="en-GB"/>
        </w:rPr>
        <w:t xml:space="preserve"> years</w:t>
      </w:r>
      <w:r w:rsidR="0031432C" w:rsidRPr="0031432C">
        <w:rPr>
          <w:rFonts w:eastAsia="DengXian"/>
          <w:lang w:eastAsia="en-GB"/>
        </w:rPr>
        <w:t xml:space="preserve"> and </w:t>
      </w:r>
      <w:r w:rsidR="00C30AFB">
        <w:rPr>
          <w:rFonts w:eastAsia="DengXian"/>
          <w:lang w:eastAsia="en-GB"/>
        </w:rPr>
        <w:t>under</w:t>
      </w:r>
      <w:r w:rsidR="0031432C" w:rsidRPr="0031432C">
        <w:rPr>
          <w:rFonts w:eastAsia="DengXian"/>
          <w:lang w:eastAsia="en-GB"/>
        </w:rPr>
        <w:t xml:space="preserve">, has raised the number of </w:t>
      </w:r>
      <w:r w:rsidR="000C0A3E">
        <w:rPr>
          <w:rFonts w:eastAsia="DengXian"/>
          <w:lang w:eastAsia="en-GB"/>
        </w:rPr>
        <w:t xml:space="preserve">childcare </w:t>
      </w:r>
      <w:r w:rsidR="0031432C" w:rsidRPr="0031432C">
        <w:rPr>
          <w:rFonts w:eastAsia="DengXian"/>
          <w:lang w:eastAsia="en-GB"/>
        </w:rPr>
        <w:t>facilities from 500 to 5,000 according to information received during the visit. However, despite the steady increase over the years</w:t>
      </w:r>
      <w:r w:rsidR="009E00BE">
        <w:rPr>
          <w:rFonts w:eastAsia="DengXian"/>
          <w:lang w:eastAsia="en-GB"/>
        </w:rPr>
        <w:t xml:space="preserve"> of the percentage of children in formal childcare,</w:t>
      </w:r>
      <w:r w:rsidR="0031432C" w:rsidRPr="0031432C">
        <w:rPr>
          <w:rFonts w:eastAsia="DengXian"/>
          <w:lang w:eastAsia="en-GB"/>
        </w:rPr>
        <w:t xml:space="preserve"> from 5</w:t>
      </w:r>
      <w:r w:rsidR="00CD09FB">
        <w:rPr>
          <w:rFonts w:eastAsia="DengXian"/>
          <w:lang w:eastAsia="en-GB"/>
        </w:rPr>
        <w:t xml:space="preserve"> per cent</w:t>
      </w:r>
      <w:r w:rsidR="0031432C" w:rsidRPr="0031432C">
        <w:rPr>
          <w:rFonts w:eastAsia="DengXian"/>
          <w:lang w:eastAsia="en-GB"/>
        </w:rPr>
        <w:t xml:space="preserve"> in 2013 to 11.6</w:t>
      </w:r>
      <w:r w:rsidR="00CD09FB">
        <w:rPr>
          <w:rFonts w:eastAsia="DengXian"/>
          <w:lang w:eastAsia="en-GB"/>
        </w:rPr>
        <w:t xml:space="preserve"> per cent</w:t>
      </w:r>
      <w:r w:rsidR="0031432C" w:rsidRPr="0031432C">
        <w:rPr>
          <w:rFonts w:eastAsia="DengXian"/>
          <w:lang w:eastAsia="en-GB"/>
        </w:rPr>
        <w:t xml:space="preserve"> in 2017,</w:t>
      </w:r>
      <w:r w:rsidR="0031432C" w:rsidRPr="0031432C">
        <w:rPr>
          <w:rFonts w:eastAsia="DengXian"/>
          <w:vertAlign w:val="superscript"/>
          <w:lang w:eastAsia="en-GB"/>
        </w:rPr>
        <w:footnoteReference w:id="39"/>
      </w:r>
      <w:r w:rsidR="0031432C" w:rsidRPr="0031432C">
        <w:rPr>
          <w:rFonts w:eastAsia="DengXian"/>
          <w:lang w:eastAsia="en-GB"/>
        </w:rPr>
        <w:t xml:space="preserve"> the rate is still much lower than the E</w:t>
      </w:r>
      <w:r w:rsidR="00CD09FB">
        <w:rPr>
          <w:rFonts w:eastAsia="DengXian"/>
          <w:lang w:eastAsia="en-GB"/>
        </w:rPr>
        <w:t>uropean Union</w:t>
      </w:r>
      <w:r w:rsidR="0031432C" w:rsidRPr="0031432C">
        <w:rPr>
          <w:rFonts w:eastAsia="DengXian"/>
          <w:lang w:eastAsia="en-GB"/>
        </w:rPr>
        <w:t xml:space="preserve"> target of 33</w:t>
      </w:r>
      <w:r w:rsidR="00CD09FB">
        <w:rPr>
          <w:rFonts w:eastAsia="DengXian"/>
          <w:lang w:eastAsia="en-GB"/>
        </w:rPr>
        <w:t xml:space="preserve"> per cent</w:t>
      </w:r>
      <w:r w:rsidR="0031432C" w:rsidRPr="0031432C">
        <w:rPr>
          <w:rFonts w:eastAsia="DengXian"/>
          <w:lang w:eastAsia="en-GB"/>
        </w:rPr>
        <w:t>, with important regional disparities. Childcare facilit</w:t>
      </w:r>
      <w:r w:rsidR="009E00BE">
        <w:rPr>
          <w:rFonts w:eastAsia="DengXian"/>
          <w:lang w:eastAsia="en-GB"/>
        </w:rPr>
        <w:t>ies</w:t>
      </w:r>
      <w:r w:rsidR="0031432C" w:rsidRPr="0031432C">
        <w:rPr>
          <w:rFonts w:eastAsia="DengXian"/>
          <w:lang w:eastAsia="en-GB"/>
        </w:rPr>
        <w:t xml:space="preserve"> are particularly inaccessible in rural areas. The situation </w:t>
      </w:r>
      <w:proofErr w:type="gramStart"/>
      <w:r w:rsidR="0031432C" w:rsidRPr="0031432C">
        <w:rPr>
          <w:rFonts w:eastAsia="DengXian"/>
          <w:lang w:eastAsia="en-GB"/>
        </w:rPr>
        <w:t>is classified</w:t>
      </w:r>
      <w:proofErr w:type="gramEnd"/>
      <w:r w:rsidR="0031432C" w:rsidRPr="0031432C">
        <w:rPr>
          <w:rFonts w:eastAsia="DengXian"/>
          <w:lang w:eastAsia="en-GB"/>
        </w:rPr>
        <w:t xml:space="preserve"> as “critical” in the E</w:t>
      </w:r>
      <w:r w:rsidR="00CD09FB">
        <w:rPr>
          <w:rFonts w:eastAsia="DengXian"/>
          <w:lang w:eastAsia="en-GB"/>
        </w:rPr>
        <w:t>uropean Union</w:t>
      </w:r>
      <w:r w:rsidR="0031432C" w:rsidRPr="0031432C">
        <w:rPr>
          <w:rFonts w:eastAsia="DengXian"/>
          <w:lang w:eastAsia="en-GB"/>
        </w:rPr>
        <w:t xml:space="preserve"> Social Scoreboard.</w:t>
      </w:r>
      <w:r w:rsidR="0031432C" w:rsidRPr="0031432C">
        <w:rPr>
          <w:rFonts w:eastAsia="DengXian"/>
          <w:vertAlign w:val="superscript"/>
          <w:lang w:eastAsia="en-GB"/>
        </w:rPr>
        <w:footnoteReference w:id="40"/>
      </w:r>
      <w:r w:rsidR="0031432C" w:rsidRPr="0031432C">
        <w:rPr>
          <w:rFonts w:eastAsia="DengXian"/>
          <w:lang w:eastAsia="en-GB"/>
        </w:rPr>
        <w:t xml:space="preserve"> Furthermore, childcare is costly, representing more than 20</w:t>
      </w:r>
      <w:r w:rsidR="00CD09FB">
        <w:rPr>
          <w:rFonts w:eastAsia="DengXian"/>
          <w:lang w:eastAsia="en-GB"/>
        </w:rPr>
        <w:t xml:space="preserve"> per cent</w:t>
      </w:r>
      <w:r w:rsidR="0031432C" w:rsidRPr="0031432C">
        <w:rPr>
          <w:rFonts w:eastAsia="DengXian"/>
          <w:lang w:eastAsia="en-GB"/>
        </w:rPr>
        <w:t xml:space="preserve"> of net family income for a couple with median earnings. The situation is even worse for low-income families.</w:t>
      </w:r>
      <w:r w:rsidR="0031432C" w:rsidRPr="0031432C">
        <w:rPr>
          <w:rFonts w:eastAsia="DengXian"/>
          <w:vertAlign w:val="superscript"/>
          <w:lang w:eastAsia="en-GB"/>
        </w:rPr>
        <w:footnoteReference w:id="41"/>
      </w:r>
      <w:r w:rsidR="0031432C" w:rsidRPr="0031432C">
        <w:rPr>
          <w:rFonts w:eastAsia="DengXian"/>
          <w:lang w:eastAsia="en-GB"/>
        </w:rPr>
        <w:t xml:space="preserve"> The increase in funding for the Baby Care Plus programme</w:t>
      </w:r>
      <w:r w:rsidR="009E00BE">
        <w:rPr>
          <w:rFonts w:eastAsia="DengXian"/>
          <w:lang w:eastAsia="en-GB"/>
        </w:rPr>
        <w:t>,</w:t>
      </w:r>
      <w:r w:rsidR="0031432C" w:rsidRPr="0031432C">
        <w:rPr>
          <w:rFonts w:eastAsia="DengXian"/>
          <w:lang w:eastAsia="en-GB"/>
        </w:rPr>
        <w:t xml:space="preserve"> which gives financial support to municipalities and individuals to set up childcare facilities</w:t>
      </w:r>
      <w:r w:rsidR="009E00BE">
        <w:rPr>
          <w:rFonts w:eastAsia="DengXian"/>
          <w:lang w:eastAsia="en-GB"/>
        </w:rPr>
        <w:t>,</w:t>
      </w:r>
      <w:r w:rsidR="0031432C" w:rsidRPr="0031432C">
        <w:rPr>
          <w:rFonts w:eastAsia="DengXian"/>
          <w:lang w:eastAsia="en-GB"/>
        </w:rPr>
        <w:t xml:space="preserve"> is a positive step.</w:t>
      </w:r>
    </w:p>
    <w:p w14:paraId="7D971BE4" w14:textId="77777777" w:rsidR="0031432C" w:rsidRPr="0031432C" w:rsidRDefault="00B03C86" w:rsidP="00B03C86">
      <w:pPr>
        <w:pStyle w:val="HChG"/>
        <w:rPr>
          <w:rFonts w:eastAsia="DengXian"/>
          <w:lang w:eastAsia="en-GB"/>
        </w:rPr>
      </w:pPr>
      <w:r>
        <w:rPr>
          <w:rFonts w:eastAsia="DengXian"/>
          <w:lang w:eastAsia="en-GB"/>
        </w:rPr>
        <w:tab/>
        <w:t>VIII.</w:t>
      </w:r>
      <w:r>
        <w:rPr>
          <w:rFonts w:eastAsia="DengXian"/>
          <w:lang w:eastAsia="en-GB"/>
        </w:rPr>
        <w:tab/>
      </w:r>
      <w:r w:rsidR="0031432C" w:rsidRPr="0031432C">
        <w:rPr>
          <w:rFonts w:eastAsia="DengXian"/>
          <w:lang w:eastAsia="en-GB"/>
        </w:rPr>
        <w:t>Gender-based violence against women</w:t>
      </w:r>
    </w:p>
    <w:p w14:paraId="2915F456" w14:textId="2E966F61" w:rsidR="0031432C" w:rsidRPr="0031432C" w:rsidRDefault="00CF23F7" w:rsidP="0031432C">
      <w:pPr>
        <w:pStyle w:val="SingleTxtG"/>
        <w:rPr>
          <w:rFonts w:eastAsia="DengXian"/>
          <w:lang w:eastAsia="hr-HR"/>
        </w:rPr>
      </w:pPr>
      <w:r>
        <w:rPr>
          <w:rFonts w:eastAsia="DengXian"/>
          <w:lang w:eastAsia="hr-HR"/>
        </w:rPr>
        <w:t>65.</w:t>
      </w:r>
      <w:r>
        <w:rPr>
          <w:rFonts w:eastAsia="DengXian"/>
          <w:lang w:eastAsia="hr-HR"/>
        </w:rPr>
        <w:tab/>
      </w:r>
      <w:r w:rsidR="0031432C" w:rsidRPr="0031432C">
        <w:rPr>
          <w:rFonts w:eastAsia="DengXian"/>
          <w:lang w:eastAsia="hr-HR"/>
        </w:rPr>
        <w:t>The Working Group recogni</w:t>
      </w:r>
      <w:r w:rsidR="00462B17">
        <w:rPr>
          <w:rFonts w:eastAsia="DengXian"/>
          <w:lang w:eastAsia="hr-HR"/>
        </w:rPr>
        <w:t>z</w:t>
      </w:r>
      <w:r w:rsidR="0031432C" w:rsidRPr="0031432C">
        <w:rPr>
          <w:rFonts w:eastAsia="DengXian"/>
          <w:lang w:eastAsia="hr-HR"/>
        </w:rPr>
        <w:t xml:space="preserve">es that Poland has been taking measures to prevent and combat violence against women. </w:t>
      </w:r>
      <w:r w:rsidR="005756F1">
        <w:rPr>
          <w:rFonts w:eastAsia="DengXian"/>
          <w:lang w:eastAsia="hr-HR"/>
        </w:rPr>
        <w:t>The</w:t>
      </w:r>
      <w:r w:rsidR="0031432C" w:rsidRPr="0031432C">
        <w:rPr>
          <w:rFonts w:eastAsia="DengXian"/>
          <w:lang w:eastAsia="hr-HR"/>
        </w:rPr>
        <w:t xml:space="preserve"> ratification </w:t>
      </w:r>
      <w:r w:rsidR="005756F1">
        <w:rPr>
          <w:rFonts w:eastAsia="DengXian"/>
          <w:lang w:eastAsia="hr-HR"/>
        </w:rPr>
        <w:t xml:space="preserve">by Poland </w:t>
      </w:r>
      <w:r w:rsidR="0031432C" w:rsidRPr="0031432C">
        <w:rPr>
          <w:rFonts w:eastAsia="DengXian"/>
          <w:lang w:eastAsia="hr-HR"/>
        </w:rPr>
        <w:t xml:space="preserve">in 2015 of the Istanbul Convention, the first European </w:t>
      </w:r>
      <w:r w:rsidR="00462B17" w:rsidRPr="0031432C">
        <w:rPr>
          <w:rFonts w:eastAsia="DengXian"/>
          <w:lang w:eastAsia="hr-HR"/>
        </w:rPr>
        <w:t>legally binding</w:t>
      </w:r>
      <w:r w:rsidR="0031432C" w:rsidRPr="0031432C">
        <w:rPr>
          <w:rFonts w:eastAsia="DengXian"/>
          <w:lang w:eastAsia="hr-HR"/>
        </w:rPr>
        <w:t xml:space="preserve"> instrument providing a comprehensive prevention, protection, prosecution and support framework, signalled the country’s strong commitment to combating gender-based violence against women</w:t>
      </w:r>
      <w:r w:rsidR="0031432C" w:rsidRPr="0031432C">
        <w:rPr>
          <w:rFonts w:eastAsia="DengXian"/>
          <w:lang w:eastAsia="zh-CN"/>
        </w:rPr>
        <w:t xml:space="preserve">. </w:t>
      </w:r>
      <w:r w:rsidR="0031432C" w:rsidRPr="0031432C">
        <w:rPr>
          <w:rFonts w:eastAsia="DengXian"/>
          <w:lang w:eastAsia="hr-HR"/>
        </w:rPr>
        <w:t xml:space="preserve">However, political and public discourse during the process leading to the signing and ratification of the Convention exposed misunderstandings </w:t>
      </w:r>
      <w:r w:rsidR="00367ADD">
        <w:rPr>
          <w:rFonts w:eastAsia="DengXian"/>
          <w:lang w:eastAsia="hr-HR"/>
        </w:rPr>
        <w:t>about</w:t>
      </w:r>
      <w:r w:rsidR="0031432C" w:rsidRPr="0031432C">
        <w:rPr>
          <w:rFonts w:eastAsia="DengXian"/>
          <w:lang w:eastAsia="hr-HR"/>
        </w:rPr>
        <w:t xml:space="preserve"> the phenomenon of gender-based violence, including </w:t>
      </w:r>
      <w:r w:rsidR="00367ADD">
        <w:rPr>
          <w:rFonts w:eastAsia="DengXian"/>
          <w:lang w:eastAsia="hr-HR"/>
        </w:rPr>
        <w:t xml:space="preserve">about </w:t>
      </w:r>
      <w:r w:rsidR="0031432C" w:rsidRPr="0031432C">
        <w:rPr>
          <w:rFonts w:eastAsia="DengXian"/>
          <w:lang w:eastAsia="hr-HR"/>
        </w:rPr>
        <w:t>the concept of gender and</w:t>
      </w:r>
      <w:r w:rsidR="00130FAB">
        <w:rPr>
          <w:rFonts w:eastAsia="DengXian"/>
          <w:lang w:eastAsia="hr-HR"/>
        </w:rPr>
        <w:t xml:space="preserve"> about</w:t>
      </w:r>
      <w:r w:rsidR="0031432C" w:rsidRPr="0031432C">
        <w:rPr>
          <w:rFonts w:eastAsia="DengXian"/>
          <w:lang w:eastAsia="hr-HR"/>
        </w:rPr>
        <w:t xml:space="preserve"> the fact that women </w:t>
      </w:r>
      <w:proofErr w:type="gramStart"/>
      <w:r w:rsidR="0031432C" w:rsidRPr="0031432C">
        <w:rPr>
          <w:rFonts w:eastAsia="DengXian"/>
          <w:lang w:eastAsia="hr-HR"/>
        </w:rPr>
        <w:t>were regarded</w:t>
      </w:r>
      <w:proofErr w:type="gramEnd"/>
      <w:r w:rsidR="0031432C" w:rsidRPr="0031432C">
        <w:rPr>
          <w:rFonts w:eastAsia="DengXian"/>
          <w:lang w:eastAsia="hr-HR"/>
        </w:rPr>
        <w:t xml:space="preserve"> as the main victims of domestic violence. Opponents labelled the content of the Convention as the “gender ideology”, and there were attempts </w:t>
      </w:r>
      <w:r w:rsidR="009E00BE">
        <w:rPr>
          <w:rFonts w:eastAsia="DengXian"/>
          <w:lang w:eastAsia="hr-HR"/>
        </w:rPr>
        <w:t>to</w:t>
      </w:r>
      <w:r w:rsidR="0031432C" w:rsidRPr="0031432C">
        <w:rPr>
          <w:rFonts w:eastAsia="DengXian"/>
          <w:lang w:eastAsia="hr-HR"/>
        </w:rPr>
        <w:t xml:space="preserve"> withdraw from the Convention, including institutional preparatory initiatives for the renouncement. The Working Group </w:t>
      </w:r>
      <w:proofErr w:type="gramStart"/>
      <w:r w:rsidR="0031432C" w:rsidRPr="0031432C">
        <w:rPr>
          <w:rFonts w:eastAsia="DengXian"/>
          <w:lang w:eastAsia="hr-HR"/>
        </w:rPr>
        <w:t>was pleased to be reassured</w:t>
      </w:r>
      <w:proofErr w:type="gramEnd"/>
      <w:r w:rsidR="0031432C" w:rsidRPr="0031432C">
        <w:rPr>
          <w:rFonts w:eastAsia="DengXian"/>
          <w:lang w:eastAsia="hr-HR"/>
        </w:rPr>
        <w:t xml:space="preserve"> by the Ministry of Justice during the visit that</w:t>
      </w:r>
      <w:r w:rsidR="0031432C" w:rsidRPr="0031432C">
        <w:rPr>
          <w:rFonts w:eastAsia="DengXian"/>
          <w:lang w:eastAsia="zh-CN"/>
        </w:rPr>
        <w:t xml:space="preserve"> </w:t>
      </w:r>
      <w:r w:rsidR="0031432C" w:rsidRPr="0031432C">
        <w:rPr>
          <w:rFonts w:eastAsia="DengXian"/>
          <w:lang w:eastAsia="hr-HR"/>
        </w:rPr>
        <w:t>there was no plan for withdrawal.</w:t>
      </w:r>
    </w:p>
    <w:p w14:paraId="4A4B607B" w14:textId="65653D0E" w:rsidR="0031432C" w:rsidRPr="0031432C" w:rsidRDefault="00CF23F7" w:rsidP="0031432C">
      <w:pPr>
        <w:pStyle w:val="SingleTxtG"/>
        <w:rPr>
          <w:rFonts w:eastAsia="DengXian"/>
          <w:lang w:eastAsia="hr-HR"/>
        </w:rPr>
      </w:pPr>
      <w:r>
        <w:rPr>
          <w:rFonts w:eastAsia="DengXian"/>
          <w:lang w:eastAsia="hr-HR"/>
        </w:rPr>
        <w:t>66.</w:t>
      </w:r>
      <w:r>
        <w:rPr>
          <w:rFonts w:eastAsia="DengXian"/>
          <w:lang w:eastAsia="hr-HR"/>
        </w:rPr>
        <w:tab/>
      </w:r>
      <w:r w:rsidR="0031432C" w:rsidRPr="0031432C">
        <w:rPr>
          <w:rFonts w:eastAsia="DengXian"/>
          <w:lang w:eastAsia="hr-HR"/>
        </w:rPr>
        <w:t xml:space="preserve">The Working Group was pleased to learn of the various measures undertaken since the adoption of the Convention and its application to asylum procedure cases. Indeed, the Working Group recognizes the continuous efforts </w:t>
      </w:r>
      <w:r w:rsidR="009E00BE">
        <w:rPr>
          <w:rFonts w:eastAsia="DengXian"/>
          <w:lang w:eastAsia="hr-HR"/>
        </w:rPr>
        <w:t>to</w:t>
      </w:r>
      <w:r w:rsidR="0031432C" w:rsidRPr="0031432C">
        <w:rPr>
          <w:rFonts w:eastAsia="DengXian"/>
          <w:lang w:eastAsia="hr-HR"/>
        </w:rPr>
        <w:t xml:space="preserve"> establish and improv</w:t>
      </w:r>
      <w:r w:rsidR="009E00BE">
        <w:rPr>
          <w:rFonts w:eastAsia="DengXian"/>
          <w:lang w:eastAsia="hr-HR"/>
        </w:rPr>
        <w:t>e</w:t>
      </w:r>
      <w:r w:rsidR="0031432C" w:rsidRPr="0031432C">
        <w:rPr>
          <w:rFonts w:eastAsia="DengXian"/>
          <w:lang w:eastAsia="hr-HR"/>
        </w:rPr>
        <w:t xml:space="preserve"> the legal and programmatic framework for combating violence against women, noting that the Government has so far prioritized family violence. Violence against women in other spheres of life</w:t>
      </w:r>
      <w:r w:rsidR="009E00BE">
        <w:rPr>
          <w:rFonts w:eastAsia="DengXian"/>
          <w:lang w:eastAsia="hr-HR"/>
        </w:rPr>
        <w:t>,</w:t>
      </w:r>
      <w:r w:rsidR="0031432C" w:rsidRPr="0031432C">
        <w:rPr>
          <w:rFonts w:eastAsia="DengXian"/>
          <w:lang w:eastAsia="hr-HR"/>
        </w:rPr>
        <w:t xml:space="preserve"> including sexual harassment in schools, institutions of higher education and other public spaces, as well as </w:t>
      </w:r>
      <w:proofErr w:type="spellStart"/>
      <w:r w:rsidR="0031432C" w:rsidRPr="0031432C">
        <w:rPr>
          <w:rFonts w:eastAsia="DengXian"/>
          <w:lang w:eastAsia="hr-HR"/>
        </w:rPr>
        <w:t>cyberviolence</w:t>
      </w:r>
      <w:proofErr w:type="spellEnd"/>
      <w:r w:rsidR="0031432C" w:rsidRPr="0031432C">
        <w:rPr>
          <w:rFonts w:eastAsia="DengXian"/>
          <w:lang w:eastAsia="hr-HR"/>
        </w:rPr>
        <w:t xml:space="preserve">, are mostly left out of the current framework. </w:t>
      </w:r>
    </w:p>
    <w:p w14:paraId="48C13556" w14:textId="74DFB8EB" w:rsidR="0031432C" w:rsidRPr="0031432C" w:rsidRDefault="00CF23F7" w:rsidP="0031432C">
      <w:pPr>
        <w:pStyle w:val="SingleTxtG"/>
        <w:rPr>
          <w:rFonts w:eastAsia="DengXian"/>
          <w:lang w:eastAsia="zh-CN"/>
        </w:rPr>
      </w:pPr>
      <w:r>
        <w:rPr>
          <w:rFonts w:eastAsia="DengXian"/>
          <w:lang w:eastAsia="hr-HR"/>
        </w:rPr>
        <w:lastRenderedPageBreak/>
        <w:t>67.</w:t>
      </w:r>
      <w:r>
        <w:rPr>
          <w:rFonts w:eastAsia="DengXian"/>
          <w:lang w:eastAsia="hr-HR"/>
        </w:rPr>
        <w:tab/>
      </w:r>
      <w:r w:rsidR="0031432C" w:rsidRPr="0031432C">
        <w:rPr>
          <w:rFonts w:eastAsia="DengXian"/>
          <w:lang w:eastAsia="hr-HR"/>
        </w:rPr>
        <w:t xml:space="preserve">The Working Group </w:t>
      </w:r>
      <w:proofErr w:type="gramStart"/>
      <w:r w:rsidR="0031432C" w:rsidRPr="0031432C">
        <w:rPr>
          <w:rFonts w:eastAsia="DengXian"/>
          <w:lang w:eastAsia="hr-HR"/>
        </w:rPr>
        <w:t>was informed</w:t>
      </w:r>
      <w:proofErr w:type="gramEnd"/>
      <w:r w:rsidR="0031432C" w:rsidRPr="0031432C">
        <w:rPr>
          <w:rFonts w:eastAsia="DengXian"/>
          <w:lang w:eastAsia="hr-HR"/>
        </w:rPr>
        <w:t xml:space="preserve"> of the positive changes in attitudes </w:t>
      </w:r>
      <w:r w:rsidR="00933997">
        <w:rPr>
          <w:rFonts w:eastAsia="DengXian"/>
          <w:lang w:eastAsia="hr-HR"/>
        </w:rPr>
        <w:t>among</w:t>
      </w:r>
      <w:r w:rsidR="0031432C" w:rsidRPr="0031432C">
        <w:rPr>
          <w:rFonts w:eastAsia="DengXian"/>
          <w:lang w:eastAsia="hr-HR"/>
        </w:rPr>
        <w:t xml:space="preserve"> law enforcement </w:t>
      </w:r>
      <w:r w:rsidR="00933997">
        <w:rPr>
          <w:rFonts w:eastAsia="DengXian"/>
          <w:lang w:eastAsia="hr-HR"/>
        </w:rPr>
        <w:t xml:space="preserve">personnel </w:t>
      </w:r>
      <w:r w:rsidR="0031432C" w:rsidRPr="0031432C">
        <w:rPr>
          <w:rFonts w:eastAsia="DengXian"/>
          <w:lang w:eastAsia="hr-HR"/>
        </w:rPr>
        <w:t xml:space="preserve">and judicial actors and </w:t>
      </w:r>
      <w:r w:rsidR="009E00BE">
        <w:rPr>
          <w:rFonts w:eastAsia="DengXian"/>
          <w:lang w:eastAsia="hr-HR"/>
        </w:rPr>
        <w:t xml:space="preserve">of </w:t>
      </w:r>
      <w:r w:rsidR="0031432C" w:rsidRPr="0031432C">
        <w:rPr>
          <w:rFonts w:eastAsia="DengXian"/>
          <w:lang w:eastAsia="hr-HR"/>
        </w:rPr>
        <w:t xml:space="preserve">various training courses. Notwithstanding these commendable efforts, more remains to </w:t>
      </w:r>
      <w:proofErr w:type="gramStart"/>
      <w:r w:rsidR="0031432C" w:rsidRPr="0031432C">
        <w:rPr>
          <w:rFonts w:eastAsia="DengXian"/>
          <w:lang w:eastAsia="hr-HR"/>
        </w:rPr>
        <w:t>be done</w:t>
      </w:r>
      <w:proofErr w:type="gramEnd"/>
      <w:r w:rsidR="0031432C" w:rsidRPr="0031432C">
        <w:rPr>
          <w:rFonts w:eastAsia="DengXian"/>
          <w:lang w:eastAsia="hr-HR"/>
        </w:rPr>
        <w:t xml:space="preserve"> to overcome gender stereotypes in the justice system. Furthermore, there is a need to review </w:t>
      </w:r>
      <w:r w:rsidR="0031432C" w:rsidRPr="0031432C">
        <w:rPr>
          <w:rFonts w:eastAsia="DengXian"/>
          <w:lang w:eastAsia="zh-CN"/>
        </w:rPr>
        <w:t>the content of the training programmes</w:t>
      </w:r>
      <w:r w:rsidR="0031432C" w:rsidRPr="0031432C">
        <w:rPr>
          <w:rFonts w:eastAsia="DengXian"/>
          <w:lang w:eastAsia="hr-HR"/>
        </w:rPr>
        <w:t xml:space="preserve"> to ensure </w:t>
      </w:r>
      <w:r w:rsidR="0031432C" w:rsidRPr="0031432C">
        <w:rPr>
          <w:rFonts w:eastAsia="DengXian"/>
          <w:lang w:eastAsia="zh-CN"/>
        </w:rPr>
        <w:t xml:space="preserve">greater understanding of women’s barriers to accessing justice at the legal, institutional, structural, socioeconomic and cultural levels, including discriminatory or insensitive legal provisions, </w:t>
      </w:r>
      <w:r w:rsidR="009E00BE">
        <w:rPr>
          <w:rFonts w:eastAsia="DengXian"/>
          <w:lang w:eastAsia="zh-CN"/>
        </w:rPr>
        <w:t xml:space="preserve">the </w:t>
      </w:r>
      <w:r w:rsidR="0031432C" w:rsidRPr="0031432C">
        <w:rPr>
          <w:rFonts w:eastAsia="DengXian"/>
          <w:lang w:eastAsia="zh-CN"/>
        </w:rPr>
        <w:t xml:space="preserve">persistence of gender stereotypes, women’s economic dependence and responsibility for children, and gender bias in the system. </w:t>
      </w:r>
    </w:p>
    <w:p w14:paraId="3727F83D" w14:textId="1D58D800" w:rsidR="0031432C" w:rsidRPr="0031432C" w:rsidRDefault="00CF23F7" w:rsidP="0031432C">
      <w:pPr>
        <w:pStyle w:val="SingleTxtG"/>
        <w:rPr>
          <w:rFonts w:eastAsia="DengXian"/>
          <w:lang w:eastAsia="zh-CN"/>
        </w:rPr>
      </w:pPr>
      <w:r>
        <w:rPr>
          <w:rFonts w:eastAsia="DengXian"/>
          <w:lang w:eastAsia="hr-HR"/>
        </w:rPr>
        <w:t>68.</w:t>
      </w:r>
      <w:r>
        <w:rPr>
          <w:rFonts w:eastAsia="DengXian"/>
          <w:lang w:eastAsia="hr-HR"/>
        </w:rPr>
        <w:tab/>
      </w:r>
      <w:r w:rsidR="0031432C" w:rsidRPr="0031432C">
        <w:rPr>
          <w:rFonts w:eastAsia="DengXian"/>
          <w:lang w:eastAsia="hr-HR"/>
        </w:rPr>
        <w:t>It</w:t>
      </w:r>
      <w:r w:rsidR="0031432C" w:rsidRPr="0031432C">
        <w:rPr>
          <w:rFonts w:eastAsia="DengXian"/>
          <w:lang w:eastAsia="zh-CN"/>
        </w:rPr>
        <w:t xml:space="preserve"> is also important </w:t>
      </w:r>
      <w:proofErr w:type="gramStart"/>
      <w:r w:rsidR="0031432C" w:rsidRPr="0031432C">
        <w:rPr>
          <w:rFonts w:eastAsia="DengXian"/>
          <w:lang w:eastAsia="zh-CN"/>
        </w:rPr>
        <w:t>to systematically collect</w:t>
      </w:r>
      <w:proofErr w:type="gramEnd"/>
      <w:r w:rsidR="0031432C" w:rsidRPr="0031432C">
        <w:rPr>
          <w:rFonts w:eastAsia="DengXian"/>
          <w:lang w:eastAsia="zh-CN"/>
        </w:rPr>
        <w:t xml:space="preserve"> </w:t>
      </w:r>
      <w:r w:rsidR="0031432C" w:rsidRPr="0031432C">
        <w:rPr>
          <w:rFonts w:eastAsia="DengXian"/>
          <w:lang w:eastAsia="hr-HR"/>
        </w:rPr>
        <w:t>disaggregated statistical data at regular intervals in order to study the root causes and effects, incidences and conviction rates, a</w:t>
      </w:r>
      <w:r w:rsidR="009E00BE">
        <w:rPr>
          <w:rFonts w:eastAsia="DengXian"/>
          <w:lang w:eastAsia="hr-HR"/>
        </w:rPr>
        <w:t>nd</w:t>
      </w:r>
      <w:r w:rsidR="0031432C" w:rsidRPr="0031432C">
        <w:rPr>
          <w:rFonts w:eastAsia="DengXian"/>
          <w:lang w:eastAsia="hr-HR"/>
        </w:rPr>
        <w:t xml:space="preserve"> the efficacy of measures taken to combat violence against women. This should include data on women in vulnerable situations</w:t>
      </w:r>
      <w:r w:rsidR="009E00BE">
        <w:rPr>
          <w:rFonts w:eastAsia="DengXian"/>
          <w:lang w:eastAsia="hr-HR"/>
        </w:rPr>
        <w:t>,</w:t>
      </w:r>
      <w:r w:rsidR="0031432C" w:rsidRPr="0031432C">
        <w:rPr>
          <w:rFonts w:eastAsia="DengXian"/>
          <w:lang w:eastAsia="hr-HR"/>
        </w:rPr>
        <w:t xml:space="preserve"> such as older women</w:t>
      </w:r>
      <w:r w:rsidR="009E00BE">
        <w:rPr>
          <w:rFonts w:eastAsia="DengXian"/>
          <w:lang w:eastAsia="hr-HR"/>
        </w:rPr>
        <w:t xml:space="preserve">, </w:t>
      </w:r>
      <w:r w:rsidR="0031432C" w:rsidRPr="0031432C">
        <w:rPr>
          <w:rFonts w:eastAsia="DengXian"/>
          <w:lang w:eastAsia="hr-HR"/>
        </w:rPr>
        <w:t>women with disabilities, migrant</w:t>
      </w:r>
      <w:r w:rsidR="00EC2559">
        <w:rPr>
          <w:rFonts w:eastAsia="DengXian"/>
          <w:lang w:eastAsia="hr-HR"/>
        </w:rPr>
        <w:t xml:space="preserve"> women</w:t>
      </w:r>
      <w:r w:rsidR="0031432C" w:rsidRPr="0031432C">
        <w:rPr>
          <w:rFonts w:eastAsia="DengXian"/>
          <w:lang w:eastAsia="hr-HR"/>
        </w:rPr>
        <w:t xml:space="preserve"> and minority women (particularly Roma). Such data would serve as the basis for adopting and implementing targeted policies for addressing the problems the</w:t>
      </w:r>
      <w:r w:rsidR="00933997">
        <w:rPr>
          <w:rFonts w:eastAsia="DengXian"/>
          <w:lang w:eastAsia="hr-HR"/>
        </w:rPr>
        <w:t>se women</w:t>
      </w:r>
      <w:r w:rsidR="0031432C" w:rsidRPr="0031432C">
        <w:rPr>
          <w:rFonts w:eastAsia="DengXian"/>
          <w:lang w:eastAsia="hr-HR"/>
        </w:rPr>
        <w:t xml:space="preserve"> face, including securing effective access to justice and access to specialized support centres and places of safe refuge.</w:t>
      </w:r>
    </w:p>
    <w:p w14:paraId="136B0764" w14:textId="77777777" w:rsidR="0031432C" w:rsidRPr="0031432C" w:rsidRDefault="00B03C86" w:rsidP="00B03C86">
      <w:pPr>
        <w:pStyle w:val="H1G"/>
        <w:rPr>
          <w:rFonts w:eastAsia="DengXian"/>
          <w:lang w:eastAsia="hr-HR"/>
        </w:rPr>
      </w:pPr>
      <w:r>
        <w:rPr>
          <w:rFonts w:eastAsia="DengXian"/>
          <w:lang w:eastAsia="hr-HR"/>
        </w:rPr>
        <w:tab/>
        <w:t>A.</w:t>
      </w:r>
      <w:r>
        <w:rPr>
          <w:rFonts w:eastAsia="DengXian"/>
          <w:lang w:eastAsia="hr-HR"/>
        </w:rPr>
        <w:tab/>
      </w:r>
      <w:r w:rsidR="0031432C" w:rsidRPr="0031432C">
        <w:rPr>
          <w:rFonts w:eastAsia="DengXian"/>
          <w:lang w:eastAsia="hr-HR"/>
        </w:rPr>
        <w:t>Domestic violence</w:t>
      </w:r>
    </w:p>
    <w:p w14:paraId="0C0748E5" w14:textId="65FD5AA3" w:rsidR="0031432C" w:rsidRPr="0031432C" w:rsidRDefault="00CF23F7" w:rsidP="00B03C86">
      <w:pPr>
        <w:pStyle w:val="SingleTxtG"/>
        <w:rPr>
          <w:rFonts w:eastAsia="DengXian"/>
          <w:lang w:eastAsia="hr-HR"/>
        </w:rPr>
      </w:pPr>
      <w:proofErr w:type="gramStart"/>
      <w:r>
        <w:rPr>
          <w:rFonts w:eastAsia="DengXian"/>
          <w:lang w:eastAsia="hr-HR"/>
        </w:rPr>
        <w:t>69.</w:t>
      </w:r>
      <w:r>
        <w:rPr>
          <w:rFonts w:eastAsia="DengXian"/>
          <w:lang w:eastAsia="hr-HR"/>
        </w:rPr>
        <w:tab/>
      </w:r>
      <w:r w:rsidR="0031432C" w:rsidRPr="0031432C">
        <w:rPr>
          <w:rFonts w:eastAsia="DengXian"/>
          <w:lang w:eastAsia="hr-HR"/>
        </w:rPr>
        <w:t>The Working Group observed that the Istanbul Convention’s recognition of women as the main victims of domestic violence is also supported by the Government’s statistics</w:t>
      </w:r>
      <w:r w:rsidR="00FA476C">
        <w:rPr>
          <w:rFonts w:eastAsia="DengXian"/>
          <w:lang w:eastAsia="hr-HR"/>
        </w:rPr>
        <w:t xml:space="preserve"> disaggregated by gender</w:t>
      </w:r>
      <w:r w:rsidR="0031432C" w:rsidRPr="0031432C">
        <w:rPr>
          <w:rFonts w:eastAsia="DengXian"/>
          <w:lang w:eastAsia="hr-HR"/>
        </w:rPr>
        <w:t xml:space="preserve">, which indicate that the overwhelming majority of the </w:t>
      </w:r>
      <w:r w:rsidR="0031432C" w:rsidRPr="0031432C">
        <w:rPr>
          <w:rFonts w:eastAsia="DengXian"/>
          <w:bCs/>
          <w:lang w:eastAsia="hr-HR"/>
        </w:rPr>
        <w:t xml:space="preserve">victims </w:t>
      </w:r>
      <w:r w:rsidR="0031432C" w:rsidRPr="0031432C">
        <w:rPr>
          <w:rFonts w:eastAsia="DengXian"/>
          <w:lang w:eastAsia="hr-HR"/>
        </w:rPr>
        <w:t>of domestic violence in Poland are women and children, 67</w:t>
      </w:r>
      <w:r w:rsidR="00CD09FB">
        <w:rPr>
          <w:rFonts w:eastAsia="DengXian"/>
          <w:lang w:eastAsia="hr-HR"/>
        </w:rPr>
        <w:t xml:space="preserve"> per cent</w:t>
      </w:r>
      <w:r w:rsidR="0031432C" w:rsidRPr="0031432C">
        <w:rPr>
          <w:rFonts w:eastAsia="DengXian"/>
          <w:lang w:eastAsia="hr-HR"/>
        </w:rPr>
        <w:t xml:space="preserve"> and 22</w:t>
      </w:r>
      <w:r w:rsidR="00CD09FB">
        <w:rPr>
          <w:rFonts w:eastAsia="DengXian"/>
          <w:lang w:eastAsia="hr-HR"/>
        </w:rPr>
        <w:t xml:space="preserve"> per cent</w:t>
      </w:r>
      <w:r w:rsidR="0031432C" w:rsidRPr="0031432C">
        <w:rPr>
          <w:rFonts w:eastAsia="DengXian"/>
          <w:lang w:eastAsia="hr-HR"/>
        </w:rPr>
        <w:t xml:space="preserve"> respectively, while men predominate among the </w:t>
      </w:r>
      <w:r w:rsidR="0031432C" w:rsidRPr="0031432C">
        <w:rPr>
          <w:rFonts w:eastAsia="DengXian"/>
          <w:bCs/>
          <w:lang w:eastAsia="hr-HR"/>
        </w:rPr>
        <w:t xml:space="preserve">perpetrators </w:t>
      </w:r>
      <w:r w:rsidR="0031432C" w:rsidRPr="0031432C">
        <w:rPr>
          <w:rFonts w:eastAsia="DengXian"/>
          <w:lang w:eastAsia="hr-HR"/>
        </w:rPr>
        <w:t>(92</w:t>
      </w:r>
      <w:r w:rsidR="00CD09FB">
        <w:rPr>
          <w:rFonts w:eastAsia="DengXian"/>
          <w:lang w:eastAsia="hr-HR"/>
        </w:rPr>
        <w:t xml:space="preserve"> per cent</w:t>
      </w:r>
      <w:r w:rsidR="0031432C" w:rsidRPr="0031432C">
        <w:rPr>
          <w:rFonts w:eastAsia="DengXian"/>
          <w:lang w:eastAsia="hr-HR"/>
        </w:rPr>
        <w:t xml:space="preserve"> of all perpetrators).</w:t>
      </w:r>
      <w:r w:rsidR="0031432C" w:rsidRPr="0031432C">
        <w:rPr>
          <w:rFonts w:eastAsia="DengXian"/>
          <w:sz w:val="18"/>
          <w:vertAlign w:val="superscript"/>
          <w:lang w:eastAsia="hr-HR"/>
        </w:rPr>
        <w:footnoteReference w:id="42"/>
      </w:r>
      <w:proofErr w:type="gramEnd"/>
    </w:p>
    <w:p w14:paraId="0E842A33" w14:textId="2311C9E8" w:rsidR="0031432C" w:rsidRPr="0031432C" w:rsidRDefault="00CF23F7" w:rsidP="00B03C86">
      <w:pPr>
        <w:pStyle w:val="SingleTxtG"/>
        <w:rPr>
          <w:rFonts w:eastAsia="DengXian"/>
          <w:lang w:eastAsia="hr-HR"/>
        </w:rPr>
      </w:pPr>
      <w:proofErr w:type="gramStart"/>
      <w:r>
        <w:rPr>
          <w:rFonts w:eastAsia="DengXian"/>
          <w:lang w:eastAsia="hr-HR"/>
        </w:rPr>
        <w:t>70.</w:t>
      </w:r>
      <w:r>
        <w:rPr>
          <w:rFonts w:eastAsia="DengXian"/>
          <w:lang w:eastAsia="hr-HR"/>
        </w:rPr>
        <w:tab/>
      </w:r>
      <w:r w:rsidR="0031432C" w:rsidRPr="0031432C">
        <w:rPr>
          <w:rFonts w:eastAsia="DengXian"/>
          <w:lang w:eastAsia="hr-HR"/>
        </w:rPr>
        <w:t xml:space="preserve">The 2005 Act on </w:t>
      </w:r>
      <w:r w:rsidR="00FA476C">
        <w:rPr>
          <w:rFonts w:eastAsia="DengXian"/>
          <w:lang w:eastAsia="hr-HR"/>
        </w:rPr>
        <w:t xml:space="preserve">the </w:t>
      </w:r>
      <w:r w:rsidR="0031432C" w:rsidRPr="0031432C">
        <w:rPr>
          <w:rFonts w:eastAsia="DengXian"/>
          <w:lang w:eastAsia="hr-HR"/>
        </w:rPr>
        <w:t>Preventi</w:t>
      </w:r>
      <w:r w:rsidR="00403B00">
        <w:rPr>
          <w:rFonts w:eastAsia="DengXian"/>
          <w:lang w:eastAsia="hr-HR"/>
        </w:rPr>
        <w:t>on</w:t>
      </w:r>
      <w:r w:rsidR="0031432C" w:rsidRPr="0031432C">
        <w:rPr>
          <w:rFonts w:eastAsia="DengXian"/>
          <w:lang w:eastAsia="hr-HR"/>
        </w:rPr>
        <w:t xml:space="preserve"> </w:t>
      </w:r>
      <w:r w:rsidR="00403B00">
        <w:rPr>
          <w:rFonts w:eastAsia="DengXian"/>
          <w:lang w:eastAsia="hr-HR"/>
        </w:rPr>
        <w:t>of</w:t>
      </w:r>
      <w:r w:rsidR="00B15A85">
        <w:rPr>
          <w:rFonts w:eastAsia="DengXian"/>
          <w:lang w:eastAsia="hr-HR"/>
        </w:rPr>
        <w:t xml:space="preserve"> </w:t>
      </w:r>
      <w:r w:rsidR="0031432C" w:rsidRPr="0031432C">
        <w:rPr>
          <w:rFonts w:eastAsia="DengXian"/>
          <w:lang w:eastAsia="hr-HR"/>
        </w:rPr>
        <w:t>Violence</w:t>
      </w:r>
      <w:r w:rsidR="00403B00">
        <w:rPr>
          <w:rFonts w:eastAsia="DengXian"/>
          <w:lang w:eastAsia="hr-HR"/>
        </w:rPr>
        <w:t xml:space="preserve"> in </w:t>
      </w:r>
      <w:r w:rsidR="00FA476C">
        <w:rPr>
          <w:rFonts w:eastAsia="DengXian"/>
          <w:lang w:eastAsia="hr-HR"/>
        </w:rPr>
        <w:t xml:space="preserve">the </w:t>
      </w:r>
      <w:r w:rsidR="00403B00">
        <w:rPr>
          <w:rFonts w:eastAsia="DengXian"/>
          <w:lang w:eastAsia="hr-HR"/>
        </w:rPr>
        <w:t>Family</w:t>
      </w:r>
      <w:r w:rsidR="0031432C" w:rsidRPr="0031432C">
        <w:rPr>
          <w:rFonts w:eastAsia="DengXian"/>
          <w:lang w:eastAsia="hr-HR"/>
        </w:rPr>
        <w:t>, with further amendments</w:t>
      </w:r>
      <w:r w:rsidR="00223DBE">
        <w:rPr>
          <w:rFonts w:eastAsia="DengXian"/>
          <w:lang w:eastAsia="hr-HR"/>
        </w:rPr>
        <w:t xml:space="preserve"> made</w:t>
      </w:r>
      <w:r w:rsidR="0031432C" w:rsidRPr="0031432C">
        <w:rPr>
          <w:rFonts w:eastAsia="DengXian"/>
          <w:lang w:eastAsia="hr-HR"/>
        </w:rPr>
        <w:t xml:space="preserve"> in 2010</w:t>
      </w:r>
      <w:r w:rsidR="00223DBE">
        <w:rPr>
          <w:rFonts w:eastAsia="DengXian"/>
          <w:lang w:eastAsia="hr-HR"/>
        </w:rPr>
        <w:t>,</w:t>
      </w:r>
      <w:r w:rsidR="0031432C" w:rsidRPr="0031432C">
        <w:rPr>
          <w:rFonts w:eastAsia="DengXian"/>
          <w:lang w:eastAsia="hr-HR"/>
        </w:rPr>
        <w:t xml:space="preserve"> and the Programme to Combat Family Violence 2014</w:t>
      </w:r>
      <w:r w:rsidR="00FA476C">
        <w:rPr>
          <w:rFonts w:ascii="Arial" w:hAnsi="Arial" w:cs="Arial"/>
          <w:color w:val="222222"/>
          <w:sz w:val="21"/>
          <w:szCs w:val="21"/>
          <w:shd w:val="clear" w:color="auto" w:fill="FFFFFF"/>
        </w:rPr>
        <w:t>–</w:t>
      </w:r>
      <w:r w:rsidR="0031432C" w:rsidRPr="0031432C">
        <w:rPr>
          <w:rFonts w:eastAsia="DengXian"/>
          <w:lang w:eastAsia="hr-HR"/>
        </w:rPr>
        <w:t>2020</w:t>
      </w:r>
      <w:r w:rsidR="00FA476C">
        <w:rPr>
          <w:rFonts w:eastAsia="DengXian"/>
          <w:lang w:eastAsia="hr-HR"/>
        </w:rPr>
        <w:t>,</w:t>
      </w:r>
      <w:r w:rsidR="0031432C" w:rsidRPr="0031432C">
        <w:rPr>
          <w:rFonts w:eastAsia="DengXian"/>
          <w:lang w:eastAsia="hr-HR"/>
        </w:rPr>
        <w:t xml:space="preserve"> provide a comprehensive framework for the prevention of family violence and protection</w:t>
      </w:r>
      <w:r w:rsidR="004B146A">
        <w:rPr>
          <w:rFonts w:eastAsia="DengXian"/>
          <w:lang w:eastAsia="hr-HR"/>
        </w:rPr>
        <w:t xml:space="preserve"> of</w:t>
      </w:r>
      <w:r w:rsidR="0031432C" w:rsidRPr="0031432C">
        <w:rPr>
          <w:rFonts w:eastAsia="DengXian"/>
          <w:lang w:eastAsia="hr-HR"/>
        </w:rPr>
        <w:t xml:space="preserve"> and assistance to the victims/survivors, including legal, medical and psychological support, crisis intervention, provision of shelters and assistance in finding accommodation, as well as the possibility of isolating the perpetrator from the common dwelling.</w:t>
      </w:r>
      <w:proofErr w:type="gramEnd"/>
      <w:r w:rsidR="0031432C" w:rsidRPr="0031432C">
        <w:rPr>
          <w:rFonts w:eastAsia="DengXian"/>
          <w:lang w:eastAsia="hr-HR"/>
        </w:rPr>
        <w:t xml:space="preserve"> </w:t>
      </w:r>
      <w:r w:rsidR="00223DBE">
        <w:rPr>
          <w:rFonts w:eastAsia="DengXian"/>
          <w:lang w:eastAsia="hr-HR"/>
        </w:rPr>
        <w:t>They</w:t>
      </w:r>
      <w:r w:rsidR="0031432C" w:rsidRPr="0031432C">
        <w:rPr>
          <w:rFonts w:eastAsia="DengXian"/>
          <w:lang w:eastAsia="hr-HR"/>
        </w:rPr>
        <w:t xml:space="preserve"> also provide for correctional and educational measures for the perpetrator and professional training </w:t>
      </w:r>
      <w:r w:rsidR="004B146A">
        <w:rPr>
          <w:rFonts w:eastAsia="DengXian"/>
          <w:lang w:eastAsia="hr-HR"/>
        </w:rPr>
        <w:t>for</w:t>
      </w:r>
      <w:r w:rsidR="0031432C" w:rsidRPr="0031432C">
        <w:rPr>
          <w:rFonts w:eastAsia="DengXian"/>
          <w:lang w:eastAsia="hr-HR"/>
        </w:rPr>
        <w:t xml:space="preserve"> those involved in dealing with domestic violence. Local authorities are also required to assume certain responsibilities to counteract domestic violence and protect victims.</w:t>
      </w:r>
    </w:p>
    <w:p w14:paraId="7F53920F" w14:textId="4F0C619A" w:rsidR="0031432C" w:rsidRPr="0031432C" w:rsidRDefault="00CF23F7" w:rsidP="0031432C">
      <w:pPr>
        <w:pStyle w:val="SingleTxtG"/>
        <w:rPr>
          <w:rFonts w:eastAsia="DengXian"/>
          <w:lang w:eastAsia="hr-HR"/>
        </w:rPr>
      </w:pPr>
      <w:r>
        <w:rPr>
          <w:rFonts w:eastAsia="DengXian"/>
          <w:lang w:eastAsia="hr-HR"/>
        </w:rPr>
        <w:t>71.</w:t>
      </w:r>
      <w:r>
        <w:rPr>
          <w:rFonts w:eastAsia="DengXian"/>
          <w:lang w:eastAsia="hr-HR"/>
        </w:rPr>
        <w:tab/>
      </w:r>
      <w:r w:rsidR="0031432C" w:rsidRPr="0031432C">
        <w:rPr>
          <w:rFonts w:eastAsia="DengXian"/>
          <w:lang w:eastAsia="hr-HR"/>
        </w:rPr>
        <w:t xml:space="preserve">The Act, however, does not fully reflect the gendered nature of family violence and is not yet fully compliant with the Istanbul Convention in terms of the scope of the protected persons and </w:t>
      </w:r>
      <w:r w:rsidR="0058434D">
        <w:rPr>
          <w:rFonts w:eastAsia="DengXian"/>
          <w:lang w:eastAsia="hr-HR"/>
        </w:rPr>
        <w:t xml:space="preserve">the </w:t>
      </w:r>
      <w:r w:rsidR="0031432C" w:rsidRPr="0031432C">
        <w:rPr>
          <w:rFonts w:eastAsia="DengXian"/>
          <w:lang w:eastAsia="hr-HR"/>
        </w:rPr>
        <w:t xml:space="preserve">types of violence covered. </w:t>
      </w:r>
      <w:proofErr w:type="gramStart"/>
      <w:r w:rsidR="0031432C" w:rsidRPr="0031432C">
        <w:rPr>
          <w:rFonts w:eastAsia="DengXian"/>
          <w:lang w:eastAsia="hr-HR"/>
        </w:rPr>
        <w:t xml:space="preserve">The Act defines the protected person as a family member, understood as the nearest relative within the understanding of </w:t>
      </w:r>
      <w:r w:rsidR="0047503E">
        <w:rPr>
          <w:rFonts w:eastAsia="DengXian"/>
          <w:lang w:eastAsia="hr-HR"/>
        </w:rPr>
        <w:t>a</w:t>
      </w:r>
      <w:r w:rsidR="0031432C" w:rsidRPr="0031432C">
        <w:rPr>
          <w:rFonts w:eastAsia="DengXian"/>
          <w:lang w:eastAsia="hr-HR"/>
        </w:rPr>
        <w:t>rticle 115 (11) of the Criminal Code</w:t>
      </w:r>
      <w:r w:rsidR="0058434D">
        <w:rPr>
          <w:rFonts w:eastAsia="DengXian"/>
          <w:lang w:eastAsia="hr-HR"/>
        </w:rPr>
        <w:t>,</w:t>
      </w:r>
      <w:r w:rsidR="0031432C" w:rsidRPr="0031432C">
        <w:rPr>
          <w:rFonts w:eastAsia="DengXian"/>
          <w:vertAlign w:val="superscript"/>
          <w:lang w:eastAsia="hr-HR"/>
        </w:rPr>
        <w:footnoteReference w:id="43"/>
      </w:r>
      <w:r w:rsidR="0031432C" w:rsidRPr="0031432C">
        <w:rPr>
          <w:rFonts w:eastAsia="DengXian"/>
          <w:lang w:eastAsia="hr-HR"/>
        </w:rPr>
        <w:t xml:space="preserve"> and those sharing </w:t>
      </w:r>
      <w:r w:rsidR="00223DBE">
        <w:rPr>
          <w:rFonts w:eastAsia="DengXian"/>
          <w:lang w:eastAsia="hr-HR"/>
        </w:rPr>
        <w:t xml:space="preserve">a </w:t>
      </w:r>
      <w:r w:rsidR="0031432C" w:rsidRPr="0031432C">
        <w:rPr>
          <w:rFonts w:eastAsia="DengXian"/>
          <w:lang w:eastAsia="hr-HR"/>
        </w:rPr>
        <w:t>residence or household, while</w:t>
      </w:r>
      <w:r w:rsidR="0058434D">
        <w:rPr>
          <w:rFonts w:eastAsia="DengXian"/>
          <w:lang w:eastAsia="hr-HR"/>
        </w:rPr>
        <w:t xml:space="preserve"> article 3 of</w:t>
      </w:r>
      <w:r w:rsidR="0031432C" w:rsidRPr="0031432C">
        <w:rPr>
          <w:rFonts w:eastAsia="DengXian"/>
          <w:lang w:eastAsia="hr-HR"/>
        </w:rPr>
        <w:t xml:space="preserve"> the Convention includes former or current spouses or partners, whether or not the perpetrator shares or has shared the same residence with the victim.</w:t>
      </w:r>
      <w:proofErr w:type="gramEnd"/>
      <w:r w:rsidR="0031432C" w:rsidRPr="0031432C">
        <w:rPr>
          <w:rFonts w:eastAsia="DengXian"/>
          <w:lang w:eastAsia="hr-HR"/>
        </w:rPr>
        <w:t xml:space="preserve"> Furthermore, the Act currently does not include protection against economic violence as required </w:t>
      </w:r>
      <w:r w:rsidR="0058434D">
        <w:rPr>
          <w:rFonts w:eastAsia="DengXian"/>
          <w:lang w:eastAsia="hr-HR"/>
        </w:rPr>
        <w:t>under the same article of</w:t>
      </w:r>
      <w:r w:rsidR="0031432C" w:rsidRPr="0031432C">
        <w:rPr>
          <w:rFonts w:eastAsia="DengXian"/>
          <w:lang w:eastAsia="hr-HR"/>
        </w:rPr>
        <w:t xml:space="preserve"> the Convention.</w:t>
      </w:r>
    </w:p>
    <w:p w14:paraId="441737BE" w14:textId="3EE20F95" w:rsidR="0031432C" w:rsidRPr="0031432C" w:rsidRDefault="00CF23F7" w:rsidP="0031432C">
      <w:pPr>
        <w:pStyle w:val="SingleTxtG"/>
        <w:rPr>
          <w:rFonts w:eastAsia="DengXian"/>
          <w:lang w:eastAsia="hr-HR"/>
        </w:rPr>
      </w:pPr>
      <w:r>
        <w:rPr>
          <w:rFonts w:eastAsia="DengXian"/>
          <w:lang w:eastAsia="hr-HR"/>
        </w:rPr>
        <w:t>72.</w:t>
      </w:r>
      <w:r>
        <w:rPr>
          <w:rFonts w:eastAsia="DengXian"/>
          <w:lang w:eastAsia="hr-HR"/>
        </w:rPr>
        <w:tab/>
      </w:r>
      <w:r w:rsidR="00B15A85">
        <w:rPr>
          <w:rFonts w:eastAsia="DengXian"/>
          <w:lang w:eastAsia="hr-HR"/>
        </w:rPr>
        <w:t xml:space="preserve">The Act institutes the </w:t>
      </w:r>
      <w:r w:rsidR="006555D5">
        <w:rPr>
          <w:rFonts w:eastAsia="DengXian"/>
          <w:lang w:eastAsia="hr-HR"/>
        </w:rPr>
        <w:t>“</w:t>
      </w:r>
      <w:r w:rsidR="0031432C" w:rsidRPr="0031432C">
        <w:rPr>
          <w:rFonts w:eastAsia="DengXian"/>
          <w:lang w:eastAsia="hr-HR"/>
        </w:rPr>
        <w:t>Blue Card</w:t>
      </w:r>
      <w:r w:rsidR="006555D5">
        <w:rPr>
          <w:rFonts w:eastAsia="DengXian"/>
          <w:lang w:eastAsia="hr-HR"/>
        </w:rPr>
        <w:t>”</w:t>
      </w:r>
      <w:r w:rsidR="0031432C" w:rsidRPr="0031432C">
        <w:rPr>
          <w:rFonts w:eastAsia="DengXian"/>
          <w:lang w:eastAsia="hr-HR"/>
        </w:rPr>
        <w:t xml:space="preserve"> procedure, which involves a multidisciplinary approach and actions by </w:t>
      </w:r>
      <w:r w:rsidR="000A24D0">
        <w:rPr>
          <w:rFonts w:eastAsia="DengXian"/>
          <w:lang w:eastAsia="hr-HR"/>
        </w:rPr>
        <w:t>various</w:t>
      </w:r>
      <w:r w:rsidR="000A24D0" w:rsidRPr="0031432C">
        <w:rPr>
          <w:rFonts w:eastAsia="DengXian"/>
          <w:lang w:eastAsia="hr-HR"/>
        </w:rPr>
        <w:t xml:space="preserve"> </w:t>
      </w:r>
      <w:r w:rsidR="0031432C" w:rsidRPr="0031432C">
        <w:rPr>
          <w:rFonts w:eastAsia="DengXian"/>
          <w:lang w:eastAsia="hr-HR"/>
        </w:rPr>
        <w:t xml:space="preserve">relevant bodies, </w:t>
      </w:r>
      <w:r w:rsidR="0031432C" w:rsidRPr="0031432C">
        <w:rPr>
          <w:rFonts w:eastAsia="DengXian"/>
          <w:lang w:eastAsia="zh-CN"/>
        </w:rPr>
        <w:t>including the police, education institutions, health</w:t>
      </w:r>
      <w:r w:rsidR="00223DBE">
        <w:rPr>
          <w:rFonts w:eastAsia="DengXian"/>
          <w:lang w:eastAsia="zh-CN"/>
        </w:rPr>
        <w:t>-</w:t>
      </w:r>
      <w:r w:rsidR="0031432C" w:rsidRPr="0031432C">
        <w:rPr>
          <w:rFonts w:eastAsia="DengXian"/>
          <w:lang w:eastAsia="zh-CN"/>
        </w:rPr>
        <w:t xml:space="preserve">care institutions, social assistance and municipal committees. </w:t>
      </w:r>
      <w:r w:rsidR="0031432C" w:rsidRPr="0031432C">
        <w:rPr>
          <w:rFonts w:eastAsia="DengXian"/>
          <w:lang w:eastAsia="hr-HR"/>
        </w:rPr>
        <w:t>While the integrated multidisciplinary approach is commendable, the experts learned of problems in its implementation</w:t>
      </w:r>
      <w:r w:rsidR="00223DBE">
        <w:rPr>
          <w:rFonts w:eastAsia="DengXian"/>
          <w:lang w:eastAsia="hr-HR"/>
        </w:rPr>
        <w:t>,</w:t>
      </w:r>
      <w:r w:rsidR="0031432C" w:rsidRPr="0031432C">
        <w:rPr>
          <w:rFonts w:eastAsia="DengXian"/>
          <w:lang w:eastAsia="hr-HR"/>
        </w:rPr>
        <w:t xml:space="preserve"> including long delays in the civil proceedings for removing the perpetrator from the family dwelling. The </w:t>
      </w:r>
      <w:r w:rsidR="00115100">
        <w:rPr>
          <w:rFonts w:eastAsia="DengXian"/>
          <w:lang w:eastAsia="hr-HR"/>
        </w:rPr>
        <w:t xml:space="preserve">Working </w:t>
      </w:r>
      <w:r w:rsidR="0031432C" w:rsidRPr="0031432C">
        <w:rPr>
          <w:rFonts w:eastAsia="DengXian"/>
          <w:lang w:eastAsia="hr-HR"/>
        </w:rPr>
        <w:t xml:space="preserve">Group is pleased to learn from the Ministry of Justice about the action taken to modify the Code of Civil Procedure in order to introduce comprehensive solutions </w:t>
      </w:r>
      <w:r w:rsidR="000A24D0">
        <w:rPr>
          <w:rFonts w:eastAsia="DengXian"/>
          <w:lang w:eastAsia="hr-HR"/>
        </w:rPr>
        <w:t>for</w:t>
      </w:r>
      <w:r w:rsidR="0031432C" w:rsidRPr="0031432C">
        <w:rPr>
          <w:rFonts w:eastAsia="DengXian"/>
          <w:lang w:eastAsia="hr-HR"/>
        </w:rPr>
        <w:t xml:space="preserve"> the quick isolation of the abuser from the victim.</w:t>
      </w:r>
    </w:p>
    <w:p w14:paraId="49C25C40" w14:textId="3583C725" w:rsidR="0031432C" w:rsidRPr="0031432C" w:rsidRDefault="00CF23F7" w:rsidP="0031432C">
      <w:pPr>
        <w:pStyle w:val="SingleTxtG"/>
        <w:rPr>
          <w:rFonts w:eastAsia="DengXian"/>
          <w:lang w:eastAsia="hr-HR"/>
        </w:rPr>
      </w:pPr>
      <w:r>
        <w:rPr>
          <w:rFonts w:eastAsia="DengXian"/>
          <w:lang w:eastAsia="hr-HR"/>
        </w:rPr>
        <w:lastRenderedPageBreak/>
        <w:t>73.</w:t>
      </w:r>
      <w:r>
        <w:rPr>
          <w:rFonts w:eastAsia="DengXian"/>
          <w:lang w:eastAsia="hr-HR"/>
        </w:rPr>
        <w:tab/>
      </w:r>
      <w:r w:rsidR="0031432C" w:rsidRPr="0031432C">
        <w:rPr>
          <w:rFonts w:eastAsia="DengXian"/>
          <w:lang w:eastAsia="hr-HR"/>
        </w:rPr>
        <w:t xml:space="preserve">Domestic violence is </w:t>
      </w:r>
      <w:r w:rsidR="008B0A6A">
        <w:rPr>
          <w:rFonts w:eastAsia="DengXian"/>
          <w:lang w:eastAsia="hr-HR"/>
        </w:rPr>
        <w:t xml:space="preserve">also </w:t>
      </w:r>
      <w:r w:rsidR="0031432C" w:rsidRPr="0031432C">
        <w:rPr>
          <w:rFonts w:eastAsia="DengXian"/>
          <w:lang w:eastAsia="hr-HR"/>
        </w:rPr>
        <w:t xml:space="preserve">proscribed in </w:t>
      </w:r>
      <w:r w:rsidR="00223DBE">
        <w:rPr>
          <w:rFonts w:eastAsia="DengXian"/>
          <w:lang w:eastAsia="hr-HR"/>
        </w:rPr>
        <w:t>article 207 (1</w:t>
      </w:r>
      <w:r w:rsidR="00223DBE">
        <w:rPr>
          <w:rFonts w:ascii="Arial" w:hAnsi="Arial" w:cs="Arial"/>
          <w:color w:val="222222"/>
          <w:sz w:val="21"/>
          <w:szCs w:val="21"/>
          <w:shd w:val="clear" w:color="auto" w:fill="FFFFFF"/>
        </w:rPr>
        <w:t>–</w:t>
      </w:r>
      <w:r w:rsidR="00223DBE">
        <w:rPr>
          <w:rFonts w:eastAsia="DengXian"/>
          <w:lang w:eastAsia="hr-HR"/>
        </w:rPr>
        <w:t xml:space="preserve">3) of </w:t>
      </w:r>
      <w:r w:rsidR="0031432C" w:rsidRPr="0031432C">
        <w:rPr>
          <w:rFonts w:eastAsia="DengXian"/>
          <w:lang w:eastAsia="hr-HR"/>
        </w:rPr>
        <w:t xml:space="preserve">the Criminal Code under the </w:t>
      </w:r>
      <w:r w:rsidR="00223DBE">
        <w:rPr>
          <w:rFonts w:eastAsia="DengXian"/>
          <w:lang w:eastAsia="hr-HR"/>
        </w:rPr>
        <w:t>c</w:t>
      </w:r>
      <w:r w:rsidR="0031432C" w:rsidRPr="0031432C">
        <w:rPr>
          <w:rFonts w:eastAsia="DengXian"/>
          <w:lang w:eastAsia="hr-HR"/>
        </w:rPr>
        <w:t>hapter on</w:t>
      </w:r>
      <w:r w:rsidR="00223DBE">
        <w:rPr>
          <w:rFonts w:eastAsia="DengXian"/>
          <w:lang w:eastAsia="hr-HR"/>
        </w:rPr>
        <w:t xml:space="preserve"> o</w:t>
      </w:r>
      <w:r w:rsidR="0031432C" w:rsidRPr="0031432C">
        <w:rPr>
          <w:rFonts w:eastAsia="DengXian"/>
          <w:lang w:eastAsia="hr-HR"/>
        </w:rPr>
        <w:t xml:space="preserve">ffences against </w:t>
      </w:r>
      <w:r w:rsidR="00223DBE">
        <w:rPr>
          <w:rFonts w:eastAsia="DengXian"/>
          <w:lang w:eastAsia="hr-HR"/>
        </w:rPr>
        <w:t xml:space="preserve">the </w:t>
      </w:r>
      <w:r w:rsidR="0031432C" w:rsidRPr="0031432C">
        <w:rPr>
          <w:rFonts w:eastAsia="DengXian"/>
          <w:lang w:eastAsia="hr-HR"/>
        </w:rPr>
        <w:t>family and guardianship</w:t>
      </w:r>
      <w:r w:rsidR="008B0A6A">
        <w:rPr>
          <w:rFonts w:eastAsia="DengXian"/>
          <w:lang w:eastAsia="hr-HR"/>
        </w:rPr>
        <w:t xml:space="preserve"> and can be dealt with un</w:t>
      </w:r>
      <w:r w:rsidR="00B15A85">
        <w:rPr>
          <w:rFonts w:eastAsia="DengXian"/>
          <w:lang w:eastAsia="hr-HR"/>
        </w:rPr>
        <w:t>der other provisions of the Code</w:t>
      </w:r>
      <w:r w:rsidR="0031432C" w:rsidRPr="0031432C">
        <w:rPr>
          <w:rFonts w:eastAsia="DengXian"/>
          <w:lang w:eastAsia="hr-HR"/>
        </w:rPr>
        <w:t xml:space="preserve">. </w:t>
      </w:r>
      <w:proofErr w:type="gramStart"/>
      <w:r w:rsidR="0031432C" w:rsidRPr="0031432C">
        <w:rPr>
          <w:rFonts w:eastAsia="DengXian"/>
          <w:lang w:eastAsia="hr-HR"/>
        </w:rPr>
        <w:t>In</w:t>
      </w:r>
      <w:r w:rsidR="000A24D0">
        <w:rPr>
          <w:rFonts w:eastAsia="DengXian"/>
          <w:lang w:eastAsia="hr-HR"/>
        </w:rPr>
        <w:t xml:space="preserve"> </w:t>
      </w:r>
      <w:r w:rsidR="000A24D0">
        <w:t>a</w:t>
      </w:r>
      <w:r w:rsidR="000A24D0" w:rsidRPr="00661F78">
        <w:t>rticle 275</w:t>
      </w:r>
      <w:r w:rsidR="000A24D0">
        <w:t xml:space="preserve"> (</w:t>
      </w:r>
      <w:r w:rsidR="000A24D0" w:rsidRPr="00661F78">
        <w:t>a</w:t>
      </w:r>
      <w:r w:rsidR="000A24D0">
        <w:t>) of</w:t>
      </w:r>
      <w:r w:rsidR="0031432C" w:rsidRPr="0031432C">
        <w:rPr>
          <w:rFonts w:eastAsia="DengXian"/>
          <w:lang w:eastAsia="hr-HR"/>
        </w:rPr>
        <w:t xml:space="preserve"> </w:t>
      </w:r>
      <w:r w:rsidR="008B0A6A">
        <w:rPr>
          <w:rFonts w:eastAsia="DengXian"/>
          <w:lang w:eastAsia="hr-HR"/>
        </w:rPr>
        <w:t xml:space="preserve">the </w:t>
      </w:r>
      <w:r w:rsidR="0031432C" w:rsidRPr="0031432C">
        <w:rPr>
          <w:rFonts w:eastAsia="DengXian"/>
          <w:lang w:eastAsia="hr-HR"/>
        </w:rPr>
        <w:t>2010 Code of Criminal Procedure</w:t>
      </w:r>
      <w:r w:rsidR="00223DBE">
        <w:rPr>
          <w:rFonts w:eastAsia="DengXian"/>
          <w:lang w:eastAsia="hr-HR"/>
        </w:rPr>
        <w:t>,</w:t>
      </w:r>
      <w:r w:rsidR="0031432C" w:rsidRPr="0031432C">
        <w:rPr>
          <w:rFonts w:eastAsia="DengXian"/>
          <w:lang w:eastAsia="hr-HR"/>
        </w:rPr>
        <w:t xml:space="preserve"> a precautionary measure was introduced, which allows</w:t>
      </w:r>
      <w:r w:rsidR="00223DBE">
        <w:rPr>
          <w:rFonts w:eastAsia="DengXian"/>
          <w:lang w:eastAsia="hr-HR"/>
        </w:rPr>
        <w:t xml:space="preserve"> for</w:t>
      </w:r>
      <w:r w:rsidR="0031432C" w:rsidRPr="0031432C">
        <w:rPr>
          <w:rFonts w:eastAsia="DengXian"/>
          <w:lang w:eastAsia="hr-HR"/>
        </w:rPr>
        <w:t xml:space="preserve"> ordering the accused of a violent offence against a person sharing the same residence to vacate the premise</w:t>
      </w:r>
      <w:r w:rsidR="00223DBE">
        <w:rPr>
          <w:rFonts w:eastAsia="DengXian"/>
          <w:lang w:eastAsia="hr-HR"/>
        </w:rPr>
        <w:t>s</w:t>
      </w:r>
      <w:r w:rsidR="0031432C" w:rsidRPr="0031432C">
        <w:rPr>
          <w:rFonts w:eastAsia="DengXian"/>
          <w:lang w:eastAsia="hr-HR"/>
        </w:rPr>
        <w:t xml:space="preserve"> for a period of no more than three months, extendable for up to three additional months upon request by the prosecutor, if there are reasonable grounds </w:t>
      </w:r>
      <w:r w:rsidR="000A24D0">
        <w:rPr>
          <w:rFonts w:eastAsia="DengXian"/>
          <w:lang w:eastAsia="hr-HR"/>
        </w:rPr>
        <w:t>for</w:t>
      </w:r>
      <w:r w:rsidR="0031432C" w:rsidRPr="0031432C">
        <w:rPr>
          <w:rFonts w:eastAsia="DengXian"/>
          <w:lang w:eastAsia="hr-HR"/>
        </w:rPr>
        <w:t xml:space="preserve"> believ</w:t>
      </w:r>
      <w:r w:rsidR="000A24D0">
        <w:rPr>
          <w:rFonts w:eastAsia="DengXian"/>
          <w:lang w:eastAsia="hr-HR"/>
        </w:rPr>
        <w:t>ing</w:t>
      </w:r>
      <w:r w:rsidR="0031432C" w:rsidRPr="0031432C">
        <w:rPr>
          <w:rFonts w:eastAsia="DengXian"/>
          <w:lang w:eastAsia="hr-HR"/>
        </w:rPr>
        <w:t xml:space="preserve"> that a violent offence may occur again.</w:t>
      </w:r>
      <w:proofErr w:type="gramEnd"/>
      <w:r w:rsidR="0031432C" w:rsidRPr="0031432C">
        <w:rPr>
          <w:rFonts w:eastAsia="DengXian"/>
          <w:lang w:eastAsia="hr-HR"/>
        </w:rPr>
        <w:t xml:space="preserve"> The experts learn</w:t>
      </w:r>
      <w:r w:rsidR="00223DBE">
        <w:rPr>
          <w:rFonts w:eastAsia="DengXian"/>
          <w:lang w:eastAsia="hr-HR"/>
        </w:rPr>
        <w:t>ed</w:t>
      </w:r>
      <w:r w:rsidR="0031432C" w:rsidRPr="0031432C">
        <w:rPr>
          <w:rFonts w:eastAsia="DengXian"/>
          <w:lang w:eastAsia="hr-HR"/>
        </w:rPr>
        <w:t xml:space="preserve"> that there is a low number of successful prosecutions for domestic violence and a high number of conditional sentences.</w:t>
      </w:r>
    </w:p>
    <w:p w14:paraId="4059D020" w14:textId="469CDA8F" w:rsidR="0031432C" w:rsidRPr="0031432C" w:rsidRDefault="00CF23F7" w:rsidP="0031432C">
      <w:pPr>
        <w:pStyle w:val="SingleTxtG"/>
        <w:rPr>
          <w:rFonts w:eastAsia="DengXian"/>
          <w:lang w:eastAsia="hr-HR"/>
        </w:rPr>
      </w:pPr>
      <w:r>
        <w:rPr>
          <w:rFonts w:eastAsia="DengXian"/>
          <w:lang w:eastAsia="hr-HR"/>
        </w:rPr>
        <w:t>74.</w:t>
      </w:r>
      <w:r>
        <w:rPr>
          <w:rFonts w:eastAsia="DengXian"/>
          <w:lang w:eastAsia="hr-HR"/>
        </w:rPr>
        <w:tab/>
      </w:r>
      <w:r w:rsidR="0031432C" w:rsidRPr="0031432C">
        <w:rPr>
          <w:rFonts w:eastAsia="DengXian"/>
          <w:lang w:eastAsia="hr-HR"/>
        </w:rPr>
        <w:t xml:space="preserve">The Working Group commends the allocation of </w:t>
      </w:r>
      <w:r w:rsidR="00960C76">
        <w:rPr>
          <w:rFonts w:eastAsia="DengXian"/>
          <w:lang w:eastAsia="hr-HR"/>
        </w:rPr>
        <w:t>S</w:t>
      </w:r>
      <w:r w:rsidR="0031432C" w:rsidRPr="0031432C">
        <w:rPr>
          <w:rFonts w:eastAsia="DengXian"/>
          <w:lang w:eastAsia="hr-HR"/>
        </w:rPr>
        <w:t xml:space="preserve">tate budget </w:t>
      </w:r>
      <w:r w:rsidR="00223DBE">
        <w:rPr>
          <w:rFonts w:eastAsia="DengXian"/>
          <w:lang w:eastAsia="hr-HR"/>
        </w:rPr>
        <w:t xml:space="preserve">funds </w:t>
      </w:r>
      <w:r w:rsidR="0031432C" w:rsidRPr="0031432C">
        <w:rPr>
          <w:rFonts w:eastAsia="DengXian"/>
          <w:lang w:eastAsia="hr-HR"/>
        </w:rPr>
        <w:t>for the establishment and maintenance of specialized support centres for victims of domestic violence, including a centre for migrant women. Currently</w:t>
      </w:r>
      <w:r w:rsidR="00223DBE">
        <w:rPr>
          <w:rFonts w:eastAsia="DengXian"/>
          <w:lang w:eastAsia="hr-HR"/>
        </w:rPr>
        <w:t>,</w:t>
      </w:r>
      <w:r w:rsidR="0031432C" w:rsidRPr="0031432C">
        <w:rPr>
          <w:rFonts w:eastAsia="DengXian"/>
          <w:lang w:eastAsia="hr-HR"/>
        </w:rPr>
        <w:t xml:space="preserve"> there are </w:t>
      </w:r>
      <w:proofErr w:type="gramStart"/>
      <w:r w:rsidR="0031432C" w:rsidRPr="0031432C">
        <w:rPr>
          <w:rFonts w:eastAsia="DengXian"/>
          <w:lang w:eastAsia="hr-HR"/>
        </w:rPr>
        <w:t>a total of 36</w:t>
      </w:r>
      <w:proofErr w:type="gramEnd"/>
      <w:r w:rsidR="0031432C" w:rsidRPr="0031432C">
        <w:rPr>
          <w:rFonts w:eastAsia="DengXian"/>
          <w:lang w:eastAsia="hr-HR"/>
        </w:rPr>
        <w:t xml:space="preserve"> such centres across the country, which provided services to a total of 8,558 people in 2017.</w:t>
      </w:r>
      <w:r w:rsidR="0031432C" w:rsidRPr="0031432C">
        <w:rPr>
          <w:rFonts w:eastAsia="DengXian"/>
          <w:vertAlign w:val="superscript"/>
          <w:lang w:eastAsia="hr-HR"/>
        </w:rPr>
        <w:footnoteReference w:id="44"/>
      </w:r>
      <w:r w:rsidR="0031432C" w:rsidRPr="0031432C">
        <w:rPr>
          <w:rFonts w:eastAsia="DengXian"/>
          <w:lang w:eastAsia="hr-HR"/>
        </w:rPr>
        <w:t xml:space="preserve"> Some interlocutors expressed concerns that the number </w:t>
      </w:r>
      <w:r w:rsidR="000A24D0">
        <w:rPr>
          <w:rFonts w:eastAsia="DengXian"/>
          <w:lang w:eastAsia="hr-HR"/>
        </w:rPr>
        <w:t xml:space="preserve">of centres </w:t>
      </w:r>
      <w:r w:rsidR="00223DBE">
        <w:rPr>
          <w:rFonts w:eastAsia="DengXian"/>
          <w:lang w:eastAsia="hr-HR"/>
        </w:rPr>
        <w:t>wa</w:t>
      </w:r>
      <w:r w:rsidR="0031432C" w:rsidRPr="0031432C">
        <w:rPr>
          <w:rFonts w:eastAsia="DengXian"/>
          <w:lang w:eastAsia="hr-HR"/>
        </w:rPr>
        <w:t xml:space="preserve">s not adequate, that there </w:t>
      </w:r>
      <w:r w:rsidR="00223DBE">
        <w:rPr>
          <w:rFonts w:eastAsia="DengXian"/>
          <w:lang w:eastAsia="hr-HR"/>
        </w:rPr>
        <w:t>wa</w:t>
      </w:r>
      <w:r w:rsidR="0031432C" w:rsidRPr="0031432C">
        <w:rPr>
          <w:rFonts w:eastAsia="DengXian"/>
          <w:lang w:eastAsia="hr-HR"/>
        </w:rPr>
        <w:t>s a lack of adequate support services</w:t>
      </w:r>
      <w:r w:rsidR="00223DBE">
        <w:rPr>
          <w:rFonts w:eastAsia="DengXian"/>
          <w:lang w:eastAsia="hr-HR"/>
        </w:rPr>
        <w:t xml:space="preserve">, and that the </w:t>
      </w:r>
      <w:r w:rsidR="0031432C" w:rsidRPr="0031432C">
        <w:rPr>
          <w:rFonts w:eastAsia="DengXian"/>
          <w:lang w:eastAsia="hr-HR"/>
        </w:rPr>
        <w:t>duration of the provision of accommodation in shelters</w:t>
      </w:r>
      <w:r w:rsidR="00223DBE">
        <w:rPr>
          <w:rFonts w:eastAsia="DengXian"/>
          <w:lang w:eastAsia="hr-HR"/>
        </w:rPr>
        <w:t xml:space="preserve"> was limited</w:t>
      </w:r>
      <w:r w:rsidR="0031432C" w:rsidRPr="0031432C">
        <w:rPr>
          <w:rFonts w:eastAsia="DengXian"/>
          <w:lang w:eastAsia="hr-HR"/>
        </w:rPr>
        <w:t>. The Commission</w:t>
      </w:r>
      <w:r w:rsidR="008C0A06">
        <w:rPr>
          <w:rFonts w:eastAsia="DengXian"/>
          <w:lang w:eastAsia="hr-HR"/>
        </w:rPr>
        <w:t>er</w:t>
      </w:r>
      <w:r w:rsidR="0031432C" w:rsidRPr="0031432C">
        <w:rPr>
          <w:rFonts w:eastAsia="DengXian"/>
          <w:lang w:eastAsia="hr-HR"/>
        </w:rPr>
        <w:t xml:space="preserve"> for Human Rights has pointed out the inadequacies in the national regulations, including the absence of gender-sensitive reference</w:t>
      </w:r>
      <w:r w:rsidR="00223DBE">
        <w:rPr>
          <w:rFonts w:eastAsia="DengXian"/>
          <w:lang w:eastAsia="hr-HR"/>
        </w:rPr>
        <w:t>s</w:t>
      </w:r>
      <w:r w:rsidR="0031432C" w:rsidRPr="0031432C">
        <w:rPr>
          <w:rFonts w:eastAsia="DengXian"/>
          <w:lang w:eastAsia="hr-HR"/>
        </w:rPr>
        <w:t xml:space="preserve"> to victims/survivors and inadequate support to those women who are marginalized due to disabilities, old age and migrant status.</w:t>
      </w:r>
    </w:p>
    <w:p w14:paraId="50924366" w14:textId="58BAF723" w:rsidR="0031432C" w:rsidRPr="0031432C" w:rsidRDefault="008C0A06" w:rsidP="0031432C">
      <w:pPr>
        <w:pStyle w:val="SingleTxtG"/>
        <w:rPr>
          <w:rFonts w:eastAsia="DengXian"/>
          <w:lang w:eastAsia="hr-HR"/>
        </w:rPr>
      </w:pPr>
      <w:r>
        <w:rPr>
          <w:rFonts w:eastAsia="DengXian"/>
          <w:lang w:eastAsia="hr-HR"/>
        </w:rPr>
        <w:t>75.</w:t>
      </w:r>
      <w:r>
        <w:rPr>
          <w:rFonts w:eastAsia="DengXian"/>
          <w:lang w:eastAsia="hr-HR"/>
        </w:rPr>
        <w:tab/>
        <w:t>T</w:t>
      </w:r>
      <w:r w:rsidR="0031432C" w:rsidRPr="0031432C">
        <w:rPr>
          <w:rFonts w:eastAsia="DengXian"/>
          <w:lang w:eastAsia="hr-HR"/>
        </w:rPr>
        <w:t>he Working Group learned that some key women’s rights organi</w:t>
      </w:r>
      <w:r w:rsidR="00DD7D8D">
        <w:rPr>
          <w:rFonts w:eastAsia="DengXian"/>
          <w:lang w:eastAsia="hr-HR"/>
        </w:rPr>
        <w:t>z</w:t>
      </w:r>
      <w:r w:rsidR="0031432C" w:rsidRPr="0031432C">
        <w:rPr>
          <w:rFonts w:eastAsia="DengXian"/>
          <w:lang w:eastAsia="hr-HR"/>
        </w:rPr>
        <w:t>ations with</w:t>
      </w:r>
      <w:r w:rsidR="00D61789">
        <w:rPr>
          <w:rFonts w:eastAsia="DengXian"/>
          <w:lang w:eastAsia="hr-HR"/>
        </w:rPr>
        <w:t xml:space="preserve"> a</w:t>
      </w:r>
      <w:r w:rsidR="0031432C" w:rsidRPr="0031432C">
        <w:rPr>
          <w:rFonts w:eastAsia="DengXian"/>
          <w:lang w:eastAsia="hr-HR"/>
        </w:rPr>
        <w:t xml:space="preserve"> long</w:t>
      </w:r>
      <w:r w:rsidR="00C940EF">
        <w:rPr>
          <w:rFonts w:eastAsia="DengXian"/>
          <w:lang w:eastAsia="hr-HR"/>
        </w:rPr>
        <w:t>-</w:t>
      </w:r>
      <w:r w:rsidR="0031432C" w:rsidRPr="0031432C">
        <w:rPr>
          <w:rFonts w:eastAsia="DengXian"/>
          <w:lang w:eastAsia="hr-HR"/>
        </w:rPr>
        <w:t>standing record of assisting victims/survivors of domestic violence have seen their funding cut in recent years</w:t>
      </w:r>
      <w:r w:rsidR="00F02398">
        <w:rPr>
          <w:rFonts w:eastAsia="DengXian"/>
          <w:lang w:eastAsia="hr-HR"/>
        </w:rPr>
        <w:t>, which</w:t>
      </w:r>
      <w:r w:rsidR="00444824">
        <w:rPr>
          <w:rFonts w:eastAsia="DengXian"/>
          <w:lang w:eastAsia="hr-HR"/>
        </w:rPr>
        <w:t xml:space="preserve"> </w:t>
      </w:r>
      <w:r w:rsidR="00444824" w:rsidRPr="00444824">
        <w:rPr>
          <w:rFonts w:eastAsia="DengXian"/>
          <w:lang w:eastAsia="hr-HR"/>
        </w:rPr>
        <w:t>might undermine the whole system of protection</w:t>
      </w:r>
      <w:r w:rsidR="00444824">
        <w:rPr>
          <w:rFonts w:eastAsia="DengXian"/>
          <w:lang w:eastAsia="hr-HR"/>
        </w:rPr>
        <w:t>.</w:t>
      </w:r>
      <w:r w:rsidR="00444824" w:rsidRPr="00444824">
        <w:rPr>
          <w:rFonts w:eastAsia="DengXian"/>
          <w:lang w:eastAsia="hr-HR"/>
        </w:rPr>
        <w:t xml:space="preserve"> </w:t>
      </w:r>
      <w:r w:rsidR="0031432C" w:rsidRPr="0031432C">
        <w:rPr>
          <w:rFonts w:eastAsia="DengXian"/>
          <w:lang w:eastAsia="hr-HR"/>
        </w:rPr>
        <w:t xml:space="preserve">The experts appreciate the additional documentation </w:t>
      </w:r>
      <w:r w:rsidR="00D61789">
        <w:rPr>
          <w:rFonts w:eastAsia="DengXian"/>
          <w:lang w:eastAsia="hr-HR"/>
        </w:rPr>
        <w:t>that</w:t>
      </w:r>
      <w:r w:rsidR="00D61789" w:rsidRPr="0031432C">
        <w:rPr>
          <w:rFonts w:eastAsia="DengXian"/>
          <w:lang w:eastAsia="hr-HR"/>
        </w:rPr>
        <w:t xml:space="preserve"> </w:t>
      </w:r>
      <w:r w:rsidR="0031432C" w:rsidRPr="0031432C">
        <w:rPr>
          <w:rFonts w:eastAsia="DengXian"/>
          <w:lang w:eastAsia="hr-HR"/>
        </w:rPr>
        <w:t xml:space="preserve">the Government has submitted </w:t>
      </w:r>
      <w:r w:rsidR="00D61789">
        <w:rPr>
          <w:rFonts w:eastAsia="DengXian"/>
          <w:lang w:eastAsia="hr-HR"/>
        </w:rPr>
        <w:t>after</w:t>
      </w:r>
      <w:r w:rsidR="0031432C" w:rsidRPr="0031432C">
        <w:rPr>
          <w:rFonts w:eastAsia="DengXian"/>
          <w:lang w:eastAsia="hr-HR"/>
        </w:rPr>
        <w:t xml:space="preserve"> the visit to demonstrate its position that it runs an open and transparent tender process using objective assessment cri</w:t>
      </w:r>
      <w:r w:rsidR="00021C69">
        <w:rPr>
          <w:rFonts w:eastAsia="DengXian"/>
          <w:lang w:eastAsia="hr-HR"/>
        </w:rPr>
        <w:t>teria for its Victims’ Aid and P</w:t>
      </w:r>
      <w:r w:rsidR="0031432C" w:rsidRPr="0031432C">
        <w:rPr>
          <w:rFonts w:eastAsia="DengXian"/>
          <w:lang w:eastAsia="hr-HR"/>
        </w:rPr>
        <w:t>ost-penitentiary Aid Fund (</w:t>
      </w:r>
      <w:r w:rsidR="00D61789">
        <w:rPr>
          <w:rFonts w:eastAsia="DengXian"/>
          <w:lang w:eastAsia="hr-HR"/>
        </w:rPr>
        <w:t xml:space="preserve">the </w:t>
      </w:r>
      <w:r w:rsidR="0031432C" w:rsidRPr="0031432C">
        <w:rPr>
          <w:rFonts w:eastAsia="DengXian"/>
          <w:lang w:eastAsia="hr-HR"/>
        </w:rPr>
        <w:t xml:space="preserve">Justice Fund), which makes </w:t>
      </w:r>
      <w:r w:rsidR="00403B00">
        <w:rPr>
          <w:rFonts w:eastAsia="DengXian"/>
          <w:lang w:eastAsia="hr-HR"/>
        </w:rPr>
        <w:t xml:space="preserve">increasing and </w:t>
      </w:r>
      <w:r w:rsidR="0031432C" w:rsidRPr="0031432C">
        <w:rPr>
          <w:rFonts w:eastAsia="DengXian"/>
          <w:lang w:eastAsia="hr-HR"/>
        </w:rPr>
        <w:t>significant financial allocations to assist victim</w:t>
      </w:r>
      <w:r w:rsidR="00D61789">
        <w:rPr>
          <w:rFonts w:eastAsia="DengXian"/>
          <w:lang w:eastAsia="hr-HR"/>
        </w:rPr>
        <w:t>s</w:t>
      </w:r>
      <w:r w:rsidR="0031432C" w:rsidRPr="0031432C">
        <w:rPr>
          <w:rFonts w:eastAsia="DengXian"/>
          <w:lang w:eastAsia="hr-HR"/>
        </w:rPr>
        <w:t xml:space="preserve">, witnesses and their closest relatives. </w:t>
      </w:r>
    </w:p>
    <w:p w14:paraId="16308FDA" w14:textId="77777777" w:rsidR="0031432C" w:rsidRPr="0031432C" w:rsidRDefault="00B03C86" w:rsidP="00B03C86">
      <w:pPr>
        <w:pStyle w:val="H1G"/>
        <w:rPr>
          <w:rFonts w:eastAsia="DengXian"/>
          <w:lang w:eastAsia="zh-CN"/>
        </w:rPr>
      </w:pPr>
      <w:r>
        <w:rPr>
          <w:rFonts w:eastAsia="DengXian"/>
          <w:lang w:eastAsia="zh-CN"/>
        </w:rPr>
        <w:tab/>
        <w:t>B.</w:t>
      </w:r>
      <w:r>
        <w:rPr>
          <w:rFonts w:eastAsia="DengXian"/>
          <w:lang w:eastAsia="zh-CN"/>
        </w:rPr>
        <w:tab/>
      </w:r>
      <w:r w:rsidR="0031432C" w:rsidRPr="0031432C">
        <w:rPr>
          <w:rFonts w:eastAsia="DengXian"/>
          <w:lang w:eastAsia="zh-CN"/>
        </w:rPr>
        <w:t>Sexual violence</w:t>
      </w:r>
    </w:p>
    <w:p w14:paraId="600B51F8" w14:textId="2F20DD61" w:rsidR="0031432C" w:rsidRPr="0031432C" w:rsidRDefault="00CF23F7" w:rsidP="0031432C">
      <w:pPr>
        <w:pStyle w:val="SingleTxtG"/>
        <w:rPr>
          <w:rFonts w:eastAsia="DengXian"/>
          <w:lang w:eastAsia="zh-CN"/>
        </w:rPr>
      </w:pPr>
      <w:r>
        <w:rPr>
          <w:rFonts w:eastAsia="DengXian"/>
          <w:lang w:eastAsia="zh-CN"/>
        </w:rPr>
        <w:t>76.</w:t>
      </w:r>
      <w:r>
        <w:rPr>
          <w:rFonts w:eastAsia="DengXian"/>
          <w:lang w:eastAsia="zh-CN"/>
        </w:rPr>
        <w:tab/>
      </w:r>
      <w:r w:rsidR="0031432C" w:rsidRPr="0031432C">
        <w:rPr>
          <w:rFonts w:eastAsia="DengXian"/>
          <w:lang w:eastAsia="zh-CN"/>
        </w:rPr>
        <w:t>The experts note that the Government has taken measures to improve legislation in the area of sexual violence. The Code of Criminal Proce</w:t>
      </w:r>
      <w:r w:rsidR="00D61789">
        <w:rPr>
          <w:rFonts w:eastAsia="DengXian"/>
          <w:lang w:eastAsia="zh-CN"/>
        </w:rPr>
        <w:t>dure</w:t>
      </w:r>
      <w:r w:rsidR="0031432C" w:rsidRPr="0031432C">
        <w:rPr>
          <w:rFonts w:eastAsia="DengXian"/>
          <w:lang w:eastAsia="zh-CN"/>
        </w:rPr>
        <w:t xml:space="preserve"> was amended to introduce prosecution ex officio of sexual offences and provide for special hearing procedures for victims of sexual violence, aimed at minimi</w:t>
      </w:r>
      <w:r w:rsidR="00571C16">
        <w:rPr>
          <w:rFonts w:eastAsia="DengXian"/>
          <w:lang w:eastAsia="zh-CN"/>
        </w:rPr>
        <w:t>z</w:t>
      </w:r>
      <w:r w:rsidR="0031432C" w:rsidRPr="0031432C">
        <w:rPr>
          <w:rFonts w:eastAsia="DengXian"/>
          <w:lang w:eastAsia="zh-CN"/>
        </w:rPr>
        <w:t xml:space="preserve">ing their </w:t>
      </w:r>
      <w:proofErr w:type="spellStart"/>
      <w:r w:rsidR="0031432C" w:rsidRPr="0031432C">
        <w:rPr>
          <w:rFonts w:eastAsia="DengXian"/>
          <w:lang w:eastAsia="zh-CN"/>
        </w:rPr>
        <w:t>revictimi</w:t>
      </w:r>
      <w:r w:rsidR="00D61789">
        <w:rPr>
          <w:rFonts w:eastAsia="DengXian"/>
          <w:lang w:eastAsia="zh-CN"/>
        </w:rPr>
        <w:t>z</w:t>
      </w:r>
      <w:r w:rsidR="0031432C" w:rsidRPr="0031432C">
        <w:rPr>
          <w:rFonts w:eastAsia="DengXian"/>
          <w:lang w:eastAsia="zh-CN"/>
        </w:rPr>
        <w:t>ation</w:t>
      </w:r>
      <w:proofErr w:type="spellEnd"/>
      <w:r w:rsidR="00D61789">
        <w:rPr>
          <w:rFonts w:eastAsia="DengXian"/>
          <w:lang w:eastAsia="zh-CN"/>
        </w:rPr>
        <w:t>,</w:t>
      </w:r>
      <w:r w:rsidR="0031432C" w:rsidRPr="0031432C">
        <w:rPr>
          <w:rFonts w:eastAsia="DengXian"/>
          <w:lang w:eastAsia="zh-CN"/>
        </w:rPr>
        <w:t xml:space="preserve"> ensuring the questioning of victims only once throughout the proceedings in a supporting environment with the presence of a psychologist. However, the rules do not specify the time</w:t>
      </w:r>
      <w:r w:rsidR="00D61789">
        <w:rPr>
          <w:rFonts w:eastAsia="DengXian"/>
          <w:lang w:eastAsia="zh-CN"/>
        </w:rPr>
        <w:t xml:space="preserve"> </w:t>
      </w:r>
      <w:r w:rsidR="0031432C" w:rsidRPr="0031432C">
        <w:rPr>
          <w:rFonts w:eastAsia="DengXian"/>
          <w:lang w:eastAsia="zh-CN"/>
        </w:rPr>
        <w:t>limit, and</w:t>
      </w:r>
      <w:r w:rsidR="00D61789">
        <w:rPr>
          <w:rFonts w:eastAsia="DengXian"/>
          <w:lang w:eastAsia="zh-CN"/>
        </w:rPr>
        <w:t>,</w:t>
      </w:r>
      <w:r w:rsidR="0031432C" w:rsidRPr="0031432C">
        <w:rPr>
          <w:rFonts w:eastAsia="DengXian"/>
          <w:lang w:eastAsia="zh-CN"/>
        </w:rPr>
        <w:t xml:space="preserve"> according to some interlocutors, the hearing </w:t>
      </w:r>
      <w:r w:rsidR="00D61789">
        <w:rPr>
          <w:rFonts w:eastAsia="DengXian"/>
          <w:lang w:eastAsia="zh-CN"/>
        </w:rPr>
        <w:t xml:space="preserve">sometimes </w:t>
      </w:r>
      <w:r w:rsidR="0031432C" w:rsidRPr="0031432C">
        <w:rPr>
          <w:rFonts w:eastAsia="DengXian"/>
          <w:lang w:eastAsia="zh-CN"/>
        </w:rPr>
        <w:t>takes place</w:t>
      </w:r>
      <w:r w:rsidR="00D61789">
        <w:rPr>
          <w:rFonts w:eastAsia="DengXian"/>
          <w:lang w:eastAsia="zh-CN"/>
        </w:rPr>
        <w:t xml:space="preserve"> more than</w:t>
      </w:r>
      <w:r w:rsidR="0031432C" w:rsidRPr="0031432C">
        <w:rPr>
          <w:rFonts w:eastAsia="DengXian"/>
          <w:lang w:eastAsia="zh-CN"/>
        </w:rPr>
        <w:t xml:space="preserve"> three months </w:t>
      </w:r>
      <w:r w:rsidR="00D61789">
        <w:rPr>
          <w:rFonts w:eastAsia="DengXian"/>
          <w:lang w:eastAsia="zh-CN"/>
        </w:rPr>
        <w:t xml:space="preserve">after </w:t>
      </w:r>
      <w:r w:rsidR="0031432C" w:rsidRPr="0031432C">
        <w:rPr>
          <w:rFonts w:eastAsia="DengXian"/>
          <w:lang w:eastAsia="zh-CN"/>
        </w:rPr>
        <w:t>the crime</w:t>
      </w:r>
      <w:r w:rsidR="00D61789">
        <w:rPr>
          <w:rFonts w:eastAsia="DengXian"/>
          <w:lang w:eastAsia="zh-CN"/>
        </w:rPr>
        <w:t xml:space="preserve"> was committed</w:t>
      </w:r>
      <w:r w:rsidR="0031432C" w:rsidRPr="0031432C">
        <w:rPr>
          <w:rFonts w:eastAsia="DengXian"/>
          <w:lang w:eastAsia="zh-CN"/>
        </w:rPr>
        <w:t xml:space="preserve">. The delays have a negative impact both on the rights of victims/survivors and </w:t>
      </w:r>
      <w:r w:rsidR="00D61789">
        <w:rPr>
          <w:rFonts w:eastAsia="DengXian"/>
          <w:lang w:eastAsia="zh-CN"/>
        </w:rPr>
        <w:t xml:space="preserve">on the </w:t>
      </w:r>
      <w:r w:rsidR="0031432C" w:rsidRPr="0031432C">
        <w:rPr>
          <w:rFonts w:eastAsia="DengXian"/>
          <w:lang w:eastAsia="zh-CN"/>
        </w:rPr>
        <w:t xml:space="preserve">effectiveness of the investigation. The Working Group is pleased to hear that this </w:t>
      </w:r>
      <w:proofErr w:type="gramStart"/>
      <w:r w:rsidR="0031432C" w:rsidRPr="0031432C">
        <w:rPr>
          <w:rFonts w:eastAsia="DengXian"/>
          <w:lang w:eastAsia="zh-CN"/>
        </w:rPr>
        <w:t>has been recogni</w:t>
      </w:r>
      <w:r w:rsidR="00D61789">
        <w:rPr>
          <w:rFonts w:eastAsia="DengXian"/>
          <w:lang w:eastAsia="zh-CN"/>
        </w:rPr>
        <w:t>z</w:t>
      </w:r>
      <w:r w:rsidR="0031432C" w:rsidRPr="0031432C">
        <w:rPr>
          <w:rFonts w:eastAsia="DengXian"/>
          <w:lang w:eastAsia="zh-CN"/>
        </w:rPr>
        <w:t>ed</w:t>
      </w:r>
      <w:proofErr w:type="gramEnd"/>
      <w:r w:rsidR="0031432C" w:rsidRPr="0031432C">
        <w:rPr>
          <w:rFonts w:eastAsia="DengXian"/>
          <w:lang w:eastAsia="zh-CN"/>
        </w:rPr>
        <w:t xml:space="preserve"> by the Minister of Justice, in response to the recommendations of the Commissioner for Human Rights, and that work has been initiated to secure timely examinations. </w:t>
      </w:r>
    </w:p>
    <w:p w14:paraId="2D5484A4" w14:textId="27A1DA24" w:rsidR="0031432C" w:rsidRPr="0031432C" w:rsidRDefault="00CF23F7" w:rsidP="0031432C">
      <w:pPr>
        <w:pStyle w:val="SingleTxtG"/>
        <w:rPr>
          <w:rFonts w:eastAsia="DengXian"/>
          <w:lang w:eastAsia="zh-CN"/>
        </w:rPr>
      </w:pPr>
      <w:r>
        <w:rPr>
          <w:rFonts w:eastAsia="DengXian"/>
          <w:lang w:eastAsia="zh-CN"/>
        </w:rPr>
        <w:t>77.</w:t>
      </w:r>
      <w:r>
        <w:rPr>
          <w:rFonts w:eastAsia="DengXian"/>
          <w:lang w:eastAsia="zh-CN"/>
        </w:rPr>
        <w:tab/>
      </w:r>
      <w:r w:rsidR="0031432C" w:rsidRPr="0031432C">
        <w:rPr>
          <w:rFonts w:eastAsia="DengXian"/>
          <w:lang w:eastAsia="zh-CN"/>
        </w:rPr>
        <w:t xml:space="preserve">The Working Group further notes the concerns about the definition of rape, which </w:t>
      </w:r>
      <w:proofErr w:type="gramStart"/>
      <w:r w:rsidR="0031432C" w:rsidRPr="0031432C">
        <w:rPr>
          <w:rFonts w:eastAsia="DengXian"/>
          <w:lang w:eastAsia="zh-CN"/>
        </w:rPr>
        <w:t>is defined</w:t>
      </w:r>
      <w:proofErr w:type="gramEnd"/>
      <w:r w:rsidR="0031432C" w:rsidRPr="0031432C">
        <w:rPr>
          <w:rFonts w:eastAsia="DengXian"/>
          <w:lang w:eastAsia="zh-CN"/>
        </w:rPr>
        <w:t xml:space="preserve"> by specific types of coercion</w:t>
      </w:r>
      <w:r w:rsidR="0031432C" w:rsidRPr="0031432C">
        <w:rPr>
          <w:rFonts w:eastAsia="DengXian"/>
          <w:vertAlign w:val="superscript"/>
          <w:lang w:eastAsia="zh-CN"/>
        </w:rPr>
        <w:footnoteReference w:id="45"/>
      </w:r>
      <w:r w:rsidR="0031432C" w:rsidRPr="0031432C">
        <w:rPr>
          <w:rFonts w:eastAsia="DengXian"/>
          <w:lang w:eastAsia="zh-CN"/>
        </w:rPr>
        <w:t xml:space="preserve"> rather than consent, as this can result in some cases being dismissed. Indeed, the</w:t>
      </w:r>
      <w:r w:rsidR="00571C16">
        <w:rPr>
          <w:rFonts w:eastAsia="DengXian"/>
          <w:lang w:eastAsia="zh-CN"/>
        </w:rPr>
        <w:t xml:space="preserve"> </w:t>
      </w:r>
      <w:r w:rsidR="0031432C" w:rsidRPr="0031432C">
        <w:rPr>
          <w:rFonts w:eastAsia="DengXian"/>
          <w:lang w:eastAsia="zh-CN"/>
        </w:rPr>
        <w:t xml:space="preserve">percentage of rape cases </w:t>
      </w:r>
      <w:r w:rsidR="00571C16">
        <w:rPr>
          <w:rFonts w:eastAsia="DengXian"/>
          <w:lang w:eastAsia="zh-CN"/>
        </w:rPr>
        <w:t xml:space="preserve">dismissed </w:t>
      </w:r>
      <w:r w:rsidR="0031432C" w:rsidRPr="0031432C">
        <w:rPr>
          <w:rFonts w:eastAsia="DengXian"/>
          <w:lang w:eastAsia="zh-CN"/>
        </w:rPr>
        <w:t>by prosecutors</w:t>
      </w:r>
      <w:r w:rsidR="00571C16">
        <w:rPr>
          <w:rFonts w:eastAsia="DengXian"/>
          <w:lang w:eastAsia="zh-CN"/>
        </w:rPr>
        <w:t xml:space="preserve"> seems to be high</w:t>
      </w:r>
      <w:r w:rsidR="0031432C" w:rsidRPr="0031432C">
        <w:rPr>
          <w:rFonts w:eastAsia="DengXian"/>
          <w:lang w:eastAsia="zh-CN"/>
        </w:rPr>
        <w:t xml:space="preserve">. Moreover, even though a penalty of </w:t>
      </w:r>
      <w:r w:rsidR="00462B17">
        <w:rPr>
          <w:rFonts w:eastAsia="DengXian"/>
          <w:lang w:eastAsia="zh-CN"/>
        </w:rPr>
        <w:t xml:space="preserve">from </w:t>
      </w:r>
      <w:proofErr w:type="gramStart"/>
      <w:r w:rsidR="0031432C" w:rsidRPr="0031432C">
        <w:rPr>
          <w:rFonts w:eastAsia="DengXian"/>
          <w:lang w:eastAsia="zh-CN"/>
        </w:rPr>
        <w:t>2</w:t>
      </w:r>
      <w:proofErr w:type="gramEnd"/>
      <w:r w:rsidR="00462B17">
        <w:rPr>
          <w:rFonts w:eastAsia="DengXian"/>
          <w:lang w:eastAsia="zh-CN"/>
        </w:rPr>
        <w:t xml:space="preserve"> to </w:t>
      </w:r>
      <w:r w:rsidR="0031432C" w:rsidRPr="0031432C">
        <w:rPr>
          <w:rFonts w:eastAsia="DengXian"/>
          <w:lang w:eastAsia="zh-CN"/>
        </w:rPr>
        <w:t>1</w:t>
      </w:r>
      <w:r w:rsidR="0009675B">
        <w:rPr>
          <w:rFonts w:eastAsia="DengXian"/>
          <w:lang w:eastAsia="zh-CN"/>
        </w:rPr>
        <w:t>2</w:t>
      </w:r>
      <w:r w:rsidR="00462B17">
        <w:rPr>
          <w:rFonts w:eastAsia="DengXian"/>
          <w:lang w:eastAsia="zh-CN"/>
        </w:rPr>
        <w:t xml:space="preserve"> </w:t>
      </w:r>
      <w:r w:rsidR="0031432C" w:rsidRPr="0031432C">
        <w:rPr>
          <w:rFonts w:eastAsia="DengXian"/>
          <w:lang w:eastAsia="zh-CN"/>
        </w:rPr>
        <w:t>years</w:t>
      </w:r>
      <w:r w:rsidR="00462B17">
        <w:rPr>
          <w:rFonts w:eastAsia="DengXian"/>
          <w:lang w:eastAsia="zh-CN"/>
        </w:rPr>
        <w:t>’</w:t>
      </w:r>
      <w:r w:rsidR="0031432C" w:rsidRPr="0031432C">
        <w:rPr>
          <w:rFonts w:eastAsia="DengXian"/>
          <w:lang w:eastAsia="zh-CN"/>
        </w:rPr>
        <w:t xml:space="preserve"> imprisonment is prescribed for rape, </w:t>
      </w:r>
      <w:r w:rsidR="00462B17">
        <w:rPr>
          <w:rFonts w:eastAsia="DengXian"/>
          <w:lang w:eastAsia="zh-CN"/>
        </w:rPr>
        <w:t>2</w:t>
      </w:r>
      <w:r w:rsidR="0031432C" w:rsidRPr="0031432C">
        <w:rPr>
          <w:rFonts w:eastAsia="DengXian"/>
          <w:lang w:eastAsia="zh-CN"/>
        </w:rPr>
        <w:t xml:space="preserve"> years</w:t>
      </w:r>
      <w:r w:rsidR="00D61789">
        <w:rPr>
          <w:rFonts w:eastAsia="DengXian"/>
          <w:lang w:eastAsia="zh-CN"/>
        </w:rPr>
        <w:t>’</w:t>
      </w:r>
      <w:r w:rsidR="0031432C" w:rsidRPr="0031432C">
        <w:rPr>
          <w:rFonts w:eastAsia="DengXian"/>
          <w:lang w:eastAsia="zh-CN"/>
        </w:rPr>
        <w:t xml:space="preserve"> imprisonment was the most frequently issued sentence in the period 2010</w:t>
      </w:r>
      <w:r w:rsidR="00462B17">
        <w:rPr>
          <w:rFonts w:ascii="Arial" w:hAnsi="Arial" w:cs="Arial"/>
          <w:color w:val="222222"/>
          <w:sz w:val="21"/>
          <w:szCs w:val="21"/>
          <w:shd w:val="clear" w:color="auto" w:fill="FFFFFF"/>
        </w:rPr>
        <w:t>–</w:t>
      </w:r>
      <w:r w:rsidR="0031432C" w:rsidRPr="0031432C">
        <w:rPr>
          <w:rFonts w:eastAsia="DengXian"/>
          <w:lang w:eastAsia="zh-CN"/>
        </w:rPr>
        <w:t>2014.</w:t>
      </w:r>
      <w:r w:rsidR="0031432C" w:rsidRPr="0031432C">
        <w:rPr>
          <w:rFonts w:eastAsia="DengXian"/>
          <w:vertAlign w:val="superscript"/>
          <w:lang w:eastAsia="zh-CN"/>
        </w:rPr>
        <w:footnoteReference w:id="46"/>
      </w:r>
      <w:bookmarkStart w:id="3" w:name="_GoBack"/>
      <w:bookmarkEnd w:id="3"/>
    </w:p>
    <w:p w14:paraId="1E71507C" w14:textId="393B91A9" w:rsidR="0031432C" w:rsidRDefault="00CF23F7">
      <w:pPr>
        <w:pStyle w:val="SingleTxtG"/>
        <w:rPr>
          <w:rFonts w:eastAsia="DengXian"/>
          <w:lang w:eastAsia="zh-CN"/>
        </w:rPr>
      </w:pPr>
      <w:r>
        <w:rPr>
          <w:rFonts w:eastAsia="DengXian"/>
          <w:lang w:eastAsia="zh-CN"/>
        </w:rPr>
        <w:t>78.</w:t>
      </w:r>
      <w:r>
        <w:rPr>
          <w:rFonts w:eastAsia="DengXian"/>
          <w:lang w:eastAsia="zh-CN"/>
        </w:rPr>
        <w:tab/>
      </w:r>
      <w:r w:rsidR="0031432C" w:rsidRPr="0031432C">
        <w:rPr>
          <w:rFonts w:eastAsia="DengXian"/>
          <w:lang w:eastAsia="zh-CN"/>
        </w:rPr>
        <w:t xml:space="preserve">The dismissal of cases of gender-based violence and the </w:t>
      </w:r>
      <w:proofErr w:type="gramStart"/>
      <w:r w:rsidR="0031432C" w:rsidRPr="0031432C">
        <w:rPr>
          <w:rFonts w:eastAsia="DengXian"/>
          <w:lang w:eastAsia="zh-CN"/>
        </w:rPr>
        <w:t>often</w:t>
      </w:r>
      <w:r w:rsidR="00573F27">
        <w:rPr>
          <w:rFonts w:eastAsia="DengXian"/>
          <w:lang w:eastAsia="zh-CN"/>
        </w:rPr>
        <w:t xml:space="preserve"> </w:t>
      </w:r>
      <w:r w:rsidR="0031432C" w:rsidRPr="0031432C">
        <w:rPr>
          <w:rFonts w:eastAsia="DengXian"/>
          <w:lang w:eastAsia="zh-CN"/>
        </w:rPr>
        <w:t>lenient</w:t>
      </w:r>
      <w:proofErr w:type="gramEnd"/>
      <w:r w:rsidR="0031432C" w:rsidRPr="0031432C">
        <w:rPr>
          <w:rFonts w:eastAsia="DengXian"/>
          <w:lang w:eastAsia="zh-CN"/>
        </w:rPr>
        <w:t xml:space="preserve"> punishment for perpetrators </w:t>
      </w:r>
      <w:r w:rsidR="0031432C" w:rsidRPr="0031432C">
        <w:rPr>
          <w:rFonts w:eastAsia="DengXian"/>
          <w:lang w:eastAsia="hr-HR"/>
        </w:rPr>
        <w:t xml:space="preserve">are not conducive </w:t>
      </w:r>
      <w:r w:rsidR="00573F27">
        <w:rPr>
          <w:rFonts w:eastAsia="DengXian"/>
          <w:lang w:eastAsia="hr-HR"/>
        </w:rPr>
        <w:t>to</w:t>
      </w:r>
      <w:r w:rsidR="0031432C" w:rsidRPr="0031432C">
        <w:rPr>
          <w:rFonts w:eastAsia="DengXian"/>
          <w:lang w:eastAsia="hr-HR"/>
        </w:rPr>
        <w:t xml:space="preserve"> the pursuit of justice and are one of the reasons for </w:t>
      </w:r>
      <w:r w:rsidR="00573F27">
        <w:rPr>
          <w:rFonts w:eastAsia="DengXian"/>
          <w:lang w:eastAsia="hr-HR"/>
        </w:rPr>
        <w:t xml:space="preserve">the </w:t>
      </w:r>
      <w:r w:rsidR="0031432C" w:rsidRPr="0031432C">
        <w:rPr>
          <w:rFonts w:eastAsia="DengXian"/>
          <w:lang w:eastAsia="hr-HR"/>
        </w:rPr>
        <w:lastRenderedPageBreak/>
        <w:t xml:space="preserve">withdrawal of complaints by the victims/survivors. </w:t>
      </w:r>
      <w:r w:rsidR="0031432C" w:rsidRPr="0031432C">
        <w:rPr>
          <w:rFonts w:eastAsia="DengXian"/>
          <w:lang w:eastAsia="zh-CN"/>
        </w:rPr>
        <w:t>Without building</w:t>
      </w:r>
      <w:r w:rsidR="00573F27" w:rsidRPr="0031432C">
        <w:rPr>
          <w:rFonts w:eastAsia="DengXian"/>
          <w:lang w:eastAsia="zh-CN"/>
        </w:rPr>
        <w:t xml:space="preserve"> </w:t>
      </w:r>
      <w:r w:rsidR="0031432C" w:rsidRPr="0031432C">
        <w:rPr>
          <w:rFonts w:eastAsia="DengXian"/>
          <w:lang w:eastAsia="zh-CN"/>
        </w:rPr>
        <w:t xml:space="preserve">the </w:t>
      </w:r>
      <w:r w:rsidR="00F4384B">
        <w:rPr>
          <w:rFonts w:eastAsia="DengXian"/>
          <w:lang w:eastAsia="zh-CN"/>
        </w:rPr>
        <w:t>trust</w:t>
      </w:r>
      <w:r w:rsidR="00F4384B" w:rsidRPr="0031432C">
        <w:rPr>
          <w:rFonts w:eastAsia="DengXian"/>
          <w:lang w:eastAsia="zh-CN"/>
        </w:rPr>
        <w:t xml:space="preserve"> </w:t>
      </w:r>
      <w:r w:rsidR="00F4384B">
        <w:rPr>
          <w:rFonts w:eastAsia="DengXian"/>
          <w:lang w:eastAsia="zh-CN"/>
        </w:rPr>
        <w:t xml:space="preserve">of </w:t>
      </w:r>
      <w:r w:rsidR="0031432C" w:rsidRPr="0031432C">
        <w:rPr>
          <w:rFonts w:eastAsia="DengXian"/>
          <w:lang w:eastAsia="zh-CN"/>
        </w:rPr>
        <w:t>victims</w:t>
      </w:r>
      <w:r w:rsidR="00F4384B">
        <w:rPr>
          <w:rFonts w:eastAsia="DengXian"/>
          <w:lang w:eastAsia="zh-CN"/>
        </w:rPr>
        <w:t xml:space="preserve"> and </w:t>
      </w:r>
      <w:r w:rsidR="0031432C" w:rsidRPr="0031432C">
        <w:rPr>
          <w:rFonts w:eastAsia="DengXian"/>
          <w:lang w:eastAsia="zh-CN"/>
        </w:rPr>
        <w:t>survivors</w:t>
      </w:r>
      <w:r w:rsidR="00573F27">
        <w:rPr>
          <w:rFonts w:eastAsia="DengXian"/>
          <w:lang w:eastAsia="zh-CN"/>
        </w:rPr>
        <w:t xml:space="preserve"> </w:t>
      </w:r>
      <w:r w:rsidR="0031432C" w:rsidRPr="0031432C">
        <w:rPr>
          <w:rFonts w:eastAsia="DengXian"/>
          <w:lang w:eastAsia="zh-CN"/>
        </w:rPr>
        <w:t xml:space="preserve">in the system and providing for their security and economic independence, efforts </w:t>
      </w:r>
      <w:r w:rsidR="00483E53">
        <w:rPr>
          <w:rFonts w:eastAsia="DengXian"/>
          <w:lang w:eastAsia="zh-CN"/>
        </w:rPr>
        <w:t>to</w:t>
      </w:r>
      <w:r w:rsidR="0031432C" w:rsidRPr="0031432C">
        <w:rPr>
          <w:rFonts w:eastAsia="DengXian"/>
          <w:lang w:eastAsia="zh-CN"/>
        </w:rPr>
        <w:t xml:space="preserve"> combat gender-based violence against women cannot be successful.</w:t>
      </w:r>
    </w:p>
    <w:p w14:paraId="7C2974C4" w14:textId="77777777" w:rsidR="0031432C" w:rsidRPr="00B03C86" w:rsidRDefault="00B03C86" w:rsidP="00B03C86">
      <w:pPr>
        <w:pStyle w:val="HChG"/>
        <w:rPr>
          <w:rFonts w:eastAsia="DengXian"/>
          <w:lang w:eastAsia="zh-CN"/>
        </w:rPr>
      </w:pPr>
      <w:r>
        <w:rPr>
          <w:rFonts w:eastAsia="DengXian"/>
          <w:lang w:eastAsia="zh-CN"/>
        </w:rPr>
        <w:tab/>
        <w:t>IX.</w:t>
      </w:r>
      <w:r>
        <w:rPr>
          <w:rFonts w:eastAsia="DengXian"/>
          <w:lang w:eastAsia="zh-CN"/>
        </w:rPr>
        <w:tab/>
      </w:r>
      <w:r w:rsidRPr="00B03C86">
        <w:rPr>
          <w:rFonts w:eastAsia="DengXian"/>
          <w:lang w:eastAsia="zh-CN"/>
        </w:rPr>
        <w:t>Conclusions and recommendations</w:t>
      </w:r>
    </w:p>
    <w:p w14:paraId="5D718D98" w14:textId="77777777" w:rsidR="0031432C" w:rsidRPr="0031432C" w:rsidRDefault="00B03C86" w:rsidP="00B03C86">
      <w:pPr>
        <w:pStyle w:val="H1G"/>
        <w:rPr>
          <w:rFonts w:eastAsia="Calibri"/>
          <w:bCs/>
        </w:rPr>
      </w:pPr>
      <w:r>
        <w:rPr>
          <w:rFonts w:eastAsia="Calibri"/>
        </w:rPr>
        <w:tab/>
        <w:t>A.</w:t>
      </w:r>
      <w:r>
        <w:rPr>
          <w:rFonts w:eastAsia="Calibri"/>
        </w:rPr>
        <w:tab/>
      </w:r>
      <w:r w:rsidR="0031432C" w:rsidRPr="0031432C">
        <w:rPr>
          <w:rFonts w:eastAsia="Calibri"/>
        </w:rPr>
        <w:t>Conclusion</w:t>
      </w:r>
      <w:r w:rsidR="00483E53">
        <w:rPr>
          <w:rFonts w:eastAsia="Calibri"/>
        </w:rPr>
        <w:t>s</w:t>
      </w:r>
    </w:p>
    <w:p w14:paraId="6851ECF0" w14:textId="2E46B56E" w:rsidR="0031432C" w:rsidRPr="00013F4E" w:rsidRDefault="00CF23F7" w:rsidP="0031432C">
      <w:pPr>
        <w:pStyle w:val="SingleTxtG"/>
        <w:rPr>
          <w:rFonts w:eastAsia="DengXian"/>
          <w:b/>
          <w:lang w:eastAsia="zh-CN"/>
        </w:rPr>
      </w:pPr>
      <w:r w:rsidRPr="006E56B5">
        <w:rPr>
          <w:rFonts w:eastAsia="DengXian"/>
          <w:lang w:eastAsia="zh-CN"/>
        </w:rPr>
        <w:t>79.</w:t>
      </w:r>
      <w:r w:rsidRPr="00013F4E">
        <w:rPr>
          <w:rFonts w:eastAsia="DengXian"/>
          <w:b/>
          <w:lang w:eastAsia="zh-CN"/>
        </w:rPr>
        <w:tab/>
      </w:r>
      <w:r w:rsidR="0031432C" w:rsidRPr="00013F4E">
        <w:rPr>
          <w:rFonts w:eastAsia="DengXian"/>
          <w:b/>
          <w:lang w:eastAsia="zh-CN"/>
        </w:rPr>
        <w:t>As one of the first countries in the world to grant women the right to vote and to stand for office, Poland has a proud history of an active and vibrant women’s movement and women’s invaluable contribution to the country’s economic, social, cultural and political development. In recent years, in the context of the country’s accession</w:t>
      </w:r>
      <w:r w:rsidR="00CD09FB">
        <w:rPr>
          <w:rFonts w:eastAsia="DengXian"/>
          <w:b/>
          <w:lang w:eastAsia="zh-CN"/>
        </w:rPr>
        <w:t xml:space="preserve"> to the European Union</w:t>
      </w:r>
      <w:r w:rsidR="0031432C" w:rsidRPr="00013F4E">
        <w:rPr>
          <w:rFonts w:eastAsia="DengXian"/>
          <w:b/>
          <w:lang w:eastAsia="zh-CN"/>
        </w:rPr>
        <w:t xml:space="preserve">, it has built a solid legal framework </w:t>
      </w:r>
      <w:r w:rsidR="00483E53">
        <w:rPr>
          <w:rFonts w:eastAsia="DengXian"/>
          <w:b/>
          <w:lang w:eastAsia="zh-CN"/>
        </w:rPr>
        <w:t>for</w:t>
      </w:r>
      <w:r w:rsidR="0031432C" w:rsidRPr="00013F4E">
        <w:rPr>
          <w:rFonts w:eastAsia="DengXian"/>
          <w:b/>
          <w:lang w:eastAsia="zh-CN"/>
        </w:rPr>
        <w:t xml:space="preserve"> anti-discrimination. Poland has also taken measures aimed at greater participation of women in political, social and economic life and has been building a legislative framework to effectively address gender-based violence against women. It has also shown a good record of cooperating with international human rights mechanisms and has been promoting </w:t>
      </w:r>
      <w:r w:rsidR="00AE227F">
        <w:rPr>
          <w:rFonts w:eastAsia="DengXian"/>
          <w:b/>
          <w:lang w:eastAsia="zh-CN"/>
        </w:rPr>
        <w:t>a</w:t>
      </w:r>
      <w:r w:rsidR="00483E53">
        <w:rPr>
          <w:rFonts w:eastAsia="DengXian"/>
          <w:b/>
          <w:lang w:eastAsia="zh-CN"/>
        </w:rPr>
        <w:t xml:space="preserve"> </w:t>
      </w:r>
      <w:r w:rsidR="0031432C" w:rsidRPr="00013F4E">
        <w:rPr>
          <w:rFonts w:eastAsia="DengXian"/>
          <w:b/>
          <w:lang w:eastAsia="zh-CN"/>
        </w:rPr>
        <w:t xml:space="preserve">women, peace and security agenda in national and international contexts. </w:t>
      </w:r>
    </w:p>
    <w:p w14:paraId="29FBA288" w14:textId="13A575C9" w:rsidR="0031432C" w:rsidRPr="00013F4E" w:rsidRDefault="00CF23F7" w:rsidP="0031432C">
      <w:pPr>
        <w:pStyle w:val="SingleTxtG"/>
        <w:rPr>
          <w:rFonts w:eastAsia="DengXian"/>
          <w:b/>
          <w:lang w:eastAsia="zh-CN"/>
        </w:rPr>
      </w:pPr>
      <w:r w:rsidRPr="006E56B5">
        <w:rPr>
          <w:rFonts w:eastAsia="DengXian"/>
          <w:lang w:eastAsia="zh-CN"/>
        </w:rPr>
        <w:t>80.</w:t>
      </w:r>
      <w:r w:rsidRPr="006E56B5">
        <w:rPr>
          <w:rFonts w:eastAsia="DengXian"/>
          <w:lang w:eastAsia="zh-CN"/>
        </w:rPr>
        <w:tab/>
      </w:r>
      <w:r w:rsidR="0031432C" w:rsidRPr="00013F4E">
        <w:rPr>
          <w:rFonts w:eastAsia="DengXian"/>
          <w:b/>
          <w:lang w:eastAsia="zh-CN"/>
        </w:rPr>
        <w:t xml:space="preserve">Notwithstanding the efforts employed, the Working Group observed challenges to women’s rights. Gender equality does not seem to be a priority for the Government </w:t>
      </w:r>
      <w:proofErr w:type="gramStart"/>
      <w:r w:rsidR="0031432C" w:rsidRPr="00013F4E">
        <w:rPr>
          <w:rFonts w:eastAsia="DengXian"/>
          <w:b/>
          <w:lang w:eastAsia="zh-CN"/>
        </w:rPr>
        <w:t>at the moment</w:t>
      </w:r>
      <w:proofErr w:type="gramEnd"/>
      <w:r w:rsidR="0031432C" w:rsidRPr="00013F4E">
        <w:rPr>
          <w:rFonts w:eastAsia="DengXian"/>
          <w:b/>
          <w:lang w:eastAsia="zh-CN"/>
        </w:rPr>
        <w:t xml:space="preserve">, as there is no designated </w:t>
      </w:r>
      <w:r w:rsidR="00960C76">
        <w:rPr>
          <w:rFonts w:eastAsia="DengXian"/>
          <w:b/>
          <w:lang w:eastAsia="zh-CN"/>
        </w:rPr>
        <w:t>S</w:t>
      </w:r>
      <w:r w:rsidR="0031432C" w:rsidRPr="00013F4E">
        <w:rPr>
          <w:rFonts w:eastAsia="DengXian"/>
          <w:b/>
          <w:lang w:eastAsia="zh-CN"/>
        </w:rPr>
        <w:t xml:space="preserve">tate authority on women’s rights issues and no national strategies </w:t>
      </w:r>
      <w:r w:rsidR="00483E53">
        <w:rPr>
          <w:rFonts w:eastAsia="DengXian"/>
          <w:b/>
          <w:lang w:eastAsia="zh-CN"/>
        </w:rPr>
        <w:t>or</w:t>
      </w:r>
      <w:r w:rsidR="0031432C" w:rsidRPr="00013F4E">
        <w:rPr>
          <w:rFonts w:eastAsia="DengXian"/>
          <w:b/>
          <w:lang w:eastAsia="zh-CN"/>
        </w:rPr>
        <w:t xml:space="preserve"> plans on gender equality and women’s empowerment. The understanding of equality seems to be primarily limited to equal treatment in law, while substantive equality requires addressing women’s structural disadvantage by undertaking specific targeted actions, including temporary special measures, and addressing gender-based violence against women. Therefore, excluding women’s rights organi</w:t>
      </w:r>
      <w:r w:rsidR="00DD7D8D">
        <w:rPr>
          <w:rFonts w:eastAsia="DengXian"/>
          <w:b/>
          <w:lang w:eastAsia="zh-CN"/>
        </w:rPr>
        <w:t>z</w:t>
      </w:r>
      <w:r w:rsidR="0031432C" w:rsidRPr="00013F4E">
        <w:rPr>
          <w:rFonts w:eastAsia="DengXian"/>
          <w:b/>
          <w:lang w:eastAsia="zh-CN"/>
        </w:rPr>
        <w:t xml:space="preserve">ations with strong experience in supporting women victims/survivors of domestic violence from </w:t>
      </w:r>
      <w:r w:rsidR="00960C76">
        <w:rPr>
          <w:rFonts w:eastAsia="DengXian"/>
          <w:b/>
          <w:lang w:eastAsia="zh-CN"/>
        </w:rPr>
        <w:t>S</w:t>
      </w:r>
      <w:r w:rsidR="0031432C" w:rsidRPr="00013F4E">
        <w:rPr>
          <w:rFonts w:eastAsia="DengXian"/>
          <w:b/>
          <w:lang w:eastAsia="zh-CN"/>
        </w:rPr>
        <w:t xml:space="preserve">tate funding </w:t>
      </w:r>
      <w:proofErr w:type="gramStart"/>
      <w:r w:rsidR="0031432C" w:rsidRPr="00013F4E">
        <w:rPr>
          <w:rFonts w:eastAsia="DengXian"/>
          <w:b/>
          <w:lang w:eastAsia="zh-CN"/>
        </w:rPr>
        <w:t>on account</w:t>
      </w:r>
      <w:proofErr w:type="gramEnd"/>
      <w:r w:rsidR="0031432C" w:rsidRPr="00013F4E">
        <w:rPr>
          <w:rFonts w:eastAsia="DengXian"/>
          <w:b/>
          <w:lang w:eastAsia="zh-CN"/>
        </w:rPr>
        <w:t xml:space="preserve"> of </w:t>
      </w:r>
      <w:r w:rsidR="00483E53">
        <w:rPr>
          <w:rFonts w:eastAsia="DengXian"/>
          <w:b/>
          <w:lang w:eastAsia="zh-CN"/>
        </w:rPr>
        <w:t xml:space="preserve">a </w:t>
      </w:r>
      <w:r w:rsidR="0031432C" w:rsidRPr="00013F4E">
        <w:rPr>
          <w:rFonts w:eastAsia="DengXian"/>
          <w:b/>
          <w:lang w:eastAsia="zh-CN"/>
        </w:rPr>
        <w:t xml:space="preserve">breach of equal treatment is problematic. Furthermore, gender equality </w:t>
      </w:r>
      <w:proofErr w:type="gramStart"/>
      <w:r w:rsidR="0031432C" w:rsidRPr="00013F4E">
        <w:rPr>
          <w:rFonts w:eastAsia="DengXian"/>
          <w:b/>
          <w:lang w:eastAsia="zh-CN"/>
        </w:rPr>
        <w:t>cannot be fully achieved</w:t>
      </w:r>
      <w:proofErr w:type="gramEnd"/>
      <w:r w:rsidR="0031432C" w:rsidRPr="00013F4E">
        <w:rPr>
          <w:rFonts w:eastAsia="DengXian"/>
          <w:b/>
          <w:lang w:eastAsia="zh-CN"/>
        </w:rPr>
        <w:t xml:space="preserve"> without respecting women’s reproductive rights. In Poland, access to reproductive health-care services for </w:t>
      </w:r>
      <w:r w:rsidR="00483E53">
        <w:rPr>
          <w:rFonts w:eastAsia="DengXian"/>
          <w:b/>
          <w:lang w:eastAsia="zh-CN"/>
        </w:rPr>
        <w:t xml:space="preserve">the </w:t>
      </w:r>
      <w:r w:rsidR="0031432C" w:rsidRPr="00013F4E">
        <w:rPr>
          <w:rFonts w:eastAsia="DengXian"/>
          <w:b/>
          <w:lang w:eastAsia="zh-CN"/>
        </w:rPr>
        <w:t>prevention and termination of pregnancy is restrictive and under continuous threat of becoming more so.</w:t>
      </w:r>
    </w:p>
    <w:p w14:paraId="35971219" w14:textId="4FBF4A84" w:rsidR="0031432C" w:rsidRPr="00013F4E" w:rsidRDefault="00CF23F7" w:rsidP="0031432C">
      <w:pPr>
        <w:pStyle w:val="SingleTxtG"/>
        <w:rPr>
          <w:rFonts w:eastAsia="DengXian"/>
          <w:b/>
          <w:lang w:eastAsia="en-GB"/>
        </w:rPr>
      </w:pPr>
      <w:r w:rsidRPr="006E56B5">
        <w:rPr>
          <w:rFonts w:eastAsia="DengXian"/>
          <w:lang w:eastAsia="zh-CN"/>
        </w:rPr>
        <w:t>81.</w:t>
      </w:r>
      <w:r w:rsidRPr="00013F4E">
        <w:rPr>
          <w:rFonts w:eastAsia="DengXian"/>
          <w:b/>
          <w:lang w:eastAsia="zh-CN"/>
        </w:rPr>
        <w:tab/>
      </w:r>
      <w:r w:rsidR="0031432C" w:rsidRPr="00013F4E">
        <w:rPr>
          <w:rFonts w:eastAsia="DengXian"/>
          <w:b/>
          <w:lang w:eastAsia="zh-CN"/>
        </w:rPr>
        <w:t xml:space="preserve">Furthermore, the Working Group observed the persistence of gender stereotypes and the pressure on women to assume traditional roles in family and society. </w:t>
      </w:r>
      <w:r w:rsidR="0031432C" w:rsidRPr="00013F4E">
        <w:rPr>
          <w:rFonts w:eastAsia="DengXian"/>
          <w:b/>
          <w:lang w:eastAsia="en-GB"/>
        </w:rPr>
        <w:t xml:space="preserve">While women’s traditional role in the family </w:t>
      </w:r>
      <w:proofErr w:type="gramStart"/>
      <w:r w:rsidR="0031432C" w:rsidRPr="00013F4E">
        <w:rPr>
          <w:rFonts w:eastAsia="DengXian"/>
          <w:b/>
          <w:lang w:eastAsia="en-GB"/>
        </w:rPr>
        <w:t>is being actively promoted</w:t>
      </w:r>
      <w:proofErr w:type="gramEnd"/>
      <w:r w:rsidR="0031432C" w:rsidRPr="00013F4E">
        <w:rPr>
          <w:rFonts w:eastAsia="DengXian"/>
          <w:b/>
          <w:lang w:eastAsia="en-GB"/>
        </w:rPr>
        <w:t xml:space="preserve"> through laws and policies, advocates for gender equality are increasingly being characteri</w:t>
      </w:r>
      <w:r w:rsidR="00483E53">
        <w:rPr>
          <w:rFonts w:eastAsia="DengXian"/>
          <w:b/>
          <w:lang w:eastAsia="en-GB"/>
        </w:rPr>
        <w:t>z</w:t>
      </w:r>
      <w:r w:rsidR="0031432C" w:rsidRPr="00013F4E">
        <w:rPr>
          <w:rFonts w:eastAsia="DengXian"/>
          <w:b/>
          <w:lang w:eastAsia="en-GB"/>
        </w:rPr>
        <w:t xml:space="preserve">ed as </w:t>
      </w:r>
      <w:r w:rsidR="00483E53">
        <w:rPr>
          <w:rFonts w:eastAsia="DengXian"/>
          <w:b/>
          <w:lang w:eastAsia="en-GB"/>
        </w:rPr>
        <w:t>“</w:t>
      </w:r>
      <w:r w:rsidR="0031432C" w:rsidRPr="00013F4E">
        <w:rPr>
          <w:rFonts w:eastAsia="DengXian"/>
          <w:b/>
          <w:lang w:eastAsia="en-GB"/>
        </w:rPr>
        <w:t>anti-family</w:t>
      </w:r>
      <w:r w:rsidR="00483E53">
        <w:rPr>
          <w:rFonts w:eastAsia="DengXian"/>
          <w:b/>
          <w:lang w:eastAsia="en-GB"/>
        </w:rPr>
        <w:t>”</w:t>
      </w:r>
      <w:r w:rsidR="0031432C" w:rsidRPr="00013F4E">
        <w:rPr>
          <w:rFonts w:eastAsia="DengXian"/>
          <w:b/>
          <w:lang w:eastAsia="en-GB"/>
        </w:rPr>
        <w:t xml:space="preserve"> and their gender equality efforts labelled as </w:t>
      </w:r>
      <w:r w:rsidR="00483E53">
        <w:rPr>
          <w:rFonts w:eastAsia="DengXian"/>
          <w:b/>
          <w:lang w:eastAsia="en-GB"/>
        </w:rPr>
        <w:t>“</w:t>
      </w:r>
      <w:r w:rsidR="0031432C" w:rsidRPr="00013F4E">
        <w:rPr>
          <w:rFonts w:eastAsia="DengXian"/>
          <w:b/>
          <w:lang w:eastAsia="en-GB"/>
        </w:rPr>
        <w:t>gender ideology</w:t>
      </w:r>
      <w:r w:rsidR="00483E53">
        <w:rPr>
          <w:rFonts w:eastAsia="DengXian"/>
          <w:b/>
          <w:lang w:eastAsia="en-GB"/>
        </w:rPr>
        <w:t>”</w:t>
      </w:r>
      <w:r w:rsidR="0031432C" w:rsidRPr="00013F4E">
        <w:rPr>
          <w:rFonts w:eastAsia="DengXian"/>
          <w:b/>
          <w:lang w:eastAsia="en-GB"/>
        </w:rPr>
        <w:t>, subject to increasing attacks by different conservative religious and political actors. Despite the stigmatizing environment and shrinking public space, women human rights defenders have become even more determined and more active in demanding their rights to equality, including at the grassroots level.</w:t>
      </w:r>
    </w:p>
    <w:p w14:paraId="7F9E28FD" w14:textId="3D4FDB48" w:rsidR="0031432C" w:rsidRPr="00013F4E" w:rsidRDefault="00B03C86">
      <w:pPr>
        <w:pStyle w:val="H1G"/>
        <w:rPr>
          <w:rFonts w:eastAsia="Calibri"/>
        </w:rPr>
      </w:pPr>
      <w:r w:rsidRPr="00013F4E">
        <w:rPr>
          <w:rFonts w:eastAsia="Calibri"/>
        </w:rPr>
        <w:tab/>
        <w:t>B.</w:t>
      </w:r>
      <w:r w:rsidRPr="00013F4E">
        <w:rPr>
          <w:rFonts w:eastAsia="Calibri"/>
        </w:rPr>
        <w:tab/>
      </w:r>
      <w:r w:rsidR="0031432C" w:rsidRPr="00013F4E">
        <w:rPr>
          <w:rFonts w:eastAsia="Calibri"/>
        </w:rPr>
        <w:t>Recommendations</w:t>
      </w:r>
    </w:p>
    <w:p w14:paraId="5721B563" w14:textId="10271487" w:rsidR="0031432C" w:rsidRPr="00013F4E" w:rsidRDefault="00CF23F7" w:rsidP="00F4384B">
      <w:pPr>
        <w:pStyle w:val="SingleTxtG"/>
        <w:rPr>
          <w:rFonts w:eastAsia="Calibri"/>
        </w:rPr>
      </w:pPr>
      <w:r w:rsidRPr="000B6B6B">
        <w:rPr>
          <w:rFonts w:eastAsia="Calibri"/>
        </w:rPr>
        <w:t>82.</w:t>
      </w:r>
      <w:r w:rsidRPr="00013F4E">
        <w:rPr>
          <w:rFonts w:eastAsia="Calibri"/>
          <w:b/>
        </w:rPr>
        <w:tab/>
      </w:r>
      <w:r w:rsidR="00172A52" w:rsidRPr="00013F4E">
        <w:rPr>
          <w:rFonts w:eastAsia="Calibri"/>
          <w:b/>
        </w:rPr>
        <w:t>With regard to legal, policy and institutional frameworks</w:t>
      </w:r>
      <w:r w:rsidR="00172A52">
        <w:rPr>
          <w:rFonts w:eastAsia="Calibri"/>
          <w:b/>
        </w:rPr>
        <w:t>, t</w:t>
      </w:r>
      <w:r w:rsidR="0031432C" w:rsidRPr="00013F4E">
        <w:rPr>
          <w:rFonts w:eastAsia="Calibri"/>
          <w:b/>
        </w:rPr>
        <w:t xml:space="preserve">he Working Group recommends that the </w:t>
      </w:r>
      <w:r w:rsidR="00AE227F">
        <w:rPr>
          <w:rFonts w:eastAsia="Calibri"/>
          <w:b/>
        </w:rPr>
        <w:t>G</w:t>
      </w:r>
      <w:r w:rsidR="0031432C" w:rsidRPr="00013F4E">
        <w:rPr>
          <w:rFonts w:eastAsia="Calibri"/>
          <w:b/>
        </w:rPr>
        <w:t xml:space="preserve">overnment </w:t>
      </w:r>
      <w:r w:rsidR="0026041E">
        <w:rPr>
          <w:rFonts w:eastAsia="Calibri"/>
          <w:b/>
        </w:rPr>
        <w:t>of Poland</w:t>
      </w:r>
      <w:r w:rsidR="0031432C" w:rsidRPr="00013F4E">
        <w:rPr>
          <w:rFonts w:eastAsia="Calibri"/>
          <w:b/>
        </w:rPr>
        <w:t>:</w:t>
      </w:r>
    </w:p>
    <w:p w14:paraId="43388A94" w14:textId="401CBBC5" w:rsidR="0031432C" w:rsidRPr="00F4384B" w:rsidRDefault="0031432C">
      <w:pPr>
        <w:pStyle w:val="Bullet1G"/>
        <w:rPr>
          <w:b/>
          <w:bCs/>
          <w:color w:val="000000"/>
          <w:lang w:eastAsia="hr-HR"/>
        </w:rPr>
      </w:pPr>
      <w:r w:rsidRPr="00F4384B">
        <w:rPr>
          <w:rFonts w:eastAsia="DengXian"/>
          <w:b/>
          <w:bCs/>
          <w:lang w:eastAsia="zh-CN"/>
        </w:rPr>
        <w:t xml:space="preserve">Ratify remaining key international human rights treaties, including </w:t>
      </w:r>
      <w:r w:rsidR="00285B7C" w:rsidRPr="00F4384B">
        <w:rPr>
          <w:rFonts w:eastAsia="DengXian"/>
          <w:b/>
          <w:bCs/>
          <w:lang w:eastAsia="zh-CN"/>
        </w:rPr>
        <w:t xml:space="preserve">the </w:t>
      </w:r>
      <w:r w:rsidRPr="00F4384B">
        <w:rPr>
          <w:rFonts w:eastAsia="DengXian"/>
          <w:b/>
          <w:bCs/>
          <w:lang w:eastAsia="zh-CN"/>
        </w:rPr>
        <w:t xml:space="preserve">International Convention </w:t>
      </w:r>
      <w:r w:rsidR="00285B7C" w:rsidRPr="00F4384B">
        <w:rPr>
          <w:rFonts w:eastAsia="DengXian"/>
          <w:b/>
          <w:bCs/>
          <w:lang w:eastAsia="zh-CN"/>
        </w:rPr>
        <w:t>on</w:t>
      </w:r>
      <w:r w:rsidRPr="00F4384B">
        <w:rPr>
          <w:rFonts w:eastAsia="DengXian"/>
          <w:b/>
          <w:bCs/>
          <w:lang w:eastAsia="zh-CN"/>
        </w:rPr>
        <w:t xml:space="preserve"> the Protection of All Migrant Workers and Members of </w:t>
      </w:r>
      <w:r w:rsidR="00926B99" w:rsidRPr="00F4384B">
        <w:rPr>
          <w:rFonts w:eastAsia="DengXian"/>
          <w:b/>
          <w:bCs/>
          <w:lang w:eastAsia="zh-CN"/>
        </w:rPr>
        <w:t>T</w:t>
      </w:r>
      <w:r w:rsidRPr="00F4384B">
        <w:rPr>
          <w:rFonts w:eastAsia="DengXian"/>
          <w:b/>
          <w:bCs/>
          <w:lang w:eastAsia="zh-CN"/>
        </w:rPr>
        <w:t>heir Families and the ILO Domestic Workers Convention</w:t>
      </w:r>
      <w:r w:rsidR="00285B7C" w:rsidRPr="00F4384B">
        <w:rPr>
          <w:rFonts w:eastAsia="DengXian"/>
          <w:b/>
          <w:bCs/>
          <w:lang w:eastAsia="zh-CN"/>
        </w:rPr>
        <w:t>, 2011</w:t>
      </w:r>
      <w:r w:rsidRPr="00F4384B">
        <w:rPr>
          <w:rFonts w:eastAsia="DengXian"/>
          <w:b/>
          <w:bCs/>
          <w:lang w:eastAsia="zh-CN"/>
        </w:rPr>
        <w:t xml:space="preserve"> (No. 189), as well as </w:t>
      </w:r>
      <w:r w:rsidR="00285B7C" w:rsidRPr="00F4384B">
        <w:rPr>
          <w:rFonts w:eastAsia="DengXian"/>
          <w:b/>
          <w:bCs/>
          <w:lang w:eastAsia="zh-CN"/>
        </w:rPr>
        <w:t xml:space="preserve">the </w:t>
      </w:r>
      <w:r w:rsidRPr="00F4384B">
        <w:rPr>
          <w:rFonts w:eastAsia="DengXian"/>
          <w:b/>
          <w:bCs/>
          <w:lang w:eastAsia="zh-CN"/>
        </w:rPr>
        <w:t>optional protocols to the International Covenant on Economic, Social and Cultural Rights and to the Convention on the Rights of Persons with Disabilities</w:t>
      </w:r>
      <w:r w:rsidR="000B6B6B">
        <w:rPr>
          <w:rFonts w:eastAsia="DengXian"/>
          <w:b/>
          <w:bCs/>
          <w:lang w:eastAsia="zh-CN"/>
        </w:rPr>
        <w:t>;</w:t>
      </w:r>
    </w:p>
    <w:p w14:paraId="6B293404" w14:textId="5455A7AB" w:rsidR="0031432C" w:rsidRPr="00013F4E" w:rsidRDefault="0031432C" w:rsidP="00CF23F7">
      <w:pPr>
        <w:pStyle w:val="Bullet1G"/>
        <w:rPr>
          <w:rFonts w:eastAsia="DengXian"/>
          <w:b/>
          <w:lang w:eastAsia="zh-CN"/>
        </w:rPr>
      </w:pPr>
      <w:r w:rsidRPr="00013F4E">
        <w:rPr>
          <w:rFonts w:eastAsia="DengXian"/>
          <w:b/>
          <w:lang w:eastAsia="zh-CN"/>
        </w:rPr>
        <w:t>Consider broadening the areas where legal protection is guaranteed on the ground of sex under the Act on Equal Treatment</w:t>
      </w:r>
      <w:r w:rsidR="000B6B6B">
        <w:rPr>
          <w:rFonts w:eastAsia="DengXian"/>
          <w:b/>
          <w:lang w:eastAsia="zh-CN"/>
        </w:rPr>
        <w:t>;</w:t>
      </w:r>
    </w:p>
    <w:p w14:paraId="26BD7F02" w14:textId="3D67439D" w:rsidR="0031432C" w:rsidRPr="00013F4E" w:rsidRDefault="0031432C" w:rsidP="00CF23F7">
      <w:pPr>
        <w:pStyle w:val="Bullet1G"/>
        <w:rPr>
          <w:rFonts w:eastAsia="DengXian"/>
          <w:b/>
          <w:lang w:eastAsia="zh-CN"/>
        </w:rPr>
      </w:pPr>
      <w:r w:rsidRPr="00013F4E">
        <w:rPr>
          <w:rFonts w:eastAsia="DengXian"/>
          <w:b/>
          <w:lang w:eastAsia="zh-CN"/>
        </w:rPr>
        <w:lastRenderedPageBreak/>
        <w:t>Establish and implement a comprehensive national strategy and action plan, through broad consultations</w:t>
      </w:r>
      <w:r w:rsidR="00285B7C">
        <w:rPr>
          <w:rFonts w:eastAsia="DengXian"/>
          <w:b/>
          <w:lang w:eastAsia="zh-CN"/>
        </w:rPr>
        <w:t>,</w:t>
      </w:r>
      <w:r w:rsidRPr="00013F4E">
        <w:rPr>
          <w:rFonts w:eastAsia="DengXian"/>
          <w:b/>
          <w:lang w:eastAsia="zh-CN"/>
        </w:rPr>
        <w:t xml:space="preserve"> including with women’s rights organizations, for gender equality and women’s empowerment, with the appropriate accompanying budget allocations, addressing the specific needs of women facing multiple and intersecting forms of discrimination</w:t>
      </w:r>
      <w:r w:rsidR="000B6B6B">
        <w:rPr>
          <w:rFonts w:eastAsia="DengXian"/>
          <w:b/>
          <w:lang w:eastAsia="zh-CN"/>
        </w:rPr>
        <w:t>;</w:t>
      </w:r>
    </w:p>
    <w:p w14:paraId="4EBE2573" w14:textId="4C89258C" w:rsidR="0031432C" w:rsidRPr="00013F4E" w:rsidRDefault="0031432C" w:rsidP="00CF23F7">
      <w:pPr>
        <w:pStyle w:val="Bullet1G"/>
        <w:rPr>
          <w:rFonts w:eastAsia="DengXian"/>
          <w:b/>
          <w:lang w:eastAsia="zh-CN"/>
        </w:rPr>
      </w:pPr>
      <w:r w:rsidRPr="00013F4E">
        <w:rPr>
          <w:rFonts w:eastAsia="DengXian"/>
          <w:b/>
          <w:lang w:eastAsia="zh-CN"/>
        </w:rPr>
        <w:t>Build a stronger institutional architecture for equality</w:t>
      </w:r>
      <w:r w:rsidR="00285B7C">
        <w:rPr>
          <w:rFonts w:eastAsia="DengXian"/>
          <w:b/>
          <w:lang w:eastAsia="zh-CN"/>
        </w:rPr>
        <w:t>,</w:t>
      </w:r>
      <w:r w:rsidRPr="00013F4E">
        <w:rPr>
          <w:rFonts w:eastAsia="DengXian"/>
          <w:b/>
          <w:lang w:eastAsia="zh-CN"/>
        </w:rPr>
        <w:t xml:space="preserve"> which should include dedicated entities for women’s rights and gender mainstreaming, with sufficient resources and competent staff. Ensure an enabling environment with sufficient allocation of resources for the </w:t>
      </w:r>
      <w:r w:rsidR="00FD36AE">
        <w:rPr>
          <w:rFonts w:eastAsia="DengXian"/>
          <w:b/>
          <w:lang w:eastAsia="zh-CN"/>
        </w:rPr>
        <w:t xml:space="preserve">Office of the </w:t>
      </w:r>
      <w:r w:rsidRPr="00013F4E">
        <w:rPr>
          <w:rFonts w:eastAsia="DengXian"/>
          <w:b/>
          <w:lang w:eastAsia="zh-CN"/>
        </w:rPr>
        <w:t>Commissioner for Human Rights and coordination and cooperation among different bodies</w:t>
      </w:r>
      <w:r w:rsidR="000B6B6B">
        <w:rPr>
          <w:rFonts w:eastAsia="DengXian"/>
          <w:b/>
          <w:lang w:eastAsia="zh-CN"/>
        </w:rPr>
        <w:t>;</w:t>
      </w:r>
    </w:p>
    <w:p w14:paraId="6FAF8FAE" w14:textId="77777777" w:rsidR="0031432C" w:rsidRPr="00E71B5F" w:rsidRDefault="0031432C" w:rsidP="00CF23F7">
      <w:pPr>
        <w:pStyle w:val="Bullet1G"/>
        <w:rPr>
          <w:rFonts w:eastAsia="Calibri"/>
          <w:b/>
          <w:w w:val="103"/>
          <w:lang w:val="hr-HR" w:eastAsia="zh-CN"/>
        </w:rPr>
      </w:pPr>
      <w:r w:rsidRPr="00013F4E">
        <w:rPr>
          <w:rFonts w:eastAsia="Calibri"/>
          <w:b/>
          <w:bCs/>
          <w:w w:val="103"/>
          <w:lang w:val="hr-HR" w:eastAsia="zh-CN"/>
        </w:rPr>
        <w:t>Keep the legal framework under regular and well-informed review, ensuring its compliance with international standards, to ensure a positive impact on women.</w:t>
      </w:r>
    </w:p>
    <w:p w14:paraId="4231F1C6" w14:textId="7241B11F" w:rsidR="0031432C" w:rsidRPr="00013F4E" w:rsidRDefault="000B6B6B" w:rsidP="00F4384B">
      <w:pPr>
        <w:pStyle w:val="Bullet1G"/>
        <w:numPr>
          <w:ilvl w:val="0"/>
          <w:numId w:val="0"/>
        </w:numPr>
        <w:ind w:left="1701" w:hanging="170"/>
        <w:rPr>
          <w:rFonts w:eastAsia="Calibri"/>
        </w:rPr>
      </w:pPr>
      <w:r w:rsidRPr="00F4384B">
        <w:rPr>
          <w:rFonts w:eastAsia="Calibri"/>
          <w:w w:val="103"/>
          <w:lang w:val="hr-HR" w:eastAsia="zh-CN"/>
        </w:rPr>
        <w:t>83.</w:t>
      </w:r>
      <w:r>
        <w:rPr>
          <w:rFonts w:eastAsia="Calibri"/>
          <w:b/>
          <w:bCs/>
          <w:w w:val="103"/>
          <w:lang w:val="hr-HR" w:eastAsia="zh-CN"/>
        </w:rPr>
        <w:tab/>
      </w:r>
      <w:r w:rsidRPr="00013F4E">
        <w:rPr>
          <w:rFonts w:eastAsia="Calibri"/>
          <w:b/>
        </w:rPr>
        <w:t>With regard to political and public life</w:t>
      </w:r>
      <w:r>
        <w:rPr>
          <w:rFonts w:eastAsia="Calibri"/>
          <w:b/>
        </w:rPr>
        <w:t>, the Working Group recommends that the Government:</w:t>
      </w:r>
    </w:p>
    <w:p w14:paraId="11151518" w14:textId="35B5A01D" w:rsidR="0031432C" w:rsidRPr="00F4384B" w:rsidRDefault="0031432C" w:rsidP="00FF635A">
      <w:pPr>
        <w:pStyle w:val="Bullet1G"/>
        <w:numPr>
          <w:ilvl w:val="0"/>
          <w:numId w:val="26"/>
        </w:numPr>
        <w:tabs>
          <w:tab w:val="left" w:pos="1701"/>
        </w:tabs>
        <w:ind w:firstLine="0"/>
        <w:rPr>
          <w:rFonts w:eastAsia="DengXian"/>
          <w:b/>
          <w:lang w:eastAsia="zh-CN"/>
        </w:rPr>
      </w:pPr>
      <w:r w:rsidRPr="00F4384B">
        <w:rPr>
          <w:rFonts w:eastAsia="Calibri"/>
          <w:b/>
          <w:lang w:eastAsia="zh-CN"/>
        </w:rPr>
        <w:t xml:space="preserve">Adopt further effective measures </w:t>
      </w:r>
      <w:r w:rsidRPr="00F4384B">
        <w:rPr>
          <w:rFonts w:eastAsia="DengXian"/>
          <w:b/>
          <w:lang w:eastAsia="zh-CN"/>
        </w:rPr>
        <w:t>to improve women’s political participation</w:t>
      </w:r>
      <w:r w:rsidR="000B6A98" w:rsidRPr="00F4384B">
        <w:rPr>
          <w:rFonts w:eastAsia="DengXian"/>
          <w:b/>
          <w:lang w:eastAsia="zh-CN"/>
        </w:rPr>
        <w:t>,</w:t>
      </w:r>
      <w:r w:rsidRPr="00F4384B">
        <w:rPr>
          <w:rFonts w:eastAsia="Calibri"/>
          <w:b/>
          <w:lang w:eastAsia="zh-CN"/>
        </w:rPr>
        <w:t xml:space="preserve"> such as the zipper system</w:t>
      </w:r>
      <w:r w:rsidRPr="00F4384B">
        <w:rPr>
          <w:rFonts w:eastAsia="DengXian"/>
          <w:b/>
          <w:lang w:eastAsia="zh-CN"/>
        </w:rPr>
        <w:t>, and provide training and support to women candidates</w:t>
      </w:r>
      <w:r w:rsidR="000B6B6B">
        <w:rPr>
          <w:rFonts w:eastAsia="DengXian"/>
          <w:b/>
          <w:lang w:eastAsia="zh-CN"/>
        </w:rPr>
        <w:t>;</w:t>
      </w:r>
    </w:p>
    <w:p w14:paraId="70D6FD3A" w14:textId="272D4344" w:rsidR="0031432C" w:rsidRPr="00013F4E" w:rsidRDefault="0031432C" w:rsidP="00FF635A">
      <w:pPr>
        <w:pStyle w:val="Bullet1G"/>
        <w:tabs>
          <w:tab w:val="left" w:pos="1701"/>
        </w:tabs>
        <w:ind w:firstLine="0"/>
        <w:rPr>
          <w:rFonts w:eastAsia="DengXian"/>
          <w:b/>
          <w:lang w:eastAsia="zh-CN"/>
        </w:rPr>
      </w:pPr>
      <w:r w:rsidRPr="00013F4E">
        <w:rPr>
          <w:rFonts w:eastAsia="DengXian"/>
          <w:b/>
          <w:lang w:eastAsia="zh-CN"/>
        </w:rPr>
        <w:t xml:space="preserve">Increase the representation of women </w:t>
      </w:r>
      <w:r w:rsidR="00285B7C">
        <w:rPr>
          <w:rFonts w:eastAsia="DengXian"/>
          <w:b/>
          <w:lang w:eastAsia="zh-CN"/>
        </w:rPr>
        <w:t>at</w:t>
      </w:r>
      <w:r w:rsidRPr="00013F4E">
        <w:rPr>
          <w:rFonts w:eastAsia="DengXian"/>
          <w:b/>
          <w:lang w:eastAsia="zh-CN"/>
        </w:rPr>
        <w:t xml:space="preserve"> the highest level of the </w:t>
      </w:r>
      <w:r w:rsidR="00960C76">
        <w:rPr>
          <w:rFonts w:eastAsia="DengXian"/>
          <w:b/>
          <w:lang w:eastAsia="zh-CN"/>
        </w:rPr>
        <w:t>G</w:t>
      </w:r>
      <w:r w:rsidRPr="00013F4E">
        <w:rPr>
          <w:rFonts w:eastAsia="DengXian"/>
          <w:b/>
          <w:lang w:eastAsia="zh-CN"/>
        </w:rPr>
        <w:t xml:space="preserve">overnment and </w:t>
      </w:r>
      <w:r w:rsidR="00960C76">
        <w:rPr>
          <w:rFonts w:eastAsia="DengXian"/>
          <w:b/>
          <w:lang w:eastAsia="zh-CN"/>
        </w:rPr>
        <w:t>S</w:t>
      </w:r>
      <w:r w:rsidRPr="00013F4E">
        <w:rPr>
          <w:rFonts w:eastAsia="DengXian"/>
          <w:b/>
          <w:lang w:eastAsia="zh-CN"/>
        </w:rPr>
        <w:t>tate institutions</w:t>
      </w:r>
      <w:r w:rsidR="00FD36AE">
        <w:rPr>
          <w:rFonts w:eastAsia="DengXian"/>
          <w:b/>
          <w:lang w:eastAsia="zh-CN"/>
        </w:rPr>
        <w:t xml:space="preserve"> with a view to achieving gender parity</w:t>
      </w:r>
      <w:r w:rsidR="000B6B6B">
        <w:rPr>
          <w:rFonts w:eastAsia="DengXian"/>
          <w:b/>
          <w:lang w:eastAsia="zh-CN"/>
        </w:rPr>
        <w:t>;</w:t>
      </w:r>
    </w:p>
    <w:p w14:paraId="02BD8D2A" w14:textId="77777777" w:rsidR="0031432C" w:rsidRPr="00013F4E" w:rsidRDefault="0031432C" w:rsidP="00FF635A">
      <w:pPr>
        <w:pStyle w:val="Bullet1G"/>
        <w:tabs>
          <w:tab w:val="left" w:pos="1701"/>
        </w:tabs>
        <w:ind w:firstLine="0"/>
        <w:rPr>
          <w:rFonts w:eastAsia="DengXian"/>
          <w:b/>
          <w:lang w:eastAsia="zh-CN"/>
        </w:rPr>
      </w:pPr>
      <w:r w:rsidRPr="00013F4E">
        <w:rPr>
          <w:rFonts w:eastAsia="Calibri"/>
          <w:b/>
          <w:lang w:eastAsia="zh-CN"/>
        </w:rPr>
        <w:t>Secure an enabling environment for women human rights defenders, who should receive a fair share of public funding, and protect them from any intimidation.</w:t>
      </w:r>
    </w:p>
    <w:p w14:paraId="3CDD37BC" w14:textId="0E7A5AE0" w:rsidR="0031432C" w:rsidRPr="00013F4E" w:rsidRDefault="00CF23F7" w:rsidP="00CF23F7">
      <w:pPr>
        <w:pStyle w:val="H4G"/>
        <w:rPr>
          <w:rFonts w:eastAsia="Calibri"/>
          <w:b/>
        </w:rPr>
      </w:pPr>
      <w:r w:rsidRPr="00013F4E">
        <w:rPr>
          <w:rFonts w:eastAsia="Calibri"/>
          <w:b/>
        </w:rPr>
        <w:tab/>
      </w:r>
      <w:r w:rsidRPr="00013F4E">
        <w:rPr>
          <w:rFonts w:eastAsia="Calibri"/>
          <w:b/>
        </w:rPr>
        <w:tab/>
      </w:r>
      <w:r w:rsidR="000B6B6B" w:rsidRPr="00D85406">
        <w:rPr>
          <w:rFonts w:eastAsia="Calibri"/>
          <w:bCs/>
          <w:i w:val="0"/>
          <w:iCs/>
        </w:rPr>
        <w:t>84.</w:t>
      </w:r>
      <w:r w:rsidR="000B6B6B" w:rsidRPr="00D85406">
        <w:rPr>
          <w:rFonts w:eastAsia="Calibri"/>
          <w:bCs/>
          <w:i w:val="0"/>
          <w:iCs/>
        </w:rPr>
        <w:tab/>
      </w:r>
      <w:r w:rsidR="000B6B6B" w:rsidRPr="00D85406">
        <w:rPr>
          <w:rFonts w:eastAsia="Calibri"/>
          <w:b/>
          <w:i w:val="0"/>
          <w:iCs/>
        </w:rPr>
        <w:t>With regard to economic and social life</w:t>
      </w:r>
      <w:r w:rsidR="000B6B6B" w:rsidRPr="00E65C16">
        <w:rPr>
          <w:rFonts w:eastAsia="Calibri"/>
          <w:b/>
          <w:i w:val="0"/>
          <w:iCs/>
        </w:rPr>
        <w:t>,</w:t>
      </w:r>
      <w:r w:rsidR="000B6B6B" w:rsidRPr="00CB604F">
        <w:rPr>
          <w:rFonts w:eastAsia="Calibri"/>
          <w:b/>
          <w:i w:val="0"/>
          <w:iCs/>
        </w:rPr>
        <w:t xml:space="preserve"> the Working Group recommends that the Government</w:t>
      </w:r>
      <w:r w:rsidR="000B6B6B" w:rsidRPr="00F4384B">
        <w:rPr>
          <w:rFonts w:eastAsia="Calibri"/>
          <w:b/>
          <w:i w:val="0"/>
          <w:iCs/>
        </w:rPr>
        <w:t>:</w:t>
      </w:r>
    </w:p>
    <w:p w14:paraId="0DAFF8F9" w14:textId="7ECED944" w:rsidR="0031432C" w:rsidRPr="00F4384B" w:rsidRDefault="0031432C" w:rsidP="00FF635A">
      <w:pPr>
        <w:pStyle w:val="Bullet1G"/>
        <w:numPr>
          <w:ilvl w:val="0"/>
          <w:numId w:val="27"/>
        </w:numPr>
        <w:tabs>
          <w:tab w:val="left" w:pos="1701"/>
        </w:tabs>
        <w:ind w:firstLine="0"/>
        <w:rPr>
          <w:rFonts w:eastAsia="Calibri"/>
          <w:b/>
          <w:lang w:eastAsia="zh-CN"/>
        </w:rPr>
      </w:pPr>
      <w:r w:rsidRPr="00F4384B">
        <w:rPr>
          <w:rFonts w:eastAsia="Calibri"/>
          <w:b/>
          <w:lang w:eastAsia="zh-CN"/>
        </w:rPr>
        <w:t>Adopt further measures to increase women’s labour force participation, particularly women with disabilities, Roma women</w:t>
      </w:r>
      <w:r w:rsidR="00285B7C" w:rsidRPr="00F4384B">
        <w:rPr>
          <w:rFonts w:eastAsia="Calibri"/>
          <w:b/>
          <w:lang w:eastAsia="zh-CN"/>
        </w:rPr>
        <w:t xml:space="preserve"> and</w:t>
      </w:r>
      <w:r w:rsidRPr="00F4384B">
        <w:rPr>
          <w:rFonts w:eastAsia="Calibri"/>
          <w:b/>
          <w:lang w:eastAsia="zh-CN"/>
        </w:rPr>
        <w:t xml:space="preserve"> older women, and monitor </w:t>
      </w:r>
      <w:r w:rsidR="00285B7C" w:rsidRPr="00F4384B">
        <w:rPr>
          <w:rFonts w:eastAsia="Calibri"/>
          <w:b/>
          <w:lang w:eastAsia="zh-CN"/>
        </w:rPr>
        <w:t xml:space="preserve">the </w:t>
      </w:r>
      <w:r w:rsidRPr="00F4384B">
        <w:rPr>
          <w:rFonts w:eastAsia="Calibri"/>
          <w:b/>
          <w:lang w:eastAsia="zh-CN"/>
        </w:rPr>
        <w:t>impact of social protection measures on women’s labour force participation</w:t>
      </w:r>
      <w:r w:rsidR="000B6B6B">
        <w:rPr>
          <w:rFonts w:eastAsia="Calibri"/>
          <w:b/>
          <w:lang w:eastAsia="zh-CN"/>
        </w:rPr>
        <w:t>;</w:t>
      </w:r>
    </w:p>
    <w:p w14:paraId="32EF327D" w14:textId="4BDB15F9" w:rsidR="0031432C" w:rsidRPr="00013F4E" w:rsidRDefault="0031432C" w:rsidP="00FF635A">
      <w:pPr>
        <w:pStyle w:val="Bullet1G"/>
        <w:tabs>
          <w:tab w:val="left" w:pos="1701"/>
        </w:tabs>
        <w:ind w:firstLine="0"/>
        <w:rPr>
          <w:rFonts w:eastAsia="DengXian"/>
          <w:b/>
          <w:lang w:eastAsia="zh-CN"/>
        </w:rPr>
      </w:pPr>
      <w:r w:rsidRPr="00013F4E">
        <w:rPr>
          <w:rFonts w:eastAsia="DengXian"/>
          <w:b/>
          <w:lang w:eastAsia="zh-CN"/>
        </w:rPr>
        <w:t xml:space="preserve">Identify the most significant factors </w:t>
      </w:r>
      <w:r w:rsidR="00285B7C">
        <w:rPr>
          <w:rFonts w:eastAsia="DengXian"/>
          <w:b/>
          <w:lang w:eastAsia="zh-CN"/>
        </w:rPr>
        <w:t>contributing to</w:t>
      </w:r>
      <w:r w:rsidRPr="00013F4E">
        <w:rPr>
          <w:rFonts w:eastAsia="DengXian"/>
          <w:b/>
          <w:lang w:eastAsia="zh-CN"/>
        </w:rPr>
        <w:t xml:space="preserve"> </w:t>
      </w:r>
      <w:r w:rsidR="00285B7C">
        <w:rPr>
          <w:rFonts w:eastAsia="DengXian"/>
          <w:b/>
          <w:lang w:eastAsia="zh-CN"/>
        </w:rPr>
        <w:t xml:space="preserve">the </w:t>
      </w:r>
      <w:r w:rsidRPr="00013F4E">
        <w:rPr>
          <w:rFonts w:eastAsia="DengXian"/>
          <w:b/>
          <w:lang w:eastAsia="zh-CN"/>
        </w:rPr>
        <w:t>gender pay gap through analytical work and consultation</w:t>
      </w:r>
      <w:r w:rsidR="00285B7C">
        <w:rPr>
          <w:rFonts w:eastAsia="DengXian"/>
          <w:b/>
          <w:lang w:eastAsia="zh-CN"/>
        </w:rPr>
        <w:t>s</w:t>
      </w:r>
      <w:r w:rsidRPr="00013F4E">
        <w:rPr>
          <w:rFonts w:eastAsia="DengXian"/>
          <w:b/>
          <w:lang w:eastAsia="zh-CN"/>
        </w:rPr>
        <w:t xml:space="preserve"> with social partners</w:t>
      </w:r>
      <w:r w:rsidR="00275D4C">
        <w:rPr>
          <w:rFonts w:eastAsia="DengXian"/>
          <w:b/>
          <w:lang w:eastAsia="zh-CN"/>
        </w:rPr>
        <w:t xml:space="preserve"> and other stakeholders</w:t>
      </w:r>
      <w:r w:rsidRPr="00013F4E">
        <w:rPr>
          <w:rFonts w:eastAsia="DengXian"/>
          <w:b/>
          <w:lang w:eastAsia="zh-CN"/>
        </w:rPr>
        <w:t xml:space="preserve"> and develop effective remedies </w:t>
      </w:r>
      <w:r w:rsidR="00285B7C">
        <w:rPr>
          <w:rFonts w:eastAsia="DengXian"/>
          <w:b/>
          <w:lang w:eastAsia="zh-CN"/>
        </w:rPr>
        <w:t>to</w:t>
      </w:r>
      <w:r w:rsidRPr="00013F4E">
        <w:rPr>
          <w:rFonts w:eastAsia="DengXian"/>
          <w:b/>
          <w:lang w:eastAsia="zh-CN"/>
        </w:rPr>
        <w:t xml:space="preserve"> reduc</w:t>
      </w:r>
      <w:r w:rsidR="00285B7C">
        <w:rPr>
          <w:rFonts w:eastAsia="DengXian"/>
          <w:b/>
          <w:lang w:eastAsia="zh-CN"/>
        </w:rPr>
        <w:t>e the</w:t>
      </w:r>
      <w:r w:rsidRPr="00013F4E">
        <w:rPr>
          <w:rFonts w:eastAsia="DengXian"/>
          <w:b/>
          <w:lang w:eastAsia="zh-CN"/>
        </w:rPr>
        <w:t xml:space="preserve"> gender pay gap</w:t>
      </w:r>
      <w:r w:rsidR="000B6B6B">
        <w:rPr>
          <w:rFonts w:eastAsia="DengXian"/>
          <w:b/>
          <w:lang w:eastAsia="zh-CN"/>
        </w:rPr>
        <w:t>;</w:t>
      </w:r>
    </w:p>
    <w:p w14:paraId="1D70AA92" w14:textId="2EE6D21E" w:rsidR="0031432C" w:rsidRPr="00013F4E" w:rsidRDefault="0031432C" w:rsidP="00FF635A">
      <w:pPr>
        <w:pStyle w:val="Bullet1G"/>
        <w:tabs>
          <w:tab w:val="left" w:pos="1701"/>
        </w:tabs>
        <w:ind w:firstLine="0"/>
        <w:rPr>
          <w:rFonts w:eastAsia="DengXian"/>
          <w:b/>
          <w:lang w:eastAsia="zh-CN"/>
        </w:rPr>
      </w:pPr>
      <w:r w:rsidRPr="00013F4E">
        <w:rPr>
          <w:rFonts w:eastAsia="DengXian"/>
          <w:b/>
          <w:lang w:eastAsia="zh-CN"/>
        </w:rPr>
        <w:t>Consider the adoption of temporary special measures such as gender quota</w:t>
      </w:r>
      <w:r w:rsidR="005442FC">
        <w:rPr>
          <w:rFonts w:eastAsia="DengXian"/>
          <w:b/>
          <w:lang w:eastAsia="zh-CN"/>
        </w:rPr>
        <w:t>s</w:t>
      </w:r>
      <w:r w:rsidRPr="00013F4E">
        <w:rPr>
          <w:rFonts w:eastAsia="DengXian"/>
          <w:b/>
          <w:lang w:eastAsia="zh-CN"/>
        </w:rPr>
        <w:t xml:space="preserve"> for publicly listed companies</w:t>
      </w:r>
      <w:r w:rsidR="000B6B6B">
        <w:rPr>
          <w:rFonts w:eastAsia="DengXian"/>
          <w:b/>
          <w:lang w:eastAsia="zh-CN"/>
        </w:rPr>
        <w:t>;</w:t>
      </w:r>
    </w:p>
    <w:p w14:paraId="064C6F9F" w14:textId="69DCEB98" w:rsidR="0031432C" w:rsidRPr="00CA7FF8" w:rsidRDefault="0031432C" w:rsidP="00FF635A">
      <w:pPr>
        <w:pStyle w:val="Bullet1G"/>
        <w:tabs>
          <w:tab w:val="left" w:pos="1701"/>
        </w:tabs>
        <w:ind w:firstLine="0"/>
        <w:rPr>
          <w:rFonts w:eastAsia="DengXian"/>
          <w:b/>
          <w:lang w:eastAsia="zh-CN"/>
        </w:rPr>
      </w:pPr>
      <w:r w:rsidRPr="00CA7FF8">
        <w:rPr>
          <w:rFonts w:eastAsia="DengXian"/>
          <w:b/>
          <w:lang w:eastAsia="zh-CN"/>
        </w:rPr>
        <w:t xml:space="preserve">Ensure that non-discrimination and gender equality </w:t>
      </w:r>
      <w:r w:rsidR="00E92BDF" w:rsidRPr="00CA7FF8">
        <w:rPr>
          <w:rFonts w:eastAsia="DengXian"/>
          <w:b/>
          <w:lang w:eastAsia="zh-CN"/>
        </w:rPr>
        <w:t>are an integral part</w:t>
      </w:r>
      <w:r w:rsidRPr="00CA7FF8">
        <w:rPr>
          <w:rFonts w:eastAsia="DengXian"/>
          <w:b/>
          <w:lang w:eastAsia="zh-CN"/>
        </w:rPr>
        <w:t xml:space="preserve"> of </w:t>
      </w:r>
      <w:r w:rsidR="00E92BDF" w:rsidRPr="00CA7FF8">
        <w:rPr>
          <w:rFonts w:eastAsia="DengXian"/>
          <w:b/>
          <w:lang w:eastAsia="zh-CN"/>
        </w:rPr>
        <w:t xml:space="preserve">the </w:t>
      </w:r>
      <w:r w:rsidRPr="00CA7FF8">
        <w:rPr>
          <w:rFonts w:eastAsia="DengXian"/>
          <w:b/>
          <w:lang w:eastAsia="zh-CN"/>
        </w:rPr>
        <w:t xml:space="preserve">values </w:t>
      </w:r>
      <w:r w:rsidR="000B6A98">
        <w:rPr>
          <w:rFonts w:eastAsia="DengXian"/>
          <w:b/>
          <w:lang w:eastAsia="zh-CN"/>
        </w:rPr>
        <w:t>underpinning</w:t>
      </w:r>
      <w:r w:rsidRPr="00CA7FF8">
        <w:rPr>
          <w:rFonts w:eastAsia="DengXian"/>
          <w:b/>
          <w:lang w:eastAsia="zh-CN"/>
        </w:rPr>
        <w:t xml:space="preserve"> the core curriculum</w:t>
      </w:r>
      <w:r w:rsidR="000B6B6B">
        <w:rPr>
          <w:rFonts w:eastAsia="DengXian"/>
          <w:b/>
          <w:lang w:eastAsia="zh-CN"/>
        </w:rPr>
        <w:t>;</w:t>
      </w:r>
    </w:p>
    <w:p w14:paraId="3D62CC4D" w14:textId="3466F0B9" w:rsidR="0031432C" w:rsidRPr="00013F4E" w:rsidRDefault="0031432C" w:rsidP="00FF635A">
      <w:pPr>
        <w:pStyle w:val="Bullet1G"/>
        <w:tabs>
          <w:tab w:val="left" w:pos="1701"/>
        </w:tabs>
        <w:ind w:firstLine="0"/>
        <w:rPr>
          <w:rFonts w:eastAsia="DengXian"/>
          <w:b/>
          <w:lang w:eastAsia="zh-CN"/>
        </w:rPr>
      </w:pPr>
      <w:r w:rsidRPr="00013F4E">
        <w:rPr>
          <w:rFonts w:eastAsia="DengXian"/>
          <w:b/>
          <w:lang w:eastAsia="zh-CN"/>
        </w:rPr>
        <w:t>Provide comprehensive age</w:t>
      </w:r>
      <w:r w:rsidR="005442FC">
        <w:rPr>
          <w:rFonts w:eastAsia="DengXian"/>
          <w:b/>
          <w:lang w:eastAsia="zh-CN"/>
        </w:rPr>
        <w:t>-</w:t>
      </w:r>
      <w:r w:rsidRPr="00013F4E">
        <w:rPr>
          <w:rFonts w:eastAsia="DengXian"/>
          <w:b/>
          <w:lang w:eastAsia="zh-CN"/>
        </w:rPr>
        <w:t>appropriate</w:t>
      </w:r>
      <w:r w:rsidR="005442FC">
        <w:rPr>
          <w:rFonts w:eastAsia="DengXian"/>
          <w:b/>
          <w:lang w:eastAsia="zh-CN"/>
        </w:rPr>
        <w:t>,</w:t>
      </w:r>
      <w:r w:rsidRPr="00013F4E">
        <w:rPr>
          <w:rFonts w:eastAsia="DengXian"/>
          <w:b/>
          <w:lang w:eastAsia="zh-CN"/>
        </w:rPr>
        <w:t xml:space="preserve"> scientifically</w:t>
      </w:r>
      <w:r w:rsidR="00285B7C">
        <w:rPr>
          <w:rFonts w:eastAsia="DengXian"/>
          <w:b/>
          <w:lang w:eastAsia="zh-CN"/>
        </w:rPr>
        <w:t xml:space="preserve"> </w:t>
      </w:r>
      <w:r w:rsidRPr="00013F4E">
        <w:rPr>
          <w:rFonts w:eastAsia="DengXian"/>
          <w:b/>
          <w:lang w:eastAsia="zh-CN"/>
        </w:rPr>
        <w:t>based sexuality education and remove any stereotypical teaching material and content from education</w:t>
      </w:r>
      <w:r w:rsidR="000B6B6B">
        <w:rPr>
          <w:rFonts w:eastAsia="DengXian"/>
          <w:b/>
          <w:lang w:eastAsia="zh-CN"/>
        </w:rPr>
        <w:t>;</w:t>
      </w:r>
    </w:p>
    <w:p w14:paraId="12447FE4" w14:textId="6C2DC6A4" w:rsidR="0031432C" w:rsidRPr="00013F4E" w:rsidRDefault="0031432C" w:rsidP="00FF635A">
      <w:pPr>
        <w:pStyle w:val="Bullet1G"/>
        <w:tabs>
          <w:tab w:val="left" w:pos="1701"/>
        </w:tabs>
        <w:ind w:firstLine="0"/>
        <w:rPr>
          <w:rFonts w:eastAsia="DengXian"/>
          <w:b/>
          <w:lang w:eastAsia="zh-CN"/>
        </w:rPr>
      </w:pPr>
      <w:r w:rsidRPr="00013F4E">
        <w:rPr>
          <w:rFonts w:eastAsia="DengXian"/>
          <w:b/>
          <w:lang w:eastAsia="zh-CN"/>
        </w:rPr>
        <w:t>Ensure respect for freedom of expression in all education institutions and the continuous operation of academic programmes on gender equality</w:t>
      </w:r>
      <w:r w:rsidR="00285B7C">
        <w:rPr>
          <w:rFonts w:eastAsia="DengXian"/>
          <w:b/>
          <w:lang w:eastAsia="zh-CN"/>
        </w:rPr>
        <w:t>.</w:t>
      </w:r>
    </w:p>
    <w:p w14:paraId="68EB001A" w14:textId="7DEA6832" w:rsidR="0031432C" w:rsidRPr="00F4384B" w:rsidRDefault="00CF23F7">
      <w:pPr>
        <w:pStyle w:val="H4G"/>
        <w:rPr>
          <w:rFonts w:eastAsia="Calibri"/>
          <w:b/>
          <w:i w:val="0"/>
          <w:iCs/>
        </w:rPr>
      </w:pPr>
      <w:r w:rsidRPr="00013F4E">
        <w:rPr>
          <w:rFonts w:eastAsia="Calibri"/>
          <w:b/>
        </w:rPr>
        <w:tab/>
      </w:r>
      <w:r w:rsidRPr="00013F4E">
        <w:rPr>
          <w:rFonts w:eastAsia="Calibri"/>
          <w:b/>
        </w:rPr>
        <w:tab/>
      </w:r>
      <w:r w:rsidR="000B6B6B" w:rsidRPr="00D85406">
        <w:rPr>
          <w:rFonts w:eastAsia="Calibri"/>
          <w:bCs/>
          <w:i w:val="0"/>
          <w:iCs/>
        </w:rPr>
        <w:t>85.</w:t>
      </w:r>
      <w:r w:rsidR="000B6B6B" w:rsidRPr="00D85406">
        <w:rPr>
          <w:rFonts w:eastAsia="Calibri"/>
          <w:b/>
          <w:i w:val="0"/>
          <w:iCs/>
        </w:rPr>
        <w:tab/>
        <w:t>With regard to health</w:t>
      </w:r>
      <w:r w:rsidR="000B6B6B">
        <w:rPr>
          <w:rFonts w:eastAsia="Calibri"/>
          <w:b/>
          <w:i w:val="0"/>
          <w:iCs/>
        </w:rPr>
        <w:t>,</w:t>
      </w:r>
      <w:r w:rsidR="000B6B6B" w:rsidRPr="00E65C16">
        <w:rPr>
          <w:rFonts w:eastAsia="Calibri"/>
          <w:b/>
          <w:i w:val="0"/>
          <w:iCs/>
        </w:rPr>
        <w:t xml:space="preserve"> </w:t>
      </w:r>
      <w:r w:rsidR="000B6B6B" w:rsidRPr="00CB604F">
        <w:rPr>
          <w:rFonts w:eastAsia="Calibri"/>
          <w:b/>
          <w:i w:val="0"/>
          <w:iCs/>
        </w:rPr>
        <w:t>the Working Group recommends that the Government</w:t>
      </w:r>
      <w:r w:rsidR="000B6B6B" w:rsidRPr="00D85406">
        <w:rPr>
          <w:rFonts w:eastAsia="Calibri"/>
          <w:b/>
          <w:i w:val="0"/>
          <w:iCs/>
        </w:rPr>
        <w:t>:</w:t>
      </w:r>
    </w:p>
    <w:p w14:paraId="1A6FE114" w14:textId="4DB35E80" w:rsidR="0031432C" w:rsidRPr="00013F4E" w:rsidRDefault="006E56B5" w:rsidP="006E56B5">
      <w:pPr>
        <w:pStyle w:val="Bullet1G"/>
        <w:numPr>
          <w:ilvl w:val="0"/>
          <w:numId w:val="0"/>
        </w:numPr>
        <w:ind w:left="1134" w:firstLine="567"/>
        <w:rPr>
          <w:b/>
        </w:rPr>
      </w:pPr>
      <w:r w:rsidRPr="00F4384B">
        <w:rPr>
          <w:b/>
          <w:bCs/>
        </w:rPr>
        <w:t>(a)</w:t>
      </w:r>
      <w:r>
        <w:tab/>
      </w:r>
      <w:r w:rsidR="0031432C" w:rsidRPr="00013F4E">
        <w:rPr>
          <w:b/>
        </w:rPr>
        <w:t>Ensure full access to health</w:t>
      </w:r>
      <w:r w:rsidR="00115100">
        <w:rPr>
          <w:b/>
        </w:rPr>
        <w:t>-</w:t>
      </w:r>
      <w:r w:rsidR="0031432C" w:rsidRPr="00013F4E">
        <w:rPr>
          <w:b/>
        </w:rPr>
        <w:t>care services</w:t>
      </w:r>
      <w:r w:rsidR="00161B2A">
        <w:rPr>
          <w:b/>
        </w:rPr>
        <w:t>,</w:t>
      </w:r>
      <w:r w:rsidR="0031432C" w:rsidRPr="00013F4E">
        <w:rPr>
          <w:b/>
        </w:rPr>
        <w:t xml:space="preserve"> including reproductive health care and tailored care to address the needs of adolescent girls, women with disabilities, sex workers,</w:t>
      </w:r>
      <w:r w:rsidR="00115100">
        <w:rPr>
          <w:b/>
        </w:rPr>
        <w:t xml:space="preserve"> </w:t>
      </w:r>
      <w:r w:rsidR="0031432C" w:rsidRPr="00013F4E">
        <w:rPr>
          <w:b/>
        </w:rPr>
        <w:t>rural women</w:t>
      </w:r>
      <w:r w:rsidR="00115100">
        <w:rPr>
          <w:b/>
        </w:rPr>
        <w:t xml:space="preserve"> and lesbian, bisexual, transgender and intersex </w:t>
      </w:r>
      <w:r w:rsidR="00281A59">
        <w:rPr>
          <w:b/>
        </w:rPr>
        <w:t>women</w:t>
      </w:r>
      <w:r w:rsidR="001B4620">
        <w:rPr>
          <w:b/>
        </w:rPr>
        <w:t>;</w:t>
      </w:r>
    </w:p>
    <w:p w14:paraId="511A8ADD" w14:textId="6984887E" w:rsidR="0031432C" w:rsidRPr="00013F4E" w:rsidRDefault="0031432C" w:rsidP="006E56B5">
      <w:pPr>
        <w:pStyle w:val="Bullet1G"/>
        <w:numPr>
          <w:ilvl w:val="0"/>
          <w:numId w:val="0"/>
        </w:numPr>
        <w:ind w:left="1134" w:firstLine="567"/>
        <w:rPr>
          <w:b/>
        </w:rPr>
      </w:pPr>
      <w:r w:rsidRPr="00F4384B">
        <w:rPr>
          <w:b/>
          <w:bCs/>
        </w:rPr>
        <w:t>(b)</w:t>
      </w:r>
      <w:r w:rsidR="006E56B5">
        <w:tab/>
      </w:r>
      <w:r w:rsidRPr="00013F4E">
        <w:rPr>
          <w:b/>
        </w:rPr>
        <w:t>Ensure that a full range of modern contraceptives and related information and services</w:t>
      </w:r>
      <w:r w:rsidR="00E52A65">
        <w:rPr>
          <w:b/>
        </w:rPr>
        <w:t>,</w:t>
      </w:r>
      <w:r w:rsidRPr="00013F4E">
        <w:rPr>
          <w:b/>
        </w:rPr>
        <w:t xml:space="preserve"> including emergency contraception</w:t>
      </w:r>
      <w:r w:rsidR="00E52A65">
        <w:rPr>
          <w:b/>
        </w:rPr>
        <w:t>,</w:t>
      </w:r>
      <w:r w:rsidRPr="00013F4E">
        <w:rPr>
          <w:b/>
        </w:rPr>
        <w:t xml:space="preserve"> are readily accessible </w:t>
      </w:r>
      <w:r w:rsidR="000B6A98">
        <w:rPr>
          <w:b/>
        </w:rPr>
        <w:t xml:space="preserve">to </w:t>
      </w:r>
      <w:r w:rsidRPr="00013F4E">
        <w:rPr>
          <w:b/>
        </w:rPr>
        <w:t xml:space="preserve">and affordable </w:t>
      </w:r>
      <w:r w:rsidR="000B6A98">
        <w:rPr>
          <w:b/>
        </w:rPr>
        <w:t>for</w:t>
      </w:r>
      <w:r w:rsidRPr="00013F4E">
        <w:rPr>
          <w:b/>
        </w:rPr>
        <w:t xml:space="preserve"> all women</w:t>
      </w:r>
      <w:proofErr w:type="gramStart"/>
      <w:r w:rsidR="001B4620">
        <w:rPr>
          <w:b/>
        </w:rPr>
        <w:t>;</w:t>
      </w:r>
      <w:proofErr w:type="gramEnd"/>
    </w:p>
    <w:p w14:paraId="024E2EE2" w14:textId="0D810BFF" w:rsidR="0031432C" w:rsidRPr="00013F4E" w:rsidRDefault="0031432C" w:rsidP="006E56B5">
      <w:pPr>
        <w:pStyle w:val="Bullet1G"/>
        <w:numPr>
          <w:ilvl w:val="0"/>
          <w:numId w:val="0"/>
        </w:numPr>
        <w:ind w:left="1134" w:firstLine="567"/>
        <w:rPr>
          <w:b/>
        </w:rPr>
      </w:pPr>
      <w:r w:rsidRPr="00F4384B">
        <w:rPr>
          <w:b/>
          <w:bCs/>
        </w:rPr>
        <w:t>(c)</w:t>
      </w:r>
      <w:r w:rsidR="006E56B5">
        <w:tab/>
      </w:r>
      <w:r w:rsidRPr="00013F4E">
        <w:rPr>
          <w:b/>
        </w:rPr>
        <w:t>Ensure that legal abortion is accessible in practice by removing existing barriers and abortion stigma</w:t>
      </w:r>
      <w:r w:rsidR="00E52A65">
        <w:rPr>
          <w:b/>
        </w:rPr>
        <w:t>,</w:t>
      </w:r>
      <w:r w:rsidRPr="00013F4E">
        <w:rPr>
          <w:b/>
        </w:rPr>
        <w:t xml:space="preserve"> including through </w:t>
      </w:r>
      <w:r w:rsidR="00E52A65">
        <w:rPr>
          <w:b/>
        </w:rPr>
        <w:t xml:space="preserve">the </w:t>
      </w:r>
      <w:r w:rsidRPr="00013F4E">
        <w:rPr>
          <w:b/>
        </w:rPr>
        <w:t>proper monitoring and regulati</w:t>
      </w:r>
      <w:r w:rsidR="00E52A65">
        <w:rPr>
          <w:b/>
        </w:rPr>
        <w:t>on</w:t>
      </w:r>
      <w:r w:rsidRPr="00013F4E">
        <w:rPr>
          <w:b/>
        </w:rPr>
        <w:t xml:space="preserve"> </w:t>
      </w:r>
      <w:r w:rsidRPr="00013F4E">
        <w:rPr>
          <w:b/>
        </w:rPr>
        <w:lastRenderedPageBreak/>
        <w:t xml:space="preserve">of the practice of conscientious objection and </w:t>
      </w:r>
      <w:r w:rsidR="00E52A65">
        <w:rPr>
          <w:b/>
        </w:rPr>
        <w:t xml:space="preserve">by </w:t>
      </w:r>
      <w:r w:rsidRPr="00013F4E">
        <w:rPr>
          <w:b/>
        </w:rPr>
        <w:t>improving the effectiveness of the complaint mechanism</w:t>
      </w:r>
      <w:r w:rsidR="00E52A65">
        <w:rPr>
          <w:b/>
        </w:rPr>
        <w:t xml:space="preserve">, </w:t>
      </w:r>
      <w:r w:rsidRPr="00013F4E">
        <w:rPr>
          <w:b/>
        </w:rPr>
        <w:t>and consider liberali</w:t>
      </w:r>
      <w:r w:rsidR="00E52A65">
        <w:rPr>
          <w:b/>
        </w:rPr>
        <w:t>z</w:t>
      </w:r>
      <w:r w:rsidRPr="00013F4E">
        <w:rPr>
          <w:b/>
        </w:rPr>
        <w:t>ing the abortion law</w:t>
      </w:r>
      <w:r w:rsidR="001B4620">
        <w:rPr>
          <w:b/>
        </w:rPr>
        <w:t>;</w:t>
      </w:r>
    </w:p>
    <w:p w14:paraId="0C694B7A" w14:textId="1EF67822" w:rsidR="00E52A65" w:rsidRDefault="00013F4E" w:rsidP="006E56B5">
      <w:pPr>
        <w:pStyle w:val="Bullet1G"/>
        <w:numPr>
          <w:ilvl w:val="0"/>
          <w:numId w:val="0"/>
        </w:numPr>
        <w:ind w:left="1134" w:firstLine="567"/>
        <w:rPr>
          <w:b/>
        </w:rPr>
      </w:pPr>
      <w:r w:rsidRPr="00F4384B">
        <w:rPr>
          <w:b/>
          <w:bCs/>
        </w:rPr>
        <w:t>(d)</w:t>
      </w:r>
      <w:r w:rsidR="006E56B5" w:rsidRPr="00F4384B">
        <w:rPr>
          <w:b/>
          <w:bCs/>
        </w:rPr>
        <w:tab/>
      </w:r>
      <w:r w:rsidR="0031432C" w:rsidRPr="00013F4E">
        <w:rPr>
          <w:b/>
        </w:rPr>
        <w:t>Ensure full access to reproductive health services</w:t>
      </w:r>
      <w:r w:rsidR="00E52A65">
        <w:rPr>
          <w:b/>
        </w:rPr>
        <w:t>,</w:t>
      </w:r>
      <w:r w:rsidR="0031432C" w:rsidRPr="00013F4E">
        <w:rPr>
          <w:b/>
        </w:rPr>
        <w:t xml:space="preserve"> including contraceptive information and services</w:t>
      </w:r>
      <w:r w:rsidR="00E52A65">
        <w:rPr>
          <w:b/>
        </w:rPr>
        <w:t>,</w:t>
      </w:r>
      <w:r w:rsidR="0031432C" w:rsidRPr="00013F4E">
        <w:rPr>
          <w:b/>
        </w:rPr>
        <w:t xml:space="preserve"> for adolescents</w:t>
      </w:r>
      <w:proofErr w:type="gramStart"/>
      <w:r w:rsidR="001B4620">
        <w:rPr>
          <w:b/>
        </w:rPr>
        <w:t>;</w:t>
      </w:r>
      <w:proofErr w:type="gramEnd"/>
    </w:p>
    <w:p w14:paraId="3E8143B7" w14:textId="50683DFD" w:rsidR="0031432C" w:rsidRPr="00013F4E" w:rsidRDefault="0031432C" w:rsidP="006E56B5">
      <w:pPr>
        <w:pStyle w:val="Bullet1G"/>
        <w:numPr>
          <w:ilvl w:val="0"/>
          <w:numId w:val="0"/>
        </w:numPr>
        <w:ind w:left="1134" w:firstLine="567"/>
        <w:rPr>
          <w:b/>
        </w:rPr>
      </w:pPr>
      <w:r w:rsidRPr="00013F4E">
        <w:rPr>
          <w:b/>
        </w:rPr>
        <w:t xml:space="preserve">(e) Continue with efforts </w:t>
      </w:r>
      <w:r w:rsidR="00E52A65">
        <w:rPr>
          <w:b/>
        </w:rPr>
        <w:t>to</w:t>
      </w:r>
      <w:r w:rsidRPr="00013F4E">
        <w:rPr>
          <w:b/>
        </w:rPr>
        <w:t xml:space="preserve"> improv</w:t>
      </w:r>
      <w:r w:rsidR="00E52A65">
        <w:rPr>
          <w:b/>
        </w:rPr>
        <w:t>e</w:t>
      </w:r>
      <w:r w:rsidRPr="00013F4E">
        <w:rPr>
          <w:b/>
        </w:rPr>
        <w:t xml:space="preserve"> access</w:t>
      </w:r>
      <w:r w:rsidR="00FD36AE">
        <w:rPr>
          <w:b/>
        </w:rPr>
        <w:t xml:space="preserve"> to and the quality of maternal</w:t>
      </w:r>
      <w:r w:rsidRPr="00013F4E">
        <w:rPr>
          <w:b/>
        </w:rPr>
        <w:t xml:space="preserve"> health care for all pregnant women in rural and urban areas</w:t>
      </w:r>
      <w:r w:rsidR="00285B7C">
        <w:rPr>
          <w:b/>
        </w:rPr>
        <w:t>.</w:t>
      </w:r>
    </w:p>
    <w:p w14:paraId="000F9D64" w14:textId="4A1EE82E" w:rsidR="0031432C" w:rsidRPr="00013F4E" w:rsidRDefault="00CF23F7" w:rsidP="00CF23F7">
      <w:pPr>
        <w:pStyle w:val="H4G"/>
        <w:rPr>
          <w:rFonts w:eastAsia="Calibri"/>
          <w:b/>
        </w:rPr>
      </w:pPr>
      <w:r w:rsidRPr="00013F4E">
        <w:rPr>
          <w:rFonts w:eastAsia="Calibri"/>
          <w:b/>
        </w:rPr>
        <w:tab/>
      </w:r>
      <w:r w:rsidRPr="00013F4E">
        <w:rPr>
          <w:rFonts w:eastAsia="Calibri"/>
          <w:b/>
        </w:rPr>
        <w:tab/>
      </w:r>
      <w:r w:rsidR="001B4620" w:rsidRPr="00D85406">
        <w:rPr>
          <w:rFonts w:eastAsia="Calibri"/>
          <w:bCs/>
          <w:i w:val="0"/>
          <w:iCs/>
        </w:rPr>
        <w:t>86.</w:t>
      </w:r>
      <w:r w:rsidR="001B4620" w:rsidRPr="00D85406">
        <w:rPr>
          <w:rFonts w:eastAsia="Calibri"/>
          <w:b/>
          <w:i w:val="0"/>
          <w:iCs/>
        </w:rPr>
        <w:tab/>
        <w:t>With regard to family and cultural life</w:t>
      </w:r>
      <w:r w:rsidR="001B4620">
        <w:rPr>
          <w:rFonts w:eastAsia="Calibri"/>
          <w:b/>
          <w:i w:val="0"/>
          <w:iCs/>
        </w:rPr>
        <w:t>,</w:t>
      </w:r>
      <w:r w:rsidR="001B4620" w:rsidRPr="00E65C16">
        <w:rPr>
          <w:rFonts w:eastAsia="Calibri"/>
          <w:b/>
          <w:i w:val="0"/>
          <w:iCs/>
        </w:rPr>
        <w:t xml:space="preserve"> </w:t>
      </w:r>
      <w:r w:rsidR="001B4620" w:rsidRPr="00CB604F">
        <w:rPr>
          <w:rFonts w:eastAsia="Calibri"/>
          <w:b/>
          <w:i w:val="0"/>
          <w:iCs/>
        </w:rPr>
        <w:t>the Working Group recommends that the Government</w:t>
      </w:r>
      <w:r w:rsidR="001B4620" w:rsidRPr="00D85406">
        <w:rPr>
          <w:rFonts w:eastAsia="Calibri"/>
          <w:b/>
          <w:i w:val="0"/>
          <w:iCs/>
        </w:rPr>
        <w:t>:</w:t>
      </w:r>
    </w:p>
    <w:p w14:paraId="7215A851" w14:textId="1BFF1156" w:rsidR="0031432C" w:rsidRPr="00F4384B" w:rsidRDefault="0031432C" w:rsidP="00F4384B">
      <w:pPr>
        <w:pStyle w:val="Bullet1G"/>
        <w:numPr>
          <w:ilvl w:val="0"/>
          <w:numId w:val="28"/>
        </w:numPr>
        <w:rPr>
          <w:rFonts w:eastAsia="Calibri"/>
          <w:b/>
          <w:lang w:eastAsia="zh-CN"/>
        </w:rPr>
      </w:pPr>
      <w:r w:rsidRPr="00F4384B">
        <w:rPr>
          <w:rFonts w:eastAsia="Calibri"/>
          <w:b/>
          <w:lang w:eastAsia="zh-CN"/>
        </w:rPr>
        <w:t>Recogni</w:t>
      </w:r>
      <w:r w:rsidR="00285B7C" w:rsidRPr="00F4384B">
        <w:rPr>
          <w:rFonts w:eastAsia="Calibri"/>
          <w:b/>
          <w:lang w:eastAsia="zh-CN"/>
        </w:rPr>
        <w:t>z</w:t>
      </w:r>
      <w:r w:rsidRPr="00F4384B">
        <w:rPr>
          <w:rFonts w:eastAsia="Calibri"/>
          <w:b/>
          <w:lang w:eastAsia="zh-CN"/>
        </w:rPr>
        <w:t xml:space="preserve">e diverse family forms and the right of women </w:t>
      </w:r>
      <w:r w:rsidR="005C6B2B" w:rsidRPr="00F4384B">
        <w:rPr>
          <w:rFonts w:eastAsia="Calibri"/>
          <w:b/>
          <w:lang w:eastAsia="zh-CN"/>
        </w:rPr>
        <w:t>with disabilities</w:t>
      </w:r>
      <w:r w:rsidRPr="00F4384B">
        <w:rPr>
          <w:rFonts w:eastAsia="Calibri"/>
          <w:b/>
          <w:lang w:eastAsia="zh-CN"/>
        </w:rPr>
        <w:t xml:space="preserve"> to form families</w:t>
      </w:r>
      <w:r w:rsidR="00A753D7">
        <w:rPr>
          <w:rFonts w:eastAsia="DengXian"/>
          <w:b/>
          <w:lang w:val="hr-HR" w:eastAsia="hr-HR"/>
        </w:rPr>
        <w:t>;</w:t>
      </w:r>
    </w:p>
    <w:p w14:paraId="43E724F6" w14:textId="2126DF1B" w:rsidR="0031432C" w:rsidRPr="00013F4E" w:rsidRDefault="0031432C" w:rsidP="00CF23F7">
      <w:pPr>
        <w:pStyle w:val="Bullet1G"/>
        <w:rPr>
          <w:rFonts w:eastAsia="Calibri"/>
          <w:b/>
          <w:lang w:eastAsia="zh-CN"/>
        </w:rPr>
      </w:pPr>
      <w:r w:rsidRPr="00013F4E">
        <w:rPr>
          <w:rFonts w:eastAsia="Calibri"/>
          <w:b/>
          <w:lang w:eastAsia="zh-CN"/>
        </w:rPr>
        <w:t>Increase childcare facilities</w:t>
      </w:r>
      <w:r w:rsidR="00E52A65">
        <w:rPr>
          <w:rFonts w:eastAsia="Calibri"/>
          <w:b/>
          <w:lang w:eastAsia="zh-CN"/>
        </w:rPr>
        <w:t>,</w:t>
      </w:r>
      <w:r w:rsidRPr="00013F4E">
        <w:rPr>
          <w:rFonts w:eastAsia="Calibri"/>
          <w:b/>
          <w:lang w:eastAsia="zh-CN"/>
        </w:rPr>
        <w:t xml:space="preserve"> especially for children under </w:t>
      </w:r>
      <w:r w:rsidR="00E52A65">
        <w:rPr>
          <w:rFonts w:eastAsia="Calibri"/>
          <w:b/>
          <w:lang w:eastAsia="zh-CN"/>
        </w:rPr>
        <w:t>3 years of</w:t>
      </w:r>
      <w:r w:rsidRPr="00013F4E">
        <w:rPr>
          <w:rFonts w:eastAsia="Calibri"/>
          <w:b/>
          <w:lang w:eastAsia="zh-CN"/>
        </w:rPr>
        <w:t xml:space="preserve"> age</w:t>
      </w:r>
      <w:r w:rsidR="00E52A65">
        <w:rPr>
          <w:rFonts w:eastAsia="Calibri"/>
          <w:b/>
          <w:lang w:eastAsia="zh-CN"/>
        </w:rPr>
        <w:t xml:space="preserve">, </w:t>
      </w:r>
      <w:r w:rsidRPr="00013F4E">
        <w:rPr>
          <w:rFonts w:eastAsia="Calibri"/>
          <w:b/>
          <w:lang w:eastAsia="zh-CN"/>
        </w:rPr>
        <w:t>and reduce disparities between urban and rural areas</w:t>
      </w:r>
      <w:r w:rsidR="00A753D7">
        <w:rPr>
          <w:rFonts w:eastAsia="DengXian"/>
          <w:b/>
          <w:lang w:eastAsia="en-GB"/>
        </w:rPr>
        <w:t>;</w:t>
      </w:r>
    </w:p>
    <w:p w14:paraId="1581CA76" w14:textId="0BC58D1F" w:rsidR="0031432C" w:rsidRPr="00013F4E" w:rsidRDefault="0031432C" w:rsidP="00CF23F7">
      <w:pPr>
        <w:pStyle w:val="Bullet1G"/>
        <w:rPr>
          <w:rFonts w:eastAsia="Calibri"/>
          <w:b/>
          <w:lang w:eastAsia="zh-CN"/>
        </w:rPr>
      </w:pPr>
      <w:r w:rsidRPr="00013F4E">
        <w:rPr>
          <w:rFonts w:eastAsia="DengXian"/>
          <w:b/>
          <w:lang w:eastAsia="en-GB"/>
        </w:rPr>
        <w:t>Take further measures to encourage more fathers to make use of the parental leave entitlement</w:t>
      </w:r>
      <w:r w:rsidR="00A753D7">
        <w:rPr>
          <w:rFonts w:eastAsia="DengXian"/>
          <w:b/>
          <w:lang w:eastAsia="en-GB"/>
        </w:rPr>
        <w:t>;</w:t>
      </w:r>
    </w:p>
    <w:p w14:paraId="2F40C338" w14:textId="4D19D893" w:rsidR="0011612D" w:rsidRPr="0011612D" w:rsidRDefault="0011612D" w:rsidP="0011612D">
      <w:pPr>
        <w:pStyle w:val="Bullet1G"/>
        <w:rPr>
          <w:rFonts w:eastAsia="Calibri"/>
          <w:b/>
          <w:lang w:eastAsia="zh-CN"/>
        </w:rPr>
      </w:pPr>
      <w:r w:rsidRPr="0011612D">
        <w:rPr>
          <w:rFonts w:eastAsia="Calibri"/>
          <w:b/>
          <w:lang w:eastAsia="zh-CN"/>
        </w:rPr>
        <w:t>Revise laws concerning the exercise of parental rights of unwed minor girls to ensure compatibility with human rights standards, in particular the principle of non-discrimination</w:t>
      </w:r>
      <w:r w:rsidR="00A753D7">
        <w:rPr>
          <w:rFonts w:eastAsia="Calibri"/>
          <w:b/>
          <w:lang w:eastAsia="zh-CN"/>
        </w:rPr>
        <w:t>;</w:t>
      </w:r>
    </w:p>
    <w:p w14:paraId="628E1794" w14:textId="69F030EF" w:rsidR="0011612D" w:rsidRDefault="0011612D" w:rsidP="0011612D">
      <w:pPr>
        <w:pStyle w:val="Bullet1G"/>
        <w:rPr>
          <w:rFonts w:eastAsia="Calibri"/>
          <w:b/>
          <w:lang w:eastAsia="zh-CN"/>
        </w:rPr>
      </w:pPr>
      <w:r w:rsidRPr="0011612D">
        <w:rPr>
          <w:rFonts w:eastAsia="Calibri"/>
          <w:b/>
          <w:lang w:eastAsia="zh-CN"/>
        </w:rPr>
        <w:t xml:space="preserve">Facilitate </w:t>
      </w:r>
      <w:r w:rsidR="00E52A65">
        <w:rPr>
          <w:rFonts w:eastAsia="Calibri"/>
          <w:b/>
          <w:lang w:eastAsia="zh-CN"/>
        </w:rPr>
        <w:t xml:space="preserve">the </w:t>
      </w:r>
      <w:r w:rsidRPr="0011612D">
        <w:rPr>
          <w:rFonts w:eastAsia="Calibri"/>
          <w:b/>
          <w:lang w:eastAsia="zh-CN"/>
        </w:rPr>
        <w:t>stay of children with young mothers placed in care institutions or correctional centres to ensure compatibili</w:t>
      </w:r>
      <w:r>
        <w:rPr>
          <w:rFonts w:eastAsia="Calibri"/>
          <w:b/>
          <w:lang w:eastAsia="zh-CN"/>
        </w:rPr>
        <w:t>ty with human rights standards</w:t>
      </w:r>
      <w:r w:rsidR="00A753D7">
        <w:rPr>
          <w:rFonts w:eastAsia="Calibri"/>
          <w:b/>
          <w:lang w:eastAsia="zh-CN"/>
        </w:rPr>
        <w:t>;</w:t>
      </w:r>
    </w:p>
    <w:p w14:paraId="002B799D" w14:textId="3B9C3FA9" w:rsidR="0031432C" w:rsidRPr="00013F4E" w:rsidRDefault="0011237A">
      <w:pPr>
        <w:pStyle w:val="Bullet1G"/>
        <w:rPr>
          <w:rFonts w:eastAsia="Calibri"/>
          <w:b/>
          <w:lang w:eastAsia="zh-CN"/>
        </w:rPr>
      </w:pPr>
      <w:r>
        <w:rPr>
          <w:rFonts w:eastAsia="Calibri"/>
          <w:b/>
          <w:lang w:eastAsia="zh-CN"/>
        </w:rPr>
        <w:t>Make</w:t>
      </w:r>
      <w:r w:rsidRPr="00013F4E">
        <w:rPr>
          <w:rFonts w:eastAsia="Calibri"/>
          <w:b/>
          <w:lang w:eastAsia="zh-CN"/>
        </w:rPr>
        <w:t xml:space="preserve"> </w:t>
      </w:r>
      <w:r w:rsidR="0031432C" w:rsidRPr="00013F4E">
        <w:rPr>
          <w:rFonts w:eastAsia="Calibri"/>
          <w:b/>
          <w:lang w:eastAsia="zh-CN"/>
        </w:rPr>
        <w:t>efforts to counteract attacks against “gender ideology”</w:t>
      </w:r>
      <w:r w:rsidR="00A753D7">
        <w:rPr>
          <w:rFonts w:eastAsia="Calibri"/>
          <w:b/>
          <w:lang w:eastAsia="zh-CN"/>
        </w:rPr>
        <w:t>;</w:t>
      </w:r>
    </w:p>
    <w:p w14:paraId="1EE51E48" w14:textId="193A7148" w:rsidR="0031432C" w:rsidRPr="00013F4E" w:rsidRDefault="0031432C" w:rsidP="00CF23F7">
      <w:pPr>
        <w:pStyle w:val="Bullet1G"/>
        <w:rPr>
          <w:rFonts w:eastAsia="Calibri"/>
          <w:b/>
          <w:lang w:eastAsia="zh-CN"/>
        </w:rPr>
      </w:pPr>
      <w:r w:rsidRPr="00013F4E">
        <w:rPr>
          <w:rFonts w:eastAsia="Calibri"/>
          <w:b/>
          <w:lang w:eastAsia="zh-CN"/>
        </w:rPr>
        <w:t>Undertake educational and awareness</w:t>
      </w:r>
      <w:r w:rsidR="00E52A65">
        <w:rPr>
          <w:rFonts w:eastAsia="Calibri"/>
          <w:b/>
          <w:lang w:eastAsia="zh-CN"/>
        </w:rPr>
        <w:t>-</w:t>
      </w:r>
      <w:r w:rsidRPr="00013F4E">
        <w:rPr>
          <w:rFonts w:eastAsia="Calibri"/>
          <w:b/>
          <w:lang w:eastAsia="zh-CN"/>
        </w:rPr>
        <w:t>raising campaigns aimed at eliminating harmful gender stereotypes</w:t>
      </w:r>
      <w:r w:rsidR="00285B7C">
        <w:rPr>
          <w:rFonts w:eastAsia="Calibri"/>
          <w:b/>
          <w:lang w:eastAsia="zh-CN"/>
        </w:rPr>
        <w:t>.</w:t>
      </w:r>
    </w:p>
    <w:p w14:paraId="56C76402" w14:textId="721895F2" w:rsidR="0031432C" w:rsidRPr="00013F4E" w:rsidRDefault="00CF23F7" w:rsidP="00CF23F7">
      <w:pPr>
        <w:pStyle w:val="H4G"/>
        <w:rPr>
          <w:rFonts w:eastAsia="Calibri"/>
          <w:b/>
        </w:rPr>
      </w:pPr>
      <w:r w:rsidRPr="00013F4E">
        <w:rPr>
          <w:rFonts w:eastAsia="Calibri"/>
          <w:b/>
        </w:rPr>
        <w:tab/>
      </w:r>
      <w:r w:rsidRPr="00013F4E">
        <w:rPr>
          <w:rFonts w:eastAsia="Calibri"/>
          <w:b/>
        </w:rPr>
        <w:tab/>
      </w:r>
      <w:r w:rsidR="00A753D7" w:rsidRPr="00D85406">
        <w:rPr>
          <w:rFonts w:eastAsia="Calibri"/>
          <w:bCs/>
          <w:i w:val="0"/>
          <w:iCs/>
        </w:rPr>
        <w:t>87.</w:t>
      </w:r>
      <w:r w:rsidR="00A753D7" w:rsidRPr="00D85406">
        <w:rPr>
          <w:rFonts w:eastAsia="Calibri"/>
          <w:bCs/>
          <w:i w:val="0"/>
          <w:iCs/>
        </w:rPr>
        <w:tab/>
      </w:r>
      <w:r w:rsidR="00A753D7" w:rsidRPr="00D85406">
        <w:rPr>
          <w:rFonts w:eastAsia="Calibri"/>
          <w:b/>
          <w:i w:val="0"/>
          <w:iCs/>
        </w:rPr>
        <w:t>With regard to gender-based violence against women,</w:t>
      </w:r>
      <w:r w:rsidR="00A753D7" w:rsidRPr="00E65C16">
        <w:rPr>
          <w:rFonts w:eastAsia="Calibri"/>
          <w:b/>
          <w:i w:val="0"/>
          <w:iCs/>
        </w:rPr>
        <w:t xml:space="preserve"> </w:t>
      </w:r>
      <w:r w:rsidR="00A753D7" w:rsidRPr="00CB604F">
        <w:rPr>
          <w:rFonts w:eastAsia="Calibri"/>
          <w:b/>
          <w:i w:val="0"/>
          <w:iCs/>
        </w:rPr>
        <w:t>the Working Group recommends that the Government</w:t>
      </w:r>
      <w:r w:rsidR="00A753D7">
        <w:rPr>
          <w:rFonts w:eastAsia="Calibri"/>
          <w:b/>
          <w:i w:val="0"/>
          <w:iCs/>
        </w:rPr>
        <w:t>:</w:t>
      </w:r>
      <w:r w:rsidR="00A753D7" w:rsidRPr="00013F4E">
        <w:rPr>
          <w:rFonts w:eastAsia="Calibri"/>
          <w:b/>
        </w:rPr>
        <w:t xml:space="preserve"> </w:t>
      </w:r>
    </w:p>
    <w:p w14:paraId="3A547D44" w14:textId="4A225302" w:rsidR="0031432C" w:rsidRPr="00013F4E" w:rsidRDefault="006E56B5" w:rsidP="006E56B5">
      <w:pPr>
        <w:pStyle w:val="Bullet1G"/>
        <w:numPr>
          <w:ilvl w:val="0"/>
          <w:numId w:val="0"/>
        </w:numPr>
        <w:ind w:left="1134" w:firstLine="567"/>
        <w:rPr>
          <w:rFonts w:eastAsia="Calibri"/>
          <w:b/>
          <w:lang w:eastAsia="zh-CN"/>
        </w:rPr>
      </w:pPr>
      <w:proofErr w:type="gramStart"/>
      <w:r w:rsidRPr="00F4384B">
        <w:rPr>
          <w:rFonts w:eastAsia="DengXian"/>
          <w:b/>
          <w:bCs/>
          <w:lang w:eastAsia="zh-CN"/>
        </w:rPr>
        <w:t>(a)</w:t>
      </w:r>
      <w:r>
        <w:rPr>
          <w:rFonts w:eastAsia="DengXian"/>
          <w:lang w:eastAsia="zh-CN"/>
        </w:rPr>
        <w:tab/>
      </w:r>
      <w:r w:rsidR="0031432C" w:rsidRPr="00013F4E">
        <w:rPr>
          <w:rFonts w:eastAsia="DengXian"/>
          <w:b/>
          <w:lang w:eastAsia="zh-CN"/>
        </w:rPr>
        <w:t>Ensure a comprehensive approach to combating gender-based violence against women</w:t>
      </w:r>
      <w:r w:rsidR="007C3B06">
        <w:rPr>
          <w:rFonts w:eastAsia="DengXian"/>
          <w:b/>
          <w:lang w:eastAsia="zh-CN"/>
        </w:rPr>
        <w:t>,</w:t>
      </w:r>
      <w:r w:rsidR="0031432C" w:rsidRPr="00013F4E">
        <w:rPr>
          <w:rFonts w:eastAsia="DengXian"/>
          <w:b/>
          <w:lang w:eastAsia="zh-CN"/>
        </w:rPr>
        <w:t xml:space="preserve"> in line with the </w:t>
      </w:r>
      <w:r w:rsidR="005E7199" w:rsidRPr="005E7199">
        <w:rPr>
          <w:rFonts w:eastAsia="DengXian"/>
          <w:b/>
          <w:lang w:eastAsia="zh-CN"/>
        </w:rPr>
        <w:t>Council of Europe Convention on Preventing and Combating Violence against Women and Domestic Violence</w:t>
      </w:r>
      <w:r w:rsidR="0031432C" w:rsidRPr="00013F4E">
        <w:rPr>
          <w:rFonts w:eastAsia="DengXian"/>
          <w:b/>
          <w:lang w:eastAsia="zh-CN"/>
        </w:rPr>
        <w:t xml:space="preserve"> and </w:t>
      </w:r>
      <w:r w:rsidR="00462B17">
        <w:rPr>
          <w:rFonts w:eastAsia="DengXian"/>
          <w:b/>
          <w:lang w:eastAsia="zh-CN"/>
        </w:rPr>
        <w:t>g</w:t>
      </w:r>
      <w:r w:rsidR="0031432C" w:rsidRPr="00013F4E">
        <w:rPr>
          <w:rFonts w:eastAsia="DengXian"/>
          <w:b/>
          <w:lang w:eastAsia="zh-CN"/>
        </w:rPr>
        <w:t xml:space="preserve">eneral </w:t>
      </w:r>
      <w:r w:rsidR="00462B17">
        <w:rPr>
          <w:rFonts w:eastAsia="DengXian"/>
          <w:b/>
          <w:lang w:eastAsia="zh-CN"/>
        </w:rPr>
        <w:t>r</w:t>
      </w:r>
      <w:r w:rsidR="0031432C" w:rsidRPr="00013F4E">
        <w:rPr>
          <w:rFonts w:eastAsia="DengXian"/>
          <w:b/>
          <w:lang w:eastAsia="zh-CN"/>
        </w:rPr>
        <w:t xml:space="preserve">ecommendation </w:t>
      </w:r>
      <w:r w:rsidR="00462B17">
        <w:rPr>
          <w:rFonts w:eastAsia="DengXian"/>
          <w:b/>
          <w:lang w:eastAsia="zh-CN"/>
        </w:rPr>
        <w:t xml:space="preserve">No. </w:t>
      </w:r>
      <w:r w:rsidR="0031432C" w:rsidRPr="00013F4E">
        <w:rPr>
          <w:rFonts w:eastAsia="DengXian"/>
          <w:b/>
          <w:lang w:eastAsia="zh-CN"/>
        </w:rPr>
        <w:t xml:space="preserve">35 </w:t>
      </w:r>
      <w:r w:rsidR="007C3B06">
        <w:rPr>
          <w:rFonts w:eastAsia="DengXian"/>
          <w:b/>
          <w:lang w:eastAsia="zh-CN"/>
        </w:rPr>
        <w:t xml:space="preserve">(2017) </w:t>
      </w:r>
      <w:r w:rsidR="00462B17">
        <w:rPr>
          <w:rFonts w:eastAsia="DengXian"/>
          <w:b/>
          <w:lang w:eastAsia="zh-CN"/>
        </w:rPr>
        <w:t xml:space="preserve">of the Committee </w:t>
      </w:r>
      <w:r w:rsidR="00462B17" w:rsidRPr="00462B17">
        <w:rPr>
          <w:rFonts w:eastAsia="DengXian"/>
          <w:b/>
          <w:lang w:eastAsia="zh-CN"/>
        </w:rPr>
        <w:t>on the Elimination of Discrimination against Women</w:t>
      </w:r>
      <w:r w:rsidR="007C3B06">
        <w:rPr>
          <w:rFonts w:eastAsia="DengXian"/>
          <w:b/>
          <w:lang w:eastAsia="zh-CN"/>
        </w:rPr>
        <w:t xml:space="preserve"> on gender-based violence against women, updating general recommendation No. 19,</w:t>
      </w:r>
      <w:r w:rsidR="00462B17" w:rsidRPr="00462B17">
        <w:rPr>
          <w:rFonts w:eastAsia="DengXian"/>
          <w:b/>
          <w:lang w:eastAsia="zh-CN"/>
        </w:rPr>
        <w:t xml:space="preserve"> </w:t>
      </w:r>
      <w:r w:rsidR="0031432C" w:rsidRPr="00013F4E">
        <w:rPr>
          <w:rFonts w:eastAsia="DengXian"/>
          <w:b/>
          <w:lang w:eastAsia="zh-CN"/>
        </w:rPr>
        <w:t xml:space="preserve">and the </w:t>
      </w:r>
      <w:r w:rsidR="0031432C" w:rsidRPr="00013F4E">
        <w:rPr>
          <w:rFonts w:eastAsia="Calibri"/>
          <w:b/>
          <w:lang w:eastAsia="zh-CN"/>
        </w:rPr>
        <w:t>full compatibility of laws regulating domestic violence with these standards by broadening the scope of its definition and coverage, including a gender</w:t>
      </w:r>
      <w:r w:rsidR="00E52A65">
        <w:rPr>
          <w:rFonts w:eastAsia="Calibri"/>
          <w:b/>
          <w:lang w:eastAsia="zh-CN"/>
        </w:rPr>
        <w:t>-</w:t>
      </w:r>
      <w:r w:rsidR="0031432C" w:rsidRPr="00013F4E">
        <w:rPr>
          <w:rFonts w:eastAsia="Calibri"/>
          <w:b/>
          <w:lang w:eastAsia="zh-CN"/>
        </w:rPr>
        <w:t>sensitive focus</w:t>
      </w:r>
      <w:r w:rsidR="0031432C" w:rsidRPr="00013F4E">
        <w:rPr>
          <w:rFonts w:eastAsia="DengXian"/>
          <w:b/>
          <w:lang w:eastAsia="zh-CN"/>
        </w:rPr>
        <w:t xml:space="preserve"> </w:t>
      </w:r>
      <w:r w:rsidR="0031432C" w:rsidRPr="00013F4E">
        <w:rPr>
          <w:rFonts w:eastAsia="Calibri"/>
          <w:b/>
          <w:lang w:eastAsia="zh-CN"/>
        </w:rPr>
        <w:t xml:space="preserve">on the specific concerns of women, and </w:t>
      </w:r>
      <w:r w:rsidR="00E52A65">
        <w:rPr>
          <w:rFonts w:eastAsia="Calibri"/>
          <w:b/>
          <w:lang w:eastAsia="zh-CN"/>
        </w:rPr>
        <w:t xml:space="preserve">the </w:t>
      </w:r>
      <w:r w:rsidR="0031432C" w:rsidRPr="00013F4E">
        <w:rPr>
          <w:rFonts w:eastAsia="Calibri"/>
          <w:b/>
          <w:lang w:eastAsia="zh-CN"/>
        </w:rPr>
        <w:t>implement</w:t>
      </w:r>
      <w:r w:rsidR="00E52A65">
        <w:rPr>
          <w:rFonts w:eastAsia="Calibri"/>
          <w:b/>
          <w:lang w:eastAsia="zh-CN"/>
        </w:rPr>
        <w:t>ation of</w:t>
      </w:r>
      <w:r w:rsidR="0031432C" w:rsidRPr="00013F4E">
        <w:rPr>
          <w:rFonts w:eastAsia="Calibri"/>
          <w:b/>
          <w:lang w:eastAsia="zh-CN"/>
        </w:rPr>
        <w:t xml:space="preserve"> effective emergency barring orders</w:t>
      </w:r>
      <w:r w:rsidR="00A753D7">
        <w:rPr>
          <w:rFonts w:eastAsia="Calibri"/>
          <w:b/>
          <w:lang w:eastAsia="zh-CN"/>
        </w:rPr>
        <w:t>;</w:t>
      </w:r>
      <w:proofErr w:type="gramEnd"/>
    </w:p>
    <w:p w14:paraId="565659B1" w14:textId="27FB035C" w:rsidR="0031432C" w:rsidRPr="00013F4E" w:rsidRDefault="006E56B5" w:rsidP="006E56B5">
      <w:pPr>
        <w:pStyle w:val="Bullet1G"/>
        <w:numPr>
          <w:ilvl w:val="0"/>
          <w:numId w:val="0"/>
        </w:numPr>
        <w:ind w:left="1134" w:firstLine="567"/>
        <w:rPr>
          <w:rFonts w:eastAsia="Calibri"/>
          <w:b/>
          <w:lang w:eastAsia="zh-CN"/>
        </w:rPr>
      </w:pPr>
      <w:r w:rsidRPr="00F4384B">
        <w:rPr>
          <w:rFonts w:eastAsia="Calibri"/>
          <w:b/>
          <w:bCs/>
          <w:lang w:eastAsia="zh-CN"/>
        </w:rPr>
        <w:t>(</w:t>
      </w:r>
      <w:r w:rsidR="0031432C" w:rsidRPr="00F4384B">
        <w:rPr>
          <w:rFonts w:eastAsia="Calibri"/>
          <w:b/>
          <w:bCs/>
          <w:lang w:eastAsia="zh-CN"/>
        </w:rPr>
        <w:t>b)</w:t>
      </w:r>
      <w:r>
        <w:rPr>
          <w:rFonts w:eastAsia="Calibri"/>
          <w:b/>
          <w:lang w:eastAsia="zh-CN"/>
        </w:rPr>
        <w:tab/>
      </w:r>
      <w:r w:rsidR="0031432C" w:rsidRPr="00013F4E">
        <w:rPr>
          <w:rFonts w:eastAsia="Calibri"/>
          <w:b/>
          <w:lang w:eastAsia="zh-CN"/>
        </w:rPr>
        <w:t xml:space="preserve">Take measures, including legislative, to prevent and address sexual harassment in education and public institutions and </w:t>
      </w:r>
      <w:proofErr w:type="spellStart"/>
      <w:r w:rsidR="0031432C" w:rsidRPr="00013F4E">
        <w:rPr>
          <w:rFonts w:eastAsia="Calibri"/>
          <w:b/>
          <w:lang w:eastAsia="zh-CN"/>
        </w:rPr>
        <w:t>cyberviolence</w:t>
      </w:r>
      <w:proofErr w:type="spellEnd"/>
      <w:proofErr w:type="gramStart"/>
      <w:r w:rsidR="00A753D7">
        <w:rPr>
          <w:rFonts w:eastAsia="Calibri"/>
          <w:b/>
          <w:lang w:eastAsia="zh-CN"/>
        </w:rPr>
        <w:t>;</w:t>
      </w:r>
      <w:proofErr w:type="gramEnd"/>
    </w:p>
    <w:p w14:paraId="49BBB9C9" w14:textId="58AA4060" w:rsidR="0031432C" w:rsidRPr="00013F4E" w:rsidRDefault="0031432C" w:rsidP="006E56B5">
      <w:pPr>
        <w:pStyle w:val="Bullet1G"/>
        <w:numPr>
          <w:ilvl w:val="0"/>
          <w:numId w:val="0"/>
        </w:numPr>
        <w:ind w:left="1134" w:firstLine="567"/>
        <w:rPr>
          <w:rFonts w:eastAsia="DengXian"/>
          <w:b/>
          <w:lang w:eastAsia="zh-CN"/>
        </w:rPr>
      </w:pPr>
      <w:r w:rsidRPr="00F4384B">
        <w:rPr>
          <w:rFonts w:eastAsia="Calibri"/>
          <w:b/>
          <w:bCs/>
          <w:lang w:eastAsia="zh-CN"/>
        </w:rPr>
        <w:t>(</w:t>
      </w:r>
      <w:r w:rsidR="006E56B5" w:rsidRPr="00F4384B">
        <w:rPr>
          <w:rFonts w:eastAsia="Calibri"/>
          <w:b/>
          <w:bCs/>
          <w:lang w:eastAsia="zh-CN"/>
        </w:rPr>
        <w:t>c</w:t>
      </w:r>
      <w:r w:rsidRPr="00F4384B">
        <w:rPr>
          <w:rFonts w:eastAsia="Calibri"/>
          <w:b/>
          <w:bCs/>
          <w:lang w:eastAsia="zh-CN"/>
        </w:rPr>
        <w:t>)</w:t>
      </w:r>
      <w:r w:rsidR="006E56B5">
        <w:rPr>
          <w:rFonts w:eastAsia="Calibri"/>
          <w:b/>
          <w:lang w:eastAsia="zh-CN"/>
        </w:rPr>
        <w:tab/>
      </w:r>
      <w:r w:rsidRPr="00013F4E">
        <w:rPr>
          <w:rFonts w:eastAsia="DengXian"/>
          <w:b/>
          <w:lang w:eastAsia="zh-CN"/>
        </w:rPr>
        <w:t>Ensure the efficiency of the proceedings for issuing restraining orders</w:t>
      </w:r>
      <w:proofErr w:type="gramStart"/>
      <w:r w:rsidR="00A753D7">
        <w:rPr>
          <w:rFonts w:eastAsia="DengXian"/>
          <w:b/>
          <w:lang w:eastAsia="zh-CN"/>
        </w:rPr>
        <w:t>;</w:t>
      </w:r>
      <w:proofErr w:type="gramEnd"/>
    </w:p>
    <w:p w14:paraId="41D32FBB" w14:textId="0101DE01" w:rsidR="0031432C" w:rsidRPr="00013F4E" w:rsidRDefault="00013F4E" w:rsidP="006E56B5">
      <w:pPr>
        <w:pStyle w:val="Bullet1G"/>
        <w:numPr>
          <w:ilvl w:val="0"/>
          <w:numId w:val="0"/>
        </w:numPr>
        <w:ind w:left="1134" w:firstLine="567"/>
        <w:rPr>
          <w:rFonts w:eastAsia="DengXian"/>
          <w:b/>
          <w:lang w:eastAsia="zh-CN"/>
        </w:rPr>
      </w:pPr>
      <w:r w:rsidRPr="00F4384B">
        <w:rPr>
          <w:rFonts w:eastAsia="DengXian"/>
          <w:b/>
          <w:bCs/>
          <w:lang w:eastAsia="zh-CN"/>
        </w:rPr>
        <w:t>(</w:t>
      </w:r>
      <w:r w:rsidR="006E56B5" w:rsidRPr="00F4384B">
        <w:rPr>
          <w:rFonts w:eastAsia="DengXian"/>
          <w:b/>
          <w:bCs/>
          <w:lang w:eastAsia="zh-CN"/>
        </w:rPr>
        <w:t>d)</w:t>
      </w:r>
      <w:r w:rsidR="006E56B5">
        <w:rPr>
          <w:rFonts w:eastAsia="DengXian"/>
          <w:lang w:eastAsia="zh-CN"/>
        </w:rPr>
        <w:tab/>
      </w:r>
      <w:r w:rsidR="0031432C" w:rsidRPr="00013F4E">
        <w:rPr>
          <w:rFonts w:eastAsia="DengXian"/>
          <w:b/>
          <w:lang w:eastAsia="zh-CN"/>
        </w:rPr>
        <w:t>Improve services for victims/survivors of gender-based violence and their access to justice, in particular women in vulnerable situations, such as minority women, older women, women and girls with disabilities, migrant women and sex workers, including access to shelter for the period needed, as well as preferential access to municipal housing assistance</w:t>
      </w:r>
      <w:r w:rsidR="00A753D7">
        <w:rPr>
          <w:rFonts w:eastAsia="DengXian"/>
          <w:b/>
          <w:lang w:eastAsia="zh-CN"/>
        </w:rPr>
        <w:t>;</w:t>
      </w:r>
    </w:p>
    <w:p w14:paraId="5DDAFF5C" w14:textId="3FAE7C51" w:rsidR="0031432C" w:rsidRPr="00013F4E" w:rsidRDefault="0031432C" w:rsidP="006E56B5">
      <w:pPr>
        <w:pStyle w:val="Bullet1G"/>
        <w:numPr>
          <w:ilvl w:val="0"/>
          <w:numId w:val="0"/>
        </w:numPr>
        <w:ind w:left="1134" w:firstLine="567"/>
        <w:rPr>
          <w:rFonts w:eastAsia="DengXian"/>
          <w:b/>
          <w:lang w:eastAsia="zh-CN"/>
        </w:rPr>
      </w:pPr>
      <w:r w:rsidRPr="00F4384B">
        <w:rPr>
          <w:rFonts w:eastAsia="DengXian"/>
          <w:b/>
          <w:bCs/>
          <w:lang w:eastAsia="zh-CN"/>
        </w:rPr>
        <w:t>(</w:t>
      </w:r>
      <w:r w:rsidR="006E56B5" w:rsidRPr="00F4384B">
        <w:rPr>
          <w:rFonts w:eastAsia="DengXian"/>
          <w:b/>
          <w:bCs/>
          <w:lang w:eastAsia="zh-CN"/>
        </w:rPr>
        <w:t>e)</w:t>
      </w:r>
      <w:r w:rsidR="006E56B5">
        <w:rPr>
          <w:rFonts w:eastAsia="DengXian"/>
          <w:lang w:eastAsia="zh-CN"/>
        </w:rPr>
        <w:tab/>
      </w:r>
      <w:r w:rsidRPr="00013F4E">
        <w:rPr>
          <w:rFonts w:eastAsia="DengXian"/>
          <w:b/>
          <w:lang w:eastAsia="zh-CN"/>
        </w:rPr>
        <w:t>Ensure effective prosecution of sexual violence</w:t>
      </w:r>
      <w:r w:rsidR="00D21825">
        <w:rPr>
          <w:rFonts w:eastAsia="DengXian"/>
          <w:b/>
          <w:lang w:eastAsia="zh-CN"/>
        </w:rPr>
        <w:t>,</w:t>
      </w:r>
      <w:r w:rsidRPr="00013F4E">
        <w:rPr>
          <w:rFonts w:eastAsia="DengXian"/>
          <w:b/>
          <w:lang w:eastAsia="zh-CN"/>
        </w:rPr>
        <w:t xml:space="preserve"> including all forms of non-consensual sex</w:t>
      </w:r>
      <w:r w:rsidR="00D21825">
        <w:rPr>
          <w:rFonts w:eastAsia="DengXian"/>
          <w:b/>
          <w:lang w:eastAsia="zh-CN"/>
        </w:rPr>
        <w:t>,</w:t>
      </w:r>
      <w:r w:rsidRPr="00013F4E">
        <w:rPr>
          <w:rFonts w:eastAsia="DengXian"/>
          <w:b/>
          <w:lang w:eastAsia="zh-CN"/>
        </w:rPr>
        <w:t xml:space="preserve"> and respect for </w:t>
      </w:r>
      <w:proofErr w:type="gramStart"/>
      <w:r w:rsidRPr="00013F4E">
        <w:rPr>
          <w:rFonts w:eastAsia="DengXian"/>
          <w:b/>
          <w:lang w:eastAsia="zh-CN"/>
        </w:rPr>
        <w:t>victims’/</w:t>
      </w:r>
      <w:proofErr w:type="gramEnd"/>
      <w:r w:rsidRPr="00013F4E">
        <w:rPr>
          <w:rFonts w:eastAsia="DengXian"/>
          <w:b/>
          <w:lang w:eastAsia="zh-CN"/>
        </w:rPr>
        <w:t>survivors’ rights</w:t>
      </w:r>
      <w:r w:rsidR="00A753D7">
        <w:rPr>
          <w:rFonts w:eastAsia="DengXian"/>
          <w:b/>
          <w:lang w:eastAsia="zh-CN"/>
        </w:rPr>
        <w:t>;</w:t>
      </w:r>
    </w:p>
    <w:p w14:paraId="358351E0" w14:textId="7FB44248" w:rsidR="0031432C" w:rsidRPr="00013F4E" w:rsidRDefault="0031432C" w:rsidP="006E56B5">
      <w:pPr>
        <w:pStyle w:val="Bullet1G"/>
        <w:numPr>
          <w:ilvl w:val="0"/>
          <w:numId w:val="0"/>
        </w:numPr>
        <w:ind w:left="1134" w:firstLine="567"/>
        <w:rPr>
          <w:rFonts w:eastAsia="Calibri"/>
          <w:b/>
        </w:rPr>
      </w:pPr>
      <w:r w:rsidRPr="00F4384B">
        <w:rPr>
          <w:rFonts w:eastAsia="Calibri"/>
          <w:b/>
          <w:bCs/>
          <w:lang w:val="hr-HR"/>
        </w:rPr>
        <w:t>(</w:t>
      </w:r>
      <w:r w:rsidR="006E56B5" w:rsidRPr="00F4384B">
        <w:rPr>
          <w:rFonts w:eastAsia="Calibri"/>
          <w:b/>
          <w:bCs/>
          <w:lang w:val="hr-HR"/>
        </w:rPr>
        <w:t>f)</w:t>
      </w:r>
      <w:r w:rsidR="006E56B5">
        <w:rPr>
          <w:rFonts w:eastAsia="Calibri"/>
          <w:lang w:val="hr-HR"/>
        </w:rPr>
        <w:tab/>
      </w:r>
      <w:r w:rsidRPr="00013F4E">
        <w:rPr>
          <w:rFonts w:eastAsia="Calibri"/>
          <w:b/>
        </w:rPr>
        <w:t xml:space="preserve">Review the content of training and education programmes </w:t>
      </w:r>
      <w:r w:rsidRPr="00013F4E">
        <w:rPr>
          <w:rFonts w:eastAsia="Calibri"/>
          <w:b/>
          <w:lang w:eastAsia="hr-HR"/>
        </w:rPr>
        <w:t xml:space="preserve">with a view to ensuring </w:t>
      </w:r>
      <w:r w:rsidRPr="00013F4E">
        <w:rPr>
          <w:rFonts w:eastAsia="Calibri"/>
          <w:b/>
        </w:rPr>
        <w:t>a greater understanding by justice officials of women’s barriers to access to justice, including those at the legal, institutional, structural, socioeconomic and cultural levels</w:t>
      </w:r>
      <w:r w:rsidR="00D21825">
        <w:rPr>
          <w:rFonts w:eastAsia="Calibri"/>
          <w:b/>
        </w:rPr>
        <w:t>,</w:t>
      </w:r>
      <w:r w:rsidRPr="00013F4E">
        <w:rPr>
          <w:rFonts w:eastAsia="Calibri"/>
          <w:b/>
        </w:rPr>
        <w:t xml:space="preserve"> and making gender-based violence against women an explicit and integral part of the curriculum</w:t>
      </w:r>
      <w:r w:rsidR="00D21825">
        <w:rPr>
          <w:rFonts w:eastAsia="Calibri"/>
          <w:b/>
        </w:rPr>
        <w:t>,</w:t>
      </w:r>
      <w:r w:rsidRPr="00013F4E">
        <w:rPr>
          <w:rFonts w:eastAsia="Calibri"/>
          <w:b/>
        </w:rPr>
        <w:t xml:space="preserve"> occupying a dedicated space.</w:t>
      </w:r>
    </w:p>
    <w:p w14:paraId="09E8D5F8" w14:textId="77777777" w:rsidR="00CF23F7" w:rsidRPr="00F4384B" w:rsidRDefault="00CF23F7" w:rsidP="00CF23F7">
      <w:pPr>
        <w:pStyle w:val="Bullet1G"/>
        <w:numPr>
          <w:ilvl w:val="0"/>
          <w:numId w:val="0"/>
        </w:numPr>
        <w:spacing w:before="240" w:after="0"/>
        <w:ind w:left="1134"/>
        <w:jc w:val="center"/>
        <w:rPr>
          <w:rFonts w:eastAsia="Calibri"/>
          <w:bCs/>
          <w:u w:val="single"/>
        </w:rPr>
      </w:pPr>
      <w:r w:rsidRPr="00F4384B">
        <w:rPr>
          <w:rFonts w:eastAsia="Calibri"/>
          <w:bCs/>
          <w:u w:val="single"/>
        </w:rPr>
        <w:lastRenderedPageBreak/>
        <w:tab/>
      </w:r>
      <w:r w:rsidRPr="00F4384B">
        <w:rPr>
          <w:rFonts w:eastAsia="Calibri"/>
          <w:bCs/>
          <w:u w:val="single"/>
        </w:rPr>
        <w:tab/>
      </w:r>
      <w:r w:rsidRPr="00F4384B">
        <w:rPr>
          <w:rFonts w:eastAsia="Calibri"/>
          <w:bCs/>
          <w:u w:val="single"/>
        </w:rPr>
        <w:tab/>
      </w:r>
      <w:r w:rsidR="006E56B5" w:rsidRPr="00F4384B">
        <w:rPr>
          <w:rFonts w:eastAsia="Calibri"/>
          <w:bCs/>
          <w:u w:val="single"/>
        </w:rPr>
        <w:tab/>
      </w:r>
    </w:p>
    <w:sectPr w:rsidR="00CF23F7" w:rsidRPr="00F4384B" w:rsidSect="00DD6F17">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3495" w14:textId="77777777" w:rsidR="00F4384B" w:rsidRDefault="00F4384B"/>
  </w:endnote>
  <w:endnote w:type="continuationSeparator" w:id="0">
    <w:p w14:paraId="433D3B47" w14:textId="77777777" w:rsidR="00F4384B" w:rsidRDefault="00F4384B"/>
  </w:endnote>
  <w:endnote w:type="continuationNotice" w:id="1">
    <w:p w14:paraId="71207414" w14:textId="77777777" w:rsidR="00F4384B" w:rsidRDefault="00F43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92BD8" w14:textId="6686BEC2" w:rsidR="00F4384B" w:rsidRPr="00DD6F17" w:rsidRDefault="00F4384B" w:rsidP="00DD6F17">
    <w:pPr>
      <w:pStyle w:val="Footer"/>
      <w:tabs>
        <w:tab w:val="right" w:pos="9638"/>
      </w:tabs>
      <w:rPr>
        <w:sz w:val="18"/>
      </w:rPr>
    </w:pPr>
    <w:r w:rsidRPr="00DD6F17">
      <w:rPr>
        <w:b/>
        <w:sz w:val="18"/>
      </w:rPr>
      <w:fldChar w:fldCharType="begin"/>
    </w:r>
    <w:r w:rsidRPr="00DD6F17">
      <w:rPr>
        <w:b/>
        <w:sz w:val="18"/>
      </w:rPr>
      <w:instrText xml:space="preserve"> PAGE  \* MERGEFORMAT </w:instrText>
    </w:r>
    <w:r w:rsidRPr="00DD6F17">
      <w:rPr>
        <w:b/>
        <w:sz w:val="18"/>
      </w:rPr>
      <w:fldChar w:fldCharType="separate"/>
    </w:r>
    <w:r w:rsidR="00243FBC">
      <w:rPr>
        <w:b/>
        <w:noProof/>
        <w:sz w:val="18"/>
      </w:rPr>
      <w:t>20</w:t>
    </w:r>
    <w:r w:rsidRPr="00DD6F1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A85B" w14:textId="21D3E920" w:rsidR="00F4384B" w:rsidRPr="00DD6F17" w:rsidRDefault="00F4384B" w:rsidP="00DD6F17">
    <w:pPr>
      <w:pStyle w:val="Footer"/>
      <w:tabs>
        <w:tab w:val="right" w:pos="9638"/>
      </w:tabs>
      <w:rPr>
        <w:b/>
        <w:sz w:val="18"/>
      </w:rPr>
    </w:pPr>
    <w:r>
      <w:tab/>
    </w:r>
    <w:r w:rsidRPr="00DD6F17">
      <w:rPr>
        <w:b/>
        <w:sz w:val="18"/>
      </w:rPr>
      <w:fldChar w:fldCharType="begin"/>
    </w:r>
    <w:r w:rsidRPr="00DD6F17">
      <w:rPr>
        <w:b/>
        <w:sz w:val="18"/>
      </w:rPr>
      <w:instrText xml:space="preserve"> PAGE  \* MERGEFORMAT </w:instrText>
    </w:r>
    <w:r w:rsidRPr="00DD6F17">
      <w:rPr>
        <w:b/>
        <w:sz w:val="18"/>
      </w:rPr>
      <w:fldChar w:fldCharType="separate"/>
    </w:r>
    <w:r w:rsidR="00243FBC">
      <w:rPr>
        <w:b/>
        <w:noProof/>
        <w:sz w:val="18"/>
      </w:rPr>
      <w:t>19</w:t>
    </w:r>
    <w:r w:rsidRPr="00DD6F1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2488F" w14:textId="77777777" w:rsidR="00F4384B" w:rsidRPr="000B175B" w:rsidRDefault="00F4384B" w:rsidP="000B175B">
      <w:pPr>
        <w:tabs>
          <w:tab w:val="right" w:pos="2155"/>
        </w:tabs>
        <w:spacing w:after="80"/>
        <w:ind w:left="680"/>
        <w:rPr>
          <w:u w:val="single"/>
        </w:rPr>
      </w:pPr>
      <w:r>
        <w:rPr>
          <w:u w:val="single"/>
        </w:rPr>
        <w:tab/>
      </w:r>
    </w:p>
  </w:footnote>
  <w:footnote w:type="continuationSeparator" w:id="0">
    <w:p w14:paraId="1C0F12ED" w14:textId="77777777" w:rsidR="00F4384B" w:rsidRPr="00FC68B7" w:rsidRDefault="00F4384B" w:rsidP="00FC68B7">
      <w:pPr>
        <w:tabs>
          <w:tab w:val="left" w:pos="2155"/>
        </w:tabs>
        <w:spacing w:after="80"/>
        <w:ind w:left="680"/>
        <w:rPr>
          <w:u w:val="single"/>
        </w:rPr>
      </w:pPr>
      <w:r>
        <w:rPr>
          <w:u w:val="single"/>
        </w:rPr>
        <w:tab/>
      </w:r>
    </w:p>
  </w:footnote>
  <w:footnote w:type="continuationNotice" w:id="1">
    <w:p w14:paraId="398E3A79" w14:textId="77777777" w:rsidR="00F4384B" w:rsidRDefault="00F4384B"/>
  </w:footnote>
  <w:footnote w:id="2">
    <w:p w14:paraId="708743A9" w14:textId="77777777" w:rsidR="00F4384B" w:rsidRDefault="00F4384B" w:rsidP="00644DE6">
      <w:pPr>
        <w:pStyle w:val="FootnoteText"/>
      </w:pPr>
      <w:r>
        <w:tab/>
      </w:r>
      <w:r w:rsidRPr="006E56B5">
        <w:rPr>
          <w:rStyle w:val="FootnoteReference"/>
          <w:sz w:val="20"/>
          <w:vertAlign w:val="baseline"/>
        </w:rPr>
        <w:t>*</w:t>
      </w:r>
      <w:r>
        <w:rPr>
          <w:sz w:val="20"/>
        </w:rPr>
        <w:tab/>
      </w:r>
      <w:r w:rsidRPr="0064776F">
        <w:t xml:space="preserve">The summary of the report </w:t>
      </w:r>
      <w:proofErr w:type="gramStart"/>
      <w:r w:rsidRPr="0064776F">
        <w:t>is being circulated</w:t>
      </w:r>
      <w:proofErr w:type="gramEnd"/>
      <w:r w:rsidRPr="0064776F">
        <w:t xml:space="preserve"> in all official languages. The report itself, which </w:t>
      </w:r>
      <w:proofErr w:type="gramStart"/>
      <w:r w:rsidRPr="0064776F">
        <w:t>is annexed</w:t>
      </w:r>
      <w:proofErr w:type="gramEnd"/>
      <w:r w:rsidRPr="0064776F">
        <w:t xml:space="preserve"> to the summary, is being circulated in the language of submission only.</w:t>
      </w:r>
    </w:p>
  </w:footnote>
  <w:footnote w:id="3">
    <w:p w14:paraId="103B8DE7" w14:textId="7442FC73" w:rsidR="00F4384B" w:rsidRDefault="00F4384B" w:rsidP="00F4384B">
      <w:pPr>
        <w:pStyle w:val="FootnoteText"/>
      </w:pPr>
      <w:r>
        <w:tab/>
      </w:r>
      <w:r w:rsidRPr="006E56B5">
        <w:rPr>
          <w:rStyle w:val="FootnoteReference"/>
          <w:sz w:val="20"/>
          <w:vertAlign w:val="baseline"/>
        </w:rPr>
        <w:t>**</w:t>
      </w:r>
      <w:r>
        <w:t xml:space="preserve"> </w:t>
      </w:r>
      <w:r>
        <w:tab/>
      </w:r>
      <w:r>
        <w:tab/>
      </w:r>
      <w:r w:rsidRPr="0064776F">
        <w:t xml:space="preserve">The present report </w:t>
      </w:r>
      <w:proofErr w:type="gramStart"/>
      <w:r w:rsidRPr="0064776F">
        <w:t>was sub</w:t>
      </w:r>
      <w:r>
        <w:t>mitted</w:t>
      </w:r>
      <w:proofErr w:type="gramEnd"/>
      <w:r>
        <w:t xml:space="preserve"> late to reflect the latest information received</w:t>
      </w:r>
      <w:r w:rsidRPr="0064776F">
        <w:t>.</w:t>
      </w:r>
    </w:p>
  </w:footnote>
  <w:footnote w:id="4">
    <w:p w14:paraId="57BF92C9" w14:textId="48DBC19C" w:rsidR="00F4384B" w:rsidRDefault="00F4384B" w:rsidP="00F4384B">
      <w:pPr>
        <w:pStyle w:val="FootnoteText"/>
      </w:pPr>
      <w:r>
        <w:tab/>
      </w:r>
      <w:r>
        <w:rPr>
          <w:rStyle w:val="FootnoteReference"/>
        </w:rPr>
        <w:footnoteRef/>
      </w:r>
      <w:r>
        <w:t xml:space="preserve"> </w:t>
      </w:r>
      <w:r>
        <w:tab/>
      </w:r>
      <w:r>
        <w:tab/>
        <w:t xml:space="preserve">John </w:t>
      </w:r>
      <w:proofErr w:type="spellStart"/>
      <w:r>
        <w:t>Feffer</w:t>
      </w:r>
      <w:proofErr w:type="spellEnd"/>
      <w:r>
        <w:t>, “</w:t>
      </w:r>
      <w:r w:rsidRPr="00E2080C">
        <w:t>Church and State in Poland</w:t>
      </w:r>
      <w:r>
        <w:t xml:space="preserve">”, </w:t>
      </w:r>
      <w:proofErr w:type="spellStart"/>
      <w:r>
        <w:t>Huffpost</w:t>
      </w:r>
      <w:proofErr w:type="spellEnd"/>
      <w:r>
        <w:t>, 18 May 2016.</w:t>
      </w:r>
    </w:p>
  </w:footnote>
  <w:footnote w:id="5">
    <w:p w14:paraId="6B6F07E0" w14:textId="1227ED4F" w:rsidR="00F4384B" w:rsidRDefault="00F4384B" w:rsidP="0031432C">
      <w:pPr>
        <w:pStyle w:val="FootnoteText"/>
      </w:pPr>
      <w:r>
        <w:tab/>
      </w:r>
      <w:r>
        <w:rPr>
          <w:rStyle w:val="FootnoteReference"/>
        </w:rPr>
        <w:footnoteRef/>
      </w:r>
      <w:r>
        <w:t xml:space="preserve"> </w:t>
      </w:r>
      <w:r>
        <w:tab/>
      </w:r>
      <w:r>
        <w:tab/>
        <w:t>European Parliament, Directorate-General for Internal Policies, “The policy on gender equality in Poland”, 2011.</w:t>
      </w:r>
    </w:p>
  </w:footnote>
  <w:footnote w:id="6">
    <w:p w14:paraId="1D8E1AEE" w14:textId="319F6500" w:rsidR="00F4384B" w:rsidRPr="00422EA7" w:rsidRDefault="00F4384B">
      <w:pPr>
        <w:pStyle w:val="FootnoteText"/>
      </w:pPr>
      <w:r>
        <w:tab/>
      </w:r>
      <w:r>
        <w:rPr>
          <w:rStyle w:val="FootnoteReference"/>
        </w:rPr>
        <w:footnoteRef/>
      </w:r>
      <w:r>
        <w:t xml:space="preserve"> </w:t>
      </w:r>
      <w:r>
        <w:tab/>
      </w:r>
      <w:r>
        <w:tab/>
      </w:r>
      <w:r w:rsidRPr="00661F78">
        <w:t xml:space="preserve">Letter </w:t>
      </w:r>
      <w:r>
        <w:t>of</w:t>
      </w:r>
      <w:r w:rsidRPr="00661F78">
        <w:t xml:space="preserve"> the Rapporteur on follow-up of the </w:t>
      </w:r>
      <w:r>
        <w:rPr>
          <w:rFonts w:eastAsia="DengXian"/>
          <w:lang w:eastAsia="zh-CN"/>
        </w:rPr>
        <w:t>Committee on the Elimination of All Forms of Discrimination against Women dated 13 April 2018</w:t>
      </w:r>
      <w:r>
        <w:t xml:space="preserve">, available at </w:t>
      </w:r>
      <w:hyperlink r:id="rId1" w:history="1">
        <w:r w:rsidRPr="00000B02">
          <w:rPr>
            <w:rStyle w:val="Hyperlink"/>
          </w:rPr>
          <w:t>https://tbinternet.ohchr.org/Treaties/CEDAW/Shared%20Documents/POL/INT_CEDAW_FUL_POL_30901_E.pdf</w:t>
        </w:r>
      </w:hyperlink>
      <w:r>
        <w:rPr>
          <w:rStyle w:val="Hyperlink"/>
        </w:rPr>
        <w:t>.</w:t>
      </w:r>
    </w:p>
  </w:footnote>
  <w:footnote w:id="7">
    <w:p w14:paraId="6FABEE5B" w14:textId="447FB32C" w:rsidR="00F4384B" w:rsidRPr="00661F78" w:rsidRDefault="00F4384B" w:rsidP="0031432C">
      <w:pPr>
        <w:pStyle w:val="FootnoteText"/>
      </w:pPr>
      <w:r>
        <w:tab/>
      </w:r>
      <w:r>
        <w:rPr>
          <w:rStyle w:val="FootnoteReference"/>
        </w:rPr>
        <w:footnoteRef/>
      </w:r>
      <w:r>
        <w:t xml:space="preserve"> </w:t>
      </w:r>
      <w:r>
        <w:tab/>
      </w:r>
      <w:r>
        <w:tab/>
      </w:r>
      <w:r w:rsidRPr="00661F78">
        <w:t>Women’s representation increased from 20.4</w:t>
      </w:r>
      <w:r>
        <w:t xml:space="preserve"> per cent</w:t>
      </w:r>
      <w:r w:rsidRPr="00661F78">
        <w:t xml:space="preserve"> in 2007 to 23.9</w:t>
      </w:r>
      <w:r>
        <w:t xml:space="preserve"> per cent</w:t>
      </w:r>
      <w:r w:rsidRPr="00661F78">
        <w:t xml:space="preserve"> in 2011 and 27.1</w:t>
      </w:r>
      <w:r>
        <w:t xml:space="preserve"> per cent</w:t>
      </w:r>
      <w:r w:rsidRPr="00661F78">
        <w:t xml:space="preserve"> in 2015.</w:t>
      </w:r>
    </w:p>
  </w:footnote>
  <w:footnote w:id="8">
    <w:p w14:paraId="31E4075B" w14:textId="77777777" w:rsidR="00F4384B" w:rsidRDefault="00F4384B" w:rsidP="0031432C">
      <w:pPr>
        <w:pStyle w:val="FootnoteText"/>
      </w:pPr>
      <w:r>
        <w:tab/>
      </w:r>
      <w:r>
        <w:rPr>
          <w:rStyle w:val="FootnoteReference"/>
        </w:rPr>
        <w:footnoteRef/>
      </w:r>
      <w:r>
        <w:t xml:space="preserve"> </w:t>
      </w:r>
      <w:r>
        <w:tab/>
      </w:r>
      <w:r>
        <w:tab/>
      </w:r>
      <w:hyperlink r:id="rId2" w:history="1">
        <w:r w:rsidRPr="00661F78">
          <w:t>http://archive.ipu.org/wmn-e/world.htm</w:t>
        </w:r>
      </w:hyperlink>
      <w:r>
        <w:t>.</w:t>
      </w:r>
    </w:p>
  </w:footnote>
  <w:footnote w:id="9">
    <w:p w14:paraId="13FAEFEC" w14:textId="77777777" w:rsidR="00F4384B" w:rsidRPr="00D070E1" w:rsidRDefault="00F4384B" w:rsidP="0031432C">
      <w:pPr>
        <w:pStyle w:val="FootnoteText"/>
      </w:pPr>
      <w:r>
        <w:tab/>
      </w:r>
      <w:r>
        <w:rPr>
          <w:rStyle w:val="FootnoteReference"/>
        </w:rPr>
        <w:footnoteRef/>
      </w:r>
      <w:r>
        <w:t xml:space="preserve"> </w:t>
      </w:r>
      <w:r>
        <w:tab/>
      </w:r>
      <w:r>
        <w:tab/>
        <w:t>Ibid.</w:t>
      </w:r>
    </w:p>
  </w:footnote>
  <w:footnote w:id="10">
    <w:p w14:paraId="65583172" w14:textId="564B9366" w:rsidR="00F4384B" w:rsidRDefault="00F4384B" w:rsidP="0031432C">
      <w:pPr>
        <w:pStyle w:val="FootnoteText"/>
      </w:pPr>
      <w:r>
        <w:tab/>
      </w:r>
      <w:r>
        <w:rPr>
          <w:rStyle w:val="FootnoteReference"/>
        </w:rPr>
        <w:footnoteRef/>
      </w:r>
      <w:r w:rsidRPr="00661F78">
        <w:t xml:space="preserve"> </w:t>
      </w:r>
      <w:r>
        <w:tab/>
      </w:r>
      <w:r>
        <w:tab/>
        <w:t xml:space="preserve">European Commission, </w:t>
      </w:r>
      <w:r w:rsidRPr="00661F78">
        <w:t xml:space="preserve">European </w:t>
      </w:r>
      <w:r>
        <w:t>N</w:t>
      </w:r>
      <w:r w:rsidRPr="00661F78">
        <w:t xml:space="preserve">etwork of </w:t>
      </w:r>
      <w:r>
        <w:t>L</w:t>
      </w:r>
      <w:r w:rsidRPr="00661F78">
        <w:t xml:space="preserve">egal </w:t>
      </w:r>
      <w:r>
        <w:t>E</w:t>
      </w:r>
      <w:r w:rsidRPr="00661F78">
        <w:t xml:space="preserve">xperts in </w:t>
      </w:r>
      <w:r>
        <w:t>G</w:t>
      </w:r>
      <w:r w:rsidRPr="00661F78">
        <w:t xml:space="preserve">ender </w:t>
      </w:r>
      <w:r>
        <w:t>E</w:t>
      </w:r>
      <w:r w:rsidRPr="00661F78">
        <w:t xml:space="preserve">quality and </w:t>
      </w:r>
      <w:r>
        <w:t>N</w:t>
      </w:r>
      <w:r w:rsidRPr="00661F78">
        <w:t>on-</w:t>
      </w:r>
      <w:r>
        <w:t>D</w:t>
      </w:r>
      <w:r w:rsidRPr="00661F78">
        <w:t>iscrimination,</w:t>
      </w:r>
      <w:r>
        <w:t xml:space="preserve"> </w:t>
      </w:r>
      <w:r w:rsidRPr="00F4384B">
        <w:rPr>
          <w:i/>
          <w:iCs/>
        </w:rPr>
        <w:t>Poland Country Report: Non-Discrimination</w:t>
      </w:r>
      <w:r w:rsidRPr="00661F78">
        <w:t>, 2018.</w:t>
      </w:r>
    </w:p>
  </w:footnote>
  <w:footnote w:id="11">
    <w:p w14:paraId="036DD236" w14:textId="2C629AFB" w:rsidR="00F4384B" w:rsidRDefault="00F4384B" w:rsidP="0031432C">
      <w:pPr>
        <w:pStyle w:val="FootnoteText"/>
      </w:pPr>
      <w:r>
        <w:tab/>
      </w:r>
      <w:r>
        <w:rPr>
          <w:rStyle w:val="FootnoteReference"/>
        </w:rPr>
        <w:footnoteRef/>
      </w:r>
      <w:r>
        <w:t xml:space="preserve"> </w:t>
      </w:r>
      <w:r>
        <w:tab/>
      </w:r>
      <w:r>
        <w:tab/>
      </w:r>
      <w:r w:rsidRPr="00661F78">
        <w:t>www.ilo.org/ilostat/</w:t>
      </w:r>
      <w:r>
        <w:t>.</w:t>
      </w:r>
    </w:p>
  </w:footnote>
  <w:footnote w:id="12">
    <w:p w14:paraId="27261565" w14:textId="77777777" w:rsidR="00F4384B" w:rsidRDefault="00F4384B" w:rsidP="0031432C">
      <w:pPr>
        <w:pStyle w:val="FootnoteText"/>
      </w:pPr>
      <w:r>
        <w:tab/>
      </w:r>
      <w:r>
        <w:rPr>
          <w:rStyle w:val="FootnoteReference"/>
        </w:rPr>
        <w:footnoteRef/>
      </w:r>
      <w:r>
        <w:t xml:space="preserve"> </w:t>
      </w:r>
      <w:r>
        <w:tab/>
      </w:r>
      <w:r>
        <w:tab/>
        <w:t>Study on Discrimination and Access to Employment for Female Workers with Disabilities, Case Study: POLAND, European Parliament, March 2017.</w:t>
      </w:r>
    </w:p>
  </w:footnote>
  <w:footnote w:id="13">
    <w:p w14:paraId="7B0F8ADF" w14:textId="5DE04A60" w:rsidR="00F4384B" w:rsidRPr="00422EA7" w:rsidRDefault="00F4384B" w:rsidP="0031432C">
      <w:pPr>
        <w:pStyle w:val="FootnoteText"/>
      </w:pPr>
      <w:r>
        <w:tab/>
      </w:r>
      <w:r>
        <w:rPr>
          <w:rStyle w:val="FootnoteReference"/>
        </w:rPr>
        <w:footnoteRef/>
      </w:r>
      <w:r>
        <w:t xml:space="preserve"> </w:t>
      </w:r>
      <w:r>
        <w:tab/>
      </w:r>
      <w:r>
        <w:tab/>
      </w:r>
      <w:r w:rsidRPr="0040432F">
        <w:t>www.ilo.org/ilostat/</w:t>
      </w:r>
      <w:r>
        <w:t>.</w:t>
      </w:r>
    </w:p>
  </w:footnote>
  <w:footnote w:id="14">
    <w:p w14:paraId="6A5FA5F4" w14:textId="038B434F" w:rsidR="00F4384B" w:rsidRDefault="00F4384B" w:rsidP="0031432C">
      <w:pPr>
        <w:pStyle w:val="FootnoteText"/>
      </w:pPr>
      <w:r>
        <w:tab/>
      </w:r>
      <w:r w:rsidRPr="00661F78">
        <w:rPr>
          <w:rStyle w:val="FootnoteReference"/>
        </w:rPr>
        <w:footnoteRef/>
      </w:r>
      <w:r>
        <w:t xml:space="preserve"> </w:t>
      </w:r>
      <w:r>
        <w:tab/>
      </w:r>
      <w:r>
        <w:tab/>
        <w:t>European Commission, “European Semester Thematic Factsheet: Adequacy and Sustainability of Pensions”,</w:t>
      </w:r>
      <w:r w:rsidRPr="00661F78">
        <w:t xml:space="preserve"> November 2016</w:t>
      </w:r>
      <w:r>
        <w:t>.</w:t>
      </w:r>
    </w:p>
  </w:footnote>
  <w:footnote w:id="15">
    <w:p w14:paraId="726E6CA3" w14:textId="785D7044" w:rsidR="00F4384B" w:rsidRDefault="00F4384B" w:rsidP="0031432C">
      <w:pPr>
        <w:pStyle w:val="FootnoteText"/>
      </w:pPr>
      <w:r>
        <w:tab/>
      </w:r>
      <w:r>
        <w:rPr>
          <w:rStyle w:val="FootnoteReference"/>
        </w:rPr>
        <w:footnoteRef/>
      </w:r>
      <w:r>
        <w:t xml:space="preserve"> </w:t>
      </w:r>
      <w:r>
        <w:tab/>
      </w:r>
      <w:r w:rsidRPr="00661F78">
        <w:tab/>
        <w:t xml:space="preserve">In the context of </w:t>
      </w:r>
      <w:r>
        <w:t xml:space="preserve">the </w:t>
      </w:r>
      <w:r w:rsidRPr="00661F78">
        <w:t>E</w:t>
      </w:r>
      <w:r>
        <w:t>uropean Union</w:t>
      </w:r>
      <w:r w:rsidRPr="00661F78">
        <w:t xml:space="preserve">, the unadjusted gender pay gap </w:t>
      </w:r>
      <w:proofErr w:type="gramStart"/>
      <w:r w:rsidRPr="00661F78">
        <w:t>is defined</w:t>
      </w:r>
      <w:proofErr w:type="gramEnd"/>
      <w:r w:rsidRPr="00661F78">
        <w:t xml:space="preserve"> as the difference between the average gross hourly earnings of men and women expressed as a percentage of the average gross hourly earnings of men. It </w:t>
      </w:r>
      <w:proofErr w:type="gramStart"/>
      <w:r w:rsidRPr="00661F78">
        <w:t>is calculated</w:t>
      </w:r>
      <w:proofErr w:type="gramEnd"/>
      <w:r w:rsidRPr="00661F78">
        <w:t xml:space="preserve"> for enterprises with 10 or more employees</w:t>
      </w:r>
      <w:r>
        <w:t xml:space="preserve">. See </w:t>
      </w:r>
      <w:hyperlink r:id="rId3" w:history="1">
        <w:r w:rsidRPr="00594744">
          <w:rPr>
            <w:rStyle w:val="Hyperlink"/>
          </w:rPr>
          <w:t>https://ec.europa.eu/eurostat/statistics-explained/index.php/Gender_pay_gap_statistics</w:t>
        </w:r>
      </w:hyperlink>
      <w:r>
        <w:t>.</w:t>
      </w:r>
    </w:p>
  </w:footnote>
  <w:footnote w:id="16">
    <w:p w14:paraId="114A91BE" w14:textId="7F070C20" w:rsidR="00F4384B" w:rsidRDefault="00F4384B" w:rsidP="0031432C">
      <w:pPr>
        <w:pStyle w:val="FootnoteText"/>
      </w:pPr>
      <w:r>
        <w:tab/>
      </w:r>
      <w:r>
        <w:rPr>
          <w:rStyle w:val="FootnoteReference"/>
        </w:rPr>
        <w:footnoteRef/>
      </w:r>
      <w:r>
        <w:t xml:space="preserve"> </w:t>
      </w:r>
      <w:r>
        <w:tab/>
      </w:r>
      <w:r>
        <w:tab/>
        <w:t xml:space="preserve">International Labour Organization, </w:t>
      </w:r>
      <w:r w:rsidRPr="00F4384B">
        <w:rPr>
          <w:i/>
          <w:iCs/>
        </w:rPr>
        <w:t>Global Wage Report 2018/19: What Lies Behind Gender Pay Gaps</w:t>
      </w:r>
      <w:r w:rsidRPr="00661F78">
        <w:t>.</w:t>
      </w:r>
    </w:p>
  </w:footnote>
  <w:footnote w:id="17">
    <w:p w14:paraId="74C5E87B" w14:textId="4B5AEDD2" w:rsidR="00F4384B" w:rsidRDefault="00F4384B" w:rsidP="0031432C">
      <w:pPr>
        <w:pStyle w:val="FootnoteText"/>
      </w:pPr>
      <w:r>
        <w:tab/>
      </w:r>
      <w:r>
        <w:rPr>
          <w:rStyle w:val="FootnoteReference"/>
        </w:rPr>
        <w:footnoteRef/>
      </w:r>
      <w:r>
        <w:t xml:space="preserve"> </w:t>
      </w:r>
      <w:r>
        <w:tab/>
      </w:r>
      <w:r>
        <w:tab/>
        <w:t xml:space="preserve">KARAT Coalition, </w:t>
      </w:r>
      <w:r w:rsidRPr="00F4384B">
        <w:rPr>
          <w:i/>
          <w:iCs/>
        </w:rPr>
        <w:t>Alternative report on the Implementation of the Convention on the Elimination of All Forms of Discrimination against Women</w:t>
      </w:r>
      <w:r w:rsidRPr="00661F78">
        <w:t xml:space="preserve">, </w:t>
      </w:r>
      <w:r>
        <w:t>February</w:t>
      </w:r>
      <w:r w:rsidRPr="00661F78">
        <w:t xml:space="preserve"> 2014</w:t>
      </w:r>
      <w:r>
        <w:t>.</w:t>
      </w:r>
    </w:p>
  </w:footnote>
  <w:footnote w:id="18">
    <w:p w14:paraId="6774BB4E" w14:textId="2D8F18D5" w:rsidR="00F4384B" w:rsidRDefault="00F4384B" w:rsidP="0031432C">
      <w:pPr>
        <w:pStyle w:val="FootnoteText"/>
      </w:pPr>
      <w:r>
        <w:tab/>
      </w:r>
      <w:r>
        <w:rPr>
          <w:rStyle w:val="FootnoteReference"/>
        </w:rPr>
        <w:footnoteRef/>
      </w:r>
      <w:r>
        <w:t xml:space="preserve"> </w:t>
      </w:r>
      <w:r>
        <w:tab/>
      </w:r>
      <w:r>
        <w:tab/>
        <w:t>European Commission, “European Semester Thematic Factsheet: Adequacy and Sustainability of Pensions”,</w:t>
      </w:r>
      <w:r w:rsidRPr="00661F78">
        <w:t xml:space="preserve"> November 2016</w:t>
      </w:r>
      <w:r>
        <w:t>.</w:t>
      </w:r>
    </w:p>
  </w:footnote>
  <w:footnote w:id="19">
    <w:p w14:paraId="04428CA9" w14:textId="644C6BF8" w:rsidR="00F4384B" w:rsidRDefault="00F4384B" w:rsidP="0031432C">
      <w:pPr>
        <w:pStyle w:val="FootnoteText"/>
      </w:pPr>
      <w:r>
        <w:tab/>
      </w:r>
      <w:r>
        <w:rPr>
          <w:rStyle w:val="FootnoteReference"/>
        </w:rPr>
        <w:footnoteRef/>
      </w:r>
      <w:r>
        <w:t xml:space="preserve"> </w:t>
      </w:r>
      <w:r>
        <w:tab/>
      </w:r>
      <w:r>
        <w:tab/>
        <w:t>European Union Agency for Fundamental Rights, “</w:t>
      </w:r>
      <w:r w:rsidRPr="006A640C">
        <w:t>Analysis of</w:t>
      </w:r>
      <w:r>
        <w:t xml:space="preserve"> FRA</w:t>
      </w:r>
      <w:r w:rsidRPr="006A640C">
        <w:t xml:space="preserve"> Roma </w:t>
      </w:r>
      <w:r>
        <w:t>S</w:t>
      </w:r>
      <w:r w:rsidRPr="006A640C">
        <w:t xml:space="preserve">urvey </w:t>
      </w:r>
      <w:r>
        <w:t>R</w:t>
      </w:r>
      <w:r w:rsidRPr="006A640C">
        <w:t xml:space="preserve">esults by </w:t>
      </w:r>
      <w:r>
        <w:t>G</w:t>
      </w:r>
      <w:r w:rsidRPr="006A640C">
        <w:t>ender</w:t>
      </w:r>
      <w:r>
        <w:t>”</w:t>
      </w:r>
      <w:r w:rsidRPr="006A640C">
        <w:t>, 2013</w:t>
      </w:r>
      <w:r>
        <w:t>.</w:t>
      </w:r>
    </w:p>
  </w:footnote>
  <w:footnote w:id="20">
    <w:p w14:paraId="081AE366" w14:textId="6DF42122" w:rsidR="00F4384B" w:rsidRPr="00D070E1" w:rsidRDefault="00F4384B" w:rsidP="0031432C">
      <w:pPr>
        <w:pStyle w:val="FootnoteText"/>
      </w:pPr>
      <w:r>
        <w:tab/>
      </w:r>
      <w:r>
        <w:rPr>
          <w:rStyle w:val="FootnoteReference"/>
        </w:rPr>
        <w:footnoteRef/>
      </w:r>
      <w:r>
        <w:t xml:space="preserve"> </w:t>
      </w:r>
      <w:r>
        <w:tab/>
      </w:r>
      <w:r>
        <w:tab/>
        <w:t>European Commission, “</w:t>
      </w:r>
      <w:r w:rsidRPr="000107C8">
        <w:t>W</w:t>
      </w:r>
      <w:r>
        <w:t>hite Paper:</w:t>
      </w:r>
      <w:r w:rsidRPr="000107C8">
        <w:t xml:space="preserve"> An Agenda for Adequate, Safe and Sustainable Pensions</w:t>
      </w:r>
      <w:r>
        <w:t>”, 2012.</w:t>
      </w:r>
    </w:p>
  </w:footnote>
  <w:footnote w:id="21">
    <w:p w14:paraId="2FBD3633" w14:textId="7390E87A" w:rsidR="00F4384B" w:rsidRDefault="00F4384B" w:rsidP="00130FAB">
      <w:pPr>
        <w:pStyle w:val="FootnoteText"/>
      </w:pPr>
      <w:r>
        <w:tab/>
      </w:r>
      <w:r>
        <w:rPr>
          <w:rStyle w:val="FootnoteReference"/>
        </w:rPr>
        <w:footnoteRef/>
      </w:r>
      <w:r>
        <w:t xml:space="preserve"> </w:t>
      </w:r>
      <w:r>
        <w:tab/>
      </w:r>
      <w:r>
        <w:tab/>
      </w:r>
      <w:r w:rsidRPr="0031432C">
        <w:rPr>
          <w:rFonts w:eastAsia="DengXian"/>
          <w:lang w:eastAsia="zh-CN"/>
        </w:rPr>
        <w:t>Organi</w:t>
      </w:r>
      <w:r>
        <w:rPr>
          <w:rFonts w:eastAsia="DengXian"/>
          <w:lang w:eastAsia="zh-CN"/>
        </w:rPr>
        <w:t>z</w:t>
      </w:r>
      <w:r w:rsidRPr="0031432C">
        <w:rPr>
          <w:rFonts w:eastAsia="DengXian"/>
          <w:lang w:eastAsia="zh-CN"/>
        </w:rPr>
        <w:t>ation for Economic Cooperation and Development</w:t>
      </w:r>
      <w:r>
        <w:rPr>
          <w:rFonts w:eastAsia="DengXian"/>
          <w:lang w:eastAsia="zh-CN"/>
        </w:rPr>
        <w:t xml:space="preserve"> (OECD)</w:t>
      </w:r>
      <w:r>
        <w:t xml:space="preserve">, “Closing the Gender Gap: Act Now Poland. Available at: </w:t>
      </w:r>
      <w:hyperlink r:id="rId4" w:history="1">
        <w:r>
          <w:rPr>
            <w:rStyle w:val="Hyperlink"/>
          </w:rPr>
          <w:t>http://www.oecd.org/gender/Closing%20the%20Gender%20Gap%20-%20Poland%20FINAL.pdf</w:t>
        </w:r>
      </w:hyperlink>
      <w:r>
        <w:t>.</w:t>
      </w:r>
    </w:p>
  </w:footnote>
  <w:footnote w:id="22">
    <w:p w14:paraId="08D51361" w14:textId="7D688975" w:rsidR="00F4384B" w:rsidRDefault="00F4384B" w:rsidP="0031432C">
      <w:pPr>
        <w:pStyle w:val="FootnoteText"/>
      </w:pPr>
      <w:r>
        <w:tab/>
      </w:r>
      <w:r>
        <w:rPr>
          <w:rStyle w:val="FootnoteReference"/>
        </w:rPr>
        <w:footnoteRef/>
      </w:r>
      <w:r>
        <w:t xml:space="preserve"> </w:t>
      </w:r>
      <w:r>
        <w:tab/>
      </w:r>
      <w:r>
        <w:tab/>
        <w:t xml:space="preserve">OECD, </w:t>
      </w:r>
      <w:r w:rsidRPr="00F4384B">
        <w:rPr>
          <w:i/>
          <w:iCs/>
        </w:rPr>
        <w:t>Education at a Glance: OECD Indicators 2018, Poland Country Note</w:t>
      </w:r>
      <w:r>
        <w:t>.</w:t>
      </w:r>
    </w:p>
  </w:footnote>
  <w:footnote w:id="23">
    <w:p w14:paraId="71552356" w14:textId="2E6E3BBA" w:rsidR="00F4384B" w:rsidRDefault="00F4384B" w:rsidP="0031432C">
      <w:pPr>
        <w:pStyle w:val="FootnoteText"/>
      </w:pPr>
      <w:r>
        <w:tab/>
      </w:r>
      <w:r>
        <w:rPr>
          <w:rStyle w:val="FootnoteReference"/>
        </w:rPr>
        <w:footnoteRef/>
      </w:r>
      <w:r>
        <w:t xml:space="preserve"> </w:t>
      </w:r>
      <w:r>
        <w:tab/>
      </w:r>
      <w:r>
        <w:tab/>
        <w:t>Information provided by the Commissioner for Human Rights to the Committee on Economic, Social and Cultural Rights in September 2016.</w:t>
      </w:r>
    </w:p>
  </w:footnote>
  <w:footnote w:id="24">
    <w:p w14:paraId="6A3995CC" w14:textId="5AD8CB19" w:rsidR="00F4384B" w:rsidRDefault="00F4384B" w:rsidP="0031432C">
      <w:pPr>
        <w:pStyle w:val="FootnoteText"/>
      </w:pPr>
      <w:r>
        <w:tab/>
      </w:r>
      <w:r>
        <w:rPr>
          <w:rStyle w:val="FootnoteReference"/>
        </w:rPr>
        <w:footnoteRef/>
      </w:r>
      <w:r>
        <w:t xml:space="preserve"> </w:t>
      </w:r>
      <w:r>
        <w:tab/>
      </w:r>
      <w:r>
        <w:tab/>
        <w:t>European Union Agency for Fundamental Rights, “</w:t>
      </w:r>
      <w:r w:rsidRPr="006A640C">
        <w:t>Analysis of</w:t>
      </w:r>
      <w:r>
        <w:t xml:space="preserve"> FRA</w:t>
      </w:r>
      <w:r w:rsidRPr="006A640C">
        <w:t xml:space="preserve"> Roma </w:t>
      </w:r>
      <w:r>
        <w:t>S</w:t>
      </w:r>
      <w:r w:rsidRPr="006A640C">
        <w:t xml:space="preserve">urvey </w:t>
      </w:r>
      <w:r>
        <w:t>R</w:t>
      </w:r>
      <w:r w:rsidRPr="006A640C">
        <w:t xml:space="preserve">esults by </w:t>
      </w:r>
      <w:r>
        <w:t>G</w:t>
      </w:r>
      <w:r w:rsidRPr="006A640C">
        <w:t>ender</w:t>
      </w:r>
      <w:r>
        <w:t>”</w:t>
      </w:r>
      <w:r w:rsidRPr="006A640C">
        <w:t>, 2013</w:t>
      </w:r>
      <w:r>
        <w:t>.</w:t>
      </w:r>
    </w:p>
  </w:footnote>
  <w:footnote w:id="25">
    <w:p w14:paraId="3E34A12E" w14:textId="53B6CCC2" w:rsidR="00F4384B" w:rsidRDefault="00F4384B" w:rsidP="0031432C">
      <w:pPr>
        <w:pStyle w:val="FootnoteText"/>
      </w:pPr>
      <w:r>
        <w:tab/>
      </w:r>
      <w:r>
        <w:rPr>
          <w:rStyle w:val="FootnoteReference"/>
        </w:rPr>
        <w:footnoteRef/>
      </w:r>
      <w:r>
        <w:t xml:space="preserve"> </w:t>
      </w:r>
      <w:r>
        <w:tab/>
      </w:r>
      <w:r>
        <w:tab/>
        <w:t xml:space="preserve">KARAT Coalition, </w:t>
      </w:r>
      <w:r w:rsidRPr="00AB65E9">
        <w:rPr>
          <w:i/>
          <w:iCs/>
        </w:rPr>
        <w:t>Alternative report on the Implementation of the Convention on the Elimination of All Forms of Discrimination against Women</w:t>
      </w:r>
      <w:r w:rsidRPr="00661F78">
        <w:t xml:space="preserve">, </w:t>
      </w:r>
      <w:r>
        <w:t>February</w:t>
      </w:r>
      <w:r w:rsidRPr="00661F78">
        <w:t xml:space="preserve"> 2014</w:t>
      </w:r>
      <w:r>
        <w:t>.</w:t>
      </w:r>
    </w:p>
  </w:footnote>
  <w:footnote w:id="26">
    <w:p w14:paraId="04183509" w14:textId="15DF98B4" w:rsidR="00F4384B" w:rsidRDefault="00F4384B" w:rsidP="00A01C2A">
      <w:pPr>
        <w:pStyle w:val="FootnoteText"/>
      </w:pPr>
      <w:r>
        <w:tab/>
      </w:r>
      <w:r w:rsidRPr="00661F78">
        <w:rPr>
          <w:rStyle w:val="FootnoteReference"/>
        </w:rPr>
        <w:footnoteRef/>
      </w:r>
      <w:r w:rsidRPr="00661F78">
        <w:rPr>
          <w:rStyle w:val="FootnoteReference"/>
        </w:rPr>
        <w:t xml:space="preserve"> </w:t>
      </w:r>
      <w:r>
        <w:tab/>
      </w:r>
      <w:r>
        <w:tab/>
      </w:r>
      <w:r w:rsidRPr="00661F78">
        <w:t>Association of Women with Disabilities ONE.pl and Women Enabled International</w:t>
      </w:r>
      <w:r>
        <w:t xml:space="preserve">, </w:t>
      </w:r>
      <w:r w:rsidRPr="00F4384B">
        <w:rPr>
          <w:i/>
          <w:iCs/>
        </w:rPr>
        <w:t>Submission to the Committee on the Rights of Persons with Disabilities for its Review of Poland</w:t>
      </w:r>
      <w:r w:rsidRPr="00661F78">
        <w:t>, 2018</w:t>
      </w:r>
      <w:r>
        <w:t>.</w:t>
      </w:r>
    </w:p>
  </w:footnote>
  <w:footnote w:id="27">
    <w:p w14:paraId="2FB74D26" w14:textId="77777777" w:rsidR="00F4384B" w:rsidRPr="00422EA7" w:rsidRDefault="00F4384B" w:rsidP="0031432C">
      <w:pPr>
        <w:pStyle w:val="FootnoteText"/>
      </w:pPr>
      <w:r>
        <w:tab/>
      </w:r>
      <w:r>
        <w:rPr>
          <w:rStyle w:val="FootnoteReference"/>
        </w:rPr>
        <w:footnoteRef/>
      </w:r>
      <w:r>
        <w:t xml:space="preserve"> </w:t>
      </w:r>
      <w:r>
        <w:tab/>
      </w:r>
      <w:r>
        <w:tab/>
      </w:r>
      <w:r w:rsidRPr="00661F78">
        <w:t>CM/Del/</w:t>
      </w:r>
      <w:proofErr w:type="gramStart"/>
      <w:r w:rsidRPr="00661F78">
        <w:t>Dec(</w:t>
      </w:r>
      <w:proofErr w:type="gramEnd"/>
      <w:r w:rsidRPr="00661F78">
        <w:t>2019)1340/H46-31</w:t>
      </w:r>
      <w:r>
        <w:t>.</w:t>
      </w:r>
    </w:p>
  </w:footnote>
  <w:footnote w:id="28">
    <w:p w14:paraId="26176B18" w14:textId="3DAA4A5F" w:rsidR="00F4384B" w:rsidRPr="00422EA7" w:rsidRDefault="00F4384B" w:rsidP="0031432C">
      <w:pPr>
        <w:pStyle w:val="FootnoteText"/>
      </w:pPr>
      <w:r>
        <w:tab/>
      </w:r>
      <w:r>
        <w:rPr>
          <w:rStyle w:val="FootnoteReference"/>
        </w:rPr>
        <w:footnoteRef/>
      </w:r>
      <w:r>
        <w:t xml:space="preserve"> </w:t>
      </w:r>
      <w:r>
        <w:tab/>
      </w:r>
      <w:r>
        <w:tab/>
      </w:r>
      <w:r w:rsidRPr="00F4384B">
        <w:rPr>
          <w:i/>
          <w:iCs/>
        </w:rPr>
        <w:t>R.R. v. Poland</w:t>
      </w:r>
      <w:r w:rsidRPr="00661F78">
        <w:t xml:space="preserve"> (</w:t>
      </w:r>
      <w:r>
        <w:t>N</w:t>
      </w:r>
      <w:r w:rsidRPr="00661F78">
        <w:t>o. 4047/07)</w:t>
      </w:r>
      <w:r>
        <w:t xml:space="preserve"> and </w:t>
      </w:r>
      <w:r w:rsidRPr="00F4384B">
        <w:rPr>
          <w:i/>
          <w:iCs/>
        </w:rPr>
        <w:t>P. and S. v. Poland</w:t>
      </w:r>
      <w:r w:rsidRPr="00661F78">
        <w:t xml:space="preserve"> (</w:t>
      </w:r>
      <w:r>
        <w:t>N</w:t>
      </w:r>
      <w:r w:rsidRPr="00661F78">
        <w:t>o. 57375/08).</w:t>
      </w:r>
    </w:p>
  </w:footnote>
  <w:footnote w:id="29">
    <w:p w14:paraId="6B744BB6" w14:textId="6BF8D26F" w:rsidR="00F4384B" w:rsidRDefault="00F4384B" w:rsidP="0031432C">
      <w:pPr>
        <w:pStyle w:val="FootnoteText"/>
      </w:pPr>
      <w:r>
        <w:tab/>
      </w:r>
      <w:r>
        <w:rPr>
          <w:rStyle w:val="FootnoteReference"/>
        </w:rPr>
        <w:footnoteRef/>
      </w:r>
      <w:r>
        <w:tab/>
        <w:t xml:space="preserve">World Health Organization, </w:t>
      </w:r>
      <w:r>
        <w:rPr>
          <w:i/>
          <w:iCs/>
        </w:rPr>
        <w:t>Safe Abortion: Technical and Policy Guidance for Health Systems</w:t>
      </w:r>
      <w:r>
        <w:t>, 2nd ed., Geneva, 2012.</w:t>
      </w:r>
    </w:p>
  </w:footnote>
  <w:footnote w:id="30">
    <w:p w14:paraId="1F9BE5AF" w14:textId="7FF0A476" w:rsidR="00F4384B" w:rsidRDefault="00F4384B" w:rsidP="0031432C">
      <w:pPr>
        <w:pStyle w:val="FootnoteText"/>
      </w:pPr>
      <w:r>
        <w:tab/>
      </w:r>
      <w:r>
        <w:rPr>
          <w:rStyle w:val="FootnoteReference"/>
        </w:rPr>
        <w:footnoteRef/>
      </w:r>
      <w:r>
        <w:t xml:space="preserve"> </w:t>
      </w:r>
      <w:r>
        <w:tab/>
      </w:r>
      <w:r>
        <w:tab/>
        <w:t xml:space="preserve">OHCHR, “Poland: </w:t>
      </w:r>
      <w:r w:rsidRPr="00661F78">
        <w:t>UN expert concerned that erosion of cultural freedom threatens the country’s rich cultural life</w:t>
      </w:r>
      <w:r>
        <w:t>”,</w:t>
      </w:r>
      <w:r w:rsidRPr="00661F78">
        <w:t xml:space="preserve"> October 2018</w:t>
      </w:r>
      <w:r>
        <w:t>.</w:t>
      </w:r>
    </w:p>
  </w:footnote>
  <w:footnote w:id="31">
    <w:p w14:paraId="3AC71B94" w14:textId="77777777" w:rsidR="00F4384B" w:rsidRDefault="00F4384B" w:rsidP="0031432C">
      <w:pPr>
        <w:pStyle w:val="FootnoteText"/>
      </w:pPr>
      <w:r>
        <w:tab/>
      </w:r>
      <w:r>
        <w:rPr>
          <w:rStyle w:val="FootnoteReference"/>
        </w:rPr>
        <w:footnoteRef/>
      </w:r>
      <w:r>
        <w:t xml:space="preserve"> </w:t>
      </w:r>
      <w:r>
        <w:tab/>
      </w:r>
      <w:r>
        <w:tab/>
      </w:r>
      <w:r w:rsidRPr="00661F78">
        <w:t>Ibid</w:t>
      </w:r>
      <w:r>
        <w:t>.</w:t>
      </w:r>
      <w:r w:rsidRPr="00661F78">
        <w:t xml:space="preserve"> and CEDAW/C/POL/CO/7-8</w:t>
      </w:r>
      <w:r>
        <w:t>.</w:t>
      </w:r>
    </w:p>
  </w:footnote>
  <w:footnote w:id="32">
    <w:p w14:paraId="0379CEAB" w14:textId="4AF9FB86" w:rsidR="00F4384B" w:rsidRDefault="00F4384B" w:rsidP="0031432C">
      <w:pPr>
        <w:pStyle w:val="FootnoteText"/>
      </w:pPr>
      <w:r>
        <w:tab/>
      </w:r>
      <w:r>
        <w:rPr>
          <w:rStyle w:val="FootnoteReference"/>
        </w:rPr>
        <w:footnoteRef/>
      </w:r>
      <w:r>
        <w:t xml:space="preserve"> </w:t>
      </w:r>
      <w:r>
        <w:tab/>
      </w:r>
      <w:r>
        <w:tab/>
        <w:t xml:space="preserve">KARAT Coalition, </w:t>
      </w:r>
      <w:r w:rsidRPr="00AB65E9">
        <w:rPr>
          <w:i/>
          <w:iCs/>
        </w:rPr>
        <w:t>Alternative report on the Implementation of the Convention on the Elimination of All Forms of Discrimination against Women</w:t>
      </w:r>
      <w:r w:rsidRPr="00661F78">
        <w:t xml:space="preserve">, </w:t>
      </w:r>
      <w:r>
        <w:t>February</w:t>
      </w:r>
      <w:r w:rsidRPr="00661F78">
        <w:t xml:space="preserve"> 2014</w:t>
      </w:r>
      <w:r>
        <w:t>.</w:t>
      </w:r>
    </w:p>
  </w:footnote>
  <w:footnote w:id="33">
    <w:p w14:paraId="7F6BA329" w14:textId="73333305" w:rsidR="00F4384B" w:rsidRDefault="00F4384B" w:rsidP="0031432C">
      <w:pPr>
        <w:pStyle w:val="FootnoteText"/>
      </w:pPr>
      <w:r>
        <w:tab/>
      </w:r>
      <w:r>
        <w:rPr>
          <w:rStyle w:val="FootnoteReference"/>
        </w:rPr>
        <w:footnoteRef/>
      </w:r>
      <w:r>
        <w:t xml:space="preserve"> </w:t>
      </w:r>
      <w:r>
        <w:tab/>
      </w:r>
      <w:r>
        <w:tab/>
        <w:t>Information provided by the National Broadcasting Council.</w:t>
      </w:r>
    </w:p>
  </w:footnote>
  <w:footnote w:id="34">
    <w:p w14:paraId="5F5F4F35" w14:textId="77777777" w:rsidR="00F4384B" w:rsidRDefault="00F4384B">
      <w:pPr>
        <w:pStyle w:val="FootnoteText"/>
      </w:pPr>
      <w:r>
        <w:tab/>
      </w:r>
      <w:r>
        <w:rPr>
          <w:rStyle w:val="FootnoteReference"/>
        </w:rPr>
        <w:footnoteRef/>
      </w:r>
      <w:r>
        <w:t xml:space="preserve"> </w:t>
      </w:r>
      <w:r>
        <w:tab/>
      </w:r>
      <w:r>
        <w:tab/>
      </w:r>
      <w:r w:rsidRPr="00661F78">
        <w:t>Report of the Commissioner for Human Rights on the Activities of the National Mechanism for the Prevention of Torture in Poland, 2017</w:t>
      </w:r>
      <w:r>
        <w:t>.</w:t>
      </w:r>
    </w:p>
  </w:footnote>
  <w:footnote w:id="35">
    <w:p w14:paraId="666E9312" w14:textId="77777777" w:rsidR="00F4384B" w:rsidRDefault="00F4384B" w:rsidP="0031432C">
      <w:pPr>
        <w:pStyle w:val="FootnoteText"/>
      </w:pPr>
      <w:r>
        <w:tab/>
      </w:r>
      <w:r>
        <w:rPr>
          <w:rStyle w:val="FootnoteReference"/>
        </w:rPr>
        <w:footnoteRef/>
      </w:r>
      <w:r>
        <w:t xml:space="preserve"> </w:t>
      </w:r>
      <w:r>
        <w:tab/>
      </w:r>
      <w:r>
        <w:tab/>
        <w:t>European Commission, Country Report Poland 2019, available at: https://ec.europa.eu/info/sites/info/files/file_import/2019-european-semester-country-report-poland_en.pdf.</w:t>
      </w:r>
    </w:p>
  </w:footnote>
  <w:footnote w:id="36">
    <w:p w14:paraId="3B0D0C2E" w14:textId="77777777" w:rsidR="00F4384B" w:rsidRDefault="00F4384B" w:rsidP="0031432C">
      <w:pPr>
        <w:pStyle w:val="FootnoteText"/>
      </w:pPr>
      <w:r>
        <w:tab/>
      </w:r>
      <w:r>
        <w:rPr>
          <w:rStyle w:val="FootnoteReference"/>
        </w:rPr>
        <w:footnoteRef/>
      </w:r>
      <w:r>
        <w:t xml:space="preserve"> </w:t>
      </w:r>
      <w:r>
        <w:tab/>
      </w:r>
      <w:r>
        <w:tab/>
      </w:r>
      <w:r w:rsidRPr="00661F78">
        <w:t>European Gender Network, Gender Equality, 2018.</w:t>
      </w:r>
    </w:p>
  </w:footnote>
  <w:footnote w:id="37">
    <w:p w14:paraId="7E99171A" w14:textId="77777777" w:rsidR="00F4384B" w:rsidRDefault="00F4384B" w:rsidP="0031432C">
      <w:pPr>
        <w:pStyle w:val="FootnoteText"/>
      </w:pPr>
      <w:r>
        <w:tab/>
      </w:r>
      <w:r>
        <w:rPr>
          <w:rStyle w:val="FootnoteReference"/>
        </w:rPr>
        <w:footnoteRef/>
      </w:r>
      <w:r>
        <w:t xml:space="preserve"> </w:t>
      </w:r>
      <w:r>
        <w:tab/>
      </w:r>
      <w:r>
        <w:tab/>
      </w:r>
      <w:r w:rsidRPr="00661F78">
        <w:t>OECD country report</w:t>
      </w:r>
      <w:r>
        <w:t>.</w:t>
      </w:r>
    </w:p>
  </w:footnote>
  <w:footnote w:id="38">
    <w:p w14:paraId="52182AD8" w14:textId="77777777" w:rsidR="00F4384B" w:rsidRDefault="00F4384B" w:rsidP="0031432C">
      <w:pPr>
        <w:pStyle w:val="FootnoteText"/>
      </w:pPr>
      <w:r>
        <w:tab/>
      </w:r>
      <w:r>
        <w:rPr>
          <w:rStyle w:val="FootnoteReference"/>
        </w:rPr>
        <w:footnoteRef/>
      </w:r>
      <w:r>
        <w:t xml:space="preserve"> </w:t>
      </w:r>
      <w:r>
        <w:tab/>
      </w:r>
      <w:r>
        <w:tab/>
      </w:r>
      <w:r w:rsidRPr="00661F78">
        <w:t>Ibid</w:t>
      </w:r>
      <w:r>
        <w:t>.</w:t>
      </w:r>
    </w:p>
  </w:footnote>
  <w:footnote w:id="39">
    <w:p w14:paraId="52697F07" w14:textId="0E3943E0" w:rsidR="00F4384B" w:rsidRDefault="00F4384B" w:rsidP="0047503E">
      <w:pPr>
        <w:pStyle w:val="FootnoteText"/>
      </w:pPr>
      <w:r>
        <w:tab/>
      </w:r>
      <w:r>
        <w:rPr>
          <w:rStyle w:val="FootnoteReference"/>
        </w:rPr>
        <w:footnoteRef/>
      </w:r>
      <w:r>
        <w:t xml:space="preserve"> </w:t>
      </w:r>
      <w:r>
        <w:tab/>
      </w:r>
      <w:r w:rsidRPr="00661F78">
        <w:tab/>
      </w:r>
      <w:r>
        <w:t xml:space="preserve">European Commission, Country Report Poland 2019, available at: </w:t>
      </w:r>
      <w:hyperlink r:id="rId5" w:history="1">
        <w:r w:rsidRPr="00661F78">
          <w:t>https://ec.europa.eu/info/sites/info/files/file_import/2019-european-semester-country-report-poland_en.pdf</w:t>
        </w:r>
      </w:hyperlink>
      <w:r>
        <w:t>.</w:t>
      </w:r>
    </w:p>
  </w:footnote>
  <w:footnote w:id="40">
    <w:p w14:paraId="343B03D7" w14:textId="77777777" w:rsidR="00F4384B" w:rsidRDefault="00F4384B" w:rsidP="0031432C">
      <w:pPr>
        <w:pStyle w:val="FootnoteText"/>
      </w:pPr>
      <w:r>
        <w:tab/>
      </w:r>
      <w:r>
        <w:rPr>
          <w:rStyle w:val="FootnoteReference"/>
        </w:rPr>
        <w:footnoteRef/>
      </w:r>
      <w:r>
        <w:t xml:space="preserve"> </w:t>
      </w:r>
      <w:r>
        <w:tab/>
      </w:r>
      <w:r w:rsidRPr="00661F78">
        <w:tab/>
        <w:t>Ibid</w:t>
      </w:r>
      <w:r>
        <w:t>.</w:t>
      </w:r>
      <w:hyperlink r:id="rId6" w:history="1"/>
    </w:p>
  </w:footnote>
  <w:footnote w:id="41">
    <w:p w14:paraId="570F0FD8" w14:textId="05A7C813" w:rsidR="00F4384B" w:rsidRDefault="00F4384B" w:rsidP="0031432C">
      <w:pPr>
        <w:pStyle w:val="FootnoteText"/>
      </w:pPr>
      <w:r>
        <w:tab/>
      </w:r>
      <w:r>
        <w:rPr>
          <w:rStyle w:val="FootnoteReference"/>
        </w:rPr>
        <w:footnoteRef/>
      </w:r>
      <w:r>
        <w:t xml:space="preserve"> </w:t>
      </w:r>
      <w:r>
        <w:tab/>
      </w:r>
      <w:r>
        <w:tab/>
        <w:t>European Commission, “European Semester Thematic Factsheet: Women in the Labour Market”.</w:t>
      </w:r>
    </w:p>
  </w:footnote>
  <w:footnote w:id="42">
    <w:p w14:paraId="77DFA8E8" w14:textId="48CA3DEF" w:rsidR="00F4384B" w:rsidRPr="00422EA7" w:rsidRDefault="00F4384B" w:rsidP="0031432C">
      <w:pPr>
        <w:pStyle w:val="FootnoteText"/>
      </w:pPr>
      <w:r>
        <w:tab/>
      </w:r>
      <w:r>
        <w:rPr>
          <w:rStyle w:val="FootnoteReference"/>
        </w:rPr>
        <w:footnoteRef/>
      </w:r>
      <w:r>
        <w:t xml:space="preserve"> </w:t>
      </w:r>
      <w:r>
        <w:tab/>
        <w:t xml:space="preserve">Data from </w:t>
      </w:r>
      <w:r w:rsidRPr="004529A7">
        <w:t>2017 collected by the Ministry of F</w:t>
      </w:r>
      <w:r>
        <w:t>amily, Labour and Social Policy.</w:t>
      </w:r>
    </w:p>
  </w:footnote>
  <w:footnote w:id="43">
    <w:p w14:paraId="5A5FCB82" w14:textId="11B6C428" w:rsidR="00F4384B" w:rsidRDefault="00F4384B" w:rsidP="0031432C">
      <w:pPr>
        <w:pStyle w:val="FootnoteText"/>
      </w:pPr>
      <w:r>
        <w:tab/>
      </w:r>
      <w:r>
        <w:rPr>
          <w:rStyle w:val="FootnoteReference"/>
        </w:rPr>
        <w:footnoteRef/>
      </w:r>
      <w:r>
        <w:t xml:space="preserve"> </w:t>
      </w:r>
      <w:r>
        <w:tab/>
      </w:r>
      <w:r w:rsidRPr="00661F78">
        <w:tab/>
      </w:r>
      <w:r>
        <w:rPr>
          <w:rFonts w:eastAsia="DengXian"/>
          <w:lang w:eastAsia="hr-HR"/>
        </w:rPr>
        <w:t>A</w:t>
      </w:r>
      <w:r w:rsidRPr="0031432C">
        <w:rPr>
          <w:rFonts w:eastAsia="DengXian"/>
          <w:lang w:eastAsia="hr-HR"/>
        </w:rPr>
        <w:t>rticle 115 (11) of the Criminal Code</w:t>
      </w:r>
      <w:r w:rsidRPr="00661F78" w:rsidDel="0058434D">
        <w:t xml:space="preserve"> </w:t>
      </w:r>
      <w:r>
        <w:t>states: “</w:t>
      </w:r>
      <w:r w:rsidRPr="00661F78">
        <w:t>A next of kin is a spouse, an ascendant, descendant, brother or sister, relative by marriage in the same line or degree, a person being an adopted relation, as well as his spouse, and also a person actually living in co-habitation.</w:t>
      </w:r>
      <w:r>
        <w:t>”</w:t>
      </w:r>
    </w:p>
  </w:footnote>
  <w:footnote w:id="44">
    <w:p w14:paraId="3A8F9CC2" w14:textId="77777777" w:rsidR="00F4384B" w:rsidRDefault="00F4384B" w:rsidP="0031432C">
      <w:pPr>
        <w:pStyle w:val="FootnoteText"/>
      </w:pPr>
      <w:r>
        <w:tab/>
      </w:r>
      <w:r>
        <w:rPr>
          <w:rStyle w:val="FootnoteReference"/>
        </w:rPr>
        <w:footnoteRef/>
      </w:r>
      <w:r>
        <w:t xml:space="preserve"> </w:t>
      </w:r>
      <w:r>
        <w:tab/>
      </w:r>
      <w:r w:rsidRPr="00661F78">
        <w:tab/>
        <w:t>Information provided by the Ministry of Family, Labour and Social Policy.</w:t>
      </w:r>
    </w:p>
  </w:footnote>
  <w:footnote w:id="45">
    <w:p w14:paraId="327D8429" w14:textId="77777777" w:rsidR="00F4384B" w:rsidRDefault="00F4384B" w:rsidP="0031432C">
      <w:pPr>
        <w:pStyle w:val="FootnoteText"/>
      </w:pPr>
      <w:r>
        <w:tab/>
      </w:r>
      <w:r>
        <w:rPr>
          <w:rStyle w:val="FootnoteReference"/>
        </w:rPr>
        <w:footnoteRef/>
      </w:r>
      <w:r>
        <w:t xml:space="preserve"> </w:t>
      </w:r>
      <w:r>
        <w:tab/>
      </w:r>
      <w:r>
        <w:tab/>
      </w:r>
      <w:r w:rsidRPr="005B14C4">
        <w:t xml:space="preserve">Article 197 </w:t>
      </w:r>
      <w:r>
        <w:t xml:space="preserve">of the </w:t>
      </w:r>
      <w:r w:rsidRPr="005B14C4">
        <w:t>Criminal Code: “Whoever, by force, illegal threat or deceit subjects another person to sexual intercourse shall be subject to the penalty of the deprivation of liberty for a term of between 2 and 12 years”.</w:t>
      </w:r>
    </w:p>
  </w:footnote>
  <w:footnote w:id="46">
    <w:p w14:paraId="1443EFE4" w14:textId="03EAA7C2" w:rsidR="00F4384B" w:rsidRDefault="00F4384B" w:rsidP="0031432C">
      <w:pPr>
        <w:pStyle w:val="FootnoteText"/>
      </w:pPr>
      <w:r>
        <w:tab/>
      </w:r>
      <w:r>
        <w:rPr>
          <w:rStyle w:val="FootnoteReference"/>
        </w:rPr>
        <w:footnoteRef/>
      </w:r>
      <w:r>
        <w:t xml:space="preserve"> </w:t>
      </w:r>
      <w:r>
        <w:tab/>
      </w:r>
      <w:r>
        <w:tab/>
      </w:r>
      <w:r w:rsidRPr="005B14C4">
        <w:t>Foundation for Equality and Emancipation S</w:t>
      </w:r>
      <w:r>
        <w:t xml:space="preserve">TER, </w:t>
      </w:r>
      <w:r w:rsidRPr="00F4384B">
        <w:rPr>
          <w:i/>
          <w:iCs/>
        </w:rPr>
        <w:t>Breaking the Taboo: Report on Sexual Violence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2E191" w14:textId="77777777" w:rsidR="00F4384B" w:rsidRPr="00DD6F17" w:rsidRDefault="00B20BDC">
    <w:pPr>
      <w:pStyle w:val="Header"/>
    </w:pPr>
    <w:fldSimple w:instr=" TITLE  \* MERGEFORMAT ">
      <w:r w:rsidR="00F4384B">
        <w:t>A/HRC/41/33/Add.2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5FB6" w14:textId="77777777" w:rsidR="00F4384B" w:rsidRPr="00DD6F17" w:rsidRDefault="00B20BDC" w:rsidP="00DD6F17">
    <w:pPr>
      <w:pStyle w:val="Header"/>
      <w:jc w:val="right"/>
    </w:pPr>
    <w:fldSimple w:instr=" TITLE  \* MERGEFORMAT ">
      <w:r w:rsidR="00F4384B">
        <w:t>A/HRC/41/33/Add.2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94F52"/>
    <w:multiLevelType w:val="hybridMultilevel"/>
    <w:tmpl w:val="825A4466"/>
    <w:lvl w:ilvl="0" w:tplc="86BC3DA6">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3F2036B"/>
    <w:multiLevelType w:val="hybridMultilevel"/>
    <w:tmpl w:val="8D02F468"/>
    <w:lvl w:ilvl="0" w:tplc="CA42FC50">
      <w:start w:val="1"/>
      <w:numFmt w:val="lowerLetter"/>
      <w:pStyle w:val="Bullet1G"/>
      <w:lvlText w:val="(%1)"/>
      <w:lvlJc w:val="left"/>
      <w:pPr>
        <w:tabs>
          <w:tab w:val="num" w:pos="1701"/>
        </w:tabs>
        <w:ind w:left="1701" w:hanging="170"/>
      </w:pPr>
      <w:rPr>
        <w:rFonts w:ascii="Times New Roman" w:eastAsia="DengXian" w:hAnsi="Times New Roman" w:cs="Times New Roma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56269"/>
    <w:multiLevelType w:val="hybridMultilevel"/>
    <w:tmpl w:val="35A6B29A"/>
    <w:lvl w:ilvl="0" w:tplc="5FD85F4A">
      <w:start w:val="4"/>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80D36"/>
    <w:multiLevelType w:val="hybridMultilevel"/>
    <w:tmpl w:val="40521B52"/>
    <w:lvl w:ilvl="0" w:tplc="35CEAAA0">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208A0311"/>
    <w:multiLevelType w:val="hybridMultilevel"/>
    <w:tmpl w:val="C2F26C24"/>
    <w:lvl w:ilvl="0" w:tplc="BA6C7AF6">
      <w:start w:val="1"/>
      <w:numFmt w:val="lowerLetter"/>
      <w:lvlText w:val="(%1)"/>
      <w:lvlJc w:val="left"/>
      <w:pPr>
        <w:ind w:left="720" w:hanging="360"/>
      </w:pPr>
      <w:rPr>
        <w:rFonts w:asciiTheme="minorHAnsi" w:eastAsiaTheme="minorEastAsia" w:hAnsiTheme="minorHAnsi" w:cstheme="minorBidi"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8368AB"/>
    <w:multiLevelType w:val="hybridMultilevel"/>
    <w:tmpl w:val="C1E2A68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F760895"/>
    <w:multiLevelType w:val="hybridMultilevel"/>
    <w:tmpl w:val="80F01C6C"/>
    <w:lvl w:ilvl="0" w:tplc="1332D40C">
      <w:start w:val="1"/>
      <w:numFmt w:val="upperLetter"/>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002F8E"/>
    <w:multiLevelType w:val="hybridMultilevel"/>
    <w:tmpl w:val="72F0CF4E"/>
    <w:lvl w:ilvl="0" w:tplc="BBD2F6C4">
      <w:start w:val="53"/>
      <w:numFmt w:val="decimal"/>
      <w:lvlText w:val="%1."/>
      <w:lvlJc w:val="left"/>
      <w:pPr>
        <w:ind w:left="177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E003525"/>
    <w:multiLevelType w:val="hybridMultilevel"/>
    <w:tmpl w:val="E58CC26A"/>
    <w:lvl w:ilvl="0" w:tplc="BFF2313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19A60E3"/>
    <w:multiLevelType w:val="hybridMultilevel"/>
    <w:tmpl w:val="5F7EF294"/>
    <w:lvl w:ilvl="0" w:tplc="648E322E">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35F2F958">
      <w:start w:val="1"/>
      <w:numFmt w:val="decimal"/>
      <w:lvlText w:val="%4."/>
      <w:lvlJc w:val="left"/>
      <w:pPr>
        <w:ind w:left="1758" w:hanging="34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5DF4A22"/>
    <w:multiLevelType w:val="hybridMultilevel"/>
    <w:tmpl w:val="C784C75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884190"/>
    <w:multiLevelType w:val="hybridMultilevel"/>
    <w:tmpl w:val="087CC78A"/>
    <w:lvl w:ilvl="0" w:tplc="08090015">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4D4D543A"/>
    <w:multiLevelType w:val="hybridMultilevel"/>
    <w:tmpl w:val="56A468AE"/>
    <w:lvl w:ilvl="0" w:tplc="282CADDC">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5A4D036C"/>
    <w:multiLevelType w:val="hybridMultilevel"/>
    <w:tmpl w:val="8B4C84E8"/>
    <w:lvl w:ilvl="0" w:tplc="7C1E17F6">
      <w:start w:val="1"/>
      <w:numFmt w:val="upperLetter"/>
      <w:lvlText w:val="%1."/>
      <w:lvlJc w:val="left"/>
      <w:pPr>
        <w:ind w:left="780" w:hanging="360"/>
      </w:pPr>
      <w:rPr>
        <w:rFonts w:eastAsiaTheme="minorHAnsi" w:hint="default"/>
        <w:b w:val="0"/>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9" w15:restartNumberingAfterBreak="0">
    <w:nsid w:val="5F0220D8"/>
    <w:multiLevelType w:val="hybridMultilevel"/>
    <w:tmpl w:val="0ED2FF0C"/>
    <w:lvl w:ilvl="0" w:tplc="1630B6BE">
      <w:start w:val="3"/>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1F0428E"/>
    <w:multiLevelType w:val="hybridMultilevel"/>
    <w:tmpl w:val="9B4C5E92"/>
    <w:lvl w:ilvl="0" w:tplc="8A64BC54">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E3476D3"/>
    <w:multiLevelType w:val="hybridMultilevel"/>
    <w:tmpl w:val="C9066388"/>
    <w:lvl w:ilvl="0" w:tplc="1CF413B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1"/>
  </w:num>
  <w:num w:numId="2">
    <w:abstractNumId w:val="6"/>
  </w:num>
  <w:num w:numId="3">
    <w:abstractNumId w:val="21"/>
  </w:num>
  <w:num w:numId="4">
    <w:abstractNumId w:val="5"/>
  </w:num>
  <w:num w:numId="5">
    <w:abstractNumId w:val="0"/>
  </w:num>
  <w:num w:numId="6">
    <w:abstractNumId w:val="2"/>
  </w:num>
  <w:num w:numId="7">
    <w:abstractNumId w:val="20"/>
  </w:num>
  <w:num w:numId="8">
    <w:abstractNumId w:val="4"/>
  </w:num>
  <w:num w:numId="9">
    <w:abstractNumId w:val="14"/>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5"/>
  </w:num>
  <w:num w:numId="20">
    <w:abstractNumId w:val="18"/>
  </w:num>
  <w:num w:numId="21">
    <w:abstractNumId w:val="12"/>
  </w:num>
  <w:num w:numId="22">
    <w:abstractNumId w:val="10"/>
  </w:num>
  <w:num w:numId="23">
    <w:abstractNumId w:val="16"/>
  </w:num>
  <w:num w:numId="24">
    <w:abstractNumId w:val="1"/>
  </w:num>
  <w:num w:numId="25">
    <w:abstractNumId w:val="9"/>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PH" w:vendorID="64" w:dllVersion="6" w:nlCheck="1" w:checkStyle="1"/>
  <w:activeWritingStyle w:appName="MSWord" w:lang="fr-CH" w:vendorID="64" w:dllVersion="6" w:nlCheck="1" w:checkStyle="0"/>
  <w:activeWritingStyle w:appName="MSWord" w:lang="fr-FR"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17"/>
    <w:rsid w:val="00006E4B"/>
    <w:rsid w:val="00007F7F"/>
    <w:rsid w:val="00010030"/>
    <w:rsid w:val="00013F4E"/>
    <w:rsid w:val="000208CE"/>
    <w:rsid w:val="00021C69"/>
    <w:rsid w:val="00021F3A"/>
    <w:rsid w:val="00022DB5"/>
    <w:rsid w:val="000403D1"/>
    <w:rsid w:val="000449AA"/>
    <w:rsid w:val="00050F6B"/>
    <w:rsid w:val="0005662A"/>
    <w:rsid w:val="0006617C"/>
    <w:rsid w:val="00072C8C"/>
    <w:rsid w:val="00073E70"/>
    <w:rsid w:val="000760AE"/>
    <w:rsid w:val="00085FDC"/>
    <w:rsid w:val="00086EDB"/>
    <w:rsid w:val="000876EB"/>
    <w:rsid w:val="00091419"/>
    <w:rsid w:val="000931C0"/>
    <w:rsid w:val="00095CC7"/>
    <w:rsid w:val="0009675B"/>
    <w:rsid w:val="000A24D0"/>
    <w:rsid w:val="000B175B"/>
    <w:rsid w:val="000B2851"/>
    <w:rsid w:val="000B3A0F"/>
    <w:rsid w:val="000B4A3B"/>
    <w:rsid w:val="000B6A98"/>
    <w:rsid w:val="000B6B6B"/>
    <w:rsid w:val="000C0289"/>
    <w:rsid w:val="000C0A3E"/>
    <w:rsid w:val="000C455A"/>
    <w:rsid w:val="000C59D8"/>
    <w:rsid w:val="000C70B4"/>
    <w:rsid w:val="000D1851"/>
    <w:rsid w:val="000D7DEE"/>
    <w:rsid w:val="000E0415"/>
    <w:rsid w:val="000E1170"/>
    <w:rsid w:val="00110F9E"/>
    <w:rsid w:val="0011237A"/>
    <w:rsid w:val="00115100"/>
    <w:rsid w:val="0011612D"/>
    <w:rsid w:val="001217E4"/>
    <w:rsid w:val="00122E87"/>
    <w:rsid w:val="00130FAB"/>
    <w:rsid w:val="00146D32"/>
    <w:rsid w:val="001509BA"/>
    <w:rsid w:val="00157B37"/>
    <w:rsid w:val="00161B2A"/>
    <w:rsid w:val="00167203"/>
    <w:rsid w:val="00172A52"/>
    <w:rsid w:val="001A3363"/>
    <w:rsid w:val="001A5741"/>
    <w:rsid w:val="001B4620"/>
    <w:rsid w:val="001B4B04"/>
    <w:rsid w:val="001C404A"/>
    <w:rsid w:val="001C6663"/>
    <w:rsid w:val="001C7895"/>
    <w:rsid w:val="001D26DF"/>
    <w:rsid w:val="001E2790"/>
    <w:rsid w:val="00203CDB"/>
    <w:rsid w:val="00211E0B"/>
    <w:rsid w:val="00211E72"/>
    <w:rsid w:val="00214047"/>
    <w:rsid w:val="0022130F"/>
    <w:rsid w:val="00223DBE"/>
    <w:rsid w:val="002255E8"/>
    <w:rsid w:val="00231BE3"/>
    <w:rsid w:val="00231CF6"/>
    <w:rsid w:val="00237785"/>
    <w:rsid w:val="002410DD"/>
    <w:rsid w:val="00241466"/>
    <w:rsid w:val="00243C7C"/>
    <w:rsid w:val="00243FBC"/>
    <w:rsid w:val="00253D58"/>
    <w:rsid w:val="0025558A"/>
    <w:rsid w:val="0026041E"/>
    <w:rsid w:val="00270608"/>
    <w:rsid w:val="00272A9E"/>
    <w:rsid w:val="00275D4C"/>
    <w:rsid w:val="00275E16"/>
    <w:rsid w:val="0027725F"/>
    <w:rsid w:val="00281A59"/>
    <w:rsid w:val="00285B7C"/>
    <w:rsid w:val="002A7BAB"/>
    <w:rsid w:val="002B47CB"/>
    <w:rsid w:val="002C21F0"/>
    <w:rsid w:val="002C408E"/>
    <w:rsid w:val="002D1BDD"/>
    <w:rsid w:val="002D6025"/>
    <w:rsid w:val="002E7788"/>
    <w:rsid w:val="002F16C0"/>
    <w:rsid w:val="002F1947"/>
    <w:rsid w:val="003107FA"/>
    <w:rsid w:val="00313AA0"/>
    <w:rsid w:val="0031432C"/>
    <w:rsid w:val="003229D8"/>
    <w:rsid w:val="003314D1"/>
    <w:rsid w:val="00335A2F"/>
    <w:rsid w:val="00341937"/>
    <w:rsid w:val="00345E2E"/>
    <w:rsid w:val="00350BE2"/>
    <w:rsid w:val="003519EA"/>
    <w:rsid w:val="00367ADD"/>
    <w:rsid w:val="0039277A"/>
    <w:rsid w:val="00392E6E"/>
    <w:rsid w:val="00392FFE"/>
    <w:rsid w:val="00395DAC"/>
    <w:rsid w:val="003972E0"/>
    <w:rsid w:val="003975ED"/>
    <w:rsid w:val="003A2258"/>
    <w:rsid w:val="003C2CC4"/>
    <w:rsid w:val="003C782C"/>
    <w:rsid w:val="003D4B23"/>
    <w:rsid w:val="003E5CA7"/>
    <w:rsid w:val="003F70C5"/>
    <w:rsid w:val="00403B00"/>
    <w:rsid w:val="00404B9E"/>
    <w:rsid w:val="00417210"/>
    <w:rsid w:val="00424C80"/>
    <w:rsid w:val="004325CB"/>
    <w:rsid w:val="0043320B"/>
    <w:rsid w:val="00441A00"/>
    <w:rsid w:val="00443D99"/>
    <w:rsid w:val="00444824"/>
    <w:rsid w:val="0044503A"/>
    <w:rsid w:val="00446B63"/>
    <w:rsid w:val="00446DE4"/>
    <w:rsid w:val="00447761"/>
    <w:rsid w:val="00451EC3"/>
    <w:rsid w:val="00462B17"/>
    <w:rsid w:val="004721B1"/>
    <w:rsid w:val="0047468F"/>
    <w:rsid w:val="00474A21"/>
    <w:rsid w:val="0047503E"/>
    <w:rsid w:val="0047702E"/>
    <w:rsid w:val="004833C7"/>
    <w:rsid w:val="00483E53"/>
    <w:rsid w:val="004859EC"/>
    <w:rsid w:val="004903B3"/>
    <w:rsid w:val="00496A15"/>
    <w:rsid w:val="004A5613"/>
    <w:rsid w:val="004A7B5D"/>
    <w:rsid w:val="004B146A"/>
    <w:rsid w:val="004B75D2"/>
    <w:rsid w:val="004C43C5"/>
    <w:rsid w:val="004D0A49"/>
    <w:rsid w:val="004D1140"/>
    <w:rsid w:val="004D3171"/>
    <w:rsid w:val="004D7050"/>
    <w:rsid w:val="004F02CE"/>
    <w:rsid w:val="004F55ED"/>
    <w:rsid w:val="00504BA6"/>
    <w:rsid w:val="00506719"/>
    <w:rsid w:val="0052176C"/>
    <w:rsid w:val="005261E5"/>
    <w:rsid w:val="005420F2"/>
    <w:rsid w:val="00542574"/>
    <w:rsid w:val="005436AB"/>
    <w:rsid w:val="005442FC"/>
    <w:rsid w:val="00546924"/>
    <w:rsid w:val="00546DBF"/>
    <w:rsid w:val="005506EB"/>
    <w:rsid w:val="00553D76"/>
    <w:rsid w:val="005552B5"/>
    <w:rsid w:val="005557B8"/>
    <w:rsid w:val="0056117B"/>
    <w:rsid w:val="00562621"/>
    <w:rsid w:val="00571365"/>
    <w:rsid w:val="00571C16"/>
    <w:rsid w:val="00573F27"/>
    <w:rsid w:val="00574FE0"/>
    <w:rsid w:val="005756F1"/>
    <w:rsid w:val="0058434D"/>
    <w:rsid w:val="00592762"/>
    <w:rsid w:val="005A0E16"/>
    <w:rsid w:val="005A31CF"/>
    <w:rsid w:val="005A60BB"/>
    <w:rsid w:val="005B14C4"/>
    <w:rsid w:val="005B3DB3"/>
    <w:rsid w:val="005B6E48"/>
    <w:rsid w:val="005C6B2B"/>
    <w:rsid w:val="005D53BE"/>
    <w:rsid w:val="005E1712"/>
    <w:rsid w:val="005E7199"/>
    <w:rsid w:val="005E7220"/>
    <w:rsid w:val="005F09B9"/>
    <w:rsid w:val="0060263E"/>
    <w:rsid w:val="00604FFC"/>
    <w:rsid w:val="006059DA"/>
    <w:rsid w:val="006078B8"/>
    <w:rsid w:val="00611FC4"/>
    <w:rsid w:val="006176FB"/>
    <w:rsid w:val="0063737D"/>
    <w:rsid w:val="00640B26"/>
    <w:rsid w:val="00640BAB"/>
    <w:rsid w:val="00643E4D"/>
    <w:rsid w:val="00644DE6"/>
    <w:rsid w:val="006555D5"/>
    <w:rsid w:val="00655B60"/>
    <w:rsid w:val="00661F78"/>
    <w:rsid w:val="00670741"/>
    <w:rsid w:val="00677CED"/>
    <w:rsid w:val="0068377F"/>
    <w:rsid w:val="00696BD6"/>
    <w:rsid w:val="006A57A4"/>
    <w:rsid w:val="006A6B9D"/>
    <w:rsid w:val="006A7392"/>
    <w:rsid w:val="006B3189"/>
    <w:rsid w:val="006B6AA4"/>
    <w:rsid w:val="006B7381"/>
    <w:rsid w:val="006B7D65"/>
    <w:rsid w:val="006D6DA6"/>
    <w:rsid w:val="006E4FE2"/>
    <w:rsid w:val="006E564B"/>
    <w:rsid w:val="006E56B5"/>
    <w:rsid w:val="006F13F0"/>
    <w:rsid w:val="006F5035"/>
    <w:rsid w:val="007015F5"/>
    <w:rsid w:val="007065EB"/>
    <w:rsid w:val="00720183"/>
    <w:rsid w:val="00720B50"/>
    <w:rsid w:val="0072284B"/>
    <w:rsid w:val="0072632A"/>
    <w:rsid w:val="0073449B"/>
    <w:rsid w:val="007407CC"/>
    <w:rsid w:val="0074200B"/>
    <w:rsid w:val="00754EAA"/>
    <w:rsid w:val="00764BB7"/>
    <w:rsid w:val="00776694"/>
    <w:rsid w:val="007822A6"/>
    <w:rsid w:val="00793A15"/>
    <w:rsid w:val="0079543C"/>
    <w:rsid w:val="007A4C96"/>
    <w:rsid w:val="007A6296"/>
    <w:rsid w:val="007A79E4"/>
    <w:rsid w:val="007A7A51"/>
    <w:rsid w:val="007B132B"/>
    <w:rsid w:val="007B3A7D"/>
    <w:rsid w:val="007B3FA0"/>
    <w:rsid w:val="007B6BA5"/>
    <w:rsid w:val="007C1B62"/>
    <w:rsid w:val="007C3390"/>
    <w:rsid w:val="007C3B06"/>
    <w:rsid w:val="007C4F4B"/>
    <w:rsid w:val="007D2CDC"/>
    <w:rsid w:val="007D5327"/>
    <w:rsid w:val="007E1463"/>
    <w:rsid w:val="007F22CD"/>
    <w:rsid w:val="007F6611"/>
    <w:rsid w:val="008155C3"/>
    <w:rsid w:val="008175E9"/>
    <w:rsid w:val="0082243E"/>
    <w:rsid w:val="008242D7"/>
    <w:rsid w:val="00824CCA"/>
    <w:rsid w:val="00827388"/>
    <w:rsid w:val="008323DA"/>
    <w:rsid w:val="0084336F"/>
    <w:rsid w:val="008535CA"/>
    <w:rsid w:val="00856CD2"/>
    <w:rsid w:val="00861BC6"/>
    <w:rsid w:val="0086413C"/>
    <w:rsid w:val="00866B5A"/>
    <w:rsid w:val="00871FD5"/>
    <w:rsid w:val="00873B5F"/>
    <w:rsid w:val="0088394E"/>
    <w:rsid w:val="008847BB"/>
    <w:rsid w:val="00887709"/>
    <w:rsid w:val="008979B1"/>
    <w:rsid w:val="008A6B25"/>
    <w:rsid w:val="008A6C4F"/>
    <w:rsid w:val="008B0A6A"/>
    <w:rsid w:val="008C0A06"/>
    <w:rsid w:val="008C14A2"/>
    <w:rsid w:val="008C1B1F"/>
    <w:rsid w:val="008C1E4D"/>
    <w:rsid w:val="008D7C5C"/>
    <w:rsid w:val="008E0E46"/>
    <w:rsid w:val="008E0F5C"/>
    <w:rsid w:val="008F0999"/>
    <w:rsid w:val="0090452C"/>
    <w:rsid w:val="00907C3F"/>
    <w:rsid w:val="00922151"/>
    <w:rsid w:val="0092237C"/>
    <w:rsid w:val="00926B99"/>
    <w:rsid w:val="00927BFF"/>
    <w:rsid w:val="00927DA6"/>
    <w:rsid w:val="00933997"/>
    <w:rsid w:val="0093707B"/>
    <w:rsid w:val="009400EB"/>
    <w:rsid w:val="009427E3"/>
    <w:rsid w:val="00946575"/>
    <w:rsid w:val="00956A59"/>
    <w:rsid w:val="00956D9B"/>
    <w:rsid w:val="00960C76"/>
    <w:rsid w:val="00963CBA"/>
    <w:rsid w:val="009654B7"/>
    <w:rsid w:val="00967EEB"/>
    <w:rsid w:val="00974BB5"/>
    <w:rsid w:val="00991261"/>
    <w:rsid w:val="009A0B83"/>
    <w:rsid w:val="009A15D2"/>
    <w:rsid w:val="009A2106"/>
    <w:rsid w:val="009B2802"/>
    <w:rsid w:val="009B3800"/>
    <w:rsid w:val="009C1465"/>
    <w:rsid w:val="009D22AC"/>
    <w:rsid w:val="009D4C11"/>
    <w:rsid w:val="009D50DB"/>
    <w:rsid w:val="009D57BF"/>
    <w:rsid w:val="009E00BE"/>
    <w:rsid w:val="009E1C4E"/>
    <w:rsid w:val="00A0036A"/>
    <w:rsid w:val="00A01C2A"/>
    <w:rsid w:val="00A05E0B"/>
    <w:rsid w:val="00A1427D"/>
    <w:rsid w:val="00A4634F"/>
    <w:rsid w:val="00A51CF3"/>
    <w:rsid w:val="00A72F22"/>
    <w:rsid w:val="00A73D32"/>
    <w:rsid w:val="00A748A6"/>
    <w:rsid w:val="00A753D7"/>
    <w:rsid w:val="00A86B49"/>
    <w:rsid w:val="00A879A4"/>
    <w:rsid w:val="00A87E95"/>
    <w:rsid w:val="00A92E29"/>
    <w:rsid w:val="00AA101E"/>
    <w:rsid w:val="00AA4A39"/>
    <w:rsid w:val="00AB0DFF"/>
    <w:rsid w:val="00AB3123"/>
    <w:rsid w:val="00AC5AE2"/>
    <w:rsid w:val="00AD09E9"/>
    <w:rsid w:val="00AE227F"/>
    <w:rsid w:val="00AE3565"/>
    <w:rsid w:val="00AF0576"/>
    <w:rsid w:val="00AF3829"/>
    <w:rsid w:val="00B005D2"/>
    <w:rsid w:val="00B037F0"/>
    <w:rsid w:val="00B03C86"/>
    <w:rsid w:val="00B15A85"/>
    <w:rsid w:val="00B20BDC"/>
    <w:rsid w:val="00B20E58"/>
    <w:rsid w:val="00B2327D"/>
    <w:rsid w:val="00B2718F"/>
    <w:rsid w:val="00B30179"/>
    <w:rsid w:val="00B3317B"/>
    <w:rsid w:val="00B334DC"/>
    <w:rsid w:val="00B3631A"/>
    <w:rsid w:val="00B53013"/>
    <w:rsid w:val="00B541B1"/>
    <w:rsid w:val="00B6551C"/>
    <w:rsid w:val="00B67F5E"/>
    <w:rsid w:val="00B73024"/>
    <w:rsid w:val="00B73E65"/>
    <w:rsid w:val="00B743B0"/>
    <w:rsid w:val="00B81D22"/>
    <w:rsid w:val="00B81E12"/>
    <w:rsid w:val="00B87110"/>
    <w:rsid w:val="00B97FA8"/>
    <w:rsid w:val="00BA07A3"/>
    <w:rsid w:val="00BA2331"/>
    <w:rsid w:val="00BC1385"/>
    <w:rsid w:val="00BC74E9"/>
    <w:rsid w:val="00BE618E"/>
    <w:rsid w:val="00BE655C"/>
    <w:rsid w:val="00C138C7"/>
    <w:rsid w:val="00C15B20"/>
    <w:rsid w:val="00C15C63"/>
    <w:rsid w:val="00C16505"/>
    <w:rsid w:val="00C217E7"/>
    <w:rsid w:val="00C24693"/>
    <w:rsid w:val="00C30AFB"/>
    <w:rsid w:val="00C35048"/>
    <w:rsid w:val="00C35F0B"/>
    <w:rsid w:val="00C441AC"/>
    <w:rsid w:val="00C463DD"/>
    <w:rsid w:val="00C51751"/>
    <w:rsid w:val="00C64458"/>
    <w:rsid w:val="00C65036"/>
    <w:rsid w:val="00C745C3"/>
    <w:rsid w:val="00C940EF"/>
    <w:rsid w:val="00CA2A58"/>
    <w:rsid w:val="00CA7FF8"/>
    <w:rsid w:val="00CC0B55"/>
    <w:rsid w:val="00CD09FB"/>
    <w:rsid w:val="00CD6995"/>
    <w:rsid w:val="00CE0E6C"/>
    <w:rsid w:val="00CE4A8F"/>
    <w:rsid w:val="00CF0214"/>
    <w:rsid w:val="00CF23F7"/>
    <w:rsid w:val="00CF4184"/>
    <w:rsid w:val="00CF586F"/>
    <w:rsid w:val="00CF7D43"/>
    <w:rsid w:val="00D02A4D"/>
    <w:rsid w:val="00D05C5D"/>
    <w:rsid w:val="00D11129"/>
    <w:rsid w:val="00D15774"/>
    <w:rsid w:val="00D2031B"/>
    <w:rsid w:val="00D21825"/>
    <w:rsid w:val="00D22332"/>
    <w:rsid w:val="00D25FE2"/>
    <w:rsid w:val="00D27752"/>
    <w:rsid w:val="00D41400"/>
    <w:rsid w:val="00D42278"/>
    <w:rsid w:val="00D43252"/>
    <w:rsid w:val="00D52884"/>
    <w:rsid w:val="00D550F9"/>
    <w:rsid w:val="00D572B0"/>
    <w:rsid w:val="00D61789"/>
    <w:rsid w:val="00D62E90"/>
    <w:rsid w:val="00D64137"/>
    <w:rsid w:val="00D65219"/>
    <w:rsid w:val="00D76BE5"/>
    <w:rsid w:val="00D84781"/>
    <w:rsid w:val="00D90BFA"/>
    <w:rsid w:val="00D96657"/>
    <w:rsid w:val="00D978C6"/>
    <w:rsid w:val="00DA67AD"/>
    <w:rsid w:val="00DB18CE"/>
    <w:rsid w:val="00DB5566"/>
    <w:rsid w:val="00DB7E1E"/>
    <w:rsid w:val="00DD53D9"/>
    <w:rsid w:val="00DD54AD"/>
    <w:rsid w:val="00DD6F17"/>
    <w:rsid w:val="00DD7D8D"/>
    <w:rsid w:val="00DE10DB"/>
    <w:rsid w:val="00DE3B9E"/>
    <w:rsid w:val="00DE3EC0"/>
    <w:rsid w:val="00E02609"/>
    <w:rsid w:val="00E07276"/>
    <w:rsid w:val="00E11593"/>
    <w:rsid w:val="00E12B6B"/>
    <w:rsid w:val="00E13087"/>
    <w:rsid w:val="00E130AB"/>
    <w:rsid w:val="00E258A6"/>
    <w:rsid w:val="00E34E4F"/>
    <w:rsid w:val="00E360E2"/>
    <w:rsid w:val="00E42703"/>
    <w:rsid w:val="00E438D9"/>
    <w:rsid w:val="00E519F7"/>
    <w:rsid w:val="00E52A65"/>
    <w:rsid w:val="00E548CA"/>
    <w:rsid w:val="00E555A5"/>
    <w:rsid w:val="00E5644E"/>
    <w:rsid w:val="00E6471A"/>
    <w:rsid w:val="00E656D1"/>
    <w:rsid w:val="00E71B5F"/>
    <w:rsid w:val="00E7260F"/>
    <w:rsid w:val="00E806EE"/>
    <w:rsid w:val="00E8422E"/>
    <w:rsid w:val="00E902FB"/>
    <w:rsid w:val="00E92BDF"/>
    <w:rsid w:val="00E96630"/>
    <w:rsid w:val="00EB0FB9"/>
    <w:rsid w:val="00EC2559"/>
    <w:rsid w:val="00EC3F96"/>
    <w:rsid w:val="00ED0CA9"/>
    <w:rsid w:val="00ED7A2A"/>
    <w:rsid w:val="00EE397B"/>
    <w:rsid w:val="00EE7617"/>
    <w:rsid w:val="00EF1D7F"/>
    <w:rsid w:val="00EF5BDB"/>
    <w:rsid w:val="00F02398"/>
    <w:rsid w:val="00F07FD9"/>
    <w:rsid w:val="00F14B34"/>
    <w:rsid w:val="00F20DC2"/>
    <w:rsid w:val="00F23933"/>
    <w:rsid w:val="00F24119"/>
    <w:rsid w:val="00F3290A"/>
    <w:rsid w:val="00F40E75"/>
    <w:rsid w:val="00F42CD9"/>
    <w:rsid w:val="00F4384B"/>
    <w:rsid w:val="00F46169"/>
    <w:rsid w:val="00F52936"/>
    <w:rsid w:val="00F54083"/>
    <w:rsid w:val="00F55E38"/>
    <w:rsid w:val="00F677CB"/>
    <w:rsid w:val="00F67B04"/>
    <w:rsid w:val="00F767F4"/>
    <w:rsid w:val="00FA476C"/>
    <w:rsid w:val="00FA7DF3"/>
    <w:rsid w:val="00FB6E99"/>
    <w:rsid w:val="00FC68B7"/>
    <w:rsid w:val="00FD36AE"/>
    <w:rsid w:val="00FD7C12"/>
    <w:rsid w:val="00FE0042"/>
    <w:rsid w:val="00FE7676"/>
    <w:rsid w:val="00FF635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3F191"/>
  <w15:docId w15:val="{B008C8C7-68A7-4CCE-BA6D-CC23B481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 Char1,FA Fu1,Footnote Text Char Char Char1,Footnote Text Char Char Char Char1,Footnote Text Char Char1,Footnote Text Char Char Char Char Char1,5_GR,Fodnotetekst Tegn1,Fodnotetekst Tegn Tegn,Char,Char1,ft"/>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CommentText">
    <w:name w:val="annotation text"/>
    <w:basedOn w:val="Normal"/>
    <w:link w:val="CommentTextChar"/>
    <w:unhideWhenUsed/>
    <w:rsid w:val="0031432C"/>
    <w:pPr>
      <w:spacing w:line="240" w:lineRule="auto"/>
    </w:pPr>
  </w:style>
  <w:style w:type="character" w:customStyle="1" w:styleId="CommentTextChar">
    <w:name w:val="Comment Text Char"/>
    <w:basedOn w:val="DefaultParagraphFont"/>
    <w:link w:val="CommentText"/>
    <w:rsid w:val="0031432C"/>
    <w:rPr>
      <w:lang w:val="en-GB" w:eastAsia="en-US"/>
    </w:rPr>
  </w:style>
  <w:style w:type="paragraph" w:styleId="ListParagraph">
    <w:name w:val="List Paragraph"/>
    <w:basedOn w:val="Normal"/>
    <w:uiPriority w:val="34"/>
    <w:semiHidden/>
    <w:qFormat/>
    <w:rsid w:val="00E42703"/>
    <w:pPr>
      <w:ind w:left="720"/>
      <w:contextualSpacing/>
    </w:pPr>
  </w:style>
  <w:style w:type="character" w:styleId="CommentReference">
    <w:name w:val="annotation reference"/>
    <w:basedOn w:val="DefaultParagraphFont"/>
    <w:semiHidden/>
    <w:unhideWhenUsed/>
    <w:rsid w:val="00720B50"/>
    <w:rPr>
      <w:sz w:val="16"/>
      <w:szCs w:val="16"/>
    </w:rPr>
  </w:style>
  <w:style w:type="paragraph" w:styleId="CommentSubject">
    <w:name w:val="annotation subject"/>
    <w:basedOn w:val="CommentText"/>
    <w:next w:val="CommentText"/>
    <w:link w:val="CommentSubjectChar"/>
    <w:semiHidden/>
    <w:unhideWhenUsed/>
    <w:rsid w:val="00720B50"/>
    <w:rPr>
      <w:b/>
      <w:bCs/>
    </w:rPr>
  </w:style>
  <w:style w:type="character" w:customStyle="1" w:styleId="CommentSubjectChar">
    <w:name w:val="Comment Subject Char"/>
    <w:basedOn w:val="CommentTextChar"/>
    <w:link w:val="CommentSubject"/>
    <w:semiHidden/>
    <w:rsid w:val="00720B50"/>
    <w:rPr>
      <w:b/>
      <w:bCs/>
      <w:lang w:val="en-GB" w:eastAsia="en-US"/>
    </w:rPr>
  </w:style>
  <w:style w:type="character" w:customStyle="1" w:styleId="FootnoteTextChar">
    <w:name w:val="Footnote Text Char"/>
    <w:aliases w:val="5_G Char,Voetnoottekst1 Char, Char1 Char,FA Fu1 Char,Footnote Text Char Char Char1 Char,Footnote Text Char Char Char Char1 Char,Footnote Text Char Char1 Char,Footnote Text Char Char Char Char Char1 Char,5_GR Char,Char Char,Char1 Char"/>
    <w:basedOn w:val="DefaultParagraphFont"/>
    <w:link w:val="FootnoteText"/>
    <w:rsid w:val="00644DE6"/>
    <w:rPr>
      <w:sz w:val="18"/>
      <w:lang w:val="en-GB" w:eastAsia="en-US"/>
    </w:rPr>
  </w:style>
  <w:style w:type="character" w:customStyle="1" w:styleId="UnresolvedMention1">
    <w:name w:val="Unresolved Mention1"/>
    <w:basedOn w:val="DefaultParagraphFont"/>
    <w:uiPriority w:val="99"/>
    <w:semiHidden/>
    <w:unhideWhenUsed/>
    <w:rsid w:val="00C15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statistics-explained/index.php/Gender_pay_gap_statistics" TargetMode="External"/><Relationship Id="rId2" Type="http://schemas.openxmlformats.org/officeDocument/2006/relationships/hyperlink" Target="http://archive.ipu.org/wmn-e/world.htm" TargetMode="External"/><Relationship Id="rId1" Type="http://schemas.openxmlformats.org/officeDocument/2006/relationships/hyperlink" Target="https://tbinternet.ohchr.org/Treaties/CEDAW/Shared%20Documents/POL/INT_CEDAW_FUL_POL_30901_E.pdf" TargetMode="External"/><Relationship Id="rId6" Type="http://schemas.openxmlformats.org/officeDocument/2006/relationships/hyperlink" Target="https://ec.europa.eu/info/sites/info/files/file_import/2019-european-semester-country-report-poland_en.pdf" TargetMode="External"/><Relationship Id="rId5" Type="http://schemas.openxmlformats.org/officeDocument/2006/relationships/hyperlink" Target="https://ec.europa.eu/info/sites/info/files/file_import/2019-european-semester-country-report-poland_en.pdf" TargetMode="External"/><Relationship Id="rId4" Type="http://schemas.openxmlformats.org/officeDocument/2006/relationships/hyperlink" Target="http://www.oecd.org/gender/Closing%20the%20Gender%20Gap%20-%20Poland%20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B098FC-CD5B-451A-BC98-CD6033BF4028}">
  <ds:schemaRefs>
    <ds:schemaRef ds:uri="http://schemas.openxmlformats.org/officeDocument/2006/bibliography"/>
  </ds:schemaRefs>
</ds:datastoreItem>
</file>

<file path=customXml/itemProps2.xml><?xml version="1.0" encoding="utf-8"?>
<ds:datastoreItem xmlns:ds="http://schemas.openxmlformats.org/officeDocument/2006/customXml" ds:itemID="{8DC26205-9E93-4F38-BB98-6668DC35789F}"/>
</file>

<file path=customXml/itemProps3.xml><?xml version="1.0" encoding="utf-8"?>
<ds:datastoreItem xmlns:ds="http://schemas.openxmlformats.org/officeDocument/2006/customXml" ds:itemID="{2F2B2E96-8ADA-4CC5-883D-B5DA4F9F0829}"/>
</file>

<file path=customXml/itemProps4.xml><?xml version="1.0" encoding="utf-8"?>
<ds:datastoreItem xmlns:ds="http://schemas.openxmlformats.org/officeDocument/2006/customXml" ds:itemID="{61BDF3D3-E874-4283-A497-86823A3AD152}"/>
</file>

<file path=docProps/app.xml><?xml version="1.0" encoding="utf-8"?>
<Properties xmlns="http://schemas.openxmlformats.org/officeDocument/2006/extended-properties" xmlns:vt="http://schemas.openxmlformats.org/officeDocument/2006/docPropsVTypes">
  <Template>A_E.dotm</Template>
  <TotalTime>1</TotalTime>
  <Pages>20</Pages>
  <Words>10316</Words>
  <Characters>58807</Characters>
  <Application>Microsoft Office Word</Application>
  <DocSecurity>0</DocSecurity>
  <Lines>490</Lines>
  <Paragraphs>137</Paragraphs>
  <ScaleCrop>false</ScaleCrop>
  <HeadingPairs>
    <vt:vector size="6" baseType="variant">
      <vt:variant>
        <vt:lpstr>Title</vt:lpstr>
      </vt:variant>
      <vt:variant>
        <vt:i4>1</vt:i4>
      </vt:variant>
      <vt:variant>
        <vt:lpstr>Naslov</vt:lpstr>
      </vt:variant>
      <vt:variant>
        <vt:i4>1</vt:i4>
      </vt:variant>
      <vt:variant>
        <vt:lpstr>Titre</vt:lpstr>
      </vt:variant>
      <vt:variant>
        <vt:i4>1</vt:i4>
      </vt:variant>
    </vt:vector>
  </HeadingPairs>
  <TitlesOfParts>
    <vt:vector size="3" baseType="lpstr">
      <vt:lpstr>A/HRC/41/33/Add.2</vt:lpstr>
      <vt:lpstr>A/HRC/41/33/Add.2</vt:lpstr>
      <vt:lpstr/>
    </vt:vector>
  </TitlesOfParts>
  <Company>CSD</Company>
  <LinksUpToDate>false</LinksUpToDate>
  <CharactersWithSpaces>68986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to Poland - Report of the Working Group on the issue of discrimination against women in law and in practice</dc:title>
  <dc:creator>KANGABE Hydaya</dc:creator>
  <cp:lastModifiedBy>SEIF EL NASR Shawky</cp:lastModifiedBy>
  <cp:revision>3</cp:revision>
  <cp:lastPrinted>2019-04-29T12:15:00Z</cp:lastPrinted>
  <dcterms:created xsi:type="dcterms:W3CDTF">2019-06-24T15:36:00Z</dcterms:created>
  <dcterms:modified xsi:type="dcterms:W3CDTF">2019-06-24T15:42:00Z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