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F1C2AE3" w14:textId="77777777" w:rsidTr="00E905F4">
        <w:trPr>
          <w:cantSplit/>
          <w:trHeight w:hRule="exact" w:val="851"/>
        </w:trPr>
        <w:tc>
          <w:tcPr>
            <w:tcW w:w="1276" w:type="dxa"/>
            <w:tcBorders>
              <w:bottom w:val="single" w:sz="4" w:space="0" w:color="auto"/>
            </w:tcBorders>
            <w:vAlign w:val="bottom"/>
          </w:tcPr>
          <w:p w14:paraId="57184DD6" w14:textId="77777777" w:rsidR="009E6CB7" w:rsidRDefault="009E6CB7" w:rsidP="00E905F4">
            <w:pPr>
              <w:spacing w:after="80"/>
            </w:pPr>
          </w:p>
        </w:tc>
        <w:tc>
          <w:tcPr>
            <w:tcW w:w="2268" w:type="dxa"/>
            <w:tcBorders>
              <w:bottom w:val="single" w:sz="4" w:space="0" w:color="auto"/>
            </w:tcBorders>
            <w:vAlign w:val="bottom"/>
          </w:tcPr>
          <w:p w14:paraId="5A6EF3A4" w14:textId="192F74BC" w:rsidR="009E6CB7" w:rsidRPr="00B97172" w:rsidRDefault="009E6CB7" w:rsidP="00E905F4">
            <w:pPr>
              <w:spacing w:after="80" w:line="300" w:lineRule="exact"/>
              <w:rPr>
                <w:b/>
                <w:sz w:val="24"/>
                <w:szCs w:val="24"/>
              </w:rPr>
            </w:pPr>
            <w:bookmarkStart w:id="0" w:name="_GoBack"/>
            <w:bookmarkEnd w:id="0"/>
          </w:p>
        </w:tc>
        <w:tc>
          <w:tcPr>
            <w:tcW w:w="6095" w:type="dxa"/>
            <w:gridSpan w:val="2"/>
            <w:tcBorders>
              <w:bottom w:val="single" w:sz="4" w:space="0" w:color="auto"/>
            </w:tcBorders>
            <w:vAlign w:val="bottom"/>
          </w:tcPr>
          <w:p w14:paraId="6D85BFCE" w14:textId="77777777" w:rsidR="009E6CB7" w:rsidRPr="00D47EEA" w:rsidRDefault="00AE14FE" w:rsidP="00286110">
            <w:pPr>
              <w:jc w:val="right"/>
            </w:pPr>
            <w:r w:rsidRPr="00AE14FE">
              <w:rPr>
                <w:sz w:val="40"/>
              </w:rPr>
              <w:t>A</w:t>
            </w:r>
            <w:r>
              <w:t>/HRC/43/</w:t>
            </w:r>
            <w:r w:rsidR="00286110">
              <w:t>35</w:t>
            </w:r>
          </w:p>
        </w:tc>
      </w:tr>
      <w:tr w:rsidR="009E6CB7" w14:paraId="3AE0754C" w14:textId="77777777" w:rsidTr="00E905F4">
        <w:trPr>
          <w:cantSplit/>
          <w:trHeight w:hRule="exact" w:val="2835"/>
        </w:trPr>
        <w:tc>
          <w:tcPr>
            <w:tcW w:w="1276" w:type="dxa"/>
            <w:tcBorders>
              <w:top w:val="single" w:sz="4" w:space="0" w:color="auto"/>
              <w:bottom w:val="single" w:sz="12" w:space="0" w:color="auto"/>
            </w:tcBorders>
          </w:tcPr>
          <w:p w14:paraId="36A6136B" w14:textId="0C66286E" w:rsidR="009E6CB7" w:rsidRDefault="009E6CB7" w:rsidP="00E905F4">
            <w:pPr>
              <w:spacing w:before="120"/>
            </w:pPr>
          </w:p>
        </w:tc>
        <w:tc>
          <w:tcPr>
            <w:tcW w:w="5528" w:type="dxa"/>
            <w:gridSpan w:val="2"/>
            <w:tcBorders>
              <w:top w:val="single" w:sz="4" w:space="0" w:color="auto"/>
              <w:bottom w:val="single" w:sz="12" w:space="0" w:color="auto"/>
            </w:tcBorders>
          </w:tcPr>
          <w:p w14:paraId="1C43B841" w14:textId="25276E4E" w:rsidR="009E6CB7" w:rsidRPr="00D773DF" w:rsidRDefault="00495944" w:rsidP="00E905F4">
            <w:pPr>
              <w:spacing w:before="120" w:line="420" w:lineRule="exact"/>
              <w:rPr>
                <w:sz w:val="40"/>
                <w:szCs w:val="40"/>
              </w:rPr>
            </w:pPr>
            <w:r>
              <w:rPr>
                <w:b/>
                <w:sz w:val="40"/>
                <w:szCs w:val="40"/>
              </w:rPr>
              <w:t>Advance Unedited Version</w:t>
            </w:r>
          </w:p>
        </w:tc>
        <w:tc>
          <w:tcPr>
            <w:tcW w:w="2835" w:type="dxa"/>
            <w:tcBorders>
              <w:top w:val="single" w:sz="4" w:space="0" w:color="auto"/>
              <w:bottom w:val="single" w:sz="12" w:space="0" w:color="auto"/>
            </w:tcBorders>
          </w:tcPr>
          <w:p w14:paraId="6D005AEB" w14:textId="77777777" w:rsidR="009E6CB7" w:rsidRDefault="00AE14FE" w:rsidP="00AE14FE">
            <w:pPr>
              <w:spacing w:before="240" w:line="240" w:lineRule="exact"/>
            </w:pPr>
            <w:r>
              <w:t>Distr.: General</w:t>
            </w:r>
          </w:p>
          <w:p w14:paraId="41ACEA3F" w14:textId="5A0EC537" w:rsidR="00AE14FE" w:rsidRDefault="008437F3" w:rsidP="00AE14FE">
            <w:pPr>
              <w:spacing w:line="240" w:lineRule="exact"/>
            </w:pPr>
            <w:r>
              <w:t>2</w:t>
            </w:r>
            <w:r w:rsidR="00F93D18">
              <w:t>5</w:t>
            </w:r>
            <w:r w:rsidR="00AE14FE">
              <w:t xml:space="preserve"> February 2020</w:t>
            </w:r>
          </w:p>
          <w:p w14:paraId="21A35CEA" w14:textId="77777777" w:rsidR="00AE14FE" w:rsidRDefault="00AE14FE" w:rsidP="00AE14FE">
            <w:pPr>
              <w:spacing w:line="240" w:lineRule="exact"/>
            </w:pPr>
          </w:p>
          <w:p w14:paraId="13303150" w14:textId="77777777" w:rsidR="00AE14FE" w:rsidRDefault="00AE14FE" w:rsidP="00AE14FE">
            <w:pPr>
              <w:spacing w:line="240" w:lineRule="exact"/>
            </w:pPr>
            <w:r>
              <w:t>Original: English</w:t>
            </w:r>
          </w:p>
        </w:tc>
      </w:tr>
    </w:tbl>
    <w:p w14:paraId="5000B708" w14:textId="77777777" w:rsidR="00C547E5" w:rsidRPr="00C547E5" w:rsidRDefault="00C547E5" w:rsidP="00C547E5">
      <w:pPr>
        <w:suppressAutoHyphens w:val="0"/>
        <w:spacing w:before="120" w:line="240" w:lineRule="auto"/>
        <w:jc w:val="both"/>
        <w:rPr>
          <w:rFonts w:eastAsia="MS Mincho"/>
          <w:b/>
          <w:bCs/>
          <w:sz w:val="24"/>
          <w:szCs w:val="24"/>
          <w:lang w:val="en-US"/>
        </w:rPr>
      </w:pPr>
      <w:r w:rsidRPr="00C547E5">
        <w:rPr>
          <w:rFonts w:eastAsia="MS Mincho"/>
          <w:b/>
          <w:bCs/>
          <w:sz w:val="24"/>
          <w:szCs w:val="24"/>
          <w:lang w:val="en-US"/>
        </w:rPr>
        <w:t>Human Rights Council</w:t>
      </w:r>
    </w:p>
    <w:p w14:paraId="467A8041" w14:textId="5EC03CE8" w:rsidR="00C547E5" w:rsidRPr="00C547E5" w:rsidRDefault="00C547E5" w:rsidP="00C547E5">
      <w:pPr>
        <w:suppressAutoHyphens w:val="0"/>
        <w:spacing w:line="240" w:lineRule="auto"/>
        <w:jc w:val="both"/>
        <w:rPr>
          <w:rFonts w:eastAsia="MS Mincho"/>
          <w:b/>
          <w:bCs/>
          <w:lang w:val="en-US"/>
        </w:rPr>
      </w:pPr>
      <w:r w:rsidRPr="00C547E5">
        <w:rPr>
          <w:rFonts w:eastAsia="MS Mincho"/>
          <w:b/>
          <w:bCs/>
          <w:lang w:val="en-US"/>
        </w:rPr>
        <w:t>Forty-third session</w:t>
      </w:r>
    </w:p>
    <w:p w14:paraId="649708FD" w14:textId="4F25B6E8" w:rsidR="00C547E5" w:rsidRPr="00C547E5" w:rsidRDefault="00583E42" w:rsidP="00C547E5">
      <w:pPr>
        <w:suppressAutoHyphens w:val="0"/>
        <w:spacing w:line="240" w:lineRule="auto"/>
        <w:jc w:val="both"/>
        <w:rPr>
          <w:rFonts w:eastAsia="MS Mincho"/>
          <w:lang w:val="en-US"/>
        </w:rPr>
      </w:pPr>
      <w:r>
        <w:rPr>
          <w:rFonts w:eastAsia="MS Mincho"/>
          <w:lang w:val="en-US"/>
        </w:rPr>
        <w:t>24 February–20 March 2020</w:t>
      </w:r>
    </w:p>
    <w:p w14:paraId="1140C7C7" w14:textId="77777777" w:rsidR="00C547E5" w:rsidRPr="00C547E5" w:rsidRDefault="00C547E5" w:rsidP="00C547E5">
      <w:pPr>
        <w:suppressAutoHyphens w:val="0"/>
        <w:spacing w:line="240" w:lineRule="auto"/>
        <w:jc w:val="both"/>
        <w:rPr>
          <w:rFonts w:eastAsia="MS Mincho"/>
          <w:lang w:val="en-US"/>
        </w:rPr>
      </w:pPr>
      <w:r w:rsidRPr="00C547E5">
        <w:rPr>
          <w:rFonts w:eastAsia="MS Mincho"/>
          <w:lang w:val="en-US"/>
        </w:rPr>
        <w:t>Agenda item 3</w:t>
      </w:r>
    </w:p>
    <w:p w14:paraId="1F86D9BC" w14:textId="77777777" w:rsidR="00C547E5" w:rsidRPr="00C547E5" w:rsidRDefault="00C547E5" w:rsidP="00C547E5">
      <w:pPr>
        <w:suppressAutoHyphens w:val="0"/>
        <w:spacing w:line="240" w:lineRule="auto"/>
        <w:jc w:val="both"/>
        <w:rPr>
          <w:rFonts w:eastAsia="MS Mincho"/>
          <w:b/>
          <w:bCs/>
          <w:lang w:val="en-US"/>
        </w:rPr>
      </w:pPr>
      <w:r w:rsidRPr="00C547E5">
        <w:rPr>
          <w:rFonts w:eastAsia="MS Mincho"/>
          <w:b/>
          <w:bCs/>
          <w:lang w:val="en-US"/>
        </w:rPr>
        <w:t xml:space="preserve">Promotion and protection of all human rights, civil, </w:t>
      </w:r>
    </w:p>
    <w:p w14:paraId="135BC243" w14:textId="77777777" w:rsidR="00C547E5" w:rsidRPr="00C547E5" w:rsidRDefault="00C547E5" w:rsidP="00C547E5">
      <w:pPr>
        <w:suppressAutoHyphens w:val="0"/>
        <w:spacing w:line="240" w:lineRule="auto"/>
        <w:jc w:val="both"/>
        <w:rPr>
          <w:rFonts w:eastAsia="MS Mincho"/>
          <w:b/>
          <w:bCs/>
          <w:lang w:val="en-US"/>
        </w:rPr>
      </w:pPr>
      <w:proofErr w:type="gramStart"/>
      <w:r w:rsidRPr="00C547E5">
        <w:rPr>
          <w:rFonts w:eastAsia="MS Mincho"/>
          <w:b/>
          <w:bCs/>
          <w:lang w:val="en-US"/>
        </w:rPr>
        <w:t>political</w:t>
      </w:r>
      <w:proofErr w:type="gramEnd"/>
      <w:r w:rsidRPr="00C547E5">
        <w:rPr>
          <w:rFonts w:eastAsia="MS Mincho"/>
          <w:b/>
          <w:bCs/>
          <w:lang w:val="en-US"/>
        </w:rPr>
        <w:t xml:space="preserve">, economic, social and cultural rights, </w:t>
      </w:r>
    </w:p>
    <w:p w14:paraId="42384A53" w14:textId="77777777" w:rsidR="00C547E5" w:rsidRPr="00C547E5" w:rsidRDefault="00C547E5" w:rsidP="00C547E5">
      <w:pPr>
        <w:suppressAutoHyphens w:val="0"/>
        <w:spacing w:line="240" w:lineRule="auto"/>
        <w:jc w:val="both"/>
        <w:rPr>
          <w:rFonts w:eastAsia="MS Mincho"/>
          <w:b/>
          <w:bCs/>
          <w:lang w:val="en-US"/>
        </w:rPr>
      </w:pPr>
      <w:proofErr w:type="gramStart"/>
      <w:r w:rsidRPr="00C547E5">
        <w:rPr>
          <w:rFonts w:eastAsia="MS Mincho"/>
          <w:b/>
          <w:bCs/>
          <w:lang w:val="en-US"/>
        </w:rPr>
        <w:t>including</w:t>
      </w:r>
      <w:proofErr w:type="gramEnd"/>
      <w:r w:rsidRPr="00C547E5">
        <w:rPr>
          <w:rFonts w:eastAsia="MS Mincho"/>
          <w:b/>
          <w:bCs/>
          <w:lang w:val="en-US"/>
        </w:rPr>
        <w:t xml:space="preserve"> the right to development</w:t>
      </w:r>
    </w:p>
    <w:p w14:paraId="750CD7F6" w14:textId="2A42EEE6" w:rsidR="00C547E5" w:rsidRPr="00C547E5" w:rsidRDefault="00C547E5" w:rsidP="00C547E5">
      <w:pPr>
        <w:pStyle w:val="HChG"/>
        <w:rPr>
          <w:rFonts w:eastAsia="Cambria"/>
        </w:rPr>
      </w:pPr>
      <w:r>
        <w:rPr>
          <w:rFonts w:eastAsia="Cambria"/>
        </w:rPr>
        <w:tab/>
      </w:r>
      <w:r>
        <w:rPr>
          <w:rFonts w:eastAsia="Cambria"/>
        </w:rPr>
        <w:tab/>
      </w:r>
      <w:r w:rsidRPr="00C547E5">
        <w:rPr>
          <w:rFonts w:eastAsia="Cambria"/>
        </w:rPr>
        <w:t>Integrity of the judicial system</w:t>
      </w:r>
    </w:p>
    <w:p w14:paraId="08C5FCC5" w14:textId="7713D735" w:rsidR="00C547E5" w:rsidRPr="00C547E5" w:rsidRDefault="00C547E5" w:rsidP="00C547E5">
      <w:pPr>
        <w:pStyle w:val="H1G"/>
      </w:pPr>
      <w:r w:rsidRPr="00C547E5">
        <w:rPr>
          <w:rFonts w:eastAsia="Cambria"/>
        </w:rPr>
        <w:tab/>
      </w:r>
      <w:r w:rsidRPr="00C547E5">
        <w:rPr>
          <w:rFonts w:eastAsia="Cambria"/>
        </w:rPr>
        <w:tab/>
      </w:r>
      <w:r w:rsidRPr="00C547E5">
        <w:t>Report of the United Nations High Commissioner for Human Rights</w:t>
      </w:r>
      <w:r w:rsidR="00F93D18" w:rsidRPr="00F93D18">
        <w:rPr>
          <w:rStyle w:val="FootnoteReference"/>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C547E5" w14:paraId="0B8B1BB3" w14:textId="77777777" w:rsidTr="004F277A">
        <w:trPr>
          <w:jc w:val="center"/>
        </w:trPr>
        <w:tc>
          <w:tcPr>
            <w:tcW w:w="9629" w:type="dxa"/>
            <w:shd w:val="clear" w:color="auto" w:fill="auto"/>
          </w:tcPr>
          <w:p w14:paraId="2E7EC38C" w14:textId="77777777" w:rsidR="00C547E5" w:rsidRPr="004F277A" w:rsidRDefault="00C547E5" w:rsidP="004F277A">
            <w:pPr>
              <w:spacing w:before="240" w:after="120"/>
              <w:ind w:left="255"/>
              <w:rPr>
                <w:i/>
                <w:sz w:val="24"/>
                <w:szCs w:val="24"/>
              </w:rPr>
            </w:pPr>
            <w:r w:rsidRPr="004F277A">
              <w:rPr>
                <w:i/>
                <w:sz w:val="24"/>
                <w:szCs w:val="24"/>
              </w:rPr>
              <w:t>Summary</w:t>
            </w:r>
          </w:p>
          <w:p w14:paraId="50208B41" w14:textId="77777777" w:rsidR="00C547E5" w:rsidRPr="00C547E5" w:rsidRDefault="00C547E5" w:rsidP="00E85795">
            <w:pPr>
              <w:pStyle w:val="SingleTxtG"/>
            </w:pPr>
            <w:r>
              <w:rPr>
                <w:lang w:val="en-US"/>
              </w:rPr>
              <w:tab/>
            </w:r>
            <w:r>
              <w:rPr>
                <w:lang w:val="en-US"/>
              </w:rPr>
              <w:tab/>
            </w:r>
            <w:r w:rsidRPr="00C547E5">
              <w:rPr>
                <w:lang w:val="en-US"/>
              </w:rPr>
              <w:t xml:space="preserve">The present report is submitted pursuant to Human Rights Council resolution 37/3. In the report, the </w:t>
            </w:r>
            <w:r w:rsidR="00E85795">
              <w:rPr>
                <w:lang w:val="en-US"/>
              </w:rPr>
              <w:t>UN</w:t>
            </w:r>
            <w:r w:rsidRPr="00C547E5">
              <w:rPr>
                <w:lang w:val="en-US"/>
              </w:rPr>
              <w:t xml:space="preserve"> High Commissioner for Human Rights examines the implications of the lack of integrity of the judicial system for human rights, in particular for persons kept in detention facilities outside the territory of States.</w:t>
            </w:r>
          </w:p>
        </w:tc>
      </w:tr>
      <w:tr w:rsidR="00C547E5" w14:paraId="3B68131A" w14:textId="77777777" w:rsidTr="004F277A">
        <w:trPr>
          <w:jc w:val="center"/>
        </w:trPr>
        <w:tc>
          <w:tcPr>
            <w:tcW w:w="9629" w:type="dxa"/>
            <w:shd w:val="clear" w:color="auto" w:fill="auto"/>
          </w:tcPr>
          <w:p w14:paraId="11E93A23" w14:textId="77777777" w:rsidR="00C547E5" w:rsidRDefault="00C547E5" w:rsidP="00C547E5"/>
        </w:tc>
      </w:tr>
    </w:tbl>
    <w:p w14:paraId="22B1A3BD" w14:textId="77777777" w:rsidR="001C6663" w:rsidRDefault="001C6663" w:rsidP="00C547E5"/>
    <w:p w14:paraId="13E35497" w14:textId="77777777" w:rsidR="00C547E5" w:rsidRDefault="00C547E5" w:rsidP="00C547E5"/>
    <w:p w14:paraId="1330F0E9" w14:textId="77777777" w:rsidR="00C547E5" w:rsidRDefault="00C547E5">
      <w:pPr>
        <w:suppressAutoHyphens w:val="0"/>
        <w:spacing w:line="240" w:lineRule="auto"/>
      </w:pPr>
      <w:r>
        <w:br w:type="page"/>
      </w:r>
    </w:p>
    <w:p w14:paraId="5796DC21" w14:textId="331AF9AC" w:rsidR="00C547E5" w:rsidRPr="00C547E5" w:rsidRDefault="00C547E5" w:rsidP="00C547E5">
      <w:pPr>
        <w:pStyle w:val="HChG"/>
      </w:pPr>
      <w:r>
        <w:lastRenderedPageBreak/>
        <w:tab/>
      </w:r>
      <w:r w:rsidR="00072F89">
        <w:t>I.</w:t>
      </w:r>
      <w:r w:rsidRPr="00C547E5">
        <w:tab/>
        <w:t>Introduction</w:t>
      </w:r>
    </w:p>
    <w:p w14:paraId="5187D4C0" w14:textId="1B0145AF" w:rsidR="00C547E5" w:rsidRPr="00C547E5" w:rsidRDefault="00C547E5" w:rsidP="00C547E5">
      <w:pPr>
        <w:pStyle w:val="SingleTxtG"/>
      </w:pPr>
      <w:r w:rsidRPr="00C547E5">
        <w:t xml:space="preserve">1. </w:t>
      </w:r>
      <w:r w:rsidRPr="00C547E5">
        <w:tab/>
        <w:t xml:space="preserve">In its resolution 37/3 regarding the integrity of the judicial system, the Human Rights Council requested the </w:t>
      </w:r>
      <w:r w:rsidR="00E85795">
        <w:t>UN</w:t>
      </w:r>
      <w:r w:rsidRPr="00C547E5">
        <w:t xml:space="preserve"> High Commissioner for Human Rights, in consultation with States, relevant </w:t>
      </w:r>
      <w:r w:rsidR="00E85795">
        <w:t>UN</w:t>
      </w:r>
      <w:r w:rsidRPr="00C547E5">
        <w:t xml:space="preserve"> agencies, special procedures, treaty bodies, non-governmental organizations and other relevant stakeholders, to submit a comprehensive study on the implications of the lack of integrity of the judicial system for human rights, in particular for persons kept in detention facilities outside the territory of States. The Council requested that the report be presented at its forty-third session.</w:t>
      </w:r>
      <w:r w:rsidRPr="0038700A">
        <w:rPr>
          <w:rStyle w:val="FootnoteReference"/>
        </w:rPr>
        <w:footnoteReference w:id="3"/>
      </w:r>
      <w:r w:rsidRPr="00C547E5">
        <w:t xml:space="preserve"> In preparation </w:t>
      </w:r>
      <w:r w:rsidR="00E85795">
        <w:t>for</w:t>
      </w:r>
      <w:r w:rsidR="00E85795" w:rsidRPr="00C547E5">
        <w:t xml:space="preserve"> </w:t>
      </w:r>
      <w:r w:rsidRPr="00C547E5">
        <w:t>this report, contributions were sought from Member States</w:t>
      </w:r>
      <w:r w:rsidR="008A4419">
        <w:t xml:space="preserve"> and other relevant </w:t>
      </w:r>
      <w:r w:rsidR="00713CDA">
        <w:t>stakeholders.</w:t>
      </w:r>
      <w:r w:rsidRPr="0038700A">
        <w:rPr>
          <w:rStyle w:val="FootnoteReference"/>
        </w:rPr>
        <w:footnoteReference w:id="4"/>
      </w:r>
      <w:r w:rsidRPr="00C547E5">
        <w:t xml:space="preserve"> In addition to </w:t>
      </w:r>
      <w:r w:rsidR="00E85795">
        <w:t xml:space="preserve">these </w:t>
      </w:r>
      <w:r w:rsidR="000E2E3C">
        <w:t>contributions,</w:t>
      </w:r>
      <w:r w:rsidRPr="00C547E5">
        <w:t xml:space="preserve"> the High Commissioner also draws on a range of public sources</w:t>
      </w:r>
      <w:r w:rsidR="008A4419">
        <w:t>.</w:t>
      </w:r>
    </w:p>
    <w:p w14:paraId="62F99FC4" w14:textId="1BEF0572" w:rsidR="00C547E5" w:rsidRPr="00C547E5" w:rsidRDefault="00C547E5" w:rsidP="00C547E5">
      <w:pPr>
        <w:pStyle w:val="SingleTxtG"/>
      </w:pPr>
      <w:r w:rsidRPr="00C547E5">
        <w:t>2.</w:t>
      </w:r>
      <w:r w:rsidRPr="00C547E5">
        <w:tab/>
        <w:t>The integrity of the judicial system, together with its independence and impartiality, is an essential prerequisite for the protection of human rights and fundamental freedoms, for upholding the rule of law and democracy and ensuring that there is no discrimination in the administration of justice. All States must ensure that their obligations under international law</w:t>
      </w:r>
      <w:r w:rsidR="00E85795">
        <w:t xml:space="preserve"> (</w:t>
      </w:r>
      <w:r w:rsidRPr="00C547E5">
        <w:t>including international and regional human right instruments to which they are party</w:t>
      </w:r>
      <w:r w:rsidR="00E85795">
        <w:t>)</w:t>
      </w:r>
      <w:r w:rsidRPr="00C547E5">
        <w:t xml:space="preserve"> are applied to every person kept in detention facilities under their jurisdiction</w:t>
      </w:r>
      <w:r w:rsidR="00483D9C">
        <w:t>,</w:t>
      </w:r>
      <w:r w:rsidRPr="00C547E5">
        <w:t xml:space="preserve"> including when those facilities are situated abroad. </w:t>
      </w:r>
      <w:r w:rsidR="00F5294B">
        <w:t xml:space="preserve">With regards to State Parties to the ICCPR, </w:t>
      </w:r>
      <w:r w:rsidR="00BD5BBC">
        <w:t xml:space="preserve">the Human Rights Committee </w:t>
      </w:r>
      <w:r w:rsidR="00483D9C">
        <w:t xml:space="preserve">has </w:t>
      </w:r>
      <w:r w:rsidR="00BD5BBC">
        <w:t>stated</w:t>
      </w:r>
      <w:r w:rsidR="00483D9C">
        <w:t>,</w:t>
      </w:r>
      <w:r w:rsidR="00BD5BBC">
        <w:t xml:space="preserve"> </w:t>
      </w:r>
      <w:r w:rsidR="002939D7">
        <w:t xml:space="preserve">in </w:t>
      </w:r>
      <w:r w:rsidR="00483D9C">
        <w:t xml:space="preserve">its </w:t>
      </w:r>
      <w:r w:rsidR="00BD5BBC">
        <w:t>General Commen</w:t>
      </w:r>
      <w:r w:rsidR="002939D7">
        <w:t>t No.31</w:t>
      </w:r>
      <w:r w:rsidR="00483D9C">
        <w:t>,</w:t>
      </w:r>
      <w:r w:rsidR="00BD5BBC">
        <w:t xml:space="preserve"> tha</w:t>
      </w:r>
      <w:r w:rsidR="002939D7">
        <w:t>t</w:t>
      </w:r>
      <w:r w:rsidRPr="00C547E5">
        <w:t xml:space="preserve"> </w:t>
      </w:r>
      <w:r w:rsidR="002939D7">
        <w:t>“</w:t>
      </w:r>
      <w:r w:rsidR="002939D7" w:rsidRPr="002939D7">
        <w:t>States Parties are required by article 2, paragraph 1, to respect and to ensure the Covenant rights to all persons who may be within their territory and to all persons subject to their jurisdiction</w:t>
      </w:r>
      <w:r w:rsidRPr="00C547E5">
        <w:t>.</w:t>
      </w:r>
      <w:bookmarkStart w:id="1" w:name="_Ref438656709"/>
      <w:r w:rsidR="002939D7">
        <w:t>”</w:t>
      </w:r>
      <w:r w:rsidRPr="0038700A">
        <w:rPr>
          <w:rStyle w:val="FootnoteReference"/>
        </w:rPr>
        <w:footnoteReference w:id="5"/>
      </w:r>
      <w:bookmarkEnd w:id="1"/>
    </w:p>
    <w:p w14:paraId="1D731020" w14:textId="5CBB46A0" w:rsidR="00C547E5" w:rsidRDefault="00C547E5" w:rsidP="00C547E5">
      <w:pPr>
        <w:pStyle w:val="SingleTxtG"/>
      </w:pPr>
      <w:r w:rsidRPr="00C547E5">
        <w:t xml:space="preserve">3. </w:t>
      </w:r>
      <w:r w:rsidRPr="00C547E5">
        <w:tab/>
        <w:t xml:space="preserve">The report examines different types of extraterritorial detention that may </w:t>
      </w:r>
      <w:r w:rsidR="00E85795">
        <w:t>impact</w:t>
      </w:r>
      <w:r w:rsidR="00E85795" w:rsidRPr="00C547E5">
        <w:t xml:space="preserve"> </w:t>
      </w:r>
      <w:r w:rsidRPr="00C547E5">
        <w:t xml:space="preserve">the integrity of the judicial system with implications for human rights. These include extraterritorial detention </w:t>
      </w:r>
      <w:r w:rsidR="000E2E3C" w:rsidRPr="00C547E5">
        <w:t>by law</w:t>
      </w:r>
      <w:r w:rsidRPr="00C547E5">
        <w:t xml:space="preserve"> enforcement and intelligence agencies; extraterritorial detention in armed conflicts; </w:t>
      </w:r>
      <w:r w:rsidR="00713CDA" w:rsidRPr="00C547E5">
        <w:t>and detention</w:t>
      </w:r>
      <w:r w:rsidRPr="00C547E5">
        <w:t xml:space="preserve"> by third parties that States facilitate outside their territory.</w:t>
      </w:r>
    </w:p>
    <w:p w14:paraId="623E6102" w14:textId="47F9E944" w:rsidR="00C547E5" w:rsidRPr="00C547E5" w:rsidRDefault="00C547E5" w:rsidP="00C547E5">
      <w:pPr>
        <w:pStyle w:val="HChG"/>
      </w:pPr>
      <w:r>
        <w:tab/>
      </w:r>
      <w:r w:rsidR="00072F89">
        <w:t>II.</w:t>
      </w:r>
      <w:r>
        <w:tab/>
      </w:r>
      <w:r w:rsidR="00953450">
        <w:t>Impact of e</w:t>
      </w:r>
      <w:r w:rsidRPr="00C547E5">
        <w:t>xtraterritorial detention</w:t>
      </w:r>
      <w:r w:rsidR="008A4419">
        <w:t xml:space="preserve"> </w:t>
      </w:r>
      <w:r w:rsidR="00953450">
        <w:t>outside of armed conflict</w:t>
      </w:r>
      <w:r w:rsidR="00105E70">
        <w:t xml:space="preserve"> on integrity of the judicial system</w:t>
      </w:r>
    </w:p>
    <w:p w14:paraId="0E1C6B36" w14:textId="04E7DE04" w:rsidR="00C547E5" w:rsidRPr="00C547E5" w:rsidRDefault="00DB10C9" w:rsidP="00C547E5">
      <w:pPr>
        <w:pStyle w:val="SingleTxtG"/>
      </w:pPr>
      <w:r>
        <w:t>4</w:t>
      </w:r>
      <w:r w:rsidR="00C547E5" w:rsidRPr="00C547E5">
        <w:t>.</w:t>
      </w:r>
      <w:r w:rsidR="00C547E5" w:rsidRPr="00C547E5">
        <w:tab/>
      </w:r>
      <w:r w:rsidR="007835C4">
        <w:t xml:space="preserve">In </w:t>
      </w:r>
      <w:r w:rsidR="00C547E5" w:rsidRPr="00C547E5">
        <w:t>the course of law enforcement, intelligence gathering and counterterrorism operations</w:t>
      </w:r>
      <w:r w:rsidR="00953450">
        <w:t xml:space="preserve"> outside of armed conflict</w:t>
      </w:r>
      <w:r w:rsidR="007835C4">
        <w:t>, s</w:t>
      </w:r>
      <w:r w:rsidR="007835C4" w:rsidRPr="00C547E5">
        <w:t xml:space="preserve">ome States </w:t>
      </w:r>
      <w:r w:rsidR="0080558A">
        <w:t xml:space="preserve">have sometimes </w:t>
      </w:r>
      <w:r w:rsidR="007835C4">
        <w:t>resort</w:t>
      </w:r>
      <w:r w:rsidR="0080558A">
        <w:t>ed</w:t>
      </w:r>
      <w:r w:rsidR="007835C4">
        <w:t xml:space="preserve"> to </w:t>
      </w:r>
      <w:r w:rsidR="007835C4" w:rsidRPr="00C547E5">
        <w:t>detain</w:t>
      </w:r>
      <w:r w:rsidR="007835C4">
        <w:t>ing</w:t>
      </w:r>
      <w:r w:rsidR="007835C4" w:rsidRPr="00C547E5">
        <w:t xml:space="preserve"> individuals outside their territory</w:t>
      </w:r>
      <w:r w:rsidR="00C547E5" w:rsidRPr="00C547E5">
        <w:t>.</w:t>
      </w:r>
      <w:r w:rsidR="00C547E5" w:rsidRPr="0038700A">
        <w:rPr>
          <w:rStyle w:val="FootnoteReference"/>
        </w:rPr>
        <w:footnoteReference w:id="6"/>
      </w:r>
      <w:r w:rsidR="00C547E5" w:rsidRPr="00C547E5">
        <w:t xml:space="preserve"> Experience has shown that</w:t>
      </w:r>
      <w:r w:rsidR="00953450">
        <w:t>,</w:t>
      </w:r>
      <w:r w:rsidR="00C547E5" w:rsidRPr="00C547E5">
        <w:t xml:space="preserve"> </w:t>
      </w:r>
      <w:r w:rsidR="0080558A">
        <w:t xml:space="preserve">in cases in which they act </w:t>
      </w:r>
      <w:r w:rsidR="00C547E5" w:rsidRPr="00C547E5">
        <w:t>extraterritorially</w:t>
      </w:r>
      <w:r w:rsidR="00E85795">
        <w:t>,</w:t>
      </w:r>
      <w:r w:rsidR="00C547E5" w:rsidRPr="00C547E5">
        <w:t xml:space="preserve"> States </w:t>
      </w:r>
      <w:r w:rsidR="00953450">
        <w:t xml:space="preserve">can </w:t>
      </w:r>
      <w:r w:rsidR="00C547E5" w:rsidRPr="00C547E5">
        <w:t xml:space="preserve">be more prone to detain in a manner that falls short of their obligations under </w:t>
      </w:r>
      <w:r w:rsidR="00E85795">
        <w:t>international human rights law</w:t>
      </w:r>
      <w:r w:rsidR="00C547E5" w:rsidRPr="00C547E5">
        <w:t xml:space="preserve">, including requisite judicial guarantees and procedural safeguards. </w:t>
      </w:r>
      <w:r w:rsidR="004B5D95">
        <w:t xml:space="preserve">While some </w:t>
      </w:r>
      <w:r w:rsidR="004B5D95" w:rsidRPr="00C547E5">
        <w:t xml:space="preserve">States </w:t>
      </w:r>
      <w:r w:rsidR="00713CDA" w:rsidRPr="00C547E5">
        <w:t>have disputed</w:t>
      </w:r>
      <w:r w:rsidR="004B5D95" w:rsidRPr="00C547E5">
        <w:t xml:space="preserve"> the extraterritorial applicability of </w:t>
      </w:r>
      <w:r w:rsidR="004B5D95">
        <w:t xml:space="preserve">international human </w:t>
      </w:r>
      <w:r w:rsidR="00713CDA">
        <w:t xml:space="preserve">rights </w:t>
      </w:r>
      <w:r w:rsidR="00713CDA" w:rsidRPr="00C547E5">
        <w:t>treaties</w:t>
      </w:r>
      <w:r w:rsidR="004B5D95" w:rsidRPr="00C547E5">
        <w:t>;</w:t>
      </w:r>
      <w:r w:rsidR="004B5D95" w:rsidRPr="0038700A">
        <w:rPr>
          <w:rStyle w:val="FootnoteReference"/>
        </w:rPr>
        <w:footnoteReference w:id="7"/>
      </w:r>
      <w:r w:rsidR="004B5D95" w:rsidRPr="00C547E5">
        <w:t xml:space="preserve"> and </w:t>
      </w:r>
      <w:r w:rsidR="004B5D95">
        <w:t xml:space="preserve">opined that </w:t>
      </w:r>
      <w:r w:rsidR="004B5D95" w:rsidRPr="00C547E5">
        <w:t xml:space="preserve">human rights protections established in domestic constitutional law are not necessarily </w:t>
      </w:r>
      <w:r w:rsidR="004B5D95">
        <w:t>applicable</w:t>
      </w:r>
      <w:r w:rsidR="004B5D95" w:rsidRPr="00C547E5">
        <w:t xml:space="preserve"> abroad</w:t>
      </w:r>
      <w:r w:rsidR="004B5D95">
        <w:t>,</w:t>
      </w:r>
      <w:r w:rsidR="004B5D95" w:rsidRPr="0038700A">
        <w:rPr>
          <w:rStyle w:val="FootnoteReference"/>
        </w:rPr>
        <w:footnoteReference w:id="8"/>
      </w:r>
      <w:r w:rsidR="00C547E5" w:rsidRPr="00C547E5">
        <w:t xml:space="preserve"> </w:t>
      </w:r>
      <w:r w:rsidR="007835C4">
        <w:t xml:space="preserve">the International Court of Justice </w:t>
      </w:r>
      <w:r w:rsidR="00C547E5" w:rsidRPr="00C547E5">
        <w:t xml:space="preserve">and human rights treaty bodies’ </w:t>
      </w:r>
      <w:r w:rsidR="00CE54BB">
        <w:t>have affirmed</w:t>
      </w:r>
      <w:r w:rsidR="00C547E5" w:rsidRPr="00C547E5">
        <w:t xml:space="preserve"> </w:t>
      </w:r>
      <w:r w:rsidR="00CE54BB" w:rsidRPr="00C547E5">
        <w:t>that international human rights instruments apply to acts by a State in the exercise of its jurisdiction outside its own territory</w:t>
      </w:r>
      <w:r w:rsidR="00CE54BB">
        <w:t>.</w:t>
      </w:r>
      <w:r w:rsidR="00C547E5" w:rsidRPr="0038700A">
        <w:rPr>
          <w:rStyle w:val="FootnoteReference"/>
        </w:rPr>
        <w:footnoteReference w:id="9"/>
      </w:r>
      <w:r w:rsidR="00CE54BB">
        <w:t xml:space="preserve"> </w:t>
      </w:r>
      <w:r w:rsidR="00483D9C">
        <w:lastRenderedPageBreak/>
        <w:t>As d</w:t>
      </w:r>
      <w:r w:rsidR="00C547E5" w:rsidRPr="00C547E5">
        <w:t xml:space="preserve">etention </w:t>
      </w:r>
      <w:r w:rsidR="00CE54BB">
        <w:t xml:space="preserve">conducted </w:t>
      </w:r>
      <w:r w:rsidR="000E7DC1">
        <w:t xml:space="preserve">abroad </w:t>
      </w:r>
      <w:r w:rsidR="00C547E5" w:rsidRPr="00C547E5">
        <w:t>bring</w:t>
      </w:r>
      <w:r w:rsidR="00483D9C">
        <w:t>s</w:t>
      </w:r>
      <w:r w:rsidR="00C547E5" w:rsidRPr="00C547E5">
        <w:t xml:space="preserve"> the detained person within the State’s effective control, the detaining State</w:t>
      </w:r>
      <w:r w:rsidR="00CE54BB">
        <w:t xml:space="preserve"> must therefore</w:t>
      </w:r>
      <w:r w:rsidR="00C547E5" w:rsidRPr="00C547E5">
        <w:t xml:space="preserve"> ensure respect for </w:t>
      </w:r>
      <w:r w:rsidR="00CE54BB">
        <w:t>the rights of the detainee</w:t>
      </w:r>
      <w:r w:rsidR="00C547E5" w:rsidRPr="00C547E5">
        <w:t xml:space="preserve"> emanating from </w:t>
      </w:r>
      <w:r w:rsidR="000E7DC1">
        <w:t>international human rights</w:t>
      </w:r>
      <w:r w:rsidR="000E7DC1" w:rsidRPr="00C547E5">
        <w:t xml:space="preserve"> </w:t>
      </w:r>
      <w:r w:rsidR="00C547E5" w:rsidRPr="00C547E5">
        <w:t>treaties to which the State is party</w:t>
      </w:r>
      <w:r w:rsidR="00953450">
        <w:t xml:space="preserve"> and from otherwise applicable rules of internati</w:t>
      </w:r>
      <w:r w:rsidR="00813EEF">
        <w:t>o</w:t>
      </w:r>
      <w:r w:rsidR="00953450">
        <w:t>nal law</w:t>
      </w:r>
      <w:r w:rsidR="00C547E5" w:rsidRPr="00C547E5">
        <w:t>.</w:t>
      </w:r>
      <w:r w:rsidR="00C547E5" w:rsidRPr="0038700A">
        <w:rPr>
          <w:rStyle w:val="FootnoteReference"/>
        </w:rPr>
        <w:footnoteReference w:id="10"/>
      </w:r>
      <w:r w:rsidR="00C547E5" w:rsidRPr="00C547E5">
        <w:t xml:space="preserve"> </w:t>
      </w:r>
      <w:r w:rsidR="00813EEF">
        <w:t>T</w:t>
      </w:r>
      <w:r w:rsidR="00C547E5" w:rsidRPr="00C547E5">
        <w:t xml:space="preserve">he prohibitions of arbitrary deprivation of life, </w:t>
      </w:r>
      <w:r w:rsidR="00813EEF">
        <w:t xml:space="preserve">of </w:t>
      </w:r>
      <w:r w:rsidR="00C547E5" w:rsidRPr="00C547E5">
        <w:t xml:space="preserve">torture and cruel, inhuman or degrading treatment, </w:t>
      </w:r>
      <w:r w:rsidR="00D64FA9">
        <w:t xml:space="preserve">of arbitrary deprivation </w:t>
      </w:r>
      <w:r w:rsidR="00C547E5" w:rsidRPr="00C547E5">
        <w:t xml:space="preserve">of liberty, as well as </w:t>
      </w:r>
      <w:r w:rsidR="0080558A">
        <w:t xml:space="preserve">of certain aspects of </w:t>
      </w:r>
      <w:r w:rsidR="00C547E5" w:rsidRPr="00C547E5">
        <w:t>the right to a fair trial</w:t>
      </w:r>
      <w:r w:rsidR="00813EEF">
        <w:t>,</w:t>
      </w:r>
      <w:r w:rsidR="00C547E5" w:rsidRPr="00C547E5">
        <w:t xml:space="preserve"> </w:t>
      </w:r>
      <w:r w:rsidR="000A1496">
        <w:t>constitute</w:t>
      </w:r>
      <w:r w:rsidR="00C547E5" w:rsidRPr="00C547E5">
        <w:t xml:space="preserve"> part of customary international law and as such must be respected by State agents </w:t>
      </w:r>
      <w:r w:rsidR="00813EEF">
        <w:t>wherever they territorially act</w:t>
      </w:r>
      <w:r w:rsidR="00C547E5" w:rsidRPr="00C547E5">
        <w:t>.</w:t>
      </w:r>
      <w:r w:rsidR="00C547E5" w:rsidRPr="0038700A">
        <w:rPr>
          <w:rStyle w:val="FootnoteReference"/>
        </w:rPr>
        <w:footnoteReference w:id="11"/>
      </w:r>
      <w:r w:rsidR="00C547E5" w:rsidRPr="00C547E5">
        <w:t xml:space="preserve"> Accordingly, States must not arbitrarily or unlawfully detain individuals nor </w:t>
      </w:r>
      <w:proofErr w:type="gramStart"/>
      <w:r w:rsidR="00C547E5" w:rsidRPr="00C547E5">
        <w:t>may</w:t>
      </w:r>
      <w:proofErr w:type="gramEnd"/>
      <w:r w:rsidR="00C547E5" w:rsidRPr="00C547E5">
        <w:t xml:space="preserve"> they subject </w:t>
      </w:r>
      <w:r w:rsidR="003C4C00">
        <w:t>persons outside their territory to, inter alia,</w:t>
      </w:r>
      <w:r w:rsidR="00C547E5" w:rsidRPr="00C547E5">
        <w:t xml:space="preserve"> prolonged incommunicado detention or deprive them of</w:t>
      </w:r>
      <w:r w:rsidR="00483D9C">
        <w:t xml:space="preserve"> access to</w:t>
      </w:r>
      <w:r w:rsidR="00C547E5" w:rsidRPr="00C547E5">
        <w:t xml:space="preserve"> review of the lawfulness of their detention.</w:t>
      </w:r>
      <w:r w:rsidR="00C547E5" w:rsidRPr="0038700A">
        <w:rPr>
          <w:rStyle w:val="FootnoteReference"/>
        </w:rPr>
        <w:footnoteReference w:id="12"/>
      </w:r>
    </w:p>
    <w:p w14:paraId="7349B627" w14:textId="5C4EC704" w:rsidR="00C547E5" w:rsidRPr="00C547E5" w:rsidRDefault="00DB10C9" w:rsidP="00C547E5">
      <w:pPr>
        <w:pStyle w:val="SingleTxtG"/>
      </w:pPr>
      <w:r>
        <w:t>5</w:t>
      </w:r>
      <w:r w:rsidR="00C547E5" w:rsidRPr="00C547E5">
        <w:t>.</w:t>
      </w:r>
      <w:r w:rsidR="00C547E5" w:rsidRPr="00C547E5">
        <w:tab/>
        <w:t xml:space="preserve">While </w:t>
      </w:r>
      <w:r w:rsidR="00121E20">
        <w:t>international human rights law</w:t>
      </w:r>
      <w:r w:rsidR="00121E20" w:rsidRPr="00C547E5">
        <w:t xml:space="preserve"> </w:t>
      </w:r>
      <w:r w:rsidR="00C547E5" w:rsidRPr="00C547E5">
        <w:t xml:space="preserve">does not foreclose the possibility of subjecting </w:t>
      </w:r>
      <w:r w:rsidR="00813EEF">
        <w:t xml:space="preserve">a </w:t>
      </w:r>
      <w:r w:rsidR="00C547E5" w:rsidRPr="00C547E5">
        <w:t>pe</w:t>
      </w:r>
      <w:r w:rsidR="00813EEF">
        <w:t>rson</w:t>
      </w:r>
      <w:r w:rsidR="00C547E5" w:rsidRPr="00C547E5">
        <w:t xml:space="preserve"> to non-criminal detention on security grounds (</w:t>
      </w:r>
      <w:r w:rsidR="00483D9C">
        <w:t xml:space="preserve">such as </w:t>
      </w:r>
      <w:r w:rsidR="00C547E5" w:rsidRPr="00C547E5">
        <w:t xml:space="preserve">administrative detention or internment), such detention </w:t>
      </w:r>
      <w:r w:rsidR="00813EEF">
        <w:t xml:space="preserve">can </w:t>
      </w:r>
      <w:r w:rsidR="00C547E5" w:rsidRPr="00C547E5">
        <w:t>entail se</w:t>
      </w:r>
      <w:r w:rsidR="00483D9C">
        <w:t>rious</w:t>
      </w:r>
      <w:r w:rsidR="00C547E5" w:rsidRPr="00C547E5">
        <w:t xml:space="preserve"> risks of arbitrary deprivation of liberty</w:t>
      </w:r>
      <w:r w:rsidR="005361CF">
        <w:t xml:space="preserve">. </w:t>
      </w:r>
      <w:r w:rsidR="00D23DB7">
        <w:rPr>
          <w:lang w:val="en-US"/>
        </w:rPr>
        <w:t>S</w:t>
      </w:r>
      <w:proofErr w:type="spellStart"/>
      <w:r w:rsidR="00D23DB7" w:rsidRPr="00583D40">
        <w:t>uch</w:t>
      </w:r>
      <w:proofErr w:type="spellEnd"/>
      <w:r w:rsidR="00D23DB7" w:rsidRPr="00583D40">
        <w:t xml:space="preserve"> detention would amount to arbitrary detention </w:t>
      </w:r>
      <w:r w:rsidR="00813EEF">
        <w:t xml:space="preserve">where </w:t>
      </w:r>
      <w:r w:rsidR="00D23DB7" w:rsidRPr="00583D40">
        <w:t xml:space="preserve">other </w:t>
      </w:r>
      <w:r w:rsidR="00813EEF">
        <w:t xml:space="preserve">less intrusive, </w:t>
      </w:r>
      <w:r w:rsidR="00D23DB7" w:rsidRPr="00583D40">
        <w:t xml:space="preserve">effective measures addressing the threat, including the criminal justice system, </w:t>
      </w:r>
      <w:r w:rsidR="00813EEF">
        <w:t xml:space="preserve">are </w:t>
      </w:r>
      <w:r w:rsidR="00D23DB7" w:rsidRPr="00583D40">
        <w:t>available</w:t>
      </w:r>
      <w:r w:rsidR="00D23DB7">
        <w:t>. A</w:t>
      </w:r>
      <w:r w:rsidR="00C547E5" w:rsidRPr="00C547E5">
        <w:t>ccording to the Human Rights Committee</w:t>
      </w:r>
      <w:proofErr w:type="gramStart"/>
      <w:r w:rsidR="00C547E5" w:rsidRPr="00C547E5">
        <w:t>,</w:t>
      </w:r>
      <w:proofErr w:type="gramEnd"/>
      <w:r w:rsidR="007012FA" w:rsidRPr="007012FA">
        <w:rPr>
          <w:rStyle w:val="FootnoteReference"/>
        </w:rPr>
        <w:t xml:space="preserve"> </w:t>
      </w:r>
      <w:r w:rsidR="00D23DB7">
        <w:t>i</w:t>
      </w:r>
      <w:r w:rsidR="00D23DB7" w:rsidRPr="00583D40">
        <w:t>f</w:t>
      </w:r>
      <w:r w:rsidR="00D23DB7">
        <w:rPr>
          <w:lang w:val="en-US"/>
        </w:rPr>
        <w:t>,</w:t>
      </w:r>
      <w:r w:rsidR="00D23DB7" w:rsidRPr="00583D40">
        <w:t xml:space="preserve"> under exceptional circumstances, a present, direct and imperative threat is invoked to justify </w:t>
      </w:r>
      <w:r w:rsidR="00D23DB7">
        <w:rPr>
          <w:lang w:val="en-US"/>
        </w:rPr>
        <w:t xml:space="preserve">the </w:t>
      </w:r>
      <w:r w:rsidR="00D23DB7" w:rsidRPr="00583D40">
        <w:t>detention of persons considered to present such a threat, the burden of proof lies on States parties to show that the individual poses such a threat and that it cannot be ad</w:t>
      </w:r>
      <w:r w:rsidR="00D23DB7">
        <w:t>dressed by alternative measures.</w:t>
      </w:r>
      <w:r w:rsidR="007012FA" w:rsidRPr="0038700A">
        <w:rPr>
          <w:rStyle w:val="FootnoteReference"/>
        </w:rPr>
        <w:footnoteReference w:id="13"/>
      </w:r>
      <w:r w:rsidR="007012FA" w:rsidRPr="00C547E5">
        <w:t xml:space="preserve"> </w:t>
      </w:r>
      <w:r w:rsidR="007012FA">
        <w:t>T</w:t>
      </w:r>
      <w:r w:rsidR="00C547E5" w:rsidRPr="00C547E5">
        <w:t xml:space="preserve">he burden to prove such justification rests with the detaining authority and increases with the length of the detention. </w:t>
      </w:r>
      <w:r w:rsidR="007012FA">
        <w:t>Furthermore, t</w:t>
      </w:r>
      <w:r w:rsidR="00C547E5" w:rsidRPr="00C547E5">
        <w:t xml:space="preserve">he Human Rights Committee has stated that the detaining authority must ensure that the </w:t>
      </w:r>
      <w:r w:rsidR="00A00796">
        <w:t>detention</w:t>
      </w:r>
      <w:r w:rsidR="00A00796" w:rsidRPr="00C547E5">
        <w:t xml:space="preserve"> </w:t>
      </w:r>
      <w:r w:rsidR="00C547E5" w:rsidRPr="00C547E5">
        <w:t xml:space="preserve">will not last longer than absolutely necessary, that its overall length will be limited and that the right to challenge the lawfulness of the detention before a court </w:t>
      </w:r>
      <w:r w:rsidR="00C547E5" w:rsidRPr="00C547E5">
        <w:rPr>
          <w:bCs/>
        </w:rPr>
        <w:t xml:space="preserve">will be respected </w:t>
      </w:r>
      <w:r w:rsidR="00C547E5" w:rsidRPr="00C547E5">
        <w:t xml:space="preserve">in all cases. Prompt and regular review </w:t>
      </w:r>
      <w:r w:rsidR="00C547E5" w:rsidRPr="00C547E5">
        <w:rPr>
          <w:bCs/>
        </w:rPr>
        <w:t xml:space="preserve">by </w:t>
      </w:r>
      <w:r w:rsidR="00C547E5" w:rsidRPr="00C547E5">
        <w:t xml:space="preserve">a court or other tribunal possessing the same attributes of independence and impartiality as the judiciary is </w:t>
      </w:r>
      <w:r w:rsidR="007012FA">
        <w:t xml:space="preserve">also </w:t>
      </w:r>
      <w:r w:rsidR="00C547E5" w:rsidRPr="00C547E5">
        <w:t xml:space="preserve">deemed a necessary guarantee for those conditions, as is access to independent legal advice, preferably selected </w:t>
      </w:r>
      <w:r w:rsidR="00C547E5" w:rsidRPr="00C547E5">
        <w:rPr>
          <w:bCs/>
        </w:rPr>
        <w:t xml:space="preserve">by </w:t>
      </w:r>
      <w:r w:rsidR="00C547E5" w:rsidRPr="00C547E5">
        <w:t>the detainee, and disclosure to the detainee of, at least, the essence of the evidence on which the decision is taken.</w:t>
      </w:r>
      <w:r w:rsidR="00A00796">
        <w:rPr>
          <w:rStyle w:val="FootnoteReference"/>
        </w:rPr>
        <w:footnoteReference w:id="14"/>
      </w:r>
    </w:p>
    <w:p w14:paraId="086626D5" w14:textId="244AD44E" w:rsidR="007727B8" w:rsidRDefault="00DB10C9" w:rsidP="00C547E5">
      <w:pPr>
        <w:pStyle w:val="SingleTxtG"/>
      </w:pPr>
      <w:r>
        <w:t>6</w:t>
      </w:r>
      <w:r w:rsidR="00C547E5" w:rsidRPr="00C547E5">
        <w:t>.</w:t>
      </w:r>
      <w:r w:rsidR="00C547E5" w:rsidRPr="00C547E5">
        <w:tab/>
        <w:t>The risk that extraterritorial detention entail</w:t>
      </w:r>
      <w:r w:rsidR="00813EEF">
        <w:t>s</w:t>
      </w:r>
      <w:r w:rsidR="00C547E5" w:rsidRPr="00C547E5">
        <w:t xml:space="preserve"> human rights violations is compounded when </w:t>
      </w:r>
      <w:r w:rsidR="00713CDA" w:rsidRPr="00C547E5">
        <w:t>detention</w:t>
      </w:r>
      <w:r w:rsidR="00713CDA">
        <w:t xml:space="preserve"> is</w:t>
      </w:r>
      <w:r w:rsidR="00C547E5" w:rsidRPr="00C547E5">
        <w:t xml:space="preserve"> implemented by intelligence agencies, whose operations are</w:t>
      </w:r>
      <w:r w:rsidR="00483D9C">
        <w:t>, by their nature,</w:t>
      </w:r>
      <w:r w:rsidR="00C547E5" w:rsidRPr="00C547E5">
        <w:t xml:space="preserve"> rarely subject to effective judicial oversight and whose authority to detain and detention practices are not always adequately regulated by law.</w:t>
      </w:r>
      <w:r w:rsidR="00C547E5" w:rsidRPr="0038700A">
        <w:rPr>
          <w:rStyle w:val="FootnoteReference"/>
        </w:rPr>
        <w:footnoteReference w:id="15"/>
      </w:r>
      <w:r w:rsidR="00C547E5" w:rsidRPr="00C547E5">
        <w:t xml:space="preserve"> </w:t>
      </w:r>
      <w:r w:rsidR="00430DCF">
        <w:t>In a joint study on global practices in relation to secret detention,</w:t>
      </w:r>
      <w:r w:rsidR="00430DCF" w:rsidRPr="00430DCF">
        <w:rPr>
          <w:rStyle w:val="FootnoteReference"/>
        </w:rPr>
        <w:t xml:space="preserve"> </w:t>
      </w:r>
      <w:r w:rsidR="00430DCF" w:rsidRPr="0038700A">
        <w:rPr>
          <w:rStyle w:val="FootnoteReference"/>
        </w:rPr>
        <w:footnoteReference w:id="16"/>
      </w:r>
      <w:r w:rsidR="00430DCF">
        <w:t xml:space="preserve"> five </w:t>
      </w:r>
      <w:r w:rsidR="00C547E5" w:rsidRPr="00C547E5">
        <w:t xml:space="preserve">Special Procedures mandate holders stated that there </w:t>
      </w:r>
      <w:r w:rsidR="00813EEF">
        <w:t>wa</w:t>
      </w:r>
      <w:r w:rsidR="00C547E5" w:rsidRPr="00C547E5">
        <w:t>s a heightened risk that extraterritorial detentions w</w:t>
      </w:r>
      <w:r w:rsidR="00813EEF">
        <w:t xml:space="preserve">ould </w:t>
      </w:r>
      <w:r w:rsidR="00C547E5" w:rsidRPr="00C547E5">
        <w:t xml:space="preserve">be conducted without a legal basis, or contrary to the principle of </w:t>
      </w:r>
      <w:r w:rsidR="00C547E5" w:rsidRPr="00C547E5">
        <w:rPr>
          <w:i/>
        </w:rPr>
        <w:t>habeas corpus</w:t>
      </w:r>
      <w:r w:rsidR="00C547E5" w:rsidRPr="00C547E5">
        <w:t xml:space="preserve">; or that detainees may be deprived of due process of law, of access to legal counsel and/or of an opportunity to challenge the legality of their detention before a court that is an integral part </w:t>
      </w:r>
      <w:r w:rsidR="00072F89">
        <w:t>of the State’s judicial system.</w:t>
      </w:r>
    </w:p>
    <w:p w14:paraId="6DDDF791" w14:textId="365BBFB8" w:rsidR="00C547E5" w:rsidRPr="00C547E5" w:rsidRDefault="007727B8" w:rsidP="00C547E5">
      <w:pPr>
        <w:pStyle w:val="SingleTxtG"/>
      </w:pPr>
      <w:r>
        <w:t>7.</w:t>
      </w:r>
      <w:r>
        <w:tab/>
        <w:t>In these respects, s</w:t>
      </w:r>
      <w:r w:rsidR="00430DCF" w:rsidRPr="008F5D5B">
        <w:t>ecret detentions and extraordinary renditions</w:t>
      </w:r>
      <w:r w:rsidR="00430DCF">
        <w:t>, t</w:t>
      </w:r>
      <w:r w:rsidR="00430DCF" w:rsidRPr="008F5D5B">
        <w:t>wo practices expressly mentioned in Human</w:t>
      </w:r>
      <w:r w:rsidR="00430DCF">
        <w:t xml:space="preserve"> Rights Council Resolution 37/3,</w:t>
      </w:r>
      <w:r w:rsidR="00430DCF" w:rsidRPr="008F5D5B">
        <w:t xml:space="preserve"> </w:t>
      </w:r>
      <w:r w:rsidR="00430DCF">
        <w:t>present specific challenges</w:t>
      </w:r>
      <w:r>
        <w:t xml:space="preserve"> for the integrity of the judicial system when conducted by States </w:t>
      </w:r>
      <w:r w:rsidRPr="008F5D5B">
        <w:t xml:space="preserve">operating </w:t>
      </w:r>
      <w:r>
        <w:t>outside their national territory</w:t>
      </w:r>
      <w:r w:rsidR="00430DCF">
        <w:t>.</w:t>
      </w:r>
    </w:p>
    <w:p w14:paraId="776F6A30" w14:textId="0D342A11" w:rsidR="00C547E5" w:rsidRPr="00C547E5" w:rsidRDefault="0038700A" w:rsidP="00583E42">
      <w:pPr>
        <w:pStyle w:val="H23G"/>
      </w:pPr>
      <w:r>
        <w:tab/>
      </w:r>
      <w:r w:rsidR="00583E42">
        <w:t>(</w:t>
      </w:r>
      <w:proofErr w:type="spellStart"/>
      <w:r w:rsidR="00583E42">
        <w:t>i</w:t>
      </w:r>
      <w:proofErr w:type="spellEnd"/>
      <w:r w:rsidR="00583E42">
        <w:t>)</w:t>
      </w:r>
      <w:r w:rsidR="00583E42">
        <w:tab/>
      </w:r>
      <w:r w:rsidR="00C547E5" w:rsidRPr="00E228E7">
        <w:t>Extraterritorial secret detention</w:t>
      </w:r>
    </w:p>
    <w:p w14:paraId="08499EAA" w14:textId="5E543CE0" w:rsidR="00C547E5" w:rsidRPr="00C547E5" w:rsidRDefault="007727B8" w:rsidP="00C547E5">
      <w:pPr>
        <w:pStyle w:val="SingleTxtG"/>
      </w:pPr>
      <w:r>
        <w:t>8</w:t>
      </w:r>
      <w:r w:rsidR="00C547E5" w:rsidRPr="00C547E5">
        <w:t>.</w:t>
      </w:r>
      <w:r w:rsidR="00C547E5" w:rsidRPr="00C547E5">
        <w:tab/>
      </w:r>
      <w:r w:rsidR="00430DCF">
        <w:t>S</w:t>
      </w:r>
      <w:r w:rsidR="00C547E5" w:rsidRPr="00C547E5">
        <w:t>ecret detention</w:t>
      </w:r>
      <w:r w:rsidR="00430DCF">
        <w:t xml:space="preserve"> has been defined </w:t>
      </w:r>
      <w:r w:rsidR="00713CDA">
        <w:t xml:space="preserve">as </w:t>
      </w:r>
      <w:r w:rsidR="00713CDA" w:rsidRPr="00C547E5">
        <w:t>instances</w:t>
      </w:r>
      <w:r w:rsidR="00C547E5" w:rsidRPr="00C547E5">
        <w:t xml:space="preserve"> in which State authorities</w:t>
      </w:r>
      <w:r w:rsidR="00483D9C">
        <w:t>,</w:t>
      </w:r>
      <w:r w:rsidR="00C547E5" w:rsidRPr="00C547E5">
        <w:t xml:space="preserve"> or other agents whose actions </w:t>
      </w:r>
      <w:r w:rsidR="00564989">
        <w:t xml:space="preserve">or omissions </w:t>
      </w:r>
      <w:r w:rsidR="00C547E5" w:rsidRPr="00C547E5">
        <w:t xml:space="preserve">are attributable to the State, detain a person while denying any contact with the outside world (“incommunicado detention”); and refuse to provide or actively conceal information about the fact that the person is detained, or about the fate or </w:t>
      </w:r>
      <w:r w:rsidR="00C547E5" w:rsidRPr="00C547E5">
        <w:lastRenderedPageBreak/>
        <w:t>whereabouts of the detainee.</w:t>
      </w:r>
      <w:r w:rsidR="00C547E5" w:rsidRPr="0038700A">
        <w:rPr>
          <w:rStyle w:val="FootnoteReference"/>
        </w:rPr>
        <w:footnoteReference w:id="17"/>
      </w:r>
      <w:r w:rsidR="00C547E5" w:rsidRPr="00C547E5">
        <w:t xml:space="preserve"> As noted </w:t>
      </w:r>
      <w:r w:rsidR="00430DCF">
        <w:t xml:space="preserve">in the </w:t>
      </w:r>
      <w:r w:rsidR="00483D9C">
        <w:t xml:space="preserve">Special Rapporteurs’ </w:t>
      </w:r>
      <w:r w:rsidR="00430DCF">
        <w:t>joint study</w:t>
      </w:r>
      <w:r w:rsidR="00C547E5" w:rsidRPr="00C547E5">
        <w:t>, such detention has the inherent consequence of placing the detainee outside the protection of the law and amounts to a manifold human rights violation that cannot be justified under any circumstances, including during states of emergency.</w:t>
      </w:r>
      <w:r w:rsidR="00C547E5" w:rsidRPr="0038700A">
        <w:rPr>
          <w:rStyle w:val="FootnoteReference"/>
        </w:rPr>
        <w:footnoteReference w:id="18"/>
      </w:r>
    </w:p>
    <w:p w14:paraId="0B58908A" w14:textId="332488E4" w:rsidR="00C547E5" w:rsidRPr="00C547E5" w:rsidRDefault="007727B8" w:rsidP="00C547E5">
      <w:pPr>
        <w:pStyle w:val="SingleTxtG"/>
      </w:pPr>
      <w:r>
        <w:t>9</w:t>
      </w:r>
      <w:r w:rsidR="00C547E5" w:rsidRPr="00C547E5">
        <w:t>.</w:t>
      </w:r>
      <w:r w:rsidR="00D2333A">
        <w:tab/>
      </w:r>
      <w:r w:rsidR="00C547E5" w:rsidRPr="00C547E5">
        <w:t xml:space="preserve">By effectively depriving detainees of the protection of the law, including the right to </w:t>
      </w:r>
      <w:r w:rsidR="008D15C2">
        <w:t>take proceedings before a court to review the lawfulness of detention, a right essential to the protection of non-</w:t>
      </w:r>
      <w:proofErr w:type="spellStart"/>
      <w:r w:rsidR="008D15C2">
        <w:t>derogable</w:t>
      </w:r>
      <w:proofErr w:type="spellEnd"/>
      <w:r w:rsidR="008D15C2">
        <w:t xml:space="preserve"> rights</w:t>
      </w:r>
      <w:r w:rsidR="00C547E5" w:rsidRPr="00C547E5">
        <w:t>,</w:t>
      </w:r>
      <w:r w:rsidR="00C547E5" w:rsidRPr="0038700A">
        <w:rPr>
          <w:rStyle w:val="FootnoteReference"/>
        </w:rPr>
        <w:footnoteReference w:id="19"/>
      </w:r>
      <w:r w:rsidR="00C547E5" w:rsidRPr="00C547E5">
        <w:t xml:space="preserve"> secret detention violates the right to personal liberty and security and the prohibition of arbitrary detention.</w:t>
      </w:r>
      <w:r w:rsidR="00C547E5" w:rsidRPr="0038700A">
        <w:rPr>
          <w:rStyle w:val="FootnoteReference"/>
        </w:rPr>
        <w:footnoteReference w:id="20"/>
      </w:r>
      <w:r w:rsidR="00C547E5" w:rsidRPr="00C547E5">
        <w:t xml:space="preserve"> According </w:t>
      </w:r>
      <w:r w:rsidR="00713CDA" w:rsidRPr="00C547E5">
        <w:t xml:space="preserve">to </w:t>
      </w:r>
      <w:r w:rsidR="00713CDA">
        <w:t>the</w:t>
      </w:r>
      <w:r w:rsidR="00B563B4">
        <w:t xml:space="preserve"> joint study</w:t>
      </w:r>
      <w:r w:rsidR="00C547E5" w:rsidRPr="00C547E5">
        <w:t>, when used to circumvent criminal proceedings, it further entails a violation of the right to a fair trial.</w:t>
      </w:r>
      <w:r w:rsidR="00C547E5" w:rsidRPr="0038700A">
        <w:rPr>
          <w:rStyle w:val="FootnoteReference"/>
        </w:rPr>
        <w:footnoteReference w:id="21"/>
      </w:r>
      <w:r w:rsidR="00C547E5" w:rsidRPr="00C547E5">
        <w:t xml:space="preserve"> The mandate holders also concluded that every instance of secret detention also constitutes an enforced disappearance. This amounts to “a grave and flagrant human rights violation”</w:t>
      </w:r>
      <w:r w:rsidR="00C547E5" w:rsidRPr="0038700A">
        <w:rPr>
          <w:rStyle w:val="FootnoteReference"/>
        </w:rPr>
        <w:footnoteReference w:id="22"/>
      </w:r>
      <w:r w:rsidR="00C547E5" w:rsidRPr="00C547E5">
        <w:t xml:space="preserve"> characterized by a detention by the State, “followed by a refusal to acknowledge the deprivation of liberty or by concealment of the fate or whereabouts of the disappeared person, which place such a person outside the protection of the law”.</w:t>
      </w:r>
      <w:r w:rsidR="00C547E5" w:rsidRPr="0038700A">
        <w:rPr>
          <w:rStyle w:val="FootnoteReference"/>
        </w:rPr>
        <w:footnoteReference w:id="23"/>
      </w:r>
      <w:r w:rsidR="00C547E5" w:rsidRPr="00C547E5">
        <w:t xml:space="preserve">  As such it violates the right to recognition as a person before the law.</w:t>
      </w:r>
      <w:r w:rsidR="00C547E5" w:rsidRPr="0038700A">
        <w:rPr>
          <w:rStyle w:val="FootnoteReference"/>
        </w:rPr>
        <w:footnoteReference w:id="24"/>
      </w:r>
      <w:r w:rsidR="00C547E5" w:rsidRPr="00C547E5">
        <w:t xml:space="preserve"> Furthermore, </w:t>
      </w:r>
      <w:r w:rsidR="00B563B4">
        <w:t xml:space="preserve">the General Assembly and </w:t>
      </w:r>
      <w:r w:rsidR="00094992">
        <w:t xml:space="preserve">UN human rights mechanisms have found that </w:t>
      </w:r>
      <w:r w:rsidR="00C547E5" w:rsidRPr="00C547E5">
        <w:t>secret detention facilitate</w:t>
      </w:r>
      <w:r w:rsidR="00094992">
        <w:t>s</w:t>
      </w:r>
      <w:r w:rsidR="00C547E5" w:rsidRPr="00C547E5">
        <w:t xml:space="preserve"> the commission of acts of torture, and may itself amount to torture or ill-treatment of the detainee,</w:t>
      </w:r>
      <w:r w:rsidR="00C547E5" w:rsidRPr="0038700A">
        <w:rPr>
          <w:rStyle w:val="FootnoteReference"/>
        </w:rPr>
        <w:footnoteReference w:id="25"/>
      </w:r>
      <w:r w:rsidR="00C547E5" w:rsidRPr="00C547E5">
        <w:t xml:space="preserve"> or of his/her family members on whom it inflicts suffering.</w:t>
      </w:r>
      <w:r w:rsidR="00C547E5" w:rsidRPr="0038700A">
        <w:rPr>
          <w:rStyle w:val="FootnoteReference"/>
        </w:rPr>
        <w:footnoteReference w:id="26"/>
      </w:r>
      <w:r w:rsidR="00C547E5" w:rsidRPr="00C547E5">
        <w:rPr>
          <w:b/>
          <w:bCs/>
        </w:rPr>
        <w:t xml:space="preserve"> </w:t>
      </w:r>
      <w:r w:rsidR="00C547E5" w:rsidRPr="00C547E5">
        <w:t xml:space="preserve">It may also entail violations of the </w:t>
      </w:r>
      <w:r w:rsidR="00094992">
        <w:t xml:space="preserve">protection of </w:t>
      </w:r>
      <w:r w:rsidR="000E2E3C">
        <w:t xml:space="preserve">the </w:t>
      </w:r>
      <w:r w:rsidR="000E2E3C" w:rsidRPr="00C547E5">
        <w:t>family</w:t>
      </w:r>
      <w:r w:rsidR="00C547E5" w:rsidRPr="00C547E5">
        <w:t>.</w:t>
      </w:r>
      <w:r w:rsidR="00C547E5" w:rsidRPr="0038700A">
        <w:rPr>
          <w:rStyle w:val="FootnoteReference"/>
        </w:rPr>
        <w:footnoteReference w:id="27"/>
      </w:r>
    </w:p>
    <w:p w14:paraId="5FADBB1F" w14:textId="55D85C8F" w:rsidR="00C547E5" w:rsidRPr="00C547E5" w:rsidRDefault="007727B8" w:rsidP="00C547E5">
      <w:pPr>
        <w:pStyle w:val="SingleTxtG"/>
      </w:pPr>
      <w:r>
        <w:t>10</w:t>
      </w:r>
      <w:r w:rsidR="00C547E5" w:rsidRPr="00C547E5">
        <w:t>.</w:t>
      </w:r>
      <w:r w:rsidR="00C547E5" w:rsidRPr="00C547E5">
        <w:tab/>
        <w:t xml:space="preserve">While secret detention is prohibited </w:t>
      </w:r>
      <w:r w:rsidR="00094992">
        <w:t>in all circumstances</w:t>
      </w:r>
      <w:r w:rsidR="00C547E5" w:rsidRPr="00C547E5">
        <w:t xml:space="preserve">, in practice the risk that a detainee may be deprived of the protection of the law and placed beyond the reach of the State’s courts is likely to increase in cases of extraterritorial secret detention. In addition, to the human rights </w:t>
      </w:r>
      <w:r w:rsidR="00094992">
        <w:t>concerns detailed</w:t>
      </w:r>
      <w:r w:rsidR="00C547E5" w:rsidRPr="00C547E5">
        <w:t xml:space="preserve"> above, the </w:t>
      </w:r>
      <w:r w:rsidR="00094992">
        <w:t xml:space="preserve">UN </w:t>
      </w:r>
      <w:r w:rsidR="00C547E5" w:rsidRPr="00C547E5">
        <w:t xml:space="preserve">Working </w:t>
      </w:r>
      <w:r w:rsidR="00C547E5" w:rsidRPr="00C547E5">
        <w:rPr>
          <w:lang w:val="en-US"/>
        </w:rPr>
        <w:t xml:space="preserve">Group on Enforced or Involuntary Disappearances </w:t>
      </w:r>
      <w:r w:rsidR="00C547E5" w:rsidRPr="00C547E5">
        <w:t xml:space="preserve">observed that extraterritorial detention by its very nature heightens the risk of disappearance and renders it especially difficult for the detainees’ families and </w:t>
      </w:r>
      <w:r w:rsidR="00483D9C">
        <w:t xml:space="preserve">legal representatives </w:t>
      </w:r>
      <w:r w:rsidR="00C547E5" w:rsidRPr="00C547E5">
        <w:t>to obtain information about their whereabouts, or to secure remedies or reparations.</w:t>
      </w:r>
      <w:r w:rsidR="00C547E5" w:rsidRPr="0038700A">
        <w:rPr>
          <w:rStyle w:val="FootnoteReference"/>
        </w:rPr>
        <w:footnoteReference w:id="28"/>
      </w:r>
    </w:p>
    <w:p w14:paraId="26F08EEC" w14:textId="0C3B45B7" w:rsidR="00C547E5" w:rsidRPr="00C547E5" w:rsidRDefault="0038700A" w:rsidP="00583E42">
      <w:pPr>
        <w:pStyle w:val="H23G"/>
      </w:pPr>
      <w:r>
        <w:tab/>
      </w:r>
      <w:r w:rsidR="007727B8">
        <w:t>(ii)</w:t>
      </w:r>
      <w:r w:rsidR="00583E42">
        <w:tab/>
      </w:r>
      <w:r w:rsidR="00C547E5" w:rsidRPr="00E228E7">
        <w:t>Extraordinary renditions</w:t>
      </w:r>
      <w:r w:rsidR="007727B8">
        <w:t xml:space="preserve"> and comparable transfers</w:t>
      </w:r>
    </w:p>
    <w:p w14:paraId="75A7B478" w14:textId="53765F33" w:rsidR="00C547E5" w:rsidRPr="00C547E5" w:rsidRDefault="00DB10C9" w:rsidP="00C547E5">
      <w:pPr>
        <w:pStyle w:val="SingleTxtG"/>
        <w:rPr>
          <w:bCs/>
        </w:rPr>
      </w:pPr>
      <w:r>
        <w:t>1</w:t>
      </w:r>
      <w:r w:rsidR="007727B8">
        <w:t>1</w:t>
      </w:r>
      <w:r w:rsidR="00072F89">
        <w:t>.</w:t>
      </w:r>
      <w:r w:rsidR="00C547E5" w:rsidRPr="00C547E5">
        <w:tab/>
      </w:r>
      <w:r w:rsidR="008D15C2">
        <w:t xml:space="preserve">Some States </w:t>
      </w:r>
      <w:r w:rsidR="00C50D86">
        <w:t xml:space="preserve">have </w:t>
      </w:r>
      <w:r w:rsidR="008D15C2">
        <w:t>resort</w:t>
      </w:r>
      <w:r w:rsidR="00C50D86">
        <w:t>ed</w:t>
      </w:r>
      <w:r w:rsidR="008D15C2">
        <w:t xml:space="preserve"> to practice</w:t>
      </w:r>
      <w:r w:rsidR="00C50D86">
        <w:t>s</w:t>
      </w:r>
      <w:r w:rsidR="008D15C2">
        <w:t xml:space="preserve"> </w:t>
      </w:r>
      <w:r w:rsidR="009439EA">
        <w:t xml:space="preserve">labelled </w:t>
      </w:r>
      <w:r w:rsidR="00C547E5" w:rsidRPr="00C547E5">
        <w:t>“extraordinary renditions”,</w:t>
      </w:r>
      <w:r w:rsidR="008D15C2">
        <w:t xml:space="preserve"> an expression </w:t>
      </w:r>
      <w:r w:rsidR="009439EA">
        <w:t xml:space="preserve">not as such </w:t>
      </w:r>
      <w:r w:rsidR="00C547E5" w:rsidRPr="00C547E5">
        <w:t xml:space="preserve">defined in international law, </w:t>
      </w:r>
      <w:r w:rsidR="009439EA">
        <w:t xml:space="preserve">which </w:t>
      </w:r>
      <w:r w:rsidR="00C547E5" w:rsidRPr="00C547E5">
        <w:t xml:space="preserve">has been used to describe </w:t>
      </w:r>
      <w:r w:rsidR="00DC5D95">
        <w:t xml:space="preserve">apprehension </w:t>
      </w:r>
      <w:r w:rsidR="00C547E5" w:rsidRPr="00C547E5">
        <w:t xml:space="preserve">of a person </w:t>
      </w:r>
      <w:r w:rsidR="00754FCE">
        <w:t xml:space="preserve">often </w:t>
      </w:r>
      <w:r w:rsidR="00B563B4">
        <w:t>sponsored by</w:t>
      </w:r>
      <w:r w:rsidR="00B563B4" w:rsidRPr="00C547E5">
        <w:t xml:space="preserve"> </w:t>
      </w:r>
      <w:r w:rsidR="00C547E5" w:rsidRPr="00C547E5">
        <w:t>one State</w:t>
      </w:r>
      <w:r w:rsidR="00B563B4">
        <w:t xml:space="preserve"> in the territory of another State</w:t>
      </w:r>
      <w:r w:rsidR="00C547E5" w:rsidRPr="00C547E5">
        <w:t xml:space="preserve">, with or without that State’s cooperation, and the subsequent extrajudicial transfer of the person </w:t>
      </w:r>
      <w:r w:rsidR="00B563B4">
        <w:t xml:space="preserve">from the territory in which he was abducted </w:t>
      </w:r>
      <w:r w:rsidR="00C547E5" w:rsidRPr="00C547E5">
        <w:t>to another State for detention and interrogation.</w:t>
      </w:r>
      <w:r w:rsidR="00C547E5" w:rsidRPr="0038700A">
        <w:rPr>
          <w:rStyle w:val="FootnoteReference"/>
        </w:rPr>
        <w:footnoteReference w:id="29"/>
      </w:r>
      <w:r w:rsidR="00C547E5" w:rsidRPr="00C547E5">
        <w:t xml:space="preserve"> Since </w:t>
      </w:r>
      <w:r w:rsidR="008D15C2">
        <w:t>s</w:t>
      </w:r>
      <w:r w:rsidR="009439EA">
        <w:t xml:space="preserve">uch actions </w:t>
      </w:r>
      <w:r w:rsidR="00C547E5" w:rsidRPr="00C547E5">
        <w:t xml:space="preserve">deliberately circumvent due process safeguards and are conducted without recourse to legal procedures used in extraditions, deportations, or expulsions, the European Court of Human Rights has </w:t>
      </w:r>
      <w:r w:rsidR="00713CDA" w:rsidRPr="00C547E5">
        <w:t>stated that</w:t>
      </w:r>
      <w:r w:rsidR="00C547E5" w:rsidRPr="00C547E5">
        <w:t xml:space="preserve"> </w:t>
      </w:r>
      <w:r w:rsidR="00094992">
        <w:t>they</w:t>
      </w:r>
      <w:r w:rsidR="00C547E5" w:rsidRPr="00C547E5">
        <w:t xml:space="preserve"> are anathema to the rule of law and to the values that </w:t>
      </w:r>
      <w:r w:rsidR="00094992">
        <w:t>international human rights law</w:t>
      </w:r>
      <w:r w:rsidR="00094992" w:rsidRPr="00C547E5">
        <w:t xml:space="preserve"> </w:t>
      </w:r>
      <w:r w:rsidR="00C547E5" w:rsidRPr="00C547E5">
        <w:t>seeks to protect.</w:t>
      </w:r>
      <w:r w:rsidR="00C547E5" w:rsidRPr="0038700A">
        <w:rPr>
          <w:rStyle w:val="FootnoteReference"/>
        </w:rPr>
        <w:footnoteReference w:id="30"/>
      </w:r>
      <w:r w:rsidR="00C547E5" w:rsidRPr="00C547E5">
        <w:t xml:space="preserve"> </w:t>
      </w:r>
      <w:r w:rsidR="009439EA">
        <w:t>Other p</w:t>
      </w:r>
      <w:r w:rsidR="00C547E5" w:rsidRPr="00C547E5">
        <w:t xml:space="preserve">ractices whereby States bypass </w:t>
      </w:r>
      <w:r w:rsidR="00C547E5" w:rsidRPr="00C547E5">
        <w:lastRenderedPageBreak/>
        <w:t xml:space="preserve">ordinary legal procedures by </w:t>
      </w:r>
      <w:r w:rsidR="007727B8">
        <w:t>detaining</w:t>
      </w:r>
      <w:r w:rsidR="007727B8" w:rsidRPr="00C547E5">
        <w:t xml:space="preserve"> </w:t>
      </w:r>
      <w:r w:rsidR="002668E1">
        <w:t xml:space="preserve">or abducting </w:t>
      </w:r>
      <w:r w:rsidR="00C547E5" w:rsidRPr="00C547E5">
        <w:t>persons outside their territory and extra-judicially transferring them to face trial elsewhere, have been</w:t>
      </w:r>
      <w:r w:rsidR="00305B03">
        <w:t xml:space="preserve"> </w:t>
      </w:r>
      <w:r w:rsidR="00C547E5" w:rsidRPr="00C547E5">
        <w:t>similarly criticized by the European Court.</w:t>
      </w:r>
      <w:r w:rsidR="00C547E5" w:rsidRPr="0038700A">
        <w:rPr>
          <w:rStyle w:val="FootnoteReference"/>
        </w:rPr>
        <w:footnoteReference w:id="31"/>
      </w:r>
      <w:r w:rsidR="00C547E5" w:rsidRPr="00C547E5">
        <w:t xml:space="preserve"> According to the UN Working Group on Arbitrary Detention, every case of apprehension and transfer of individuals, occurring outside the confines of any legal procedure and without access to counsel or to any judicial body to contest the transfer, amounts per se to a violation of the prohibition of arbitrary and unlawful detention.</w:t>
      </w:r>
      <w:bookmarkStart w:id="2" w:name="_Ref440019107"/>
      <w:r w:rsidR="00C547E5" w:rsidRPr="0038700A">
        <w:rPr>
          <w:rStyle w:val="FootnoteReference"/>
        </w:rPr>
        <w:footnoteReference w:id="32"/>
      </w:r>
      <w:bookmarkEnd w:id="2"/>
      <w:r w:rsidR="00C547E5" w:rsidRPr="00C547E5">
        <w:t xml:space="preserve"> To the extent that </w:t>
      </w:r>
      <w:r w:rsidR="007727B8">
        <w:t>an</w:t>
      </w:r>
      <w:r w:rsidR="007727B8" w:rsidRPr="00C547E5">
        <w:t xml:space="preserve"> </w:t>
      </w:r>
      <w:r w:rsidR="00C547E5" w:rsidRPr="00C547E5">
        <w:t>individual is subsequently detained outside the normal legal framework in the receiving state, the right to liberty and prohibition of arbitrary detention is also necessarily violated.</w:t>
      </w:r>
      <w:r w:rsidR="00C547E5" w:rsidRPr="0038700A">
        <w:rPr>
          <w:rStyle w:val="FootnoteReference"/>
        </w:rPr>
        <w:footnoteReference w:id="33"/>
      </w:r>
      <w:r w:rsidR="00C547E5" w:rsidRPr="00C547E5">
        <w:t xml:space="preserve"> </w:t>
      </w:r>
      <w:r w:rsidR="00305B03">
        <w:t>Indeed, t</w:t>
      </w:r>
      <w:r w:rsidR="00C547E5" w:rsidRPr="00C547E5">
        <w:t xml:space="preserve">he Human Rights Committee and the Committee </w:t>
      </w:r>
      <w:r w:rsidR="009439EA">
        <w:t>a</w:t>
      </w:r>
      <w:r w:rsidR="00C547E5" w:rsidRPr="00C547E5">
        <w:t xml:space="preserve">gainst Torture </w:t>
      </w:r>
      <w:r w:rsidR="00257F75">
        <w:t>have expressed concern that</w:t>
      </w:r>
      <w:r w:rsidR="00C547E5" w:rsidRPr="00C547E5">
        <w:t xml:space="preserve"> protracted and indefinite extrajudicial detention further entails a violation of the detainee’s rights to a fair trial, to be treated with humanity and with respect for the inherent dignity of the human person and to recognition as a person before the law, as well as </w:t>
      </w:r>
      <w:r w:rsidR="007727B8">
        <w:t xml:space="preserve">of </w:t>
      </w:r>
      <w:r w:rsidR="00C547E5" w:rsidRPr="00C547E5">
        <w:t>the prohibition on torture and other ill-treatment.</w:t>
      </w:r>
      <w:r w:rsidR="00C547E5" w:rsidRPr="0038700A">
        <w:rPr>
          <w:rStyle w:val="FootnoteReference"/>
        </w:rPr>
        <w:footnoteReference w:id="34"/>
      </w:r>
      <w:r w:rsidR="00C547E5" w:rsidRPr="00C547E5">
        <w:t xml:space="preserve">  When conducted in secrecy, extraterritorial detention in the context of </w:t>
      </w:r>
      <w:r w:rsidR="00C547E5" w:rsidRPr="00C547E5">
        <w:rPr>
          <w:bCs/>
        </w:rPr>
        <w:t xml:space="preserve">extraordinary renditions </w:t>
      </w:r>
      <w:r w:rsidR="00C547E5" w:rsidRPr="00C547E5">
        <w:t xml:space="preserve">may, in the view of the European Court, also amount to an enforced disappearance or secret detention with the </w:t>
      </w:r>
      <w:r w:rsidR="007727B8">
        <w:t>associated</w:t>
      </w:r>
      <w:r w:rsidR="007727B8" w:rsidRPr="00C547E5">
        <w:t xml:space="preserve"> </w:t>
      </w:r>
      <w:r w:rsidR="00C547E5" w:rsidRPr="00C547E5">
        <w:t>violations that these practices entail.</w:t>
      </w:r>
      <w:bookmarkStart w:id="3" w:name="_Ref440033049"/>
      <w:r w:rsidR="00C547E5" w:rsidRPr="0038700A">
        <w:rPr>
          <w:rStyle w:val="FootnoteReference"/>
        </w:rPr>
        <w:footnoteReference w:id="35"/>
      </w:r>
      <w:bookmarkEnd w:id="3"/>
    </w:p>
    <w:p w14:paraId="3DC35D66" w14:textId="384CD871" w:rsidR="00C547E5" w:rsidRPr="00C547E5" w:rsidRDefault="00DB10C9" w:rsidP="00C547E5">
      <w:pPr>
        <w:pStyle w:val="SingleTxtG"/>
        <w:rPr>
          <w:bCs/>
        </w:rPr>
      </w:pPr>
      <w:r>
        <w:t>1</w:t>
      </w:r>
      <w:r w:rsidR="00105E70">
        <w:t>2</w:t>
      </w:r>
      <w:r w:rsidR="00C547E5" w:rsidRPr="00C547E5">
        <w:t>.</w:t>
      </w:r>
      <w:r w:rsidR="00C547E5" w:rsidRPr="00C547E5">
        <w:tab/>
        <w:t xml:space="preserve">Additionally, the extraterritorial and extrajudicial nature of </w:t>
      </w:r>
      <w:r w:rsidR="007727B8">
        <w:t xml:space="preserve">such practices </w:t>
      </w:r>
      <w:r w:rsidR="00C547E5" w:rsidRPr="00C547E5">
        <w:t>is conducive to coercive interrogations, in many instances amounting to violations of the prohibition of torture and ill-treatment.</w:t>
      </w:r>
      <w:r w:rsidR="00C547E5" w:rsidRPr="0038700A">
        <w:rPr>
          <w:rStyle w:val="FootnoteReference"/>
        </w:rPr>
        <w:footnoteReference w:id="36"/>
      </w:r>
      <w:r w:rsidR="00C547E5" w:rsidRPr="00C547E5">
        <w:t xml:space="preserve"> Such violations may be perpetrated directly by agents of the rendering state, or </w:t>
      </w:r>
      <w:r w:rsidR="007727B8">
        <w:t>of</w:t>
      </w:r>
      <w:r w:rsidR="007727B8" w:rsidRPr="00C547E5">
        <w:t xml:space="preserve"> </w:t>
      </w:r>
      <w:r w:rsidR="00C547E5" w:rsidRPr="00C547E5">
        <w:t xml:space="preserve">third States to which the person is transferred </w:t>
      </w:r>
      <w:r w:rsidR="00C547E5" w:rsidRPr="00C547E5">
        <w:rPr>
          <w:bCs/>
        </w:rPr>
        <w:t>without any</w:t>
      </w:r>
      <w:r w:rsidR="00257F75">
        <w:rPr>
          <w:bCs/>
        </w:rPr>
        <w:t xml:space="preserve"> adequate</w:t>
      </w:r>
      <w:r w:rsidR="00C547E5" w:rsidRPr="00C547E5">
        <w:rPr>
          <w:bCs/>
        </w:rPr>
        <w:t xml:space="preserve"> </w:t>
      </w:r>
      <w:r w:rsidR="00DC5D95">
        <w:rPr>
          <w:bCs/>
        </w:rPr>
        <w:t xml:space="preserve">risk </w:t>
      </w:r>
      <w:proofErr w:type="spellStart"/>
      <w:r w:rsidR="00DC5D95">
        <w:rPr>
          <w:bCs/>
        </w:rPr>
        <w:t>assessement</w:t>
      </w:r>
      <w:proofErr w:type="spellEnd"/>
      <w:r w:rsidR="00DC5D95" w:rsidRPr="00C547E5">
        <w:rPr>
          <w:bCs/>
        </w:rPr>
        <w:t xml:space="preserve"> </w:t>
      </w:r>
      <w:r w:rsidR="00C547E5" w:rsidRPr="00C547E5">
        <w:rPr>
          <w:bCs/>
        </w:rPr>
        <w:t>procedure</w:t>
      </w:r>
      <w:r w:rsidR="00C547E5" w:rsidRPr="00C547E5">
        <w:t xml:space="preserve">. </w:t>
      </w:r>
      <w:r w:rsidR="00FF5A16">
        <w:t xml:space="preserve">The </w:t>
      </w:r>
      <w:r w:rsidR="00C547E5" w:rsidRPr="00C547E5">
        <w:t xml:space="preserve">Human Rights Committee and the Committee </w:t>
      </w:r>
      <w:r w:rsidR="009439EA">
        <w:t>a</w:t>
      </w:r>
      <w:r w:rsidR="00C547E5" w:rsidRPr="00C547E5">
        <w:t xml:space="preserve">gainst Torture have found that extraordinary rendition is </w:t>
      </w:r>
      <w:r w:rsidR="00FF5A16">
        <w:t xml:space="preserve">often </w:t>
      </w:r>
      <w:r w:rsidR="00C547E5" w:rsidRPr="00C547E5">
        <w:t>accompanied by a risk of torture</w:t>
      </w:r>
      <w:r w:rsidR="00C547E5" w:rsidRPr="0038700A">
        <w:rPr>
          <w:rStyle w:val="FootnoteReference"/>
        </w:rPr>
        <w:footnoteReference w:id="37"/>
      </w:r>
      <w:r w:rsidR="00C547E5" w:rsidRPr="00C547E5">
        <w:t xml:space="preserve"> and i</w:t>
      </w:r>
      <w:r w:rsidR="007727B8">
        <w:t xml:space="preserve">mplicates </w:t>
      </w:r>
      <w:r w:rsidR="00C547E5" w:rsidRPr="00C547E5">
        <w:t xml:space="preserve">the principle of </w:t>
      </w:r>
      <w:r w:rsidR="00C547E5" w:rsidRPr="00C547E5">
        <w:rPr>
          <w:i/>
        </w:rPr>
        <w:t>non-</w:t>
      </w:r>
      <w:proofErr w:type="spellStart"/>
      <w:r w:rsidR="00C547E5" w:rsidRPr="00C547E5">
        <w:rPr>
          <w:i/>
        </w:rPr>
        <w:t>refoulement</w:t>
      </w:r>
      <w:proofErr w:type="spellEnd"/>
      <w:r w:rsidR="00C547E5" w:rsidRPr="00C547E5">
        <w:t>.</w:t>
      </w:r>
      <w:r w:rsidR="00C547E5" w:rsidRPr="0038700A">
        <w:rPr>
          <w:rStyle w:val="FootnoteReference"/>
        </w:rPr>
        <w:footnoteReference w:id="38"/>
      </w:r>
      <w:r w:rsidR="00C547E5" w:rsidRPr="00C547E5">
        <w:t xml:space="preserve"> According to this principle, a State detaining persons extraterritorially may not transfer them to another State where there are substantial grounds for believing that there is a real risk</w:t>
      </w:r>
      <w:r w:rsidR="002F0EE1">
        <w:t xml:space="preserve"> of irreparable harm such as being subjected to</w:t>
      </w:r>
      <w:r w:rsidR="00C834D1">
        <w:t xml:space="preserve"> </w:t>
      </w:r>
      <w:r w:rsidR="00C547E5" w:rsidRPr="00C547E5">
        <w:t>torture or ill-treate</w:t>
      </w:r>
      <w:r w:rsidR="00770549">
        <w:t>d</w:t>
      </w:r>
      <w:r w:rsidR="00C547E5" w:rsidRPr="00C547E5">
        <w:t>,</w:t>
      </w:r>
      <w:r w:rsidR="00C547E5" w:rsidRPr="0038700A">
        <w:rPr>
          <w:rStyle w:val="FootnoteReference"/>
        </w:rPr>
        <w:footnoteReference w:id="39"/>
      </w:r>
      <w:r w:rsidR="00C547E5" w:rsidRPr="00C547E5">
        <w:t xml:space="preserve"> that their right to life may be violated</w:t>
      </w:r>
      <w:r w:rsidR="00421DD5">
        <w:t>.</w:t>
      </w:r>
      <w:r w:rsidR="00C547E5" w:rsidRPr="0038700A">
        <w:rPr>
          <w:rStyle w:val="FootnoteReference"/>
        </w:rPr>
        <w:footnoteReference w:id="40"/>
      </w:r>
      <w:r w:rsidR="00C547E5" w:rsidRPr="00C547E5">
        <w:t xml:space="preserve"> </w:t>
      </w:r>
      <w:proofErr w:type="gramStart"/>
      <w:r w:rsidR="00C547E5" w:rsidRPr="00C547E5">
        <w:t>or</w:t>
      </w:r>
      <w:proofErr w:type="gramEnd"/>
      <w:r w:rsidR="00C547E5" w:rsidRPr="00C547E5">
        <w:t xml:space="preserve"> that their liberty and security of person will be violated</w:t>
      </w:r>
      <w:r w:rsidR="002D2ACD">
        <w:t xml:space="preserve"> in a manner amounting to inhuman treatment</w:t>
      </w:r>
      <w:r w:rsidR="00C547E5" w:rsidRPr="00C547E5">
        <w:t>.</w:t>
      </w:r>
      <w:r w:rsidR="00C547E5" w:rsidRPr="0038700A">
        <w:rPr>
          <w:rStyle w:val="FootnoteReference"/>
        </w:rPr>
        <w:footnoteReference w:id="41"/>
      </w:r>
      <w:r w:rsidR="00C547E5" w:rsidRPr="00C547E5">
        <w:t xml:space="preserve"> The principle of </w:t>
      </w:r>
      <w:r w:rsidR="00C547E5" w:rsidRPr="00C547E5">
        <w:rPr>
          <w:i/>
        </w:rPr>
        <w:t>non-</w:t>
      </w:r>
      <w:proofErr w:type="spellStart"/>
      <w:r w:rsidR="00C547E5" w:rsidRPr="00C547E5">
        <w:rPr>
          <w:i/>
        </w:rPr>
        <w:t>refoulement</w:t>
      </w:r>
      <w:proofErr w:type="spellEnd"/>
      <w:r w:rsidR="00C547E5" w:rsidRPr="00C547E5">
        <w:t xml:space="preserve"> also prohibits transfer to a State when it is foreseen that</w:t>
      </w:r>
      <w:r w:rsidR="007727B8">
        <w:t xml:space="preserve"> that State</w:t>
      </w:r>
      <w:r w:rsidR="00C547E5" w:rsidRPr="00C547E5">
        <w:t xml:space="preserve"> will in turn transfer </w:t>
      </w:r>
      <w:r w:rsidR="007727B8">
        <w:t xml:space="preserve">a person </w:t>
      </w:r>
      <w:r w:rsidR="00C547E5" w:rsidRPr="00C547E5">
        <w:t xml:space="preserve">to a third State where </w:t>
      </w:r>
      <w:r w:rsidR="002206E9" w:rsidRPr="003E3C62">
        <w:t xml:space="preserve">there </w:t>
      </w:r>
      <w:r w:rsidR="002206E9" w:rsidRPr="003E3C62">
        <w:rPr>
          <w:color w:val="000000"/>
        </w:rPr>
        <w:t>are substantial grounds for believing that there is a real risk of irreparable harm</w:t>
      </w:r>
      <w:r w:rsidR="00C547E5" w:rsidRPr="003E3C62">
        <w:t>.</w:t>
      </w:r>
      <w:r w:rsidR="00C547E5" w:rsidRPr="003E3C62">
        <w:rPr>
          <w:rStyle w:val="FootnoteReference"/>
        </w:rPr>
        <w:footnoteReference w:id="42"/>
      </w:r>
      <w:r w:rsidR="00C547E5" w:rsidRPr="003E3C62">
        <w:t xml:space="preserve"> In</w:t>
      </w:r>
      <w:r w:rsidR="00C547E5" w:rsidRPr="00C547E5">
        <w:t xml:space="preserve"> evaluating this risk, States should give consideration to a number of human rights situations that may constitute an indication of a risk of torture.</w:t>
      </w:r>
      <w:r w:rsidR="00C547E5" w:rsidRPr="0038700A">
        <w:rPr>
          <w:rStyle w:val="FootnoteReference"/>
        </w:rPr>
        <w:footnoteReference w:id="43"/>
      </w:r>
      <w:r w:rsidR="00C547E5" w:rsidRPr="00C547E5">
        <w:t xml:space="preserve"> Furthermore, according to the Committee </w:t>
      </w:r>
      <w:r w:rsidR="009439EA">
        <w:t>a</w:t>
      </w:r>
      <w:r w:rsidR="00C547E5" w:rsidRPr="00C547E5">
        <w:t>gainst Torture</w:t>
      </w:r>
      <w:r w:rsidR="00FF5A16">
        <w:t>,</w:t>
      </w:r>
      <w:r w:rsidR="00C547E5" w:rsidRPr="00C547E5">
        <w:t xml:space="preserve"> the person being transferred must be given a </w:t>
      </w:r>
      <w:r w:rsidR="00C547E5" w:rsidRPr="00C547E5">
        <w:rPr>
          <w:bCs/>
        </w:rPr>
        <w:t>possibility to challenge the transfer.</w:t>
      </w:r>
      <w:r w:rsidR="00C547E5" w:rsidRPr="0038700A">
        <w:rPr>
          <w:rStyle w:val="FootnoteReference"/>
        </w:rPr>
        <w:footnoteReference w:id="44"/>
      </w:r>
      <w:r w:rsidR="00C547E5" w:rsidRPr="00C547E5">
        <w:rPr>
          <w:bCs/>
        </w:rPr>
        <w:t xml:space="preserve"> Diplomatic assurances and other guarantees assuring that a person will not be tortured </w:t>
      </w:r>
      <w:r w:rsidR="00754FCE">
        <w:rPr>
          <w:bCs/>
        </w:rPr>
        <w:t xml:space="preserve">or suffer other irreparable harm </w:t>
      </w:r>
      <w:r w:rsidR="00C547E5" w:rsidRPr="00C547E5">
        <w:rPr>
          <w:bCs/>
        </w:rPr>
        <w:t xml:space="preserve">upon transfer </w:t>
      </w:r>
      <w:r w:rsidR="00754FCE">
        <w:rPr>
          <w:bCs/>
        </w:rPr>
        <w:t>are not</w:t>
      </w:r>
      <w:r w:rsidR="00806E1A">
        <w:rPr>
          <w:bCs/>
        </w:rPr>
        <w:t>,</w:t>
      </w:r>
      <w:r w:rsidR="00754FCE">
        <w:rPr>
          <w:bCs/>
        </w:rPr>
        <w:t xml:space="preserve"> </w:t>
      </w:r>
      <w:r w:rsidR="00FB2EDA">
        <w:rPr>
          <w:bCs/>
        </w:rPr>
        <w:t>o</w:t>
      </w:r>
      <w:r w:rsidR="00806E1A">
        <w:rPr>
          <w:bCs/>
        </w:rPr>
        <w:t>f themselves</w:t>
      </w:r>
      <w:r w:rsidR="00FB2EDA">
        <w:rPr>
          <w:bCs/>
        </w:rPr>
        <w:t xml:space="preserve"> </w:t>
      </w:r>
      <w:r w:rsidR="00754FCE">
        <w:rPr>
          <w:bCs/>
        </w:rPr>
        <w:t xml:space="preserve">sufficient </w:t>
      </w:r>
      <w:r w:rsidR="00FB2EDA">
        <w:rPr>
          <w:bCs/>
        </w:rPr>
        <w:t xml:space="preserve">to satisfy the principle of </w:t>
      </w:r>
      <w:r w:rsidR="00FB2EDA">
        <w:rPr>
          <w:bCs/>
          <w:i/>
        </w:rPr>
        <w:t>non-</w:t>
      </w:r>
      <w:proofErr w:type="spellStart"/>
      <w:r w:rsidR="00FB2EDA" w:rsidRPr="00FB2EDA">
        <w:rPr>
          <w:bCs/>
          <w:i/>
        </w:rPr>
        <w:t>refoulement</w:t>
      </w:r>
      <w:proofErr w:type="spellEnd"/>
      <w:r w:rsidR="00FB2EDA">
        <w:rPr>
          <w:bCs/>
          <w:i/>
        </w:rPr>
        <w:t xml:space="preserve"> </w:t>
      </w:r>
      <w:r w:rsidR="004221CC" w:rsidRPr="003E3C62">
        <w:t xml:space="preserve">where there are substantial grounds for believing that the person would be in danger of being subjected to </w:t>
      </w:r>
      <w:r w:rsidR="00A76237" w:rsidRPr="003E3C62">
        <w:t>torture</w:t>
      </w:r>
      <w:r w:rsidR="004221CC" w:rsidRPr="003E3C62">
        <w:t>.</w:t>
      </w:r>
      <w:r w:rsidR="00877AF0" w:rsidRPr="003E3C62">
        <w:rPr>
          <w:rStyle w:val="FootnoteReference"/>
        </w:rPr>
        <w:footnoteReference w:id="45"/>
      </w:r>
      <w:r w:rsidR="00A76237" w:rsidRPr="003E3C62">
        <w:t xml:space="preserve"> </w:t>
      </w:r>
      <w:r w:rsidR="00FB2EDA" w:rsidRPr="003E3C62">
        <w:t xml:space="preserve">Such assurances </w:t>
      </w:r>
      <w:r w:rsidR="00770549" w:rsidRPr="003E3C62">
        <w:t>should be accompanied by</w:t>
      </w:r>
      <w:r w:rsidR="00A76237" w:rsidRPr="003E3C62">
        <w:t xml:space="preserve"> a prior thorough examination of the merits of each individual case</w:t>
      </w:r>
      <w:r w:rsidR="00FB2EDA" w:rsidRPr="003E3C62">
        <w:t xml:space="preserve">, be obtained following clear </w:t>
      </w:r>
      <w:r w:rsidR="00FB2EDA" w:rsidRPr="003E3C62">
        <w:lastRenderedPageBreak/>
        <w:t xml:space="preserve">procedures, with adequate judicial mechanisms for review </w:t>
      </w:r>
      <w:r w:rsidR="00877AF0" w:rsidRPr="003E3C62">
        <w:t xml:space="preserve">and effective </w:t>
      </w:r>
      <w:r w:rsidR="00C547E5" w:rsidRPr="003E3C62">
        <w:rPr>
          <w:bCs/>
        </w:rPr>
        <w:t xml:space="preserve">monitoring mechanisms in place to assess </w:t>
      </w:r>
      <w:r w:rsidR="00806E1A">
        <w:rPr>
          <w:bCs/>
        </w:rPr>
        <w:t xml:space="preserve">that they are </w:t>
      </w:r>
      <w:r w:rsidR="00C547E5" w:rsidRPr="003E3C62">
        <w:rPr>
          <w:bCs/>
        </w:rPr>
        <w:t>honoured.</w:t>
      </w:r>
      <w:r w:rsidR="00C547E5" w:rsidRPr="003E3C62">
        <w:rPr>
          <w:rStyle w:val="FootnoteReference"/>
        </w:rPr>
        <w:footnoteReference w:id="46"/>
      </w:r>
    </w:p>
    <w:p w14:paraId="0AE2EB00" w14:textId="73C4DE24" w:rsidR="00C547E5" w:rsidRPr="00C547E5" w:rsidRDefault="00D2333A" w:rsidP="00C547E5">
      <w:pPr>
        <w:pStyle w:val="SingleTxtG"/>
        <w:rPr>
          <w:bCs/>
        </w:rPr>
      </w:pPr>
      <w:r>
        <w:rPr>
          <w:bCs/>
        </w:rPr>
        <w:t>1</w:t>
      </w:r>
      <w:r w:rsidR="00105E70">
        <w:rPr>
          <w:bCs/>
        </w:rPr>
        <w:t>3</w:t>
      </w:r>
      <w:r w:rsidR="00C547E5" w:rsidRPr="00C547E5">
        <w:rPr>
          <w:bCs/>
        </w:rPr>
        <w:t>.</w:t>
      </w:r>
      <w:r w:rsidR="00C547E5" w:rsidRPr="00C547E5">
        <w:rPr>
          <w:bCs/>
        </w:rPr>
        <w:tab/>
      </w:r>
      <w:r w:rsidR="00257F75">
        <w:rPr>
          <w:bCs/>
        </w:rPr>
        <w:t>E</w:t>
      </w:r>
      <w:r w:rsidR="00257F75" w:rsidRPr="00C547E5">
        <w:rPr>
          <w:bCs/>
        </w:rPr>
        <w:t xml:space="preserve">xtraordinary renditions </w:t>
      </w:r>
      <w:r w:rsidR="00257F75" w:rsidRPr="00C547E5">
        <w:rPr>
          <w:lang w:val="en-US"/>
        </w:rPr>
        <w:t>raise extensive and complex human rights concerns</w:t>
      </w:r>
      <w:r w:rsidR="00806E1A">
        <w:rPr>
          <w:lang w:val="en-US"/>
        </w:rPr>
        <w:t>, with clear implications for the integrity of the judiciary</w:t>
      </w:r>
      <w:r w:rsidR="00877AF0">
        <w:rPr>
          <w:lang w:val="en-US"/>
        </w:rPr>
        <w:t>.</w:t>
      </w:r>
      <w:r w:rsidR="00877AF0">
        <w:rPr>
          <w:bCs/>
        </w:rPr>
        <w:t xml:space="preserve"> </w:t>
      </w:r>
      <w:r w:rsidR="00C547E5" w:rsidRPr="00C547E5">
        <w:rPr>
          <w:bCs/>
        </w:rPr>
        <w:t>By definition</w:t>
      </w:r>
      <w:r w:rsidR="00FF5A16">
        <w:rPr>
          <w:bCs/>
        </w:rPr>
        <w:t>,</w:t>
      </w:r>
      <w:r w:rsidR="00C547E5" w:rsidRPr="00C547E5">
        <w:rPr>
          <w:bCs/>
        </w:rPr>
        <w:t xml:space="preserve"> they are </w:t>
      </w:r>
      <w:r w:rsidR="00877AF0">
        <w:rPr>
          <w:bCs/>
        </w:rPr>
        <w:t xml:space="preserve">often </w:t>
      </w:r>
      <w:r w:rsidR="00C547E5" w:rsidRPr="00C547E5">
        <w:rPr>
          <w:bCs/>
        </w:rPr>
        <w:t xml:space="preserve">conducted </w:t>
      </w:r>
      <w:r w:rsidR="009439EA">
        <w:rPr>
          <w:bCs/>
        </w:rPr>
        <w:t xml:space="preserve">secretly, </w:t>
      </w:r>
      <w:r w:rsidR="00C547E5" w:rsidRPr="00C547E5">
        <w:rPr>
          <w:bCs/>
        </w:rPr>
        <w:t>extraterritorially and outside normal legal procedures, challeng</w:t>
      </w:r>
      <w:r w:rsidR="009439EA">
        <w:rPr>
          <w:bCs/>
        </w:rPr>
        <w:t>ing</w:t>
      </w:r>
      <w:r w:rsidR="00C547E5" w:rsidRPr="00C547E5">
        <w:rPr>
          <w:bCs/>
        </w:rPr>
        <w:t xml:space="preserve"> the judicial system and </w:t>
      </w:r>
      <w:r w:rsidR="00105E70">
        <w:rPr>
          <w:bCs/>
        </w:rPr>
        <w:t xml:space="preserve">the </w:t>
      </w:r>
      <w:r w:rsidR="00806E1A">
        <w:rPr>
          <w:bCs/>
        </w:rPr>
        <w:t xml:space="preserve">practical enjoyment </w:t>
      </w:r>
      <w:r w:rsidR="00105E70">
        <w:rPr>
          <w:bCs/>
        </w:rPr>
        <w:t xml:space="preserve">through it </w:t>
      </w:r>
      <w:r w:rsidR="00806E1A">
        <w:rPr>
          <w:bCs/>
        </w:rPr>
        <w:t>of the</w:t>
      </w:r>
      <w:r w:rsidR="00754FCE">
        <w:rPr>
          <w:bCs/>
        </w:rPr>
        <w:t xml:space="preserve"> right to a remedy</w:t>
      </w:r>
      <w:r w:rsidR="00C547E5" w:rsidRPr="00C547E5">
        <w:rPr>
          <w:bCs/>
        </w:rPr>
        <w:t xml:space="preserve">. </w:t>
      </w:r>
      <w:r w:rsidR="00C547E5" w:rsidRPr="003E3C62">
        <w:rPr>
          <w:bCs/>
        </w:rPr>
        <w:t xml:space="preserve">The Human Rights Committee and the Committee </w:t>
      </w:r>
      <w:r w:rsidR="009439EA" w:rsidRPr="003E3C62">
        <w:rPr>
          <w:bCs/>
        </w:rPr>
        <w:t>a</w:t>
      </w:r>
      <w:r w:rsidR="00C547E5" w:rsidRPr="003E3C62">
        <w:rPr>
          <w:bCs/>
        </w:rPr>
        <w:t>gainst Torture have found that persons subjected to extraterritorial detention following extraordinary renditions endured prolonged and indefinite deprivation of liberty without access to the ordinary criminal justice system.</w:t>
      </w:r>
      <w:r w:rsidR="00C547E5" w:rsidRPr="003E3C62">
        <w:rPr>
          <w:rStyle w:val="FootnoteReference"/>
        </w:rPr>
        <w:footnoteReference w:id="47"/>
      </w:r>
      <w:r w:rsidR="00C547E5" w:rsidRPr="003E3C62">
        <w:rPr>
          <w:bCs/>
        </w:rPr>
        <w:t xml:space="preserve"> </w:t>
      </w:r>
      <w:r w:rsidR="00FF5A16" w:rsidRPr="003E3C62">
        <w:rPr>
          <w:bCs/>
        </w:rPr>
        <w:t>W</w:t>
      </w:r>
      <w:r w:rsidR="00C547E5" w:rsidRPr="003E3C62">
        <w:rPr>
          <w:bCs/>
        </w:rPr>
        <w:t>hile victims of such violations of human rights are entitled to reparations and effective remedy,</w:t>
      </w:r>
      <w:r w:rsidR="00C547E5" w:rsidRPr="003E3C62">
        <w:rPr>
          <w:rStyle w:val="FootnoteReference"/>
        </w:rPr>
        <w:footnoteReference w:id="48"/>
      </w:r>
      <w:r w:rsidR="00C547E5" w:rsidRPr="003E3C62">
        <w:rPr>
          <w:bCs/>
        </w:rPr>
        <w:t xml:space="preserve"> attempts</w:t>
      </w:r>
      <w:r w:rsidR="00C547E5" w:rsidRPr="00C547E5">
        <w:rPr>
          <w:bCs/>
        </w:rPr>
        <w:t xml:space="preserve"> to obtain remedies </w:t>
      </w:r>
      <w:r w:rsidR="009439EA">
        <w:rPr>
          <w:bCs/>
        </w:rPr>
        <w:t xml:space="preserve">through </w:t>
      </w:r>
      <w:r w:rsidR="00C547E5" w:rsidRPr="00C547E5">
        <w:rPr>
          <w:bCs/>
        </w:rPr>
        <w:t xml:space="preserve">domestic civil and criminal </w:t>
      </w:r>
      <w:r w:rsidR="00806E1A">
        <w:rPr>
          <w:bCs/>
        </w:rPr>
        <w:t xml:space="preserve">judicial </w:t>
      </w:r>
      <w:r w:rsidR="00C547E5" w:rsidRPr="00C547E5">
        <w:rPr>
          <w:bCs/>
        </w:rPr>
        <w:t xml:space="preserve">proceedings have been hampered because key information was deemed </w:t>
      </w:r>
      <w:r w:rsidR="009439EA">
        <w:rPr>
          <w:bCs/>
        </w:rPr>
        <w:t xml:space="preserve">covered as </w:t>
      </w:r>
      <w:r w:rsidR="00C547E5" w:rsidRPr="00C547E5">
        <w:rPr>
          <w:bCs/>
        </w:rPr>
        <w:t xml:space="preserve">State secret or </w:t>
      </w:r>
      <w:r w:rsidR="009439EA">
        <w:rPr>
          <w:bCs/>
        </w:rPr>
        <w:t xml:space="preserve">otherwise </w:t>
      </w:r>
      <w:r w:rsidR="00C547E5" w:rsidRPr="00C547E5">
        <w:rPr>
          <w:bCs/>
        </w:rPr>
        <w:t>too sensitive to disclose.</w:t>
      </w:r>
      <w:r w:rsidR="00C547E5" w:rsidRPr="0038700A">
        <w:rPr>
          <w:rStyle w:val="FootnoteReference"/>
        </w:rPr>
        <w:footnoteReference w:id="49"/>
      </w:r>
      <w:r w:rsidR="00C547E5" w:rsidRPr="00C547E5">
        <w:rPr>
          <w:bCs/>
        </w:rPr>
        <w:t xml:space="preserve"> According to the Convention </w:t>
      </w:r>
      <w:r w:rsidR="009439EA">
        <w:rPr>
          <w:bCs/>
        </w:rPr>
        <w:t>a</w:t>
      </w:r>
      <w:r w:rsidR="00C547E5" w:rsidRPr="00C547E5">
        <w:rPr>
          <w:bCs/>
        </w:rPr>
        <w:t>gainst Torture, States are required to carry out prompt, independent and effective investigations whenever there is ground to believe that an act of torture or ill-treatment was committed in their jurisdiction, and are obliged to prosecute or extradite persons suspected of engaging in such acts</w:t>
      </w:r>
      <w:r w:rsidR="00C547E5" w:rsidRPr="00C547E5">
        <w:t>.</w:t>
      </w:r>
      <w:r w:rsidR="00C547E5" w:rsidRPr="0038700A">
        <w:rPr>
          <w:rStyle w:val="FootnoteReference"/>
        </w:rPr>
        <w:footnoteReference w:id="50"/>
      </w:r>
      <w:r w:rsidR="00C547E5" w:rsidRPr="00C547E5">
        <w:t xml:space="preserve"> In practice</w:t>
      </w:r>
      <w:r w:rsidR="00FF5A16">
        <w:t>,</w:t>
      </w:r>
      <w:r w:rsidR="00C547E5" w:rsidRPr="00C547E5">
        <w:t xml:space="preserve"> however, the Committee </w:t>
      </w:r>
      <w:r w:rsidR="009439EA">
        <w:t>a</w:t>
      </w:r>
      <w:r w:rsidR="00C547E5" w:rsidRPr="00C547E5">
        <w:t xml:space="preserve">gainst Torture has raised concerns that allegations of torture and ill-treatment of persons detained </w:t>
      </w:r>
      <w:r w:rsidR="00806E1A">
        <w:t xml:space="preserve">extraterritorially </w:t>
      </w:r>
      <w:r w:rsidR="00C547E5" w:rsidRPr="00C547E5">
        <w:t>have not been adequately investigated.</w:t>
      </w:r>
      <w:r w:rsidR="00C547E5" w:rsidRPr="0038700A">
        <w:rPr>
          <w:rStyle w:val="FootnoteReference"/>
        </w:rPr>
        <w:footnoteReference w:id="51"/>
      </w:r>
      <w:r w:rsidR="00C547E5" w:rsidRPr="00C547E5">
        <w:t xml:space="preserve"> </w:t>
      </w:r>
      <w:r w:rsidR="00C547E5" w:rsidRPr="00C547E5">
        <w:rPr>
          <w:bCs/>
        </w:rPr>
        <w:t>States have</w:t>
      </w:r>
      <w:r w:rsidR="009439EA">
        <w:rPr>
          <w:bCs/>
        </w:rPr>
        <w:t>,</w:t>
      </w:r>
      <w:r w:rsidR="00C547E5" w:rsidRPr="00C547E5">
        <w:rPr>
          <w:bCs/>
        </w:rPr>
        <w:t xml:space="preserve"> in some cases, been reticent to prosecute agents who allegedly perpetrated violations in the course of extraterritorial detention</w:t>
      </w:r>
      <w:r w:rsidR="00CF76AF">
        <w:rPr>
          <w:bCs/>
        </w:rPr>
        <w:t xml:space="preserve"> or</w:t>
      </w:r>
      <w:r w:rsidR="00C547E5" w:rsidRPr="0038700A">
        <w:rPr>
          <w:rStyle w:val="FootnoteReference"/>
        </w:rPr>
        <w:footnoteReference w:id="52"/>
      </w:r>
      <w:r w:rsidR="00C547E5" w:rsidRPr="00C547E5">
        <w:rPr>
          <w:bCs/>
        </w:rPr>
        <w:t xml:space="preserve"> to surrender their own agents for such prosecution in other jurisdictions</w:t>
      </w:r>
      <w:r w:rsidR="00CF76AF">
        <w:rPr>
          <w:bCs/>
        </w:rPr>
        <w:t xml:space="preserve">. On other occasions, </w:t>
      </w:r>
      <w:r w:rsidR="007A04CD" w:rsidRPr="00C547E5">
        <w:rPr>
          <w:bCs/>
        </w:rPr>
        <w:t>criminal</w:t>
      </w:r>
      <w:r w:rsidR="00C547E5" w:rsidRPr="00C547E5">
        <w:rPr>
          <w:bCs/>
        </w:rPr>
        <w:t xml:space="preserve"> </w:t>
      </w:r>
      <w:r w:rsidR="007A04CD" w:rsidRPr="00C547E5">
        <w:rPr>
          <w:bCs/>
        </w:rPr>
        <w:t xml:space="preserve">charges </w:t>
      </w:r>
      <w:r w:rsidR="00CF76AF">
        <w:rPr>
          <w:bCs/>
        </w:rPr>
        <w:t xml:space="preserve">have only been brought </w:t>
      </w:r>
      <w:r w:rsidR="007A04CD" w:rsidRPr="00C547E5">
        <w:rPr>
          <w:bCs/>
        </w:rPr>
        <w:t>against</w:t>
      </w:r>
      <w:r w:rsidR="00C547E5" w:rsidRPr="00C547E5">
        <w:rPr>
          <w:bCs/>
        </w:rPr>
        <w:t xml:space="preserve"> a limited number of low</w:t>
      </w:r>
      <w:r w:rsidR="00CF76AF">
        <w:rPr>
          <w:bCs/>
        </w:rPr>
        <w:t>er</w:t>
      </w:r>
      <w:r w:rsidR="00C547E5" w:rsidRPr="00C547E5">
        <w:rPr>
          <w:bCs/>
        </w:rPr>
        <w:t>-level operatives.</w:t>
      </w:r>
      <w:r w:rsidR="00C547E5" w:rsidRPr="0038700A">
        <w:rPr>
          <w:rStyle w:val="FootnoteReference"/>
        </w:rPr>
        <w:footnoteReference w:id="53"/>
      </w:r>
    </w:p>
    <w:p w14:paraId="3E5E036A" w14:textId="592A008D" w:rsidR="00C547E5" w:rsidRPr="00C547E5" w:rsidRDefault="003572B7" w:rsidP="003572B7">
      <w:pPr>
        <w:pStyle w:val="HChG"/>
      </w:pPr>
      <w:r>
        <w:tab/>
      </w:r>
      <w:r w:rsidR="00C547E5" w:rsidRPr="00C547E5">
        <w:t>III.</w:t>
      </w:r>
      <w:r>
        <w:tab/>
      </w:r>
      <w:r w:rsidR="00105E70">
        <w:t xml:space="preserve">Impact </w:t>
      </w:r>
      <w:r w:rsidR="00C834D1">
        <w:t xml:space="preserve">of </w:t>
      </w:r>
      <w:r w:rsidR="00105E70">
        <w:t>e</w:t>
      </w:r>
      <w:r w:rsidR="00C547E5" w:rsidRPr="00C547E5">
        <w:t>xtraterritorial detention in armed conflict</w:t>
      </w:r>
      <w:r w:rsidR="00105E70">
        <w:t xml:space="preserve"> on integrity of the judicial system</w:t>
      </w:r>
    </w:p>
    <w:p w14:paraId="37B5DDFD" w14:textId="4EDE9B02" w:rsidR="00C547E5" w:rsidRPr="00C547E5" w:rsidRDefault="00DB10C9" w:rsidP="00C547E5">
      <w:pPr>
        <w:pStyle w:val="SingleTxtG"/>
      </w:pPr>
      <w:r>
        <w:t>1</w:t>
      </w:r>
      <w:r w:rsidR="00105E70">
        <w:t>4</w:t>
      </w:r>
      <w:r w:rsidR="00C547E5" w:rsidRPr="00C547E5">
        <w:t>.</w:t>
      </w:r>
      <w:r w:rsidR="00C547E5" w:rsidRPr="00C547E5">
        <w:tab/>
        <w:t xml:space="preserve"> Armed conflicts </w:t>
      </w:r>
      <w:r w:rsidR="00257F75">
        <w:t>may amount to</w:t>
      </w:r>
      <w:r w:rsidR="00C547E5" w:rsidRPr="00C547E5">
        <w:t xml:space="preserve"> emergency situations. While derogations from certain human rights norms including the right to liberty of person are permissible</w:t>
      </w:r>
      <w:r w:rsidR="00257F75">
        <w:t>, when</w:t>
      </w:r>
      <w:r w:rsidR="00C547E5" w:rsidRPr="00C547E5">
        <w:t xml:space="preserve"> such situations</w:t>
      </w:r>
      <w:r w:rsidR="00257F75">
        <w:t xml:space="preserve"> constitute a threat to the life of the nation</w:t>
      </w:r>
      <w:r w:rsidR="00C547E5" w:rsidRPr="00C547E5">
        <w:t>, the Human Rights Committee has clarified that</w:t>
      </w:r>
      <w:r w:rsidR="00C547E5" w:rsidRPr="00C547E5">
        <w:rPr>
          <w:lang w:val="en-US"/>
        </w:rPr>
        <w:t xml:space="preserve"> measures derogating from the provisions of the ICCPR must be of an exceptional and temporary nature, and subject to a number of strict conditions</w:t>
      </w:r>
      <w:r w:rsidR="00C547E5" w:rsidRPr="00C547E5">
        <w:t>.</w:t>
      </w:r>
      <w:r w:rsidR="00C547E5" w:rsidRPr="0038700A">
        <w:rPr>
          <w:rStyle w:val="FootnoteReference"/>
        </w:rPr>
        <w:footnoteReference w:id="54"/>
      </w:r>
      <w:r w:rsidR="00C547E5" w:rsidRPr="00C547E5">
        <w:t xml:space="preserve"> Further, some peremptory norms including </w:t>
      </w:r>
      <w:r w:rsidR="00C547E5" w:rsidRPr="003E3C62">
        <w:t>the prohibition on arbitrary detention, cannot be derogated from</w:t>
      </w:r>
      <w:r w:rsidR="00782B9C" w:rsidRPr="003E3C62">
        <w:t>,</w:t>
      </w:r>
      <w:r w:rsidR="00C547E5" w:rsidRPr="003E3C62">
        <w:rPr>
          <w:rStyle w:val="FootnoteReference"/>
        </w:rPr>
        <w:footnoteReference w:id="55"/>
      </w:r>
      <w:r w:rsidR="00C547E5" w:rsidRPr="003E3C62">
        <w:t xml:space="preserve"> </w:t>
      </w:r>
      <w:r w:rsidR="00782B9C" w:rsidRPr="003E3C62">
        <w:t>and</w:t>
      </w:r>
      <w:r w:rsidR="00C547E5" w:rsidRPr="003E3C62">
        <w:t xml:space="preserve"> procedural rights instrumental to the effective protection of non-</w:t>
      </w:r>
      <w:proofErr w:type="spellStart"/>
      <w:r w:rsidR="00C547E5" w:rsidRPr="003E3C62">
        <w:t>derogable</w:t>
      </w:r>
      <w:proofErr w:type="spellEnd"/>
      <w:r w:rsidR="00C547E5" w:rsidRPr="003E3C62">
        <w:t xml:space="preserve"> rights, such as the right to </w:t>
      </w:r>
      <w:r w:rsidR="00257F75" w:rsidRPr="003E3C62">
        <w:t>take proceedings before a court to review the lawfulness of detention</w:t>
      </w:r>
      <w:r w:rsidR="00257F75" w:rsidRPr="003E3C62">
        <w:rPr>
          <w:i/>
        </w:rPr>
        <w:t xml:space="preserve"> </w:t>
      </w:r>
      <w:r w:rsidR="00C547E5" w:rsidRPr="003E3C62">
        <w:t xml:space="preserve">and fundamental </w:t>
      </w:r>
      <w:r w:rsidR="00257F75" w:rsidRPr="003E3C62">
        <w:t xml:space="preserve">requirements </w:t>
      </w:r>
      <w:r w:rsidR="00C547E5" w:rsidRPr="003E3C62">
        <w:t>of the</w:t>
      </w:r>
      <w:r w:rsidR="00C547E5" w:rsidRPr="00C547E5">
        <w:t xml:space="preserve"> right to fair trial, must also be respected in all circumstances.</w:t>
      </w:r>
      <w:r w:rsidR="00C547E5" w:rsidRPr="0038700A">
        <w:rPr>
          <w:rStyle w:val="FootnoteReference"/>
        </w:rPr>
        <w:footnoteReference w:id="56"/>
      </w:r>
      <w:r w:rsidR="00C547E5" w:rsidRPr="00C547E5">
        <w:t xml:space="preserve"> In addition to </w:t>
      </w:r>
      <w:r w:rsidR="00782B9C">
        <w:t>international human rights law</w:t>
      </w:r>
      <w:r w:rsidR="00C547E5" w:rsidRPr="00C547E5">
        <w:t>, which continues to apply</w:t>
      </w:r>
      <w:r w:rsidR="00105E70">
        <w:t xml:space="preserve"> during periods of armed conflict</w:t>
      </w:r>
      <w:r w:rsidR="00C547E5" w:rsidRPr="00C547E5">
        <w:t xml:space="preserve">, the outbreak of armed conflict </w:t>
      </w:r>
      <w:r w:rsidR="00105E70">
        <w:t xml:space="preserve">also </w:t>
      </w:r>
      <w:r w:rsidR="00C547E5" w:rsidRPr="00C547E5">
        <w:t xml:space="preserve">brings complementary norms of </w:t>
      </w:r>
      <w:r w:rsidR="00782B9C">
        <w:t>international humanitarian law</w:t>
      </w:r>
      <w:r w:rsidR="00782B9C" w:rsidRPr="00C547E5">
        <w:t xml:space="preserve"> </w:t>
      </w:r>
      <w:r w:rsidR="00C547E5" w:rsidRPr="00C547E5">
        <w:t xml:space="preserve">into </w:t>
      </w:r>
      <w:r w:rsidR="00782B9C">
        <w:t>play</w:t>
      </w:r>
      <w:r w:rsidR="00C547E5" w:rsidRPr="00C547E5">
        <w:t>.</w:t>
      </w:r>
      <w:r w:rsidR="00C547E5" w:rsidRPr="0038700A">
        <w:rPr>
          <w:rStyle w:val="FootnoteReference"/>
        </w:rPr>
        <w:footnoteReference w:id="57"/>
      </w:r>
      <w:r w:rsidR="00C547E5" w:rsidRPr="00C547E5">
        <w:t xml:space="preserve"> These include provisions regulating detention in armed conflict and protecting detainees, inter alia, via procedural safeguards and judicial guarantees.</w:t>
      </w:r>
      <w:r w:rsidR="00C547E5" w:rsidRPr="0038700A">
        <w:rPr>
          <w:rStyle w:val="FootnoteReference"/>
        </w:rPr>
        <w:footnoteReference w:id="58"/>
      </w:r>
      <w:r w:rsidR="00C547E5" w:rsidRPr="00C547E5">
        <w:t xml:space="preserve"> </w:t>
      </w:r>
      <w:r w:rsidR="00F27CEB" w:rsidRPr="00C547E5">
        <w:t>Despite</w:t>
      </w:r>
      <w:r w:rsidR="00F27CEB">
        <w:t xml:space="preserve"> the </w:t>
      </w:r>
      <w:r w:rsidR="00CF76AF">
        <w:t xml:space="preserve">consistent </w:t>
      </w:r>
      <w:r w:rsidR="00F27CEB">
        <w:t>position</w:t>
      </w:r>
      <w:r w:rsidR="00F27CEB" w:rsidRPr="00C547E5">
        <w:t xml:space="preserve"> </w:t>
      </w:r>
      <w:r w:rsidR="00F27CEB">
        <w:t xml:space="preserve">of </w:t>
      </w:r>
      <w:r w:rsidR="00F27CEB" w:rsidRPr="00C547E5">
        <w:t xml:space="preserve">international </w:t>
      </w:r>
      <w:r w:rsidR="00F27CEB">
        <w:t xml:space="preserve">and regional </w:t>
      </w:r>
      <w:r w:rsidR="00F27CEB" w:rsidRPr="00C547E5">
        <w:t xml:space="preserve">courts and </w:t>
      </w:r>
      <w:r w:rsidR="00F27CEB" w:rsidRPr="00C547E5">
        <w:lastRenderedPageBreak/>
        <w:t xml:space="preserve">human rights </w:t>
      </w:r>
      <w:r w:rsidR="00F27CEB">
        <w:t>mechanisms</w:t>
      </w:r>
      <w:r w:rsidR="00F27CEB" w:rsidRPr="00C547E5">
        <w:t xml:space="preserve"> that </w:t>
      </w:r>
      <w:r w:rsidR="00F27CEB">
        <w:t>international human rights law</w:t>
      </w:r>
      <w:r w:rsidR="00F27CEB" w:rsidRPr="00C547E5">
        <w:t xml:space="preserve"> remains applicable</w:t>
      </w:r>
      <w:r w:rsidR="00105E70">
        <w:t xml:space="preserve"> in this context</w:t>
      </w:r>
      <w:r w:rsidR="00F27CEB" w:rsidRPr="00C547E5">
        <w:t xml:space="preserve">, </w:t>
      </w:r>
      <w:r w:rsidR="00CF76AF">
        <w:t xml:space="preserve">some </w:t>
      </w:r>
      <w:r w:rsidR="00F27CEB" w:rsidRPr="00C547E5">
        <w:t>of States continue to d</w:t>
      </w:r>
      <w:r w:rsidR="00CF76AF">
        <w:t xml:space="preserve">ispute </w:t>
      </w:r>
      <w:r w:rsidR="00F27CEB" w:rsidRPr="00C547E5">
        <w:t xml:space="preserve">the extent of its applicability in armed conflict and its interplay with </w:t>
      </w:r>
      <w:r w:rsidR="00F27CEB">
        <w:t>international humanitarian law</w:t>
      </w:r>
      <w:r w:rsidR="00105E70">
        <w:t>. This can</w:t>
      </w:r>
      <w:r w:rsidR="00F27CEB" w:rsidRPr="00C547E5">
        <w:t xml:space="preserve"> giv</w:t>
      </w:r>
      <w:r w:rsidR="00105E70">
        <w:t>e</w:t>
      </w:r>
      <w:r w:rsidR="00F27CEB" w:rsidRPr="00C547E5">
        <w:t xml:space="preserve"> rise to concern that</w:t>
      </w:r>
      <w:r w:rsidR="00F27CEB">
        <w:t xml:space="preserve"> </w:t>
      </w:r>
      <w:r w:rsidR="00105E70">
        <w:t xml:space="preserve">applicable </w:t>
      </w:r>
      <w:r w:rsidR="00F27CEB">
        <w:t>human rights</w:t>
      </w:r>
      <w:r w:rsidR="00F27CEB" w:rsidRPr="00C547E5">
        <w:t xml:space="preserve"> obligations may not be adequately respected.</w:t>
      </w:r>
      <w:r w:rsidR="00F27CEB" w:rsidRPr="0038700A">
        <w:rPr>
          <w:rStyle w:val="FootnoteReference"/>
        </w:rPr>
        <w:footnoteReference w:id="59"/>
      </w:r>
      <w:r w:rsidR="00F27CEB">
        <w:t xml:space="preserve"> </w:t>
      </w:r>
      <w:r w:rsidR="00C547E5" w:rsidRPr="00C547E5">
        <w:t>Th</w:t>
      </w:r>
      <w:r w:rsidR="00377C6E">
        <w:t xml:space="preserve">is comprehensive </w:t>
      </w:r>
      <w:r w:rsidR="00C547E5" w:rsidRPr="00C547E5">
        <w:t xml:space="preserve">legal </w:t>
      </w:r>
      <w:r w:rsidR="007A04CD">
        <w:t xml:space="preserve">framework </w:t>
      </w:r>
      <w:r w:rsidR="007A04CD" w:rsidRPr="00C547E5">
        <w:t>notwithstanding</w:t>
      </w:r>
      <w:r w:rsidR="00C547E5" w:rsidRPr="00C547E5">
        <w:t xml:space="preserve">, extraterritorial detention in the context of an armed conflict raises a number </w:t>
      </w:r>
      <w:r w:rsidR="00105E70">
        <w:t xml:space="preserve">of </w:t>
      </w:r>
      <w:r w:rsidR="00C547E5" w:rsidRPr="00C547E5">
        <w:t>concerns</w:t>
      </w:r>
      <w:r w:rsidR="00FF5A16">
        <w:t xml:space="preserve"> regarding human rights and </w:t>
      </w:r>
      <w:r w:rsidR="00C547E5" w:rsidRPr="00C547E5">
        <w:t>the integrity of the judicial system.</w:t>
      </w:r>
    </w:p>
    <w:p w14:paraId="5711FCA3" w14:textId="77777777" w:rsidR="00C547E5" w:rsidRPr="00C547E5" w:rsidRDefault="003572B7" w:rsidP="003572B7">
      <w:pPr>
        <w:pStyle w:val="H1G"/>
      </w:pPr>
      <w:r>
        <w:tab/>
      </w:r>
      <w:r>
        <w:tab/>
      </w:r>
      <w:r w:rsidR="00C547E5" w:rsidRPr="00E228E7">
        <w:rPr>
          <w:i/>
          <w:sz w:val="20"/>
        </w:rPr>
        <w:t>Factors detrimental to the integrity of the judicial system</w:t>
      </w:r>
    </w:p>
    <w:p w14:paraId="6815EF3A" w14:textId="68B456EB" w:rsidR="00C547E5" w:rsidRPr="00C547E5" w:rsidRDefault="00DB10C9" w:rsidP="00C547E5">
      <w:pPr>
        <w:pStyle w:val="SingleTxtG"/>
      </w:pPr>
      <w:r>
        <w:t>1</w:t>
      </w:r>
      <w:r w:rsidR="00497DB0">
        <w:t>5</w:t>
      </w:r>
      <w:r w:rsidR="00C547E5" w:rsidRPr="00C547E5">
        <w:t>.</w:t>
      </w:r>
      <w:r w:rsidR="00C547E5" w:rsidRPr="00C547E5">
        <w:tab/>
      </w:r>
      <w:r w:rsidR="00FF5A16">
        <w:t xml:space="preserve">While </w:t>
      </w:r>
      <w:r w:rsidR="00C547E5" w:rsidRPr="00C547E5">
        <w:t xml:space="preserve">detention in peacetime is generally implemented by the State’s law enforcement agencies and overseen by its civilian courts, </w:t>
      </w:r>
      <w:r w:rsidR="00FF5A16" w:rsidRPr="00C547E5">
        <w:t xml:space="preserve">detention </w:t>
      </w:r>
      <w:r w:rsidR="00C547E5" w:rsidRPr="00C547E5">
        <w:t>in the context of armed conflict is often carried out by the State’s armed forces or</w:t>
      </w:r>
      <w:r w:rsidR="00105E70">
        <w:t>, on occasion,</w:t>
      </w:r>
      <w:r w:rsidR="00C547E5" w:rsidRPr="00C547E5">
        <w:t xml:space="preserve"> intelligence agencies</w:t>
      </w:r>
      <w:r w:rsidR="00FF5A16">
        <w:t>. In such contexts</w:t>
      </w:r>
      <w:r w:rsidR="00105E70">
        <w:t>,</w:t>
      </w:r>
      <w:r w:rsidR="00C547E5" w:rsidRPr="00C547E5">
        <w:t xml:space="preserve"> </w:t>
      </w:r>
      <w:r w:rsidR="00FF5A16" w:rsidRPr="00C547E5">
        <w:t xml:space="preserve">law enforcement and </w:t>
      </w:r>
      <w:r w:rsidR="00257F75">
        <w:t xml:space="preserve">regular </w:t>
      </w:r>
      <w:r w:rsidR="00FF5A16" w:rsidRPr="00C547E5">
        <w:t xml:space="preserve">judicial systems may not be available or have </w:t>
      </w:r>
      <w:r w:rsidR="00105E70">
        <w:t>limited</w:t>
      </w:r>
      <w:r w:rsidR="00105E70" w:rsidRPr="00C547E5">
        <w:t xml:space="preserve"> </w:t>
      </w:r>
      <w:r w:rsidR="00105E70">
        <w:t xml:space="preserve">legal or practical </w:t>
      </w:r>
      <w:r w:rsidR="00FF5A16" w:rsidRPr="00C547E5">
        <w:t>capacity to address all cases of deprivation of liberty</w:t>
      </w:r>
      <w:r w:rsidR="00257F75">
        <w:t>. O</w:t>
      </w:r>
      <w:r w:rsidR="00C547E5" w:rsidRPr="00C547E5">
        <w:t>versight</w:t>
      </w:r>
      <w:r w:rsidR="00257F75">
        <w:t xml:space="preserve">, </w:t>
      </w:r>
      <w:r w:rsidR="00105E70">
        <w:t xml:space="preserve">where </w:t>
      </w:r>
      <w:r w:rsidR="00257F75">
        <w:t>it takes place,</w:t>
      </w:r>
      <w:r w:rsidR="00C547E5" w:rsidRPr="00C547E5">
        <w:t xml:space="preserve"> is often exercised by military justice or administrative bodies. </w:t>
      </w:r>
      <w:r w:rsidR="00657ADD">
        <w:t xml:space="preserve">This renders it </w:t>
      </w:r>
      <w:r w:rsidR="00CF76AF">
        <w:t xml:space="preserve">more </w:t>
      </w:r>
      <w:r w:rsidR="00657ADD">
        <w:t xml:space="preserve">likely that the ordinary operation of the judicial system will be deviated from and raises concern that procedural safeguards </w:t>
      </w:r>
      <w:r w:rsidR="00105E70">
        <w:t xml:space="preserve">may </w:t>
      </w:r>
      <w:r w:rsidR="00657ADD">
        <w:t>be breached and that rights violations may ensue.</w:t>
      </w:r>
    </w:p>
    <w:p w14:paraId="2C876122" w14:textId="5B5758E8" w:rsidR="00C547E5" w:rsidRPr="00C547E5" w:rsidRDefault="00DB10C9" w:rsidP="00C547E5">
      <w:pPr>
        <w:pStyle w:val="SingleTxtG"/>
      </w:pPr>
      <w:r>
        <w:t>1</w:t>
      </w:r>
      <w:r w:rsidR="00497DB0">
        <w:t>6</w:t>
      </w:r>
      <w:r w:rsidR="00C547E5" w:rsidRPr="00C547E5">
        <w:t>.</w:t>
      </w:r>
      <w:r w:rsidR="00C547E5" w:rsidRPr="00C547E5">
        <w:tab/>
      </w:r>
      <w:r w:rsidR="006F7532">
        <w:t xml:space="preserve">These concerns are enhanced </w:t>
      </w:r>
      <w:r w:rsidR="0086743F">
        <w:t xml:space="preserve">when </w:t>
      </w:r>
      <w:r w:rsidR="0086743F" w:rsidRPr="00C547E5">
        <w:t>States</w:t>
      </w:r>
      <w:r w:rsidR="00C547E5" w:rsidRPr="00C547E5">
        <w:t xml:space="preserve"> </w:t>
      </w:r>
      <w:r w:rsidR="00FF5A16">
        <w:t xml:space="preserve">are involved in an armed </w:t>
      </w:r>
      <w:r w:rsidR="0086743F">
        <w:t xml:space="preserve">conflict </w:t>
      </w:r>
      <w:r w:rsidR="0086743F" w:rsidRPr="00C547E5">
        <w:t>outside</w:t>
      </w:r>
      <w:r w:rsidR="00C547E5" w:rsidRPr="00C547E5">
        <w:t xml:space="preserve"> their territory</w:t>
      </w:r>
      <w:r w:rsidR="006F7532">
        <w:t xml:space="preserve">. </w:t>
      </w:r>
      <w:r w:rsidR="00105E70">
        <w:t>States</w:t>
      </w:r>
      <w:r w:rsidR="00105E70" w:rsidRPr="00C547E5">
        <w:t xml:space="preserve"> </w:t>
      </w:r>
      <w:r w:rsidR="00C547E5" w:rsidRPr="00C547E5">
        <w:t>often have only provisional infrastructure, limited personnel and scarce resources at their disposal</w:t>
      </w:r>
      <w:r w:rsidR="00105E70">
        <w:t xml:space="preserve"> outside their own territory</w:t>
      </w:r>
      <w:r w:rsidR="00F27CEB">
        <w:t>,</w:t>
      </w:r>
      <w:r w:rsidR="00C547E5" w:rsidRPr="00C547E5">
        <w:t xml:space="preserve"> all of which may be inadequate for the effective operation of detention facilities and related judicial procedures. Personnel deployed to implement detention operations in extraterritorial conflict zones may lack </w:t>
      </w:r>
      <w:r w:rsidR="00105E70">
        <w:t xml:space="preserve">sufficient </w:t>
      </w:r>
      <w:r w:rsidR="00C547E5" w:rsidRPr="00C547E5">
        <w:t xml:space="preserve">expertise or training (e.g. regarding gathering of evidence, or treatment of detainees), and their ability to attend to detainees is at times further compromised by language barriers and cultural divides. Inadequate infrastructure and expertise can have a particularly detrimental effect when it comes to safeguarding the rights of detainees who are </w:t>
      </w:r>
      <w:r w:rsidR="00497DB0">
        <w:t xml:space="preserve">particularly </w:t>
      </w:r>
      <w:r w:rsidR="00C547E5" w:rsidRPr="00C547E5">
        <w:t>vulnerable or have special needs, such as children or persons requiring medical attention.</w:t>
      </w:r>
      <w:bookmarkStart w:id="4" w:name="_Ref441309129"/>
      <w:r w:rsidR="00C547E5" w:rsidRPr="0038700A">
        <w:rPr>
          <w:rStyle w:val="FootnoteReference"/>
        </w:rPr>
        <w:footnoteReference w:id="60"/>
      </w:r>
      <w:bookmarkEnd w:id="4"/>
    </w:p>
    <w:p w14:paraId="60A61FC1" w14:textId="34866CDD" w:rsidR="00C547E5" w:rsidRPr="00C547E5" w:rsidRDefault="00DB10C9" w:rsidP="00C547E5">
      <w:pPr>
        <w:pStyle w:val="SingleTxtG"/>
      </w:pPr>
      <w:r>
        <w:t>1</w:t>
      </w:r>
      <w:r w:rsidR="00497DB0">
        <w:t>7</w:t>
      </w:r>
      <w:r w:rsidR="00C547E5" w:rsidRPr="00C547E5">
        <w:t>.</w:t>
      </w:r>
      <w:r w:rsidR="00C547E5" w:rsidRPr="00C547E5">
        <w:tab/>
        <w:t xml:space="preserve">Further problems </w:t>
      </w:r>
      <w:r w:rsidR="00497DB0">
        <w:t xml:space="preserve">may </w:t>
      </w:r>
      <w:r w:rsidR="00C547E5" w:rsidRPr="00C547E5">
        <w:t xml:space="preserve">arise </w:t>
      </w:r>
      <w:r w:rsidR="00910813">
        <w:t>where</w:t>
      </w:r>
      <w:r w:rsidR="00910813" w:rsidRPr="00C547E5">
        <w:t xml:space="preserve"> </w:t>
      </w:r>
      <w:r w:rsidR="00C547E5" w:rsidRPr="00C547E5">
        <w:t xml:space="preserve">detaining authorities </w:t>
      </w:r>
      <w:r w:rsidR="006F7532">
        <w:t xml:space="preserve">operating extraterritorially </w:t>
      </w:r>
      <w:r w:rsidR="00C547E5" w:rsidRPr="00C547E5">
        <w:t xml:space="preserve">lack the information and means necessary to facilitate family links and other contacts. </w:t>
      </w:r>
      <w:r w:rsidR="00497DB0">
        <w:t>F</w:t>
      </w:r>
      <w:r w:rsidR="00C547E5" w:rsidRPr="00C547E5">
        <w:t>ail</w:t>
      </w:r>
      <w:r w:rsidR="00497DB0">
        <w:t>ure</w:t>
      </w:r>
      <w:r w:rsidR="00C547E5" w:rsidRPr="00C547E5">
        <w:t xml:space="preserve"> to record personal details of detainees</w:t>
      </w:r>
      <w:r w:rsidR="00C547E5" w:rsidRPr="0038700A">
        <w:rPr>
          <w:rStyle w:val="FootnoteReference"/>
        </w:rPr>
        <w:footnoteReference w:id="61"/>
      </w:r>
      <w:r w:rsidR="00C547E5" w:rsidRPr="00C547E5">
        <w:t xml:space="preserve"> mak</w:t>
      </w:r>
      <w:r w:rsidR="00497DB0">
        <w:t>es</w:t>
      </w:r>
      <w:r w:rsidR="00C547E5" w:rsidRPr="00C547E5">
        <w:t xml:space="preserve"> it </w:t>
      </w:r>
      <w:r w:rsidR="00CF76AF">
        <w:t xml:space="preserve">more </w:t>
      </w:r>
      <w:r w:rsidR="00C547E5" w:rsidRPr="00C547E5">
        <w:t xml:space="preserve">difficult to track them and to inform their families of their whereabouts and wellbeing. Because of the </w:t>
      </w:r>
      <w:r w:rsidR="00257F75">
        <w:t xml:space="preserve">often </w:t>
      </w:r>
      <w:r w:rsidR="00C547E5" w:rsidRPr="00C547E5">
        <w:t xml:space="preserve">transitory nature of extraterritorial detention facilities as well as security concerns resulting from proximity to battle-zones, humanitarian agencies </w:t>
      </w:r>
      <w:r w:rsidR="00910813">
        <w:t xml:space="preserve">may </w:t>
      </w:r>
      <w:r w:rsidR="00497DB0">
        <w:t xml:space="preserve">also </w:t>
      </w:r>
      <w:r w:rsidR="00C547E5" w:rsidRPr="00C547E5">
        <w:t xml:space="preserve">have limited access to them. </w:t>
      </w:r>
      <w:r w:rsidR="00910813">
        <w:t>A</w:t>
      </w:r>
      <w:r w:rsidR="00C547E5" w:rsidRPr="00C547E5">
        <w:t>bsence</w:t>
      </w:r>
      <w:r w:rsidR="00910813">
        <w:t>s</w:t>
      </w:r>
      <w:r w:rsidR="00C547E5" w:rsidRPr="00C547E5">
        <w:t xml:space="preserve"> of records and lack of contact </w:t>
      </w:r>
      <w:r w:rsidR="00910813">
        <w:t xml:space="preserve">outside the places of detention </w:t>
      </w:r>
      <w:r w:rsidR="00C547E5" w:rsidRPr="00C547E5">
        <w:t xml:space="preserve">increases the risk of human rights violations </w:t>
      </w:r>
      <w:r w:rsidR="006F7532">
        <w:t>including</w:t>
      </w:r>
      <w:r w:rsidR="00C547E5" w:rsidRPr="00C547E5">
        <w:t xml:space="preserve"> enforced disappearances, as </w:t>
      </w:r>
      <w:r w:rsidR="00754FCE">
        <w:t xml:space="preserve">such </w:t>
      </w:r>
      <w:r w:rsidR="00C547E5" w:rsidRPr="00C547E5">
        <w:t xml:space="preserve">detainees </w:t>
      </w:r>
      <w:r w:rsidR="00910813">
        <w:t>have reduced</w:t>
      </w:r>
      <w:r w:rsidR="00910813" w:rsidRPr="00C547E5">
        <w:t xml:space="preserve"> </w:t>
      </w:r>
      <w:r w:rsidR="00C547E5" w:rsidRPr="00C547E5">
        <w:t xml:space="preserve">access </w:t>
      </w:r>
      <w:r w:rsidR="00910813">
        <w:t>to</w:t>
      </w:r>
      <w:r w:rsidR="00754FCE">
        <w:t xml:space="preserve"> medical and educational</w:t>
      </w:r>
      <w:r w:rsidR="00910813">
        <w:t xml:space="preserve"> </w:t>
      </w:r>
      <w:r w:rsidR="00C547E5" w:rsidRPr="00C547E5">
        <w:t>services</w:t>
      </w:r>
      <w:r w:rsidR="00754FCE">
        <w:t>, for example,</w:t>
      </w:r>
      <w:r w:rsidR="00C547E5" w:rsidRPr="00C547E5">
        <w:t xml:space="preserve"> and </w:t>
      </w:r>
      <w:r w:rsidR="00910813">
        <w:t xml:space="preserve">enjoyment of </w:t>
      </w:r>
      <w:r w:rsidR="00497DB0">
        <w:t xml:space="preserve">effective </w:t>
      </w:r>
      <w:r w:rsidR="00C547E5" w:rsidRPr="00C547E5">
        <w:t>protections</w:t>
      </w:r>
      <w:r w:rsidR="00497DB0">
        <w:t xml:space="preserve"> and remedies</w:t>
      </w:r>
      <w:r w:rsidR="00C547E5" w:rsidRPr="00C547E5">
        <w:t xml:space="preserve"> to which they are entitled</w:t>
      </w:r>
      <w:r w:rsidR="00497DB0">
        <w:t>, including through the judicial system</w:t>
      </w:r>
      <w:r w:rsidR="00072F89">
        <w:t>.</w:t>
      </w:r>
    </w:p>
    <w:p w14:paraId="601D171D" w14:textId="0D27ABDB" w:rsidR="00C547E5" w:rsidRPr="00C547E5" w:rsidRDefault="00D2333A" w:rsidP="00C547E5">
      <w:pPr>
        <w:pStyle w:val="SingleTxtG"/>
      </w:pPr>
      <w:r>
        <w:t>1</w:t>
      </w:r>
      <w:r w:rsidR="00497DB0">
        <w:t>8</w:t>
      </w:r>
      <w:r w:rsidR="00C547E5" w:rsidRPr="00C547E5">
        <w:t>.</w:t>
      </w:r>
      <w:r w:rsidR="00C547E5" w:rsidRPr="00C547E5">
        <w:tab/>
      </w:r>
      <w:r w:rsidR="00257F75">
        <w:t xml:space="preserve">Furthermore, </w:t>
      </w:r>
      <w:r w:rsidR="00257F75" w:rsidRPr="00250129">
        <w:t>while detention in peacetime is normally linked to criminal offences,</w:t>
      </w:r>
      <w:r w:rsidR="00257F75">
        <w:t xml:space="preserve"> i</w:t>
      </w:r>
      <w:r w:rsidR="00C547E5" w:rsidRPr="00C547E5">
        <w:t>n armed conflict</w:t>
      </w:r>
      <w:r w:rsidR="00F27CEB">
        <w:t>,</w:t>
      </w:r>
      <w:r w:rsidR="00C547E5" w:rsidRPr="00C547E5">
        <w:t xml:space="preserve"> it is </w:t>
      </w:r>
      <w:r w:rsidR="00910813">
        <w:t xml:space="preserve">lawful, </w:t>
      </w:r>
      <w:r w:rsidR="00C547E5" w:rsidRPr="00C547E5">
        <w:t>under certain conditions discussed below</w:t>
      </w:r>
      <w:r w:rsidR="00910813">
        <w:t>,</w:t>
      </w:r>
      <w:r w:rsidR="006F7532">
        <w:rPr>
          <w:rStyle w:val="FootnoteReference"/>
        </w:rPr>
        <w:footnoteReference w:id="62"/>
      </w:r>
      <w:r w:rsidR="00C547E5" w:rsidRPr="00C547E5">
        <w:t xml:space="preserve"> for belligerent parties to </w:t>
      </w:r>
      <w:r w:rsidR="00AD2506">
        <w:t>detain</w:t>
      </w:r>
      <w:r w:rsidR="00AD2506" w:rsidRPr="00C547E5">
        <w:t xml:space="preserve"> </w:t>
      </w:r>
      <w:r w:rsidR="00C547E5" w:rsidRPr="00C547E5">
        <w:t xml:space="preserve">individuals in order to prevent a security threat they are </w:t>
      </w:r>
      <w:r w:rsidR="00497DB0">
        <w:t xml:space="preserve">considered </w:t>
      </w:r>
      <w:r w:rsidR="00C547E5" w:rsidRPr="00C547E5">
        <w:t>to pose from materializing,</w:t>
      </w:r>
      <w:r w:rsidR="00C547E5" w:rsidRPr="00C547E5">
        <w:rPr>
          <w:vertAlign w:val="superscript"/>
        </w:rPr>
        <w:t xml:space="preserve"> </w:t>
      </w:r>
      <w:r w:rsidR="00C547E5" w:rsidRPr="0038700A">
        <w:rPr>
          <w:rStyle w:val="FootnoteReference"/>
        </w:rPr>
        <w:footnoteReference w:id="63"/>
      </w:r>
      <w:r w:rsidR="00C547E5" w:rsidRPr="00C547E5">
        <w:t xml:space="preserve"> or to hold them as prisoners of war (POWs) solely because of their status as combatants</w:t>
      </w:r>
      <w:r w:rsidR="00910813">
        <w:t xml:space="preserve">, </w:t>
      </w:r>
      <w:r w:rsidR="00C547E5" w:rsidRPr="00C547E5">
        <w:t xml:space="preserve">irrespective of their actual </w:t>
      </w:r>
      <w:r w:rsidR="00910813">
        <w:t>conduct</w:t>
      </w:r>
      <w:r w:rsidR="00C547E5" w:rsidRPr="00C547E5">
        <w:t>.</w:t>
      </w:r>
      <w:r w:rsidR="00C547E5" w:rsidRPr="0038700A">
        <w:rPr>
          <w:rStyle w:val="FootnoteReference"/>
        </w:rPr>
        <w:footnoteReference w:id="64"/>
      </w:r>
      <w:r w:rsidR="00C547E5" w:rsidRPr="00C547E5">
        <w:t xml:space="preserve"> Additionally, armed conflicts </w:t>
      </w:r>
      <w:r w:rsidR="00910813">
        <w:t>frequently</w:t>
      </w:r>
      <w:r w:rsidR="00910813" w:rsidRPr="00C547E5">
        <w:t xml:space="preserve"> </w:t>
      </w:r>
      <w:r w:rsidR="00C547E5" w:rsidRPr="00C547E5">
        <w:lastRenderedPageBreak/>
        <w:t>involve transfer</w:t>
      </w:r>
      <w:r w:rsidR="00F27CEB">
        <w:t>s</w:t>
      </w:r>
      <w:r w:rsidR="00C547E5" w:rsidRPr="00C547E5">
        <w:t xml:space="preserve"> of detainees between cobelligerents</w:t>
      </w:r>
      <w:r w:rsidR="00497DB0">
        <w:t>,</w:t>
      </w:r>
      <w:r w:rsidR="00C547E5" w:rsidRPr="00C547E5">
        <w:t xml:space="preserve"> giving rise to </w:t>
      </w:r>
      <w:r w:rsidR="00497DB0">
        <w:t xml:space="preserve">further </w:t>
      </w:r>
      <w:r w:rsidR="00C547E5" w:rsidRPr="00C547E5">
        <w:t>concerns that human rights may be violated in the transition from one detaining authority to another</w:t>
      </w:r>
      <w:r w:rsidR="00910813">
        <w:t xml:space="preserve">, or that receiving </w:t>
      </w:r>
      <w:r w:rsidR="00A42B64">
        <w:t>authorities</w:t>
      </w:r>
      <w:r w:rsidR="00910813">
        <w:t xml:space="preserve"> may afford substantially lesser levels of human rights protection</w:t>
      </w:r>
      <w:r w:rsidR="00C547E5" w:rsidRPr="00C547E5">
        <w:t>.</w:t>
      </w:r>
      <w:r w:rsidR="00C547E5" w:rsidRPr="0038700A">
        <w:rPr>
          <w:rStyle w:val="FootnoteReference"/>
        </w:rPr>
        <w:footnoteReference w:id="65"/>
      </w:r>
    </w:p>
    <w:p w14:paraId="1844E5CA" w14:textId="2C50D7DE" w:rsidR="00C547E5" w:rsidRPr="00C547E5" w:rsidRDefault="003572B7" w:rsidP="003572B7">
      <w:pPr>
        <w:pStyle w:val="H1G"/>
      </w:pPr>
      <w:r>
        <w:tab/>
      </w:r>
      <w:r>
        <w:tab/>
      </w:r>
      <w:r w:rsidR="00C547E5" w:rsidRPr="00E228E7">
        <w:rPr>
          <w:i/>
          <w:sz w:val="20"/>
        </w:rPr>
        <w:t xml:space="preserve">Lack of legal basis or </w:t>
      </w:r>
      <w:r w:rsidR="00671A8C" w:rsidRPr="00E228E7">
        <w:rPr>
          <w:i/>
          <w:sz w:val="20"/>
        </w:rPr>
        <w:t xml:space="preserve">defined </w:t>
      </w:r>
      <w:r w:rsidR="00C547E5" w:rsidRPr="00E228E7">
        <w:rPr>
          <w:i/>
          <w:sz w:val="20"/>
        </w:rPr>
        <w:t xml:space="preserve">grounds and procedures for </w:t>
      </w:r>
      <w:r w:rsidR="00B03CD7" w:rsidRPr="00E228E7">
        <w:rPr>
          <w:i/>
          <w:sz w:val="20"/>
        </w:rPr>
        <w:t xml:space="preserve">extraterritorial </w:t>
      </w:r>
      <w:r w:rsidR="00C547E5" w:rsidRPr="00E228E7">
        <w:rPr>
          <w:i/>
          <w:sz w:val="20"/>
        </w:rPr>
        <w:t>detention</w:t>
      </w:r>
    </w:p>
    <w:p w14:paraId="26303EB1" w14:textId="6BBB5DF4" w:rsidR="00C547E5" w:rsidRPr="00C547E5" w:rsidRDefault="00460560" w:rsidP="00C547E5">
      <w:pPr>
        <w:pStyle w:val="SingleTxtG"/>
      </w:pPr>
      <w:r>
        <w:t>1</w:t>
      </w:r>
      <w:r w:rsidR="00497DB0">
        <w:t>9</w:t>
      </w:r>
      <w:r w:rsidR="00C547E5" w:rsidRPr="00C547E5">
        <w:t>.</w:t>
      </w:r>
      <w:r w:rsidR="00C547E5" w:rsidRPr="00C547E5">
        <w:tab/>
        <w:t>While detention authorized</w:t>
      </w:r>
      <w:r w:rsidR="00497DB0">
        <w:t xml:space="preserve">, and consistent with </w:t>
      </w:r>
      <w:r w:rsidR="00377C6E">
        <w:rPr>
          <w:bCs/>
        </w:rPr>
        <w:t>international humanitarian law</w:t>
      </w:r>
      <w:r w:rsidR="00C547E5" w:rsidRPr="00C547E5">
        <w:t xml:space="preserve"> is in principle not arbitrary,</w:t>
      </w:r>
      <w:r w:rsidR="00D276E5">
        <w:rPr>
          <w:rStyle w:val="FootnoteReference"/>
        </w:rPr>
        <w:footnoteReference w:id="66"/>
      </w:r>
      <w:r w:rsidR="00D276E5">
        <w:t xml:space="preserve"> </w:t>
      </w:r>
      <w:r w:rsidR="00C547E5" w:rsidRPr="00C547E5">
        <w:t>extraterritorial detention in armed conflict when carried out without legal basis</w:t>
      </w:r>
      <w:r w:rsidR="00497DB0">
        <w:t xml:space="preserve"> becomes arbitrary and </w:t>
      </w:r>
      <w:r w:rsidR="00C547E5" w:rsidRPr="00C547E5">
        <w:t>violat</w:t>
      </w:r>
      <w:r w:rsidR="00497DB0">
        <w:t>es</w:t>
      </w:r>
      <w:r w:rsidR="00C547E5" w:rsidRPr="00C547E5">
        <w:t xml:space="preserve"> the right to personal liberty. In international armed conflicts, waged between States and </w:t>
      </w:r>
      <w:r w:rsidR="00910813">
        <w:t>usually</w:t>
      </w:r>
      <w:r w:rsidR="00910813" w:rsidRPr="00C547E5">
        <w:t xml:space="preserve"> </w:t>
      </w:r>
      <w:r w:rsidR="00C547E5" w:rsidRPr="00C547E5">
        <w:t>involv</w:t>
      </w:r>
      <w:r w:rsidR="00497DB0">
        <w:t xml:space="preserve">ing </w:t>
      </w:r>
      <w:r w:rsidR="00C547E5" w:rsidRPr="00C547E5">
        <w:t xml:space="preserve"> extraterritorial operations</w:t>
      </w:r>
      <w:r w:rsidR="00910813">
        <w:t xml:space="preserve"> by at least one party to the conflict</w:t>
      </w:r>
      <w:r w:rsidR="00C547E5" w:rsidRPr="00C547E5">
        <w:t xml:space="preserve">, </w:t>
      </w:r>
      <w:r w:rsidR="00D9532F">
        <w:t>international humanitarian law</w:t>
      </w:r>
      <w:r w:rsidR="00C547E5" w:rsidRPr="00C547E5">
        <w:t xml:space="preserve"> authorises status-based extraterritorial internment of combatants as POWs;</w:t>
      </w:r>
      <w:r w:rsidR="00C547E5" w:rsidRPr="0038700A">
        <w:rPr>
          <w:rStyle w:val="FootnoteReference"/>
        </w:rPr>
        <w:footnoteReference w:id="67"/>
      </w:r>
      <w:r w:rsidR="00C547E5" w:rsidRPr="00C547E5">
        <w:t xml:space="preserve"> and permits criminal</w:t>
      </w:r>
      <w:r w:rsidR="00770549">
        <w:t xml:space="preserve"> </w:t>
      </w:r>
      <w:r w:rsidR="00C547E5" w:rsidRPr="00C547E5">
        <w:t>detention</w:t>
      </w:r>
      <w:r w:rsidR="000F082B">
        <w:rPr>
          <w:rStyle w:val="FootnoteReference"/>
        </w:rPr>
        <w:footnoteReference w:id="68"/>
      </w:r>
      <w:r w:rsidR="00C547E5" w:rsidRPr="00C547E5">
        <w:t xml:space="preserve"> and internment of protected persons</w:t>
      </w:r>
      <w:r w:rsidR="00377C6E" w:rsidRPr="0038700A">
        <w:rPr>
          <w:rStyle w:val="FootnoteReference"/>
        </w:rPr>
        <w:footnoteReference w:id="69"/>
      </w:r>
      <w:r w:rsidR="00C547E5" w:rsidRPr="00C547E5">
        <w:t xml:space="preserve"> in occupied territory when deemed necessary for imperative security reasons.</w:t>
      </w:r>
      <w:r w:rsidR="00C547E5" w:rsidRPr="0038700A">
        <w:rPr>
          <w:rStyle w:val="FootnoteReference"/>
        </w:rPr>
        <w:footnoteReference w:id="70"/>
      </w:r>
      <w:r w:rsidR="00C547E5" w:rsidRPr="00C547E5">
        <w:t xml:space="preserve"> By contrast, </w:t>
      </w:r>
      <w:r w:rsidR="00B03CD7">
        <w:t>in</w:t>
      </w:r>
      <w:r w:rsidR="00C547E5" w:rsidRPr="00C547E5">
        <w:t xml:space="preserve"> non-international armed conflicts, waged between a State and one or more organized non-State armed groups or between </w:t>
      </w:r>
      <w:r w:rsidR="00B03CD7">
        <w:t>non-State armed groups</w:t>
      </w:r>
      <w:r w:rsidR="00C547E5" w:rsidRPr="00C547E5">
        <w:t xml:space="preserve">, </w:t>
      </w:r>
      <w:r w:rsidR="00D9532F">
        <w:t>international humanitarian</w:t>
      </w:r>
      <w:r w:rsidR="00D9532F" w:rsidRPr="00C547E5">
        <w:t xml:space="preserve"> </w:t>
      </w:r>
      <w:r w:rsidR="00C547E5" w:rsidRPr="00C547E5">
        <w:t>law does not explicitly establi</w:t>
      </w:r>
      <w:r w:rsidR="00753D52">
        <w:t>sh a legal basis for detention.</w:t>
      </w:r>
      <w:r w:rsidR="00C547E5" w:rsidRPr="00C547E5">
        <w:t xml:space="preserve"> While </w:t>
      </w:r>
      <w:r w:rsidR="00434AF6">
        <w:t>according to the International Committee of the Red Cross</w:t>
      </w:r>
      <w:r w:rsidR="00FF61B0">
        <w:t xml:space="preserve"> </w:t>
      </w:r>
      <w:r w:rsidR="00C547E5" w:rsidRPr="00C547E5">
        <w:t>parties</w:t>
      </w:r>
      <w:r w:rsidR="00C547E5" w:rsidRPr="00C547E5">
        <w:rPr>
          <w:lang w:val="en-US"/>
        </w:rPr>
        <w:t xml:space="preserve"> to a non-international armed conflict have an inherent power to intern persons on the grounds of imperative reasons of security;</w:t>
      </w:r>
      <w:r w:rsidR="00C547E5" w:rsidRPr="0038700A">
        <w:rPr>
          <w:rStyle w:val="FootnoteReference"/>
        </w:rPr>
        <w:footnoteReference w:id="71"/>
      </w:r>
      <w:r w:rsidR="00C547E5" w:rsidRPr="00C547E5">
        <w:rPr>
          <w:lang w:val="en-US"/>
        </w:rPr>
        <w:t xml:space="preserve"> this position is </w:t>
      </w:r>
      <w:r w:rsidR="00910813">
        <w:rPr>
          <w:lang w:val="en-US"/>
        </w:rPr>
        <w:t>not unanimous</w:t>
      </w:r>
      <w:r w:rsidR="00C547E5" w:rsidRPr="00C547E5">
        <w:rPr>
          <w:lang w:val="en-US"/>
        </w:rPr>
        <w:t>.</w:t>
      </w:r>
      <w:r w:rsidR="00C547E5" w:rsidRPr="0038700A">
        <w:rPr>
          <w:rStyle w:val="FootnoteReference"/>
        </w:rPr>
        <w:footnoteReference w:id="72"/>
      </w:r>
    </w:p>
    <w:p w14:paraId="23E1CAA5" w14:textId="641A53AA" w:rsidR="00C547E5" w:rsidRPr="00C547E5" w:rsidRDefault="00051674" w:rsidP="00C547E5">
      <w:pPr>
        <w:pStyle w:val="SingleTxtG"/>
      </w:pPr>
      <w:r>
        <w:t>20</w:t>
      </w:r>
      <w:r w:rsidR="00C547E5" w:rsidRPr="00C547E5">
        <w:t>.</w:t>
      </w:r>
      <w:r w:rsidR="00C547E5" w:rsidRPr="00C547E5">
        <w:tab/>
      </w:r>
      <w:r w:rsidR="00910813">
        <w:t>In any event</w:t>
      </w:r>
      <w:r w:rsidR="000363B9" w:rsidRPr="00657ADD">
        <w:t>,</w:t>
      </w:r>
      <w:r w:rsidR="000363B9">
        <w:t xml:space="preserve"> t</w:t>
      </w:r>
      <w:r w:rsidR="00C547E5" w:rsidRPr="00C547E5">
        <w:t>he prohibition on arbitrary deprivation of liberty requires</w:t>
      </w:r>
      <w:r w:rsidR="00D9532F">
        <w:t xml:space="preserve"> </w:t>
      </w:r>
      <w:r w:rsidR="00C547E5" w:rsidRPr="00C547E5">
        <w:t>that</w:t>
      </w:r>
      <w:r w:rsidR="00910813">
        <w:t>,</w:t>
      </w:r>
      <w:r w:rsidR="00C547E5" w:rsidRPr="00C547E5">
        <w:t xml:space="preserve"> in all circumstances, detention be implemented pursuant to substantive grounds as well as </w:t>
      </w:r>
      <w:r w:rsidR="00910813">
        <w:t xml:space="preserve">appropriate </w:t>
      </w:r>
      <w:r w:rsidR="00C547E5" w:rsidRPr="00C547E5">
        <w:t xml:space="preserve">procedures </w:t>
      </w:r>
      <w:r w:rsidR="003E7547">
        <w:t>established by law</w:t>
      </w:r>
      <w:r w:rsidR="00C547E5" w:rsidRPr="00C547E5">
        <w:t>.</w:t>
      </w:r>
      <w:r w:rsidR="00C547E5" w:rsidRPr="0038700A">
        <w:rPr>
          <w:rStyle w:val="FootnoteReference"/>
        </w:rPr>
        <w:footnoteReference w:id="73"/>
      </w:r>
      <w:r w:rsidR="00C547E5" w:rsidRPr="00C547E5">
        <w:t xml:space="preserve"> With respect to international armed conflicts, </w:t>
      </w:r>
      <w:r w:rsidR="00466630">
        <w:t>international humanitarian law</w:t>
      </w:r>
      <w:r w:rsidR="00C547E5" w:rsidRPr="00C547E5">
        <w:t xml:space="preserve"> specifies permitted grounds for detention as well as procedures to ensure that those grounds are met.</w:t>
      </w:r>
      <w:r w:rsidR="00C547E5" w:rsidRPr="0038700A">
        <w:rPr>
          <w:rStyle w:val="FootnoteReference"/>
        </w:rPr>
        <w:footnoteReference w:id="74"/>
      </w:r>
      <w:r w:rsidR="00C547E5" w:rsidRPr="00C547E5">
        <w:t xml:space="preserve"> However, </w:t>
      </w:r>
      <w:r w:rsidR="00497DB0">
        <w:t xml:space="preserve">as </w:t>
      </w:r>
      <w:r w:rsidR="00466630">
        <w:t>international humanitarian law</w:t>
      </w:r>
      <w:r w:rsidR="00C547E5" w:rsidRPr="00C547E5">
        <w:t xml:space="preserve"> does not </w:t>
      </w:r>
      <w:r>
        <w:t xml:space="preserve">itself </w:t>
      </w:r>
      <w:r w:rsidR="00C547E5" w:rsidRPr="00C547E5">
        <w:t xml:space="preserve">establish </w:t>
      </w:r>
      <w:r>
        <w:t xml:space="preserve">specific </w:t>
      </w:r>
      <w:r w:rsidR="00C547E5" w:rsidRPr="00C547E5">
        <w:t>grounds and procedures for extraterritorial internment in non-international armed conflicts</w:t>
      </w:r>
      <w:r w:rsidR="00497DB0">
        <w:t xml:space="preserve">, </w:t>
      </w:r>
      <w:r w:rsidR="00C547E5" w:rsidRPr="0038700A">
        <w:rPr>
          <w:rStyle w:val="FootnoteReference"/>
        </w:rPr>
        <w:footnoteReference w:id="75"/>
      </w:r>
      <w:r w:rsidR="00C547E5" w:rsidRPr="00C547E5">
        <w:t xml:space="preserve"> </w:t>
      </w:r>
      <w:r w:rsidR="00497DB0">
        <w:t xml:space="preserve">such </w:t>
      </w:r>
      <w:r w:rsidR="00C547E5" w:rsidRPr="00C547E5">
        <w:t xml:space="preserve">detention </w:t>
      </w:r>
      <w:r w:rsidR="00497DB0">
        <w:t xml:space="preserve">would be </w:t>
      </w:r>
      <w:r w:rsidR="00C547E5" w:rsidRPr="00C547E5">
        <w:t xml:space="preserve"> arbitrary unless relevant grounds and procedures</w:t>
      </w:r>
      <w:r w:rsidR="00434AF6">
        <w:t>, consistent with international law,</w:t>
      </w:r>
      <w:r w:rsidR="00C547E5" w:rsidRPr="00C547E5">
        <w:t xml:space="preserve"> are specified in an applicable </w:t>
      </w:r>
      <w:r w:rsidR="008B4037">
        <w:t>binding</w:t>
      </w:r>
      <w:r w:rsidR="00C547E5" w:rsidRPr="00C547E5">
        <w:t xml:space="preserve"> instrument, such as</w:t>
      </w:r>
      <w:r w:rsidR="00FE74AE">
        <w:t>, for example,</w:t>
      </w:r>
      <w:r w:rsidR="00C547E5" w:rsidRPr="00C547E5">
        <w:t xml:space="preserve"> the </w:t>
      </w:r>
      <w:r>
        <w:t xml:space="preserve">applicable </w:t>
      </w:r>
      <w:r w:rsidR="00C547E5" w:rsidRPr="00C547E5">
        <w:t>domestic law of the State in whose territory the detention takes place</w:t>
      </w:r>
      <w:r w:rsidR="00FE74AE">
        <w:t xml:space="preserve"> or of the detaining State</w:t>
      </w:r>
      <w:r w:rsidR="00C547E5" w:rsidRPr="00C547E5">
        <w:t>, or a</w:t>
      </w:r>
      <w:r>
        <w:t xml:space="preserve"> specific </w:t>
      </w:r>
      <w:r w:rsidR="00C547E5" w:rsidRPr="00C547E5">
        <w:t xml:space="preserve">agreement between </w:t>
      </w:r>
      <w:r w:rsidR="000363B9">
        <w:t xml:space="preserve">the host </w:t>
      </w:r>
      <w:r w:rsidR="00C547E5" w:rsidRPr="00C547E5">
        <w:t xml:space="preserve">State and the detaining State whereby established grounds and procedures for internment would be </w:t>
      </w:r>
      <w:r w:rsidR="00FE74AE">
        <w:t xml:space="preserve">set out and </w:t>
      </w:r>
      <w:r w:rsidR="00C547E5" w:rsidRPr="00C547E5">
        <w:t>made public.</w:t>
      </w:r>
    </w:p>
    <w:p w14:paraId="2827D437" w14:textId="50830AAD" w:rsidR="00C547E5" w:rsidRPr="00C547E5" w:rsidRDefault="000C5FB6" w:rsidP="00C547E5">
      <w:pPr>
        <w:pStyle w:val="SingleTxtG"/>
      </w:pPr>
      <w:r>
        <w:t>2</w:t>
      </w:r>
      <w:r w:rsidR="00051674">
        <w:t>1</w:t>
      </w:r>
      <w:r w:rsidR="00C547E5" w:rsidRPr="00C547E5">
        <w:t>.</w:t>
      </w:r>
      <w:r w:rsidR="00C547E5" w:rsidRPr="00C547E5">
        <w:tab/>
        <w:t xml:space="preserve">The integrity of the judicial system is further </w:t>
      </w:r>
      <w:r w:rsidR="004C000B">
        <w:t>at risk</w:t>
      </w:r>
      <w:r w:rsidR="004C000B" w:rsidRPr="00C547E5">
        <w:t xml:space="preserve"> </w:t>
      </w:r>
      <w:r w:rsidR="00C547E5" w:rsidRPr="00C547E5">
        <w:t xml:space="preserve">when States conduct extraterritorial detentions </w:t>
      </w:r>
      <w:r w:rsidR="00051674">
        <w:t xml:space="preserve">inconsistent with applicable </w:t>
      </w:r>
      <w:r w:rsidR="00C547E5" w:rsidRPr="00C547E5">
        <w:t xml:space="preserve">domestic law of the host State. This may occur, for instance, in cases of internment when the host State’s </w:t>
      </w:r>
      <w:r w:rsidR="00051674">
        <w:t xml:space="preserve">applicable </w:t>
      </w:r>
      <w:r w:rsidR="00C547E5" w:rsidRPr="00C547E5">
        <w:t xml:space="preserve">law does not permit administrative detention and only foresees detention in relation to the </w:t>
      </w:r>
      <w:r w:rsidR="00FE74AE">
        <w:t>criminal justice process</w:t>
      </w:r>
      <w:r w:rsidR="00051674">
        <w:t>, leading to lack of clarity as to applicable legal regimes</w:t>
      </w:r>
      <w:r w:rsidR="000363B9">
        <w:t xml:space="preserve">. This can also be the </w:t>
      </w:r>
      <w:r w:rsidR="0086743F">
        <w:t xml:space="preserve">case </w:t>
      </w:r>
      <w:r w:rsidR="0086743F" w:rsidRPr="00C547E5">
        <w:t>when</w:t>
      </w:r>
      <w:r w:rsidR="00C547E5" w:rsidRPr="00C547E5">
        <w:t xml:space="preserve"> detainees are transferred to the host State for criminal prosecution after detention periods that exceed those permitted by the domestic criminal process or without collecting evidence</w:t>
      </w:r>
      <w:r w:rsidR="00FE74AE">
        <w:t>, admissible before the courts of the host State</w:t>
      </w:r>
      <w:r w:rsidR="00051674">
        <w:t xml:space="preserve">, </w:t>
      </w:r>
      <w:r w:rsidR="00051674" w:rsidRPr="00C547E5">
        <w:t>to support criminal proceedings</w:t>
      </w:r>
      <w:r w:rsidR="00C547E5" w:rsidRPr="00C547E5">
        <w:t xml:space="preserve">. Concerns may also arise when States detain extraterritorially in contravention </w:t>
      </w:r>
      <w:r w:rsidR="00FE74AE">
        <w:t>of</w:t>
      </w:r>
      <w:r w:rsidR="00FE74AE" w:rsidRPr="00C547E5">
        <w:t xml:space="preserve"> </w:t>
      </w:r>
      <w:r w:rsidR="00C547E5" w:rsidRPr="00C547E5">
        <w:t>their own domestic law</w:t>
      </w:r>
      <w:r w:rsidR="00FE74AE">
        <w:t xml:space="preserve">, or </w:t>
      </w:r>
      <w:r w:rsidR="00C547E5" w:rsidRPr="00C547E5">
        <w:t xml:space="preserve">when host States amend their legislation to expand the scope of permissible </w:t>
      </w:r>
      <w:r w:rsidR="00C547E5" w:rsidRPr="00C547E5">
        <w:lastRenderedPageBreak/>
        <w:t xml:space="preserve">detention </w:t>
      </w:r>
      <w:r w:rsidR="00FE74AE">
        <w:t xml:space="preserve">beyond, </w:t>
      </w:r>
      <w:r w:rsidR="00C547E5" w:rsidRPr="00C547E5">
        <w:t>or amend criminal procedures in a manner incompatible with</w:t>
      </w:r>
      <w:r w:rsidR="00FE74AE">
        <w:t>,</w:t>
      </w:r>
      <w:r w:rsidR="00C547E5" w:rsidRPr="00C547E5">
        <w:t xml:space="preserve"> </w:t>
      </w:r>
      <w:r w:rsidR="004C000B">
        <w:t xml:space="preserve">international </w:t>
      </w:r>
      <w:r w:rsidR="00C547E5" w:rsidRPr="00C547E5">
        <w:t xml:space="preserve">human rights </w:t>
      </w:r>
      <w:r w:rsidR="004C000B">
        <w:t>law</w:t>
      </w:r>
      <w:r w:rsidR="00C547E5" w:rsidRPr="00C547E5">
        <w:t>.</w:t>
      </w:r>
    </w:p>
    <w:p w14:paraId="1B050545" w14:textId="76EEDCFD" w:rsidR="00C547E5" w:rsidRPr="00C547E5" w:rsidRDefault="000C5FB6" w:rsidP="00C547E5">
      <w:pPr>
        <w:pStyle w:val="SingleTxtG"/>
      </w:pPr>
      <w:r>
        <w:t>2</w:t>
      </w:r>
      <w:r w:rsidR="00051674">
        <w:t>2</w:t>
      </w:r>
      <w:r w:rsidR="00C547E5" w:rsidRPr="00C547E5">
        <w:t>.</w:t>
      </w:r>
      <w:r w:rsidR="00C547E5" w:rsidRPr="00C547E5">
        <w:tab/>
        <w:t>In addition, in practice</w:t>
      </w:r>
      <w:r w:rsidR="000363B9">
        <w:t>,</w:t>
      </w:r>
      <w:r w:rsidR="00C547E5" w:rsidRPr="00C547E5">
        <w:t xml:space="preserve"> procedural safeguards against arbitrary deprivation of liberty are often lacking in extraterritorial internment in armed conflict. Th</w:t>
      </w:r>
      <w:r w:rsidR="00051674">
        <w:t xml:space="preserve">ese </w:t>
      </w:r>
      <w:r w:rsidR="00C547E5" w:rsidRPr="00C547E5">
        <w:t>include failure to properly notify internees and their families of the reasons for internment or of its expected duration; absence of independent and impartial mechanisms for challenging the grounds for internment and securing release where internment is not, or is no longer, justified; and failure to explain proceedings to detainees in a language they understand.</w:t>
      </w:r>
      <w:r w:rsidR="00C547E5" w:rsidRPr="0038700A">
        <w:rPr>
          <w:rStyle w:val="FootnoteReference"/>
        </w:rPr>
        <w:footnoteReference w:id="76"/>
      </w:r>
    </w:p>
    <w:p w14:paraId="2AA7DFE4" w14:textId="718CB1A6" w:rsidR="00C547E5" w:rsidRPr="00C547E5" w:rsidRDefault="003572B7" w:rsidP="003572B7">
      <w:pPr>
        <w:pStyle w:val="H1G"/>
      </w:pPr>
      <w:r>
        <w:tab/>
      </w:r>
      <w:r w:rsidR="00C547E5" w:rsidRPr="00C547E5">
        <w:t xml:space="preserve"> </w:t>
      </w:r>
      <w:r>
        <w:tab/>
      </w:r>
      <w:r w:rsidR="00C547E5" w:rsidRPr="00E228E7">
        <w:rPr>
          <w:i/>
          <w:sz w:val="20"/>
        </w:rPr>
        <w:t>Lack of integrity of the judicial system and human rights violations in occupied territory</w:t>
      </w:r>
    </w:p>
    <w:p w14:paraId="0544EDAC" w14:textId="6C927F42" w:rsidR="00C547E5" w:rsidRPr="00C547E5" w:rsidRDefault="000C5FB6" w:rsidP="00C547E5">
      <w:pPr>
        <w:pStyle w:val="SingleTxtG"/>
      </w:pPr>
      <w:r>
        <w:t>2</w:t>
      </w:r>
      <w:r w:rsidR="00051674">
        <w:t>3</w:t>
      </w:r>
      <w:r w:rsidR="00C547E5" w:rsidRPr="00C547E5">
        <w:rPr>
          <w:lang w:val="en-US"/>
        </w:rPr>
        <w:t>.</w:t>
      </w:r>
      <w:r w:rsidR="00C547E5" w:rsidRPr="00C547E5">
        <w:tab/>
      </w:r>
      <w:r w:rsidR="00E75AF7">
        <w:t xml:space="preserve">Even </w:t>
      </w:r>
      <w:r w:rsidR="00E27BA3">
        <w:t>when</w:t>
      </w:r>
      <w:r w:rsidR="0086743F">
        <w:t xml:space="preserve"> </w:t>
      </w:r>
      <w:r w:rsidR="0086743F" w:rsidRPr="00C547E5">
        <w:t>legal</w:t>
      </w:r>
      <w:r w:rsidR="00C547E5" w:rsidRPr="00C547E5">
        <w:t xml:space="preserve"> basis or grounds and procedures </w:t>
      </w:r>
      <w:r w:rsidR="003E7547">
        <w:t xml:space="preserve">are </w:t>
      </w:r>
      <w:r w:rsidR="00C547E5" w:rsidRPr="00C547E5">
        <w:t xml:space="preserve">established in law, </w:t>
      </w:r>
      <w:r w:rsidR="00E75AF7">
        <w:t>extraterritorial</w:t>
      </w:r>
      <w:r w:rsidR="003866D9">
        <w:t xml:space="preserve"> detention </w:t>
      </w:r>
      <w:r w:rsidR="00E75AF7">
        <w:t>amount</w:t>
      </w:r>
      <w:r w:rsidR="00074806">
        <w:t>s</w:t>
      </w:r>
      <w:r w:rsidR="00E75AF7">
        <w:t xml:space="preserve"> to</w:t>
      </w:r>
      <w:r w:rsidR="00C547E5" w:rsidRPr="00C547E5">
        <w:t xml:space="preserve"> arbitrary deprivation of liberty </w:t>
      </w:r>
      <w:r w:rsidR="003866D9">
        <w:t>when</w:t>
      </w:r>
      <w:r w:rsidR="003866D9" w:rsidRPr="00C547E5">
        <w:t xml:space="preserve"> </w:t>
      </w:r>
      <w:r w:rsidR="00C547E5" w:rsidRPr="00C547E5">
        <w:t xml:space="preserve">it </w:t>
      </w:r>
      <w:r w:rsidR="00E75AF7">
        <w:t xml:space="preserve">does not conform </w:t>
      </w:r>
      <w:proofErr w:type="gramStart"/>
      <w:r w:rsidR="00E75AF7">
        <w:t>with</w:t>
      </w:r>
      <w:proofErr w:type="gramEnd"/>
      <w:r w:rsidR="00E75AF7">
        <w:t xml:space="preserve"> the</w:t>
      </w:r>
      <w:r w:rsidR="00754FCE">
        <w:t>se</w:t>
      </w:r>
      <w:r w:rsidR="00E75AF7">
        <w:t xml:space="preserve"> established grounds and </w:t>
      </w:r>
      <w:r w:rsidR="0086743F">
        <w:t>procedures,</w:t>
      </w:r>
      <w:r w:rsidR="00C547E5" w:rsidRPr="00C547E5">
        <w:t xml:space="preserve"> or when it </w:t>
      </w:r>
      <w:r w:rsidR="00E75AF7">
        <w:t>is prolonged more</w:t>
      </w:r>
      <w:r w:rsidR="00C547E5" w:rsidRPr="00C547E5">
        <w:t xml:space="preserve"> than necessary.</w:t>
      </w:r>
      <w:r w:rsidR="009E575D" w:rsidRPr="0038700A">
        <w:rPr>
          <w:rStyle w:val="FootnoteReference"/>
        </w:rPr>
        <w:footnoteReference w:id="77"/>
      </w:r>
      <w:r w:rsidR="001631DA">
        <w:t xml:space="preserve"> </w:t>
      </w:r>
      <w:r w:rsidR="003866D9">
        <w:t>Such instances include</w:t>
      </w:r>
      <w:r w:rsidR="00FE74AE">
        <w:t>, for example,</w:t>
      </w:r>
      <w:r w:rsidR="003866D9">
        <w:t xml:space="preserve"> situation</w:t>
      </w:r>
      <w:r w:rsidR="00B955FA">
        <w:t>s</w:t>
      </w:r>
      <w:r w:rsidR="003866D9">
        <w:t xml:space="preserve"> when </w:t>
      </w:r>
      <w:r w:rsidR="00FE74AE">
        <w:t>a</w:t>
      </w:r>
      <w:r w:rsidR="00C547E5" w:rsidRPr="00C547E5">
        <w:t xml:space="preserve"> State</w:t>
      </w:r>
      <w:r w:rsidR="00FE74AE">
        <w:t>,</w:t>
      </w:r>
      <w:r w:rsidR="00C547E5" w:rsidRPr="00C547E5">
        <w:t xml:space="preserve"> acting as an occupying power</w:t>
      </w:r>
      <w:r w:rsidR="00FE74AE">
        <w:t>,</w:t>
      </w:r>
      <w:r w:rsidR="00C547E5" w:rsidRPr="00C547E5">
        <w:t xml:space="preserve"> </w:t>
      </w:r>
      <w:r w:rsidR="003E3C62" w:rsidRPr="00C547E5">
        <w:t>detaine</w:t>
      </w:r>
      <w:r w:rsidR="003E3C62">
        <w:t>es</w:t>
      </w:r>
      <w:r w:rsidR="00C547E5" w:rsidRPr="00C547E5">
        <w:t xml:space="preserve"> persons from</w:t>
      </w:r>
      <w:r w:rsidR="001631DA">
        <w:t xml:space="preserve"> </w:t>
      </w:r>
      <w:r w:rsidR="00C547E5" w:rsidRPr="00C547E5">
        <w:t>an occupied territory without establishing that the interned persons pose a present, direct and imperative threat that cannot be addressed by alternative measures; when internment last</w:t>
      </w:r>
      <w:r w:rsidR="00B42DA3">
        <w:t>s</w:t>
      </w:r>
      <w:r w:rsidR="00C547E5" w:rsidRPr="00C547E5">
        <w:t xml:space="preserve"> indefinitely or longer than absolutely necessary; </w:t>
      </w:r>
      <w:r w:rsidR="00074806">
        <w:t>and</w:t>
      </w:r>
      <w:r w:rsidR="00FF61B0">
        <w:t xml:space="preserve"> </w:t>
      </w:r>
      <w:r w:rsidR="00C547E5" w:rsidRPr="00C547E5">
        <w:t xml:space="preserve">the absence of prompt and regular review </w:t>
      </w:r>
      <w:r w:rsidR="00C547E5" w:rsidRPr="00C547E5">
        <w:rPr>
          <w:bCs/>
        </w:rPr>
        <w:t xml:space="preserve">by </w:t>
      </w:r>
      <w:r w:rsidR="00C547E5" w:rsidRPr="00C547E5">
        <w:t>an independent and impartial tribunal</w:t>
      </w:r>
      <w:r w:rsidR="00074806">
        <w:t>,</w:t>
      </w:r>
      <w:r w:rsidR="00C547E5" w:rsidRPr="00C547E5">
        <w:t xml:space="preserve"> with </w:t>
      </w:r>
      <w:r w:rsidR="00074806">
        <w:t xml:space="preserve">appropriate </w:t>
      </w:r>
      <w:r w:rsidR="00C547E5" w:rsidRPr="00C547E5">
        <w:t xml:space="preserve">access to independent legal advice; </w:t>
      </w:r>
      <w:r w:rsidR="00074806">
        <w:t xml:space="preserve">and </w:t>
      </w:r>
      <w:r w:rsidR="00C547E5" w:rsidRPr="00C547E5">
        <w:t>disclosure of, at least, the essence of the evidence on which the decision to detain was taken.</w:t>
      </w:r>
      <w:r w:rsidR="00C547E5" w:rsidRPr="0038700A">
        <w:rPr>
          <w:rStyle w:val="FootnoteReference"/>
        </w:rPr>
        <w:footnoteReference w:id="78"/>
      </w:r>
      <w:r w:rsidR="00C547E5" w:rsidRPr="00C547E5">
        <w:t xml:space="preserve">  </w:t>
      </w:r>
      <w:r w:rsidR="003866D9">
        <w:t>A</w:t>
      </w:r>
      <w:r w:rsidR="00C547E5" w:rsidRPr="00C547E5">
        <w:t xml:space="preserve">rbitrary detention in occupied territory has </w:t>
      </w:r>
      <w:r w:rsidR="00E27BA3">
        <w:t xml:space="preserve">also </w:t>
      </w:r>
      <w:r w:rsidR="00C547E5" w:rsidRPr="00C547E5">
        <w:t>involved arrests taking place entirely outside of any legal framework</w:t>
      </w:r>
      <w:r w:rsidR="00074806">
        <w:t>,</w:t>
      </w:r>
      <w:r w:rsidR="00C547E5" w:rsidRPr="00C547E5">
        <w:t xml:space="preserve"> combined with incommunicado detention and torture to obtain information or extract confessions, as well as apparent cases of enforced disappearances.</w:t>
      </w:r>
      <w:r w:rsidR="00C547E5" w:rsidRPr="0038700A">
        <w:rPr>
          <w:rStyle w:val="FootnoteReference"/>
        </w:rPr>
        <w:footnoteReference w:id="79"/>
      </w:r>
      <w:r w:rsidR="00C547E5" w:rsidRPr="00C547E5">
        <w:t xml:space="preserve"> </w:t>
      </w:r>
      <w:r w:rsidR="00074806">
        <w:t>Such practices are, by their nature, flagrantly inconsistent with the integrity of the judicial system.</w:t>
      </w:r>
    </w:p>
    <w:p w14:paraId="405E89AB" w14:textId="3E2B6F94" w:rsidR="00C547E5" w:rsidRPr="00C547E5" w:rsidRDefault="000C5FB6" w:rsidP="00C547E5">
      <w:pPr>
        <w:pStyle w:val="SingleTxtG"/>
        <w:rPr>
          <w:lang w:val="en-US"/>
        </w:rPr>
      </w:pPr>
      <w:r>
        <w:t>2</w:t>
      </w:r>
      <w:r w:rsidR="00051674">
        <w:t>4</w:t>
      </w:r>
      <w:r w:rsidR="00C547E5" w:rsidRPr="00C547E5">
        <w:t>.</w:t>
      </w:r>
      <w:r w:rsidR="00C547E5" w:rsidRPr="00C547E5">
        <w:tab/>
      </w:r>
      <w:r w:rsidR="00E27BA3">
        <w:t xml:space="preserve">Furthermore, </w:t>
      </w:r>
      <w:r w:rsidR="00B42DA3">
        <w:t xml:space="preserve">applicable </w:t>
      </w:r>
      <w:r w:rsidR="00E27BA3">
        <w:t>d</w:t>
      </w:r>
      <w:r w:rsidR="00C547E5" w:rsidRPr="00C547E5">
        <w:t>ue process and fair trial guarantees prescribed under</w:t>
      </w:r>
      <w:r w:rsidR="003866D9">
        <w:t xml:space="preserve"> international human rights law and international humanitarian </w:t>
      </w:r>
      <w:r w:rsidR="0086743F">
        <w:t xml:space="preserve">law </w:t>
      </w:r>
      <w:r w:rsidR="0086743F" w:rsidRPr="00C547E5">
        <w:t>have</w:t>
      </w:r>
      <w:r w:rsidR="00C547E5" w:rsidRPr="00C547E5">
        <w:t xml:space="preserve"> often been disregarded by occupying powers. In some instances, </w:t>
      </w:r>
      <w:r w:rsidR="00B42DA3">
        <w:t>an</w:t>
      </w:r>
      <w:r w:rsidR="00B42DA3" w:rsidRPr="00C547E5">
        <w:t xml:space="preserve"> </w:t>
      </w:r>
      <w:r w:rsidR="00C547E5" w:rsidRPr="00C547E5">
        <w:t xml:space="preserve">occupying power applied its </w:t>
      </w:r>
      <w:r w:rsidR="00B42DA3">
        <w:t xml:space="preserve">own </w:t>
      </w:r>
      <w:r w:rsidR="00C547E5" w:rsidRPr="00C547E5">
        <w:t xml:space="preserve">domestic criminal legislation </w:t>
      </w:r>
      <w:r w:rsidR="00C547E5" w:rsidRPr="00C547E5">
        <w:rPr>
          <w:lang w:val="en-US"/>
        </w:rPr>
        <w:t>retroactively</w:t>
      </w:r>
      <w:r w:rsidR="00B42DA3">
        <w:rPr>
          <w:lang w:val="en-US"/>
        </w:rPr>
        <w:t xml:space="preserve"> within occupied territory</w:t>
      </w:r>
      <w:r w:rsidR="00C547E5" w:rsidRPr="0038700A">
        <w:rPr>
          <w:rStyle w:val="FootnoteReference"/>
        </w:rPr>
        <w:footnoteReference w:id="80"/>
      </w:r>
      <w:r w:rsidR="00C547E5" w:rsidRPr="00C547E5">
        <w:rPr>
          <w:lang w:val="en-US"/>
        </w:rPr>
        <w:t xml:space="preserve"> - in contravention </w:t>
      </w:r>
      <w:r w:rsidR="00B42DA3">
        <w:rPr>
          <w:lang w:val="en-US"/>
        </w:rPr>
        <w:t>of</w:t>
      </w:r>
      <w:r w:rsidR="00B42DA3" w:rsidRPr="00C547E5">
        <w:rPr>
          <w:lang w:val="en-US"/>
        </w:rPr>
        <w:t xml:space="preserve"> </w:t>
      </w:r>
      <w:r w:rsidR="00C547E5" w:rsidRPr="00C547E5">
        <w:rPr>
          <w:lang w:val="en-US"/>
        </w:rPr>
        <w:t>the principle of legality</w:t>
      </w:r>
      <w:r w:rsidR="00E27BA3">
        <w:rPr>
          <w:lang w:val="en-US"/>
        </w:rPr>
        <w:t>,</w:t>
      </w:r>
      <w:r w:rsidR="00C547E5" w:rsidRPr="00C547E5">
        <w:rPr>
          <w:lang w:val="en-US"/>
        </w:rPr>
        <w:t xml:space="preserve"> </w:t>
      </w:r>
      <w:r w:rsidR="00E27BA3">
        <w:rPr>
          <w:lang w:val="en-US"/>
        </w:rPr>
        <w:t xml:space="preserve">with </w:t>
      </w:r>
      <w:r w:rsidR="00C547E5" w:rsidRPr="00C547E5">
        <w:rPr>
          <w:lang w:val="en-US"/>
        </w:rPr>
        <w:t xml:space="preserve">the obligation to maintain the penal legislation in force in the occupied territory and to apply it in court, and </w:t>
      </w:r>
      <w:r w:rsidR="00E27BA3">
        <w:rPr>
          <w:lang w:val="en-US"/>
        </w:rPr>
        <w:t xml:space="preserve">with </w:t>
      </w:r>
      <w:r w:rsidR="00C547E5" w:rsidRPr="00C547E5">
        <w:rPr>
          <w:lang w:val="en-US"/>
        </w:rPr>
        <w:t>the prohibition to arrest, prosecute or convict protected persons for acts committed or opinions expressed prior to the occupation.</w:t>
      </w:r>
      <w:r w:rsidR="00C547E5" w:rsidRPr="0038700A">
        <w:rPr>
          <w:rStyle w:val="FootnoteReference"/>
        </w:rPr>
        <w:footnoteReference w:id="81"/>
      </w:r>
      <w:r w:rsidR="00C547E5" w:rsidRPr="00C547E5">
        <w:rPr>
          <w:lang w:val="en-US"/>
        </w:rPr>
        <w:t xml:space="preserve"> Persons prosecuted by the occupying power </w:t>
      </w:r>
      <w:r w:rsidR="00B42DA3">
        <w:rPr>
          <w:lang w:val="en-US"/>
        </w:rPr>
        <w:t xml:space="preserve">have also been </w:t>
      </w:r>
      <w:r w:rsidR="00C547E5" w:rsidRPr="00C547E5">
        <w:rPr>
          <w:lang w:val="en-US"/>
        </w:rPr>
        <w:t>pressured not to use independent legal counsel of their choice,</w:t>
      </w:r>
      <w:r w:rsidR="00C547E5" w:rsidRPr="0038700A">
        <w:rPr>
          <w:rStyle w:val="FootnoteReference"/>
        </w:rPr>
        <w:footnoteReference w:id="82"/>
      </w:r>
      <w:r w:rsidR="00C547E5" w:rsidRPr="00C547E5">
        <w:rPr>
          <w:lang w:val="en-US"/>
        </w:rPr>
        <w:t xml:space="preserve"> </w:t>
      </w:r>
      <w:r w:rsidR="00B42DA3">
        <w:rPr>
          <w:lang w:val="en-US"/>
        </w:rPr>
        <w:t xml:space="preserve">been </w:t>
      </w:r>
      <w:r w:rsidR="00C547E5" w:rsidRPr="00C547E5">
        <w:rPr>
          <w:lang w:val="en-US"/>
        </w:rPr>
        <w:t xml:space="preserve">denied access to legal counsel for extended periods, and </w:t>
      </w:r>
      <w:r w:rsidR="00B42DA3">
        <w:rPr>
          <w:lang w:val="en-US"/>
        </w:rPr>
        <w:t xml:space="preserve">been </w:t>
      </w:r>
      <w:r w:rsidR="00C547E5" w:rsidRPr="00C547E5">
        <w:rPr>
          <w:lang w:val="en-US"/>
        </w:rPr>
        <w:t>coerced to provide incriminating information.</w:t>
      </w:r>
      <w:r w:rsidR="00C547E5" w:rsidRPr="0038700A">
        <w:rPr>
          <w:rStyle w:val="FootnoteReference"/>
        </w:rPr>
        <w:footnoteReference w:id="83"/>
      </w:r>
      <w:r w:rsidR="00C547E5" w:rsidRPr="00C547E5">
        <w:rPr>
          <w:lang w:val="en-US"/>
        </w:rPr>
        <w:t xml:space="preserve">  In some contexts, violations of due process rights </w:t>
      </w:r>
      <w:r w:rsidR="00B42DA3">
        <w:rPr>
          <w:lang w:val="en-US"/>
        </w:rPr>
        <w:t xml:space="preserve">have </w:t>
      </w:r>
      <w:r w:rsidR="00C547E5" w:rsidRPr="00C547E5">
        <w:rPr>
          <w:lang w:val="en-US"/>
        </w:rPr>
        <w:t>occurred during the arrest, transfer, and detention of children,</w:t>
      </w:r>
      <w:r w:rsidR="00DB73F3">
        <w:rPr>
          <w:lang w:val="en-US"/>
        </w:rPr>
        <w:t xml:space="preserve"> </w:t>
      </w:r>
      <w:r w:rsidR="00C547E5" w:rsidRPr="00C547E5">
        <w:rPr>
          <w:lang w:val="en-US"/>
        </w:rPr>
        <w:t xml:space="preserve">including not being adequately notified of their legal rights, in particular the right to counsel and the right to remain silent; being forced to sign confessions in a language they </w:t>
      </w:r>
      <w:r w:rsidR="00E27BA3">
        <w:rPr>
          <w:lang w:val="en-US"/>
        </w:rPr>
        <w:t>did</w:t>
      </w:r>
      <w:r w:rsidR="00C547E5" w:rsidRPr="00C547E5">
        <w:rPr>
          <w:lang w:val="en-US"/>
        </w:rPr>
        <w:t xml:space="preserve"> understand; and not being accompanied by a parent or lawyer during their interrogation.</w:t>
      </w:r>
      <w:bookmarkStart w:id="5" w:name="_Ref441046489"/>
      <w:r w:rsidR="00C547E5" w:rsidRPr="0038700A">
        <w:rPr>
          <w:rStyle w:val="FootnoteReference"/>
        </w:rPr>
        <w:footnoteReference w:id="84"/>
      </w:r>
      <w:bookmarkEnd w:id="5"/>
    </w:p>
    <w:p w14:paraId="05D44914" w14:textId="79D6CB60" w:rsidR="00C547E5" w:rsidRPr="00C547E5" w:rsidRDefault="000C5FB6" w:rsidP="00C547E5">
      <w:pPr>
        <w:pStyle w:val="SingleTxtG"/>
        <w:rPr>
          <w:lang w:val="en-US"/>
        </w:rPr>
      </w:pPr>
      <w:r>
        <w:rPr>
          <w:lang w:val="en-US"/>
        </w:rPr>
        <w:t>2</w:t>
      </w:r>
      <w:r w:rsidR="00051674">
        <w:rPr>
          <w:lang w:val="en-US"/>
        </w:rPr>
        <w:t>5</w:t>
      </w:r>
      <w:r w:rsidR="00C547E5" w:rsidRPr="00C547E5">
        <w:rPr>
          <w:lang w:val="en-US"/>
        </w:rPr>
        <w:t>.</w:t>
      </w:r>
      <w:r w:rsidR="00C547E5" w:rsidRPr="00C547E5">
        <w:rPr>
          <w:lang w:val="en-US"/>
        </w:rPr>
        <w:tab/>
        <w:t>Additionally</w:t>
      </w:r>
      <w:r w:rsidR="00E27BA3">
        <w:rPr>
          <w:lang w:val="en-US"/>
        </w:rPr>
        <w:t>,</w:t>
      </w:r>
      <w:r w:rsidR="00C547E5" w:rsidRPr="00C547E5">
        <w:rPr>
          <w:lang w:val="en-US"/>
        </w:rPr>
        <w:t xml:space="preserve"> persons detained in occupied territory have endured unlawful conditions of detention without obtaining protection from the judicial authorities and in a manner </w:t>
      </w:r>
      <w:r w:rsidR="00C547E5" w:rsidRPr="00C547E5">
        <w:rPr>
          <w:lang w:val="en-US"/>
        </w:rPr>
        <w:lastRenderedPageBreak/>
        <w:t xml:space="preserve">compromising the judicial process. </w:t>
      </w:r>
      <w:r w:rsidR="00E27BA3">
        <w:rPr>
          <w:lang w:val="en-US"/>
        </w:rPr>
        <w:t>D</w:t>
      </w:r>
      <w:r w:rsidR="00C547E5" w:rsidRPr="00C547E5">
        <w:rPr>
          <w:lang w:val="en-US"/>
        </w:rPr>
        <w:t xml:space="preserve">etainees in occupied territory have been subjected to </w:t>
      </w:r>
      <w:r w:rsidR="00434AF6">
        <w:rPr>
          <w:lang w:val="en-US"/>
        </w:rPr>
        <w:t xml:space="preserve">torture and </w:t>
      </w:r>
      <w:r w:rsidR="00C547E5" w:rsidRPr="00C547E5">
        <w:rPr>
          <w:lang w:val="en-US"/>
        </w:rPr>
        <w:t>ill-treatment as a punishment or to extort confessions or to obtain specific information.</w:t>
      </w:r>
      <w:r w:rsidR="00DB73F3">
        <w:rPr>
          <w:rStyle w:val="FootnoteReference"/>
          <w:lang w:val="en-US"/>
        </w:rPr>
        <w:footnoteReference w:id="85"/>
      </w:r>
      <w:r w:rsidR="00C547E5" w:rsidRPr="00C547E5">
        <w:rPr>
          <w:lang w:val="en-US"/>
        </w:rPr>
        <w:t xml:space="preserve"> They have also been held in incommunicado detention or under conditions amounting to cruel, inhuman or degrading treatment, and have been denied access to medical care and deprived of food and water before court hearings.</w:t>
      </w:r>
      <w:r w:rsidR="00C547E5" w:rsidRPr="0038700A">
        <w:rPr>
          <w:rStyle w:val="FootnoteReference"/>
        </w:rPr>
        <w:footnoteReference w:id="86"/>
      </w:r>
      <w:r w:rsidR="00C547E5" w:rsidRPr="00C547E5">
        <w:rPr>
          <w:vertAlign w:val="superscript"/>
          <w:lang w:val="en-US"/>
        </w:rPr>
        <w:t xml:space="preserve"> </w:t>
      </w:r>
      <w:r w:rsidR="00C547E5" w:rsidRPr="00C547E5">
        <w:rPr>
          <w:lang w:val="en-US"/>
        </w:rPr>
        <w:t>Children detained have likewise endured ill-treatment</w:t>
      </w:r>
      <w:r w:rsidR="00E27BA3">
        <w:rPr>
          <w:lang w:val="en-US"/>
        </w:rPr>
        <w:t>,</w:t>
      </w:r>
      <w:r w:rsidR="00C547E5" w:rsidRPr="00C547E5">
        <w:rPr>
          <w:lang w:val="en-US"/>
        </w:rPr>
        <w:t xml:space="preserve"> including physical abuse during arrest and interrogation</w:t>
      </w:r>
      <w:r w:rsidR="00B42DA3">
        <w:rPr>
          <w:lang w:val="en-US"/>
        </w:rPr>
        <w:t xml:space="preserve">, </w:t>
      </w:r>
      <w:r w:rsidR="00C547E5" w:rsidRPr="00C547E5">
        <w:rPr>
          <w:lang w:val="en-US"/>
        </w:rPr>
        <w:t>deprivation of adequate food and water</w:t>
      </w:r>
      <w:r w:rsidR="00B42DA3">
        <w:rPr>
          <w:lang w:val="en-US"/>
        </w:rPr>
        <w:t>,</w:t>
      </w:r>
      <w:r w:rsidR="00C547E5" w:rsidRPr="00C547E5">
        <w:rPr>
          <w:lang w:val="en-US"/>
        </w:rPr>
        <w:t xml:space="preserve"> and exposure to harsh weather conditions during arrest and transfer to interrogation.</w:t>
      </w:r>
      <w:r w:rsidR="00C547E5" w:rsidRPr="0038700A">
        <w:rPr>
          <w:rStyle w:val="FootnoteReference"/>
        </w:rPr>
        <w:footnoteReference w:id="87"/>
      </w:r>
      <w:r w:rsidR="00C547E5" w:rsidRPr="00C547E5">
        <w:rPr>
          <w:vertAlign w:val="superscript"/>
          <w:lang w:val="en-US"/>
        </w:rPr>
        <w:t xml:space="preserve"> </w:t>
      </w:r>
      <w:r w:rsidR="00C547E5" w:rsidRPr="00C547E5">
        <w:rPr>
          <w:lang w:val="en-US"/>
        </w:rPr>
        <w:t xml:space="preserve">Detainees from other vulnerable groups, such </w:t>
      </w:r>
      <w:r w:rsidR="00C547E5" w:rsidRPr="003E3C62">
        <w:rPr>
          <w:lang w:val="en-US"/>
        </w:rPr>
        <w:t xml:space="preserve">as </w:t>
      </w:r>
      <w:r w:rsidR="0065085F" w:rsidRPr="003E3C62">
        <w:rPr>
          <w:lang w:val="en-US"/>
        </w:rPr>
        <w:t>elderly and persons with disabilities,</w:t>
      </w:r>
      <w:r w:rsidR="00C547E5" w:rsidRPr="003E3C62">
        <w:rPr>
          <w:lang w:val="en-US"/>
        </w:rPr>
        <w:t xml:space="preserve"> have also endured ill-treatment.</w:t>
      </w:r>
      <w:r w:rsidR="00C547E5" w:rsidRPr="003E3C62">
        <w:rPr>
          <w:rStyle w:val="FootnoteReference"/>
        </w:rPr>
        <w:footnoteReference w:id="88"/>
      </w:r>
    </w:p>
    <w:p w14:paraId="3C044395" w14:textId="4629B518" w:rsidR="00C547E5" w:rsidRPr="00C547E5" w:rsidRDefault="003572B7" w:rsidP="003572B7">
      <w:pPr>
        <w:pStyle w:val="H1G"/>
      </w:pPr>
      <w:r>
        <w:tab/>
      </w:r>
      <w:r>
        <w:tab/>
      </w:r>
      <w:r w:rsidR="00072F89">
        <w:rPr>
          <w:i/>
          <w:sz w:val="20"/>
        </w:rPr>
        <w:t>Transfers</w:t>
      </w:r>
    </w:p>
    <w:p w14:paraId="0AA17144" w14:textId="23D7E67A" w:rsidR="00B42DA3" w:rsidRDefault="000C5FB6" w:rsidP="00C547E5">
      <w:pPr>
        <w:pStyle w:val="SingleTxtG"/>
        <w:rPr>
          <w:lang w:val="en-US"/>
        </w:rPr>
      </w:pPr>
      <w:r>
        <w:t>2</w:t>
      </w:r>
      <w:r w:rsidR="00051674">
        <w:t>6</w:t>
      </w:r>
      <w:r w:rsidR="00C547E5" w:rsidRPr="00C547E5">
        <w:t>.</w:t>
      </w:r>
      <w:r w:rsidR="00C547E5" w:rsidRPr="00C547E5">
        <w:tab/>
      </w:r>
      <w:r w:rsidR="00DB73F3">
        <w:t>International humanitarian law</w:t>
      </w:r>
      <w:r w:rsidR="00DB73F3" w:rsidRPr="00C547E5">
        <w:t xml:space="preserve"> </w:t>
      </w:r>
      <w:r w:rsidR="00C547E5" w:rsidRPr="00C547E5">
        <w:t xml:space="preserve">contains provisions regulating the transfer of detainees in international armed conflict. </w:t>
      </w:r>
      <w:r w:rsidR="003F4C8F" w:rsidRPr="00C547E5">
        <w:rPr>
          <w:lang w:val="en-US"/>
        </w:rPr>
        <w:t xml:space="preserve">With regard to POWs and protected persons detained in the State’s own territory, </w:t>
      </w:r>
      <w:r w:rsidR="003F4C8F">
        <w:rPr>
          <w:lang w:val="en-US"/>
        </w:rPr>
        <w:t>international humanitarian law</w:t>
      </w:r>
      <w:r w:rsidR="003F4C8F" w:rsidRPr="00C547E5">
        <w:rPr>
          <w:lang w:val="en-US"/>
        </w:rPr>
        <w:t xml:space="preserve"> permits transfer for detention by another State only when the transferring State has satisfied strict obligations to ensure that detainee protection will be maintained in full. This includes an obligation on the transferring State to </w:t>
      </w:r>
      <w:r w:rsidR="003F4C8F" w:rsidRPr="00C547E5">
        <w:rPr>
          <w:bCs/>
          <w:lang w:val="en-US"/>
        </w:rPr>
        <w:t>take effective measures to correct the situation if the receiving State fails to provide the required protection, including a duty to request return of the detainees, a request that must be complied with.</w:t>
      </w:r>
      <w:r w:rsidR="003F4C8F" w:rsidRPr="0038700A">
        <w:rPr>
          <w:rStyle w:val="FootnoteReference"/>
        </w:rPr>
        <w:footnoteReference w:id="89"/>
      </w:r>
      <w:r w:rsidR="003F4C8F" w:rsidRPr="00C547E5">
        <w:rPr>
          <w:lang w:val="en-US"/>
        </w:rPr>
        <w:t xml:space="preserve"> </w:t>
      </w:r>
      <w:r w:rsidR="00C547E5" w:rsidRPr="00C547E5">
        <w:t xml:space="preserve">With respect to occupied territory, it </w:t>
      </w:r>
      <w:r w:rsidR="003F4C8F" w:rsidRPr="00C547E5">
        <w:t xml:space="preserve">mandates that they be detained only in the occupied territory </w:t>
      </w:r>
      <w:r w:rsidR="003F4C8F">
        <w:t xml:space="preserve">and </w:t>
      </w:r>
      <w:r w:rsidR="00C547E5" w:rsidRPr="00C547E5">
        <w:t>prohibits forcibly transferring protected persons</w:t>
      </w:r>
      <w:r w:rsidR="00BC7A1B">
        <w:t xml:space="preserve"> outside the occupied territory</w:t>
      </w:r>
      <w:r w:rsidR="00C547E5" w:rsidRPr="00C547E5">
        <w:t>.</w:t>
      </w:r>
      <w:r w:rsidR="00C547E5" w:rsidRPr="0038700A">
        <w:rPr>
          <w:rStyle w:val="FootnoteReference"/>
        </w:rPr>
        <w:footnoteReference w:id="90"/>
      </w:r>
      <w:r w:rsidR="00C547E5" w:rsidRPr="00C547E5">
        <w:rPr>
          <w:vertAlign w:val="superscript"/>
          <w:lang w:val="en-US"/>
        </w:rPr>
        <w:t xml:space="preserve"> </w:t>
      </w:r>
      <w:r w:rsidR="00B42DA3">
        <w:rPr>
          <w:lang w:val="en-US"/>
        </w:rPr>
        <w:t xml:space="preserve">The principle of </w:t>
      </w:r>
      <w:r w:rsidR="00B42DA3" w:rsidRPr="00B42DA3">
        <w:rPr>
          <w:i/>
          <w:lang w:val="en-US"/>
        </w:rPr>
        <w:t>non-</w:t>
      </w:r>
      <w:proofErr w:type="spellStart"/>
      <w:r w:rsidR="00B42DA3" w:rsidRPr="00B42DA3">
        <w:rPr>
          <w:i/>
          <w:lang w:val="en-US"/>
        </w:rPr>
        <w:t>refoulement</w:t>
      </w:r>
      <w:proofErr w:type="spellEnd"/>
      <w:r w:rsidR="00B42DA3">
        <w:rPr>
          <w:lang w:val="en-US"/>
        </w:rPr>
        <w:t xml:space="preserve"> in international human rights law is equally applicable </w:t>
      </w:r>
      <w:r w:rsidR="00754FCE">
        <w:rPr>
          <w:lang w:val="en-US"/>
        </w:rPr>
        <w:t xml:space="preserve">to </w:t>
      </w:r>
      <w:r w:rsidR="00B42DA3">
        <w:rPr>
          <w:lang w:val="en-US"/>
        </w:rPr>
        <w:t xml:space="preserve">such transfers to </w:t>
      </w:r>
      <w:r w:rsidR="00072F89">
        <w:rPr>
          <w:lang w:val="en-US"/>
        </w:rPr>
        <w:t>the authority of another State.</w:t>
      </w:r>
    </w:p>
    <w:p w14:paraId="6E82F1C7" w14:textId="404D2FD5" w:rsidR="00C547E5" w:rsidRPr="00C547E5" w:rsidRDefault="00DB10C9" w:rsidP="00C547E5">
      <w:pPr>
        <w:pStyle w:val="SingleTxtG"/>
      </w:pPr>
      <w:r>
        <w:rPr>
          <w:lang w:val="en-US"/>
        </w:rPr>
        <w:t>2</w:t>
      </w:r>
      <w:r w:rsidR="00051674">
        <w:rPr>
          <w:lang w:val="en-US"/>
        </w:rPr>
        <w:t>7</w:t>
      </w:r>
      <w:r w:rsidR="00B42DA3">
        <w:rPr>
          <w:lang w:val="en-US"/>
        </w:rPr>
        <w:t>.</w:t>
      </w:r>
      <w:r w:rsidR="00B42DA3">
        <w:rPr>
          <w:lang w:val="en-US"/>
        </w:rPr>
        <w:tab/>
        <w:t>W</w:t>
      </w:r>
      <w:r w:rsidR="00C547E5" w:rsidRPr="00C547E5">
        <w:rPr>
          <w:lang w:val="en-US"/>
        </w:rPr>
        <w:t xml:space="preserve">hile </w:t>
      </w:r>
      <w:r w:rsidR="00DB73F3">
        <w:rPr>
          <w:lang w:val="en-US"/>
        </w:rPr>
        <w:t>international humanitarian law</w:t>
      </w:r>
      <w:r w:rsidR="00C547E5" w:rsidRPr="00C547E5">
        <w:t xml:space="preserve"> does not contain specific rules on detainee transfers in non-international armed conflict,</w:t>
      </w:r>
      <w:r w:rsidR="00C547E5" w:rsidRPr="0038700A">
        <w:rPr>
          <w:rStyle w:val="FootnoteReference"/>
        </w:rPr>
        <w:footnoteReference w:id="91"/>
      </w:r>
      <w:r w:rsidR="00C547E5" w:rsidRPr="00C547E5">
        <w:t xml:space="preserve"> such transfers are subject to the </w:t>
      </w:r>
      <w:r w:rsidR="00074806">
        <w:t xml:space="preserve">general </w:t>
      </w:r>
      <w:r w:rsidR="00C547E5" w:rsidRPr="00C547E5">
        <w:t xml:space="preserve">principle of </w:t>
      </w:r>
      <w:r w:rsidR="00C547E5" w:rsidRPr="00C547E5">
        <w:rPr>
          <w:i/>
        </w:rPr>
        <w:t>non</w:t>
      </w:r>
      <w:r w:rsidR="00C547E5" w:rsidRPr="00C547E5">
        <w:t>-</w:t>
      </w:r>
      <w:proofErr w:type="spellStart"/>
      <w:r w:rsidR="00C547E5" w:rsidRPr="00C547E5">
        <w:rPr>
          <w:i/>
        </w:rPr>
        <w:t>refoulement</w:t>
      </w:r>
      <w:proofErr w:type="spellEnd"/>
      <w:r w:rsidR="00C547E5" w:rsidRPr="00C547E5">
        <w:t xml:space="preserve">. Accordingly, the transferring State is obliged to conduct assessments </w:t>
      </w:r>
      <w:r w:rsidR="00B42DA3">
        <w:t>of relevant risk</w:t>
      </w:r>
      <w:r w:rsidR="00074806">
        <w:t>s of irreparable harm</w:t>
      </w:r>
      <w:r w:rsidR="00B42DA3">
        <w:t xml:space="preserve"> </w:t>
      </w:r>
      <w:r w:rsidR="00C547E5" w:rsidRPr="00C547E5">
        <w:t>and</w:t>
      </w:r>
      <w:r w:rsidR="00570931">
        <w:t>, where real</w:t>
      </w:r>
      <w:r w:rsidR="00B42DA3">
        <w:t xml:space="preserve"> risk exists,</w:t>
      </w:r>
      <w:r w:rsidR="00C547E5" w:rsidRPr="00C547E5">
        <w:t xml:space="preserve"> to </w:t>
      </w:r>
      <w:r w:rsidR="00074806">
        <w:t xml:space="preserve">sufficiently address and mitigate it. </w:t>
      </w:r>
      <w:r w:rsidR="00C547E5" w:rsidRPr="0038700A">
        <w:rPr>
          <w:rStyle w:val="FootnoteReference"/>
        </w:rPr>
        <w:footnoteReference w:id="92"/>
      </w:r>
      <w:r w:rsidR="00C547E5" w:rsidRPr="00C547E5">
        <w:t xml:space="preserve"> When risk assessments indicate that </w:t>
      </w:r>
      <w:r w:rsidR="003F4C8F">
        <w:t xml:space="preserve">the </w:t>
      </w:r>
      <w:r w:rsidR="00C547E5" w:rsidRPr="00C547E5">
        <w:t xml:space="preserve">transfer would violate the principle of </w:t>
      </w:r>
      <w:r w:rsidR="00C547E5" w:rsidRPr="00C547E5">
        <w:rPr>
          <w:i/>
        </w:rPr>
        <w:t>non</w:t>
      </w:r>
      <w:r w:rsidR="00C547E5" w:rsidRPr="00C547E5">
        <w:t>-</w:t>
      </w:r>
      <w:proofErr w:type="spellStart"/>
      <w:r w:rsidR="00C547E5" w:rsidRPr="00C547E5">
        <w:rPr>
          <w:i/>
        </w:rPr>
        <w:t>refoulement</w:t>
      </w:r>
      <w:proofErr w:type="spellEnd"/>
      <w:r w:rsidR="00C547E5" w:rsidRPr="00C547E5">
        <w:rPr>
          <w:i/>
        </w:rPr>
        <w:t>,</w:t>
      </w:r>
      <w:r w:rsidR="00C547E5" w:rsidRPr="00C547E5">
        <w:t xml:space="preserve"> the State which detained </w:t>
      </w:r>
      <w:r w:rsidR="00C547E5" w:rsidRPr="003E3C62">
        <w:t xml:space="preserve">extraterritorially will be </w:t>
      </w:r>
      <w:r w:rsidR="00754FCE" w:rsidRPr="003E3C62">
        <w:t>required</w:t>
      </w:r>
      <w:r w:rsidR="00C547E5" w:rsidRPr="003E3C62">
        <w:t xml:space="preserve"> to either detain</w:t>
      </w:r>
      <w:r w:rsidR="00754FCE" w:rsidRPr="003E3C62">
        <w:t xml:space="preserve"> the individual on an alternative appropriate legal basis</w:t>
      </w:r>
      <w:r w:rsidR="00C547E5" w:rsidRPr="003E3C62">
        <w:t xml:space="preserve"> or to release the </w:t>
      </w:r>
      <w:r w:rsidR="00097952" w:rsidRPr="003E3C62">
        <w:t>individual</w:t>
      </w:r>
      <w:r w:rsidR="00C547E5" w:rsidRPr="003E3C62">
        <w:t>.</w:t>
      </w:r>
      <w:r w:rsidR="00C547E5" w:rsidRPr="003E3C62">
        <w:rPr>
          <w:rStyle w:val="FootnoteReference"/>
        </w:rPr>
        <w:footnoteReference w:id="93"/>
      </w:r>
    </w:p>
    <w:p w14:paraId="30824259" w14:textId="4E205B32" w:rsidR="00C547E5" w:rsidRPr="00C547E5" w:rsidRDefault="000C5FB6" w:rsidP="00C547E5">
      <w:pPr>
        <w:pStyle w:val="SingleTxtG"/>
      </w:pPr>
      <w:r>
        <w:t>2</w:t>
      </w:r>
      <w:r w:rsidR="00051674">
        <w:t>8</w:t>
      </w:r>
      <w:r w:rsidR="00C547E5" w:rsidRPr="00C547E5">
        <w:t>.</w:t>
      </w:r>
      <w:r w:rsidR="00C547E5" w:rsidRPr="00C547E5">
        <w:tab/>
        <w:t xml:space="preserve">In practice, detainees have been transferred despite these </w:t>
      </w:r>
      <w:r w:rsidR="00DB73F3">
        <w:t>obligations</w:t>
      </w:r>
      <w:r w:rsidR="00C547E5" w:rsidRPr="00C547E5">
        <w:t xml:space="preserve">. In some instances, </w:t>
      </w:r>
      <w:r w:rsidR="00C547E5" w:rsidRPr="00C547E5">
        <w:rPr>
          <w:lang w:val="en-US"/>
        </w:rPr>
        <w:t>occupying powers have transferred protected persons for detention outside occupied territor</w:t>
      </w:r>
      <w:r w:rsidR="00B42DA3">
        <w:rPr>
          <w:lang w:val="en-US"/>
        </w:rPr>
        <w:t>y</w:t>
      </w:r>
      <w:r w:rsidR="00C547E5" w:rsidRPr="00C547E5">
        <w:rPr>
          <w:lang w:val="en-US"/>
        </w:rPr>
        <w:t>.</w:t>
      </w:r>
      <w:r w:rsidR="00C547E5" w:rsidRPr="0038700A">
        <w:rPr>
          <w:rStyle w:val="FootnoteReference"/>
        </w:rPr>
        <w:footnoteReference w:id="94"/>
      </w:r>
      <w:r w:rsidR="00C547E5" w:rsidRPr="00C547E5">
        <w:rPr>
          <w:lang w:val="en-US"/>
        </w:rPr>
        <w:t xml:space="preserve"> In other instances, </w:t>
      </w:r>
      <w:r w:rsidR="00C547E5" w:rsidRPr="00C547E5">
        <w:t>detainees have been transferred to the custody of another detaining authority without sufficient steps to ensure they will not subsequently be subjected</w:t>
      </w:r>
      <w:r w:rsidR="00C547E5" w:rsidRPr="00C547E5">
        <w:rPr>
          <w:i/>
        </w:rPr>
        <w:t xml:space="preserve"> </w:t>
      </w:r>
      <w:r w:rsidR="00C547E5" w:rsidRPr="00C547E5">
        <w:t>to</w:t>
      </w:r>
      <w:r w:rsidR="00C547E5" w:rsidRPr="00C547E5">
        <w:rPr>
          <w:i/>
        </w:rPr>
        <w:t xml:space="preserve"> </w:t>
      </w:r>
      <w:r w:rsidR="00C547E5" w:rsidRPr="00C547E5">
        <w:t xml:space="preserve">violations of their </w:t>
      </w:r>
      <w:r w:rsidR="003F4C8F">
        <w:t>human</w:t>
      </w:r>
      <w:r w:rsidR="00C547E5" w:rsidRPr="00C547E5">
        <w:t xml:space="preserve"> rights.</w:t>
      </w:r>
      <w:r w:rsidR="008515CD" w:rsidRPr="008515CD">
        <w:rPr>
          <w:rStyle w:val="FootnoteReference"/>
        </w:rPr>
        <w:t xml:space="preserve"> </w:t>
      </w:r>
      <w:r w:rsidR="008515CD" w:rsidRPr="0038700A">
        <w:rPr>
          <w:rStyle w:val="FootnoteReference"/>
        </w:rPr>
        <w:footnoteReference w:id="95"/>
      </w:r>
      <w:r w:rsidR="008515CD" w:rsidRPr="00C547E5">
        <w:t xml:space="preserve"> </w:t>
      </w:r>
      <w:r w:rsidR="00C547E5" w:rsidRPr="00C547E5">
        <w:t xml:space="preserve"> </w:t>
      </w:r>
      <w:r w:rsidR="008515CD">
        <w:t>Consequently</w:t>
      </w:r>
      <w:r w:rsidR="00C547E5" w:rsidRPr="00C547E5">
        <w:t xml:space="preserve">, detainees may not have been afforded due opportunity to express their </w:t>
      </w:r>
      <w:r w:rsidR="00B42DA3">
        <w:t xml:space="preserve">view as to real risks of harm </w:t>
      </w:r>
      <w:r w:rsidR="00C547E5" w:rsidRPr="00C547E5">
        <w:t>before they were transferred</w:t>
      </w:r>
      <w:r w:rsidR="00B42DA3">
        <w:t>,</w:t>
      </w:r>
      <w:r w:rsidR="00C547E5" w:rsidRPr="00C547E5">
        <w:t xml:space="preserve"> and transferring States may have been unaware of </w:t>
      </w:r>
      <w:r w:rsidR="00B42DA3">
        <w:t xml:space="preserve">such </w:t>
      </w:r>
      <w:r w:rsidR="00C547E5" w:rsidRPr="00C547E5">
        <w:t>risks.</w:t>
      </w:r>
      <w:r w:rsidR="008515CD" w:rsidRPr="0038700A" w:rsidDel="008515CD">
        <w:rPr>
          <w:rStyle w:val="FootnoteReference"/>
        </w:rPr>
        <w:t xml:space="preserve"> </w:t>
      </w:r>
      <w:r w:rsidR="00C547E5" w:rsidRPr="00C547E5">
        <w:t>In some cases this occurred when States conducted immediate handovers of detainees</w:t>
      </w:r>
      <w:r w:rsidR="00B42DA3">
        <w:t>,</w:t>
      </w:r>
      <w:r w:rsidR="008E641B">
        <w:t xml:space="preserve"> </w:t>
      </w:r>
      <w:r w:rsidR="001631DA">
        <w:t>notwithstanding that</w:t>
      </w:r>
      <w:r w:rsidR="00C547E5" w:rsidRPr="00C547E5">
        <w:t xml:space="preserve"> the </w:t>
      </w:r>
      <w:r w:rsidR="00C547E5" w:rsidRPr="00C547E5">
        <w:lastRenderedPageBreak/>
        <w:t xml:space="preserve">principle of </w:t>
      </w:r>
      <w:r w:rsidR="00C547E5" w:rsidRPr="00C547E5">
        <w:rPr>
          <w:i/>
        </w:rPr>
        <w:t>non-</w:t>
      </w:r>
      <w:proofErr w:type="spellStart"/>
      <w:r w:rsidR="00C547E5" w:rsidRPr="00C547E5">
        <w:rPr>
          <w:i/>
        </w:rPr>
        <w:t>refoulement</w:t>
      </w:r>
      <w:proofErr w:type="spellEnd"/>
      <w:r w:rsidR="00C547E5" w:rsidRPr="00C547E5">
        <w:t xml:space="preserve"> </w:t>
      </w:r>
      <w:r w:rsidR="008E641B">
        <w:t>applies to all detention</w:t>
      </w:r>
      <w:r w:rsidR="003F4C8F">
        <w:t>s</w:t>
      </w:r>
      <w:r w:rsidR="000B3704">
        <w:t xml:space="preserve"> undertaken </w:t>
      </w:r>
      <w:r w:rsidR="001631DA">
        <w:t>by State</w:t>
      </w:r>
      <w:r w:rsidR="000B3704">
        <w:t xml:space="preserve"> actors</w:t>
      </w:r>
      <w:r w:rsidR="008E641B">
        <w:t>, including</w:t>
      </w:r>
      <w:r w:rsidR="00C547E5" w:rsidRPr="00C547E5">
        <w:t xml:space="preserve"> </w:t>
      </w:r>
      <w:r w:rsidR="000B3704">
        <w:t xml:space="preserve">of </w:t>
      </w:r>
      <w:r w:rsidR="00C547E5" w:rsidRPr="00C547E5">
        <w:t>short-</w:t>
      </w:r>
      <w:r w:rsidR="00074806">
        <w:t>duration</w:t>
      </w:r>
      <w:r w:rsidR="00074806" w:rsidRPr="00C547E5">
        <w:t xml:space="preserve"> </w:t>
      </w:r>
      <w:r w:rsidR="00C547E5" w:rsidRPr="00C547E5">
        <w:t>detention.</w:t>
      </w:r>
      <w:r w:rsidR="00C547E5" w:rsidRPr="0038700A">
        <w:rPr>
          <w:rStyle w:val="FootnoteReference"/>
        </w:rPr>
        <w:footnoteReference w:id="96"/>
      </w:r>
    </w:p>
    <w:p w14:paraId="10382F45" w14:textId="6DB7994C" w:rsidR="00C547E5" w:rsidRPr="00C547E5" w:rsidRDefault="003572B7" w:rsidP="003572B7">
      <w:pPr>
        <w:pStyle w:val="H1G"/>
        <w:rPr>
          <w:lang w:val="en-US"/>
        </w:rPr>
      </w:pPr>
      <w:r>
        <w:tab/>
      </w:r>
      <w:r>
        <w:tab/>
      </w:r>
      <w:r w:rsidR="00C547E5" w:rsidRPr="00E228E7">
        <w:rPr>
          <w:i/>
          <w:sz w:val="20"/>
          <w:lang w:val="en-US"/>
        </w:rPr>
        <w:t>Lack of accountability</w:t>
      </w:r>
    </w:p>
    <w:p w14:paraId="567A22DC" w14:textId="42CB1B74" w:rsidR="00C547E5" w:rsidRPr="00C547E5" w:rsidRDefault="000C5FB6" w:rsidP="00C547E5">
      <w:pPr>
        <w:pStyle w:val="SingleTxtG"/>
        <w:rPr>
          <w:lang w:val="en-US"/>
        </w:rPr>
      </w:pPr>
      <w:r>
        <w:rPr>
          <w:lang w:val="en-US"/>
        </w:rPr>
        <w:t>2</w:t>
      </w:r>
      <w:r w:rsidR="00051674">
        <w:rPr>
          <w:lang w:val="en-US"/>
        </w:rPr>
        <w:t>9</w:t>
      </w:r>
      <w:r w:rsidR="00C547E5" w:rsidRPr="00C547E5">
        <w:rPr>
          <w:lang w:val="en-US"/>
        </w:rPr>
        <w:t>.</w:t>
      </w:r>
      <w:r w:rsidR="00C547E5" w:rsidRPr="00C547E5">
        <w:rPr>
          <w:lang w:val="en-US"/>
        </w:rPr>
        <w:tab/>
        <w:t xml:space="preserve">In some </w:t>
      </w:r>
      <w:r w:rsidR="008E641B">
        <w:rPr>
          <w:lang w:val="en-US"/>
        </w:rPr>
        <w:t>instances</w:t>
      </w:r>
      <w:r w:rsidR="008E641B" w:rsidRPr="00C547E5">
        <w:rPr>
          <w:lang w:val="en-US"/>
        </w:rPr>
        <w:t xml:space="preserve"> </w:t>
      </w:r>
      <w:r w:rsidR="00C547E5" w:rsidRPr="00C547E5">
        <w:rPr>
          <w:lang w:val="en-US"/>
        </w:rPr>
        <w:t xml:space="preserve">involving extraterritorial detention in armed conflict there </w:t>
      </w:r>
      <w:r w:rsidR="008E641B">
        <w:rPr>
          <w:lang w:val="en-US"/>
        </w:rPr>
        <w:t xml:space="preserve">has been </w:t>
      </w:r>
      <w:r w:rsidR="00C547E5" w:rsidRPr="00C547E5">
        <w:rPr>
          <w:lang w:val="en-US"/>
        </w:rPr>
        <w:t xml:space="preserve">a general lack of accountability for violations committed by State agents, </w:t>
      </w:r>
      <w:r w:rsidR="008E641B">
        <w:rPr>
          <w:lang w:val="en-US"/>
        </w:rPr>
        <w:t>creating</w:t>
      </w:r>
      <w:r w:rsidR="00C547E5" w:rsidRPr="00C547E5">
        <w:rPr>
          <w:lang w:val="en-US"/>
        </w:rPr>
        <w:t xml:space="preserve"> a climate of impunity and depriv</w:t>
      </w:r>
      <w:r w:rsidR="003F4C8F">
        <w:rPr>
          <w:lang w:val="en-US"/>
        </w:rPr>
        <w:t>ing</w:t>
      </w:r>
      <w:r w:rsidR="00C547E5" w:rsidRPr="00C547E5">
        <w:rPr>
          <w:lang w:val="en-US"/>
        </w:rPr>
        <w:t xml:space="preserve"> victims of access to justice and remedy.</w:t>
      </w:r>
      <w:r w:rsidR="00C547E5" w:rsidRPr="0038700A">
        <w:rPr>
          <w:rStyle w:val="FootnoteReference"/>
        </w:rPr>
        <w:footnoteReference w:id="97"/>
      </w:r>
      <w:r w:rsidR="00C547E5" w:rsidRPr="00C547E5">
        <w:rPr>
          <w:lang w:val="en-US"/>
        </w:rPr>
        <w:t xml:space="preserve"> Human rights mechanisms have highlighted the limited number of investigations, prosecutions and convictions of members of members of armed forces for violations committed in the context of extraterritorial detention.</w:t>
      </w:r>
      <w:r w:rsidR="00C547E5" w:rsidRPr="0038700A">
        <w:rPr>
          <w:rStyle w:val="FootnoteReference"/>
        </w:rPr>
        <w:footnoteReference w:id="98"/>
      </w:r>
      <w:r w:rsidR="00C547E5" w:rsidRPr="00C547E5">
        <w:rPr>
          <w:lang w:val="en-US"/>
        </w:rPr>
        <w:t xml:space="preserve"> In </w:t>
      </w:r>
      <w:r w:rsidR="008E641B">
        <w:rPr>
          <w:lang w:val="en-US"/>
        </w:rPr>
        <w:t>some</w:t>
      </w:r>
      <w:r w:rsidR="008E641B" w:rsidRPr="00C547E5">
        <w:rPr>
          <w:lang w:val="en-US"/>
        </w:rPr>
        <w:t xml:space="preserve"> </w:t>
      </w:r>
      <w:r w:rsidR="00C547E5" w:rsidRPr="00C547E5">
        <w:rPr>
          <w:lang w:val="en-US"/>
        </w:rPr>
        <w:t>instances, investigations that had been launched were found to have been too slow, insufficiently independent and lacking in transparency.</w:t>
      </w:r>
      <w:r w:rsidR="00C547E5" w:rsidRPr="0038700A">
        <w:rPr>
          <w:rStyle w:val="FootnoteReference"/>
        </w:rPr>
        <w:footnoteReference w:id="99"/>
      </w:r>
      <w:r w:rsidR="00C547E5" w:rsidRPr="00C547E5">
        <w:rPr>
          <w:lang w:val="en-US"/>
        </w:rPr>
        <w:t xml:space="preserve"> In other </w:t>
      </w:r>
      <w:r w:rsidR="008E641B">
        <w:rPr>
          <w:lang w:val="en-US"/>
        </w:rPr>
        <w:t>instances</w:t>
      </w:r>
      <w:r w:rsidR="003F4C8F">
        <w:rPr>
          <w:lang w:val="en-US"/>
        </w:rPr>
        <w:t>,</w:t>
      </w:r>
      <w:r w:rsidR="008E641B" w:rsidRPr="00C547E5">
        <w:rPr>
          <w:lang w:val="en-US"/>
        </w:rPr>
        <w:t xml:space="preserve"> </w:t>
      </w:r>
      <w:r w:rsidR="00C547E5" w:rsidRPr="00C547E5">
        <w:rPr>
          <w:lang w:val="en-US"/>
        </w:rPr>
        <w:t xml:space="preserve">States </w:t>
      </w:r>
      <w:r w:rsidR="00C84F03">
        <w:rPr>
          <w:lang w:val="en-US"/>
        </w:rPr>
        <w:t>were not</w:t>
      </w:r>
      <w:r w:rsidR="00C547E5" w:rsidRPr="00C547E5">
        <w:rPr>
          <w:lang w:val="en-US"/>
        </w:rPr>
        <w:t xml:space="preserve"> sufficiently forthcoming about the measures they ha</w:t>
      </w:r>
      <w:r w:rsidR="000B3704">
        <w:rPr>
          <w:lang w:val="en-US"/>
        </w:rPr>
        <w:t>d</w:t>
      </w:r>
      <w:r w:rsidR="00C547E5" w:rsidRPr="00C547E5">
        <w:rPr>
          <w:lang w:val="en-US"/>
        </w:rPr>
        <w:t xml:space="preserve"> implemented to investigate allegations that their armed forces had violated the rights of persons whom the State had detained in armed conflicts abroad; about steps taken to hold persons found responsible for such violations accountable; or about reparations provided to victims.</w:t>
      </w:r>
      <w:r w:rsidR="00C547E5" w:rsidRPr="0038700A">
        <w:rPr>
          <w:rStyle w:val="FootnoteReference"/>
        </w:rPr>
        <w:footnoteReference w:id="100"/>
      </w:r>
    </w:p>
    <w:p w14:paraId="269845FD" w14:textId="56F957D1" w:rsidR="00C547E5" w:rsidRPr="00C547E5" w:rsidRDefault="003572B7" w:rsidP="003572B7">
      <w:pPr>
        <w:pStyle w:val="HChG"/>
      </w:pPr>
      <w:r>
        <w:tab/>
      </w:r>
      <w:r w:rsidR="00C547E5" w:rsidRPr="00C547E5">
        <w:t>IV.</w:t>
      </w:r>
      <w:r>
        <w:tab/>
      </w:r>
      <w:r w:rsidR="00C547E5" w:rsidRPr="00C547E5">
        <w:t>State-facilitated extraterritorial detention by third parties</w:t>
      </w:r>
    </w:p>
    <w:p w14:paraId="3AC1BC40" w14:textId="1194533D" w:rsidR="00C547E5" w:rsidRPr="00C547E5" w:rsidRDefault="00051674" w:rsidP="00C547E5">
      <w:pPr>
        <w:pStyle w:val="SingleTxtG"/>
      </w:pPr>
      <w:r>
        <w:t>30</w:t>
      </w:r>
      <w:r w:rsidR="00C547E5" w:rsidRPr="00C547E5">
        <w:t>.</w:t>
      </w:r>
      <w:r w:rsidR="00C547E5" w:rsidRPr="00C547E5">
        <w:tab/>
        <w:t>In addition to cases in which they directly detain individuals extraterritorially or transfer them for extraterritorial detention</w:t>
      </w:r>
      <w:r w:rsidR="000B3704">
        <w:t xml:space="preserve">, </w:t>
      </w:r>
      <w:r w:rsidR="00C547E5" w:rsidRPr="00C547E5">
        <w:t xml:space="preserve">States at times facilitate or contribute towards detention outside their territory carried out by other States or by non-State actors. This has occurred, for example, when migrants and asylum seekers </w:t>
      </w:r>
      <w:r w:rsidR="00C547E5" w:rsidRPr="00C547E5">
        <w:rPr>
          <w:lang w:val="en-US"/>
        </w:rPr>
        <w:t xml:space="preserve">were </w:t>
      </w:r>
      <w:r w:rsidR="00C547E5" w:rsidRPr="00C547E5">
        <w:t xml:space="preserve">intercepted </w:t>
      </w:r>
      <w:proofErr w:type="spellStart"/>
      <w:r w:rsidR="00074806">
        <w:t>e</w:t>
      </w:r>
      <w:r w:rsidR="00C547E5" w:rsidRPr="00C547E5">
        <w:t>n</w:t>
      </w:r>
      <w:proofErr w:type="spellEnd"/>
      <w:r w:rsidR="00C547E5" w:rsidRPr="00C547E5">
        <w:t xml:space="preserve"> route to destination States which facilitated their detention in the territory of a third State;</w:t>
      </w:r>
      <w:r w:rsidR="00C547E5" w:rsidRPr="0038700A">
        <w:rPr>
          <w:rStyle w:val="FootnoteReference"/>
        </w:rPr>
        <w:footnoteReference w:id="101"/>
      </w:r>
      <w:r w:rsidR="00C547E5" w:rsidRPr="00C547E5">
        <w:t xml:space="preserve"> and in cases when persons were subjected to security detention by a third party over which the facilitating State exercises direction, wields control or exerts influence, or to whom it provid</w:t>
      </w:r>
      <w:r w:rsidR="004A332E">
        <w:t>es</w:t>
      </w:r>
      <w:r w:rsidR="00C547E5" w:rsidRPr="00C547E5">
        <w:t xml:space="preserve"> relevant support.</w:t>
      </w:r>
      <w:r w:rsidR="00C547E5" w:rsidRPr="0038700A">
        <w:rPr>
          <w:rStyle w:val="FootnoteReference"/>
        </w:rPr>
        <w:footnoteReference w:id="102"/>
      </w:r>
      <w:r w:rsidR="00C547E5" w:rsidRPr="00C547E5">
        <w:t xml:space="preserve"> Such cases give rise to concern </w:t>
      </w:r>
      <w:r w:rsidR="001F52FC">
        <w:t xml:space="preserve">as to the applicable judicial systems from which remedy can be sought, with risk </w:t>
      </w:r>
      <w:r w:rsidR="00C547E5" w:rsidRPr="00C547E5">
        <w:t xml:space="preserve">that detainees </w:t>
      </w:r>
      <w:r w:rsidR="001F52FC">
        <w:t xml:space="preserve">may </w:t>
      </w:r>
      <w:r w:rsidR="00C547E5" w:rsidRPr="00C547E5">
        <w:t xml:space="preserve">not have due recourse to the </w:t>
      </w:r>
      <w:r w:rsidR="000B3704">
        <w:t xml:space="preserve">judicial systems of either the </w:t>
      </w:r>
      <w:r w:rsidR="00C547E5" w:rsidRPr="00C547E5">
        <w:t>facilitating State</w:t>
      </w:r>
      <w:r w:rsidR="000B3704">
        <w:t xml:space="preserve"> or the host State</w:t>
      </w:r>
      <w:r w:rsidR="00C547E5" w:rsidRPr="00C547E5">
        <w:t xml:space="preserve"> to challenge the legality of their detention or to seek redress for human rights violations they endure in detention. Relatedly, there are grounds for concern that such practices enable States to secure the extraterritorial detention of persons without duly respecting or ensuring their rights</w:t>
      </w:r>
      <w:r w:rsidR="00434AF6">
        <w:t xml:space="preserve">, and may result in </w:t>
      </w:r>
      <w:r w:rsidR="001F52FC">
        <w:t xml:space="preserve">lack of </w:t>
      </w:r>
      <w:r w:rsidR="00115F84">
        <w:t>accountability</w:t>
      </w:r>
      <w:r w:rsidR="001F52FC">
        <w:t xml:space="preserve"> </w:t>
      </w:r>
      <w:r w:rsidR="00434AF6">
        <w:t>for violations</w:t>
      </w:r>
      <w:r w:rsidR="00C547E5" w:rsidRPr="00C547E5">
        <w:t>.</w:t>
      </w:r>
    </w:p>
    <w:p w14:paraId="355FA5B6" w14:textId="3D778003" w:rsidR="00C547E5" w:rsidRPr="00C547E5" w:rsidRDefault="000C5FB6" w:rsidP="00C547E5">
      <w:pPr>
        <w:pStyle w:val="SingleTxtG"/>
      </w:pPr>
      <w:r>
        <w:t>3</w:t>
      </w:r>
      <w:r w:rsidR="00051674">
        <w:t>1</w:t>
      </w:r>
      <w:r w:rsidR="00C547E5" w:rsidRPr="00C547E5">
        <w:t>.</w:t>
      </w:r>
      <w:r w:rsidR="00C547E5" w:rsidRPr="00C547E5">
        <w:tab/>
        <w:t>According to the International Law Commission, actions of a non-State actor that is a de-facto organ of the State are considered an act of the State itself.</w:t>
      </w:r>
      <w:r w:rsidR="00C547E5" w:rsidRPr="0038700A">
        <w:rPr>
          <w:rStyle w:val="FootnoteReference"/>
        </w:rPr>
        <w:footnoteReference w:id="103"/>
      </w:r>
      <w:r w:rsidR="00C547E5" w:rsidRPr="00C547E5">
        <w:t xml:space="preserve"> </w:t>
      </w:r>
      <w:r w:rsidR="000B3704">
        <w:t>On that approach</w:t>
      </w:r>
      <w:r w:rsidR="00C547E5" w:rsidRPr="00C547E5">
        <w:t>, when persons are detained by a non-State actor such as</w:t>
      </w:r>
      <w:r w:rsidR="00115F84">
        <w:t>, for example,</w:t>
      </w:r>
      <w:r w:rsidR="00C547E5" w:rsidRPr="00C547E5">
        <w:t xml:space="preserve"> a private security company that has been empowered or authorised by a State to do so, that State </w:t>
      </w:r>
      <w:r w:rsidR="000B3704">
        <w:t xml:space="preserve">can </w:t>
      </w:r>
      <w:r w:rsidR="00C547E5" w:rsidRPr="00C547E5">
        <w:t xml:space="preserve">remain directly responsible for the detention and must ensure that it is conducted in accordance with its obligations under </w:t>
      </w:r>
      <w:r w:rsidR="00C84F03">
        <w:t>international human rights law</w:t>
      </w:r>
      <w:r w:rsidR="00C547E5" w:rsidRPr="00C547E5">
        <w:t>,</w:t>
      </w:r>
      <w:r w:rsidR="00C547E5" w:rsidRPr="0038700A">
        <w:rPr>
          <w:rStyle w:val="FootnoteReference"/>
        </w:rPr>
        <w:footnoteReference w:id="104"/>
      </w:r>
      <w:r w:rsidR="00C547E5" w:rsidRPr="00C547E5">
        <w:t xml:space="preserve"> even when the detention occurs extraterritorially.</w:t>
      </w:r>
      <w:r w:rsidR="00C547E5" w:rsidRPr="0038700A">
        <w:rPr>
          <w:rStyle w:val="FootnoteReference"/>
        </w:rPr>
        <w:footnoteReference w:id="105"/>
      </w:r>
      <w:r w:rsidR="00C547E5" w:rsidRPr="00C547E5">
        <w:t xml:space="preserve"> The International Court of Justice </w:t>
      </w:r>
      <w:r w:rsidR="00E86C60">
        <w:t>has accepted</w:t>
      </w:r>
      <w:r w:rsidR="000B3704">
        <w:t xml:space="preserve">, in the context of </w:t>
      </w:r>
      <w:r w:rsidR="00C547E5" w:rsidRPr="00C547E5">
        <w:t xml:space="preserve">applicable </w:t>
      </w:r>
      <w:r w:rsidR="00C84F03">
        <w:t>international humanitarian law</w:t>
      </w:r>
      <w:r w:rsidR="00C547E5" w:rsidRPr="00C547E5">
        <w:t xml:space="preserve"> and </w:t>
      </w:r>
      <w:r w:rsidR="00C84F03">
        <w:t>international human rights law</w:t>
      </w:r>
      <w:r w:rsidR="00C547E5" w:rsidRPr="00C547E5">
        <w:t xml:space="preserve"> obligations</w:t>
      </w:r>
      <w:r w:rsidR="000B3704">
        <w:t>,</w:t>
      </w:r>
      <w:r w:rsidR="00C547E5" w:rsidRPr="00C547E5">
        <w:t xml:space="preserve"> </w:t>
      </w:r>
      <w:r w:rsidR="00E86C60">
        <w:t xml:space="preserve">that </w:t>
      </w:r>
      <w:r w:rsidR="00C547E5" w:rsidRPr="00C547E5">
        <w:t>when an armed group that is completely dependent on a State conducts detention</w:t>
      </w:r>
      <w:r w:rsidR="00E86C60">
        <w:t xml:space="preserve">, among </w:t>
      </w:r>
      <w:r w:rsidR="00E86C60">
        <w:lastRenderedPageBreak/>
        <w:t>other actions,</w:t>
      </w:r>
      <w:r w:rsidR="00C547E5" w:rsidRPr="00C547E5">
        <w:t xml:space="preserve"> in armed conflict occurring outside the territory of that State</w:t>
      </w:r>
      <w:r w:rsidR="00E86C60">
        <w:t>,</w:t>
      </w:r>
      <w:r w:rsidR="000B3704">
        <w:t xml:space="preserve"> such conduct is imputable to the State</w:t>
      </w:r>
      <w:r w:rsidR="00C547E5" w:rsidRPr="00C547E5">
        <w:t>.</w:t>
      </w:r>
      <w:bookmarkStart w:id="6" w:name="_Ref440285000"/>
      <w:r w:rsidR="00C547E5" w:rsidRPr="0038700A">
        <w:rPr>
          <w:rStyle w:val="FootnoteReference"/>
        </w:rPr>
        <w:footnoteReference w:id="106"/>
      </w:r>
      <w:bookmarkEnd w:id="6"/>
      <w:r w:rsidR="00C547E5" w:rsidRPr="00C547E5">
        <w:t xml:space="preserve"> Such cases raise concerns for the respect of human rights and in particular the right to a </w:t>
      </w:r>
      <w:r w:rsidR="00C84F03" w:rsidRPr="00C547E5">
        <w:t>remedy if</w:t>
      </w:r>
      <w:r w:rsidR="00C547E5" w:rsidRPr="00C547E5">
        <w:t xml:space="preserve"> the State does not acknowledge its obligations and there is difficulty establishing that the detaining authority is in fact acting on its behalf.</w:t>
      </w:r>
    </w:p>
    <w:p w14:paraId="31651561" w14:textId="760C1874" w:rsidR="00C547E5" w:rsidRPr="00C547E5" w:rsidRDefault="000C5FB6" w:rsidP="00C547E5">
      <w:pPr>
        <w:pStyle w:val="SingleTxtG"/>
        <w:rPr>
          <w:lang w:val="en-US"/>
        </w:rPr>
      </w:pPr>
      <w:r>
        <w:t>3</w:t>
      </w:r>
      <w:r w:rsidR="00051674">
        <w:t>2</w:t>
      </w:r>
      <w:r w:rsidR="00C547E5" w:rsidRPr="00C547E5">
        <w:t>.</w:t>
      </w:r>
      <w:r w:rsidR="00C547E5" w:rsidRPr="00C547E5">
        <w:tab/>
      </w:r>
      <w:r w:rsidR="0086743F" w:rsidRPr="00C547E5">
        <w:t>States</w:t>
      </w:r>
      <w:r w:rsidR="00C547E5" w:rsidRPr="00C547E5">
        <w:t xml:space="preserve"> also ha</w:t>
      </w:r>
      <w:r w:rsidR="00C84F03">
        <w:t>ve</w:t>
      </w:r>
      <w:r w:rsidR="00C547E5" w:rsidRPr="00C547E5">
        <w:t xml:space="preserve"> the obligation to respect and ensure the detainees’ rights, even while they are held by a third party outside </w:t>
      </w:r>
      <w:r w:rsidR="00C84F03">
        <w:t>their</w:t>
      </w:r>
      <w:r w:rsidR="00C84F03" w:rsidRPr="00C547E5">
        <w:t xml:space="preserve"> </w:t>
      </w:r>
      <w:r w:rsidR="00C547E5" w:rsidRPr="00C547E5">
        <w:t>territory, whenever the detainees are subject to its jurisdiction, i.e. when they are within its power or effective control.</w:t>
      </w:r>
      <w:r w:rsidR="00C547E5" w:rsidRPr="0038700A">
        <w:rPr>
          <w:rStyle w:val="FootnoteReference"/>
        </w:rPr>
        <w:footnoteReference w:id="107"/>
      </w:r>
      <w:r w:rsidR="00C547E5" w:rsidRPr="00C547E5">
        <w:t xml:space="preserve"> </w:t>
      </w:r>
      <w:r w:rsidR="00C547E5" w:rsidRPr="00C547E5">
        <w:rPr>
          <w:lang w:val="en-US"/>
        </w:rPr>
        <w:t>This is the case when the State occupies or otherwise holds overall effective control over the foreign territory where the detention occurs.</w:t>
      </w:r>
      <w:r w:rsidR="00C547E5" w:rsidRPr="0038700A">
        <w:rPr>
          <w:rStyle w:val="FootnoteReference"/>
        </w:rPr>
        <w:footnoteReference w:id="108"/>
      </w:r>
      <w:r w:rsidR="00C547E5" w:rsidRPr="00C547E5">
        <w:rPr>
          <w:lang w:val="en-US"/>
        </w:rPr>
        <w:t xml:space="preserve"> The State is also responsible when it exercises control or authority over the detainees via </w:t>
      </w:r>
      <w:r w:rsidR="00C547E5" w:rsidRPr="00C547E5">
        <w:t xml:space="preserve">a non-State actor detaining </w:t>
      </w:r>
      <w:r w:rsidR="00C547E5" w:rsidRPr="00C547E5">
        <w:rPr>
          <w:lang w:val="en-US"/>
        </w:rPr>
        <w:t>on the State’s instructions, or under its direction or control</w:t>
      </w:r>
      <w:r w:rsidR="00E86C60">
        <w:rPr>
          <w:lang w:val="en-US"/>
        </w:rPr>
        <w:t>,</w:t>
      </w:r>
      <w:r w:rsidR="00C547E5" w:rsidRPr="00C547E5">
        <w:rPr>
          <w:lang w:val="en-US"/>
        </w:rPr>
        <w:t xml:space="preserve"> thus functioning as its agent</w:t>
      </w:r>
      <w:r w:rsidR="00C547E5" w:rsidRPr="00C547E5">
        <w:t>.</w:t>
      </w:r>
      <w:r w:rsidR="00C547E5" w:rsidRPr="0038700A">
        <w:rPr>
          <w:rStyle w:val="FootnoteReference"/>
        </w:rPr>
        <w:footnoteReference w:id="109"/>
      </w:r>
      <w:r w:rsidR="00C547E5" w:rsidRPr="00C547E5">
        <w:t xml:space="preserve"> Similarly, in the context of an armed conflict, the State bears responsibility for detention by an armed group, and for its related violations of international law, if the group is under its effective control.</w:t>
      </w:r>
      <w:r w:rsidR="00C547E5" w:rsidRPr="0038700A">
        <w:rPr>
          <w:rStyle w:val="FootnoteReference"/>
        </w:rPr>
        <w:footnoteReference w:id="110"/>
      </w:r>
      <w:r w:rsidR="00C547E5" w:rsidRPr="00C547E5">
        <w:t xml:space="preserve"> According to the Human Rights Committee, even if agents of </w:t>
      </w:r>
      <w:r w:rsidR="00115F84">
        <w:t>a</w:t>
      </w:r>
      <w:r w:rsidR="00115F84" w:rsidRPr="00C547E5">
        <w:t xml:space="preserve"> </w:t>
      </w:r>
      <w:r w:rsidR="00C547E5" w:rsidRPr="00C547E5">
        <w:t xml:space="preserve">territorial State implement detention, </w:t>
      </w:r>
      <w:r w:rsidR="00115F84">
        <w:t>a</w:t>
      </w:r>
      <w:r w:rsidR="00115F84" w:rsidRPr="00C547E5">
        <w:t xml:space="preserve"> </w:t>
      </w:r>
      <w:r w:rsidR="00C547E5" w:rsidRPr="00C547E5">
        <w:t xml:space="preserve">facilitating State may </w:t>
      </w:r>
      <w:r w:rsidR="00115F84">
        <w:t xml:space="preserve">also </w:t>
      </w:r>
      <w:r w:rsidR="00C547E5" w:rsidRPr="00C547E5">
        <w:t xml:space="preserve">have jurisdiction (alongside that of the territorial State) if it exercises significant levels of control and influence over the </w:t>
      </w:r>
      <w:r w:rsidR="00C547E5" w:rsidRPr="00C547E5">
        <w:rPr>
          <w:lang w:val="en-US"/>
        </w:rPr>
        <w:t>detention facility, such as control over its establishment, funding and operation.</w:t>
      </w:r>
      <w:r w:rsidR="00C547E5" w:rsidRPr="0038700A">
        <w:rPr>
          <w:rStyle w:val="FootnoteReference"/>
        </w:rPr>
        <w:footnoteReference w:id="111"/>
      </w:r>
    </w:p>
    <w:p w14:paraId="0DF1F10D" w14:textId="68E1678C" w:rsidR="00C547E5" w:rsidRPr="00C547E5" w:rsidRDefault="00460560" w:rsidP="00C547E5">
      <w:pPr>
        <w:pStyle w:val="SingleTxtG"/>
        <w:rPr>
          <w:lang w:val="en-US"/>
        </w:rPr>
      </w:pPr>
      <w:r>
        <w:rPr>
          <w:lang w:val="en-US"/>
        </w:rPr>
        <w:t>3</w:t>
      </w:r>
      <w:r w:rsidR="00051674">
        <w:rPr>
          <w:lang w:val="en-US"/>
        </w:rPr>
        <w:t>3</w:t>
      </w:r>
      <w:r w:rsidR="00C547E5" w:rsidRPr="00C547E5">
        <w:rPr>
          <w:lang w:val="en-US"/>
        </w:rPr>
        <w:t>.</w:t>
      </w:r>
      <w:r w:rsidR="00C547E5" w:rsidRPr="00C547E5">
        <w:rPr>
          <w:lang w:val="en-US"/>
        </w:rPr>
        <w:tab/>
      </w:r>
      <w:r w:rsidR="00C84F03">
        <w:rPr>
          <w:lang w:val="en-US"/>
        </w:rPr>
        <w:t>When</w:t>
      </w:r>
      <w:r w:rsidR="00C547E5" w:rsidRPr="00C547E5">
        <w:rPr>
          <w:lang w:val="en-US"/>
        </w:rPr>
        <w:t xml:space="preserve"> extraterritorial detention is carried out by third parties who are not agents of the State and where it does not appear to have jurisdiction, </w:t>
      </w:r>
      <w:r w:rsidR="009D5CE8">
        <w:rPr>
          <w:lang w:val="en-US"/>
        </w:rPr>
        <w:t xml:space="preserve">the </w:t>
      </w:r>
      <w:r w:rsidR="00C84F03">
        <w:rPr>
          <w:lang w:val="en-US"/>
        </w:rPr>
        <w:t>State</w:t>
      </w:r>
      <w:r w:rsidR="00C547E5" w:rsidRPr="00C547E5">
        <w:rPr>
          <w:lang w:val="en-US"/>
        </w:rPr>
        <w:t xml:space="preserve"> may nevertheless bear responsibility if </w:t>
      </w:r>
      <w:r w:rsidR="00115F84">
        <w:rPr>
          <w:lang w:val="en-US"/>
        </w:rPr>
        <w:t>it</w:t>
      </w:r>
      <w:r w:rsidR="00115F84" w:rsidRPr="00C547E5">
        <w:rPr>
          <w:lang w:val="en-US"/>
        </w:rPr>
        <w:t xml:space="preserve"> </w:t>
      </w:r>
      <w:r w:rsidR="00C547E5" w:rsidRPr="00C547E5">
        <w:rPr>
          <w:lang w:val="en-US"/>
        </w:rPr>
        <w:t>assist</w:t>
      </w:r>
      <w:r w:rsidR="00115F84">
        <w:rPr>
          <w:lang w:val="en-US"/>
        </w:rPr>
        <w:t>s</w:t>
      </w:r>
      <w:r w:rsidR="00C547E5" w:rsidRPr="00C547E5">
        <w:rPr>
          <w:lang w:val="en-US"/>
        </w:rPr>
        <w:t xml:space="preserve"> the detaining </w:t>
      </w:r>
      <w:r w:rsidR="005C28EB">
        <w:rPr>
          <w:lang w:val="en-US"/>
        </w:rPr>
        <w:t>party</w:t>
      </w:r>
      <w:r w:rsidR="005C28EB" w:rsidRPr="00C547E5">
        <w:rPr>
          <w:lang w:val="en-US"/>
        </w:rPr>
        <w:t xml:space="preserve"> </w:t>
      </w:r>
      <w:r w:rsidR="00C547E5" w:rsidRPr="00C547E5">
        <w:rPr>
          <w:lang w:val="en-US"/>
        </w:rPr>
        <w:t xml:space="preserve">in subjecting detainees to arbitrary or unlawful detention or ill-treatment. It has been </w:t>
      </w:r>
      <w:r w:rsidR="00E86C60">
        <w:rPr>
          <w:lang w:val="en-US"/>
        </w:rPr>
        <w:t>advanced</w:t>
      </w:r>
      <w:r w:rsidR="00E86C60" w:rsidRPr="00C547E5">
        <w:rPr>
          <w:lang w:val="en-US"/>
        </w:rPr>
        <w:t xml:space="preserve"> </w:t>
      </w:r>
      <w:r w:rsidR="00C547E5" w:rsidRPr="00C547E5">
        <w:rPr>
          <w:lang w:val="en-US"/>
        </w:rPr>
        <w:t xml:space="preserve">that such responsibility arises directly from </w:t>
      </w:r>
      <w:r w:rsidR="00C84F03">
        <w:t>international human rights law</w:t>
      </w:r>
      <w:r w:rsidR="00C547E5" w:rsidRPr="00C547E5">
        <w:rPr>
          <w:lang w:val="en-US"/>
        </w:rPr>
        <w:t xml:space="preserve">, not only when </w:t>
      </w:r>
      <w:r w:rsidR="00E86C60">
        <w:rPr>
          <w:lang w:val="en-US"/>
        </w:rPr>
        <w:t>a</w:t>
      </w:r>
      <w:r w:rsidR="00E86C60" w:rsidRPr="00C547E5">
        <w:rPr>
          <w:lang w:val="en-US"/>
        </w:rPr>
        <w:t xml:space="preserve"> </w:t>
      </w:r>
      <w:r w:rsidR="00C547E5" w:rsidRPr="00C547E5">
        <w:rPr>
          <w:lang w:val="en-US"/>
        </w:rPr>
        <w:t xml:space="preserve">State transfers </w:t>
      </w:r>
      <w:r w:rsidR="00E86C60">
        <w:rPr>
          <w:lang w:val="en-US"/>
        </w:rPr>
        <w:t>a</w:t>
      </w:r>
      <w:r w:rsidR="00E86C60" w:rsidRPr="00C547E5">
        <w:rPr>
          <w:lang w:val="en-US"/>
        </w:rPr>
        <w:t xml:space="preserve"> </w:t>
      </w:r>
      <w:r w:rsidR="005C28EB">
        <w:rPr>
          <w:lang w:val="en-US"/>
        </w:rPr>
        <w:t xml:space="preserve">specific </w:t>
      </w:r>
      <w:r w:rsidR="00C547E5" w:rsidRPr="00C547E5">
        <w:rPr>
          <w:lang w:val="en-US"/>
        </w:rPr>
        <w:t xml:space="preserve">detainee from its jurisdiction in breach of </w:t>
      </w:r>
      <w:r w:rsidR="00C547E5" w:rsidRPr="00C547E5">
        <w:rPr>
          <w:i/>
          <w:lang w:val="en-US"/>
        </w:rPr>
        <w:t>non-</w:t>
      </w:r>
      <w:proofErr w:type="spellStart"/>
      <w:r w:rsidR="00C547E5" w:rsidRPr="00C547E5">
        <w:rPr>
          <w:i/>
          <w:lang w:val="en-US"/>
        </w:rPr>
        <w:t>refoulement</w:t>
      </w:r>
      <w:proofErr w:type="spellEnd"/>
      <w:r w:rsidR="00C547E5" w:rsidRPr="00C547E5">
        <w:rPr>
          <w:lang w:val="en-US"/>
        </w:rPr>
        <w:t xml:space="preserve">, but also when there are substantial grounds for believing that there is a real risk that </w:t>
      </w:r>
      <w:r w:rsidR="007B7DCB">
        <w:rPr>
          <w:lang w:val="en-US"/>
        </w:rPr>
        <w:t xml:space="preserve">the rights of </w:t>
      </w:r>
      <w:r w:rsidR="005C28EB">
        <w:rPr>
          <w:lang w:val="en-US"/>
        </w:rPr>
        <w:t xml:space="preserve"> </w:t>
      </w:r>
      <w:r w:rsidR="00C547E5" w:rsidRPr="00C547E5">
        <w:rPr>
          <w:lang w:val="en-US"/>
        </w:rPr>
        <w:t>detainee</w:t>
      </w:r>
      <w:r w:rsidR="005C28EB">
        <w:rPr>
          <w:lang w:val="en-US"/>
        </w:rPr>
        <w:t>s</w:t>
      </w:r>
      <w:r w:rsidR="00C547E5" w:rsidRPr="00C547E5">
        <w:rPr>
          <w:lang w:val="en-US"/>
        </w:rPr>
        <w:t xml:space="preserve"> </w:t>
      </w:r>
      <w:r w:rsidR="005C28EB">
        <w:rPr>
          <w:lang w:val="en-US"/>
        </w:rPr>
        <w:t xml:space="preserve">generally are being or </w:t>
      </w:r>
      <w:r w:rsidR="00C547E5" w:rsidRPr="00C547E5">
        <w:rPr>
          <w:lang w:val="en-US"/>
        </w:rPr>
        <w:t>will be violated, and the State nevertheless provides a detaining authority with technical or financial support, intelligence, equipment, or other assistance which is connected to the subsequent violation, thereby contributing substantially to it.</w:t>
      </w:r>
      <w:r w:rsidR="00C547E5" w:rsidRPr="0038700A">
        <w:rPr>
          <w:rStyle w:val="FootnoteReference"/>
        </w:rPr>
        <w:footnoteReference w:id="112"/>
      </w:r>
      <w:r w:rsidR="00C547E5" w:rsidRPr="00C547E5">
        <w:rPr>
          <w:lang w:val="en-US"/>
        </w:rPr>
        <w:t xml:space="preserve"> Indeed</w:t>
      </w:r>
      <w:r w:rsidR="00C84F03">
        <w:rPr>
          <w:lang w:val="en-US"/>
        </w:rPr>
        <w:t>,</w:t>
      </w:r>
      <w:r w:rsidR="00C547E5" w:rsidRPr="00C547E5">
        <w:rPr>
          <w:lang w:val="en-US"/>
        </w:rPr>
        <w:t xml:space="preserve"> the provision of such assistance may constitute a violation of the State’s obligation to ensure that activities undertaken in its jurisdiction that have a direct and reasonably foreseeable impact on the rights of detainees located outside its territory will be consistent with </w:t>
      </w:r>
      <w:r w:rsidR="00C84F03">
        <w:t>international human rights law</w:t>
      </w:r>
      <w:r w:rsidR="00C547E5" w:rsidRPr="00C547E5">
        <w:rPr>
          <w:lang w:val="en-US"/>
        </w:rPr>
        <w:t>.</w:t>
      </w:r>
      <w:r w:rsidR="00C547E5" w:rsidRPr="0038700A">
        <w:rPr>
          <w:rStyle w:val="FootnoteReference"/>
        </w:rPr>
        <w:footnoteReference w:id="113"/>
      </w:r>
    </w:p>
    <w:p w14:paraId="15B925CA" w14:textId="08D0CB5E" w:rsidR="00C547E5" w:rsidRPr="00C547E5" w:rsidRDefault="000C5FB6" w:rsidP="00C547E5">
      <w:pPr>
        <w:pStyle w:val="SingleTxtG"/>
        <w:rPr>
          <w:lang w:val="en-US"/>
        </w:rPr>
      </w:pPr>
      <w:r>
        <w:rPr>
          <w:lang w:val="en-US"/>
        </w:rPr>
        <w:t>3</w:t>
      </w:r>
      <w:r w:rsidR="00051674">
        <w:rPr>
          <w:lang w:val="en-US"/>
        </w:rPr>
        <w:t>4</w:t>
      </w:r>
      <w:r w:rsidR="00C547E5" w:rsidRPr="00C547E5">
        <w:rPr>
          <w:lang w:val="en-US"/>
        </w:rPr>
        <w:t>.</w:t>
      </w:r>
      <w:r w:rsidR="00C547E5" w:rsidRPr="00C547E5">
        <w:rPr>
          <w:lang w:val="en-US"/>
        </w:rPr>
        <w:tab/>
        <w:t xml:space="preserve">The obligation that </w:t>
      </w:r>
      <w:r w:rsidR="00C84F03">
        <w:rPr>
          <w:lang w:val="en-US"/>
        </w:rPr>
        <w:t>international humanitarian law</w:t>
      </w:r>
      <w:r w:rsidR="00C84F03" w:rsidRPr="00C547E5">
        <w:rPr>
          <w:lang w:val="en-US"/>
        </w:rPr>
        <w:t xml:space="preserve"> </w:t>
      </w:r>
      <w:r w:rsidR="00C547E5" w:rsidRPr="00C547E5">
        <w:rPr>
          <w:lang w:val="en-US"/>
        </w:rPr>
        <w:t xml:space="preserve">imposes on States to respect and ensure respect for the Geneva Conventions implies that they may not knowingly assist in violations of </w:t>
      </w:r>
      <w:r w:rsidR="00C84F03">
        <w:rPr>
          <w:lang w:val="en-US"/>
        </w:rPr>
        <w:t>international humanitarian law</w:t>
      </w:r>
      <w:r w:rsidR="00C547E5" w:rsidRPr="00C547E5">
        <w:rPr>
          <w:lang w:val="en-US"/>
        </w:rPr>
        <w:t xml:space="preserve"> by a State or non-State party to an armed conflict.</w:t>
      </w:r>
      <w:r w:rsidR="00C547E5" w:rsidRPr="0038700A">
        <w:rPr>
          <w:rStyle w:val="FootnoteReference"/>
        </w:rPr>
        <w:footnoteReference w:id="114"/>
      </w:r>
      <w:r w:rsidR="00C547E5" w:rsidRPr="00C547E5">
        <w:rPr>
          <w:lang w:val="en-US"/>
        </w:rPr>
        <w:t xml:space="preserve"> This obligation further imposes a positive duty on States to do everything reasonably in their power to stop ongoing </w:t>
      </w:r>
      <w:r w:rsidR="00C84F03">
        <w:rPr>
          <w:lang w:val="en-US"/>
        </w:rPr>
        <w:t>international humanitarian law</w:t>
      </w:r>
      <w:r w:rsidR="00C547E5" w:rsidRPr="00C547E5">
        <w:rPr>
          <w:lang w:val="en-US"/>
        </w:rPr>
        <w:t xml:space="preserve"> violations and to prevent those that are foreseeable.</w:t>
      </w:r>
      <w:r w:rsidR="00C547E5" w:rsidRPr="0038700A">
        <w:rPr>
          <w:rStyle w:val="FootnoteReference"/>
        </w:rPr>
        <w:footnoteReference w:id="115"/>
      </w:r>
      <w:r w:rsidR="00C547E5" w:rsidRPr="00C547E5">
        <w:rPr>
          <w:lang w:val="en-US"/>
        </w:rPr>
        <w:t xml:space="preserve"> A State </w:t>
      </w:r>
      <w:r w:rsidR="00115F84">
        <w:rPr>
          <w:lang w:val="en-US"/>
        </w:rPr>
        <w:t>should</w:t>
      </w:r>
      <w:r w:rsidR="00115F84" w:rsidRPr="00C547E5">
        <w:rPr>
          <w:lang w:val="en-US"/>
        </w:rPr>
        <w:t xml:space="preserve"> </w:t>
      </w:r>
      <w:r w:rsidR="00C547E5" w:rsidRPr="00C547E5">
        <w:rPr>
          <w:lang w:val="en-US"/>
        </w:rPr>
        <w:t xml:space="preserve">therefore refrain from assisting a party to an armed conflict in any way that might contribute to an </w:t>
      </w:r>
      <w:r w:rsidR="00C84F03">
        <w:rPr>
          <w:lang w:val="en-US"/>
        </w:rPr>
        <w:t>international humanitarian law</w:t>
      </w:r>
      <w:r w:rsidR="00C547E5" w:rsidRPr="00C547E5">
        <w:rPr>
          <w:lang w:val="en-US"/>
        </w:rPr>
        <w:t xml:space="preserve"> violation, for instance by providing military support to a partner State performing ar</w:t>
      </w:r>
      <w:r w:rsidR="005C28EB">
        <w:rPr>
          <w:lang w:val="en-US"/>
        </w:rPr>
        <w:t xml:space="preserve">bitrary </w:t>
      </w:r>
      <w:r w:rsidR="00DB10C9">
        <w:rPr>
          <w:lang w:val="en-US"/>
        </w:rPr>
        <w:t>a</w:t>
      </w:r>
      <w:r w:rsidR="00DB10C9" w:rsidRPr="00C547E5">
        <w:rPr>
          <w:lang w:val="en-US"/>
        </w:rPr>
        <w:t>rrests</w:t>
      </w:r>
      <w:r w:rsidR="00C547E5" w:rsidRPr="00C547E5">
        <w:rPr>
          <w:lang w:val="en-US"/>
        </w:rPr>
        <w:t xml:space="preserve"> in joint operations; and </w:t>
      </w:r>
      <w:r w:rsidR="00115F84">
        <w:rPr>
          <w:lang w:val="en-US"/>
        </w:rPr>
        <w:t>should</w:t>
      </w:r>
      <w:r w:rsidR="00115F84" w:rsidRPr="00C547E5">
        <w:rPr>
          <w:lang w:val="en-US"/>
        </w:rPr>
        <w:t xml:space="preserve"> </w:t>
      </w:r>
      <w:r w:rsidR="00C547E5" w:rsidRPr="00C547E5">
        <w:rPr>
          <w:lang w:val="en-US"/>
        </w:rPr>
        <w:t xml:space="preserve">further strive </w:t>
      </w:r>
      <w:r w:rsidR="00CE442D">
        <w:rPr>
          <w:lang w:val="en-US"/>
        </w:rPr>
        <w:t xml:space="preserve">to ensure respect for the law by taking every possible measure to </w:t>
      </w:r>
      <w:r w:rsidR="00C547E5" w:rsidRPr="00C547E5">
        <w:rPr>
          <w:lang w:val="en-US"/>
        </w:rPr>
        <w:t xml:space="preserve">induce that party to desist from committing violations. A State assisting a party to a conflict to commit </w:t>
      </w:r>
      <w:r w:rsidR="00C84F03">
        <w:rPr>
          <w:lang w:val="en-US"/>
        </w:rPr>
        <w:t>international humanitarian law</w:t>
      </w:r>
      <w:r w:rsidR="00C547E5" w:rsidRPr="00C547E5">
        <w:rPr>
          <w:lang w:val="en-US"/>
        </w:rPr>
        <w:t xml:space="preserve"> violations towards </w:t>
      </w:r>
      <w:r w:rsidR="00C547E5" w:rsidRPr="00C547E5">
        <w:rPr>
          <w:lang w:val="en-US"/>
        </w:rPr>
        <w:lastRenderedPageBreak/>
        <w:t>persons it detains</w:t>
      </w:r>
      <w:r w:rsidR="00C547E5" w:rsidRPr="00C547E5">
        <w:t>—</w:t>
      </w:r>
      <w:r w:rsidR="00C547E5" w:rsidRPr="00C547E5">
        <w:rPr>
          <w:lang w:val="en-US"/>
        </w:rPr>
        <w:t>even outside the State’s territory</w:t>
      </w:r>
      <w:r w:rsidR="00C547E5" w:rsidRPr="00C547E5">
        <w:t>—</w:t>
      </w:r>
      <w:r w:rsidR="00C547E5" w:rsidRPr="00C547E5">
        <w:rPr>
          <w:lang w:val="en-US"/>
        </w:rPr>
        <w:t xml:space="preserve">would be </w:t>
      </w:r>
      <w:r w:rsidR="005C28EB">
        <w:rPr>
          <w:lang w:val="en-US"/>
        </w:rPr>
        <w:t xml:space="preserve">in breach of </w:t>
      </w:r>
      <w:r w:rsidR="00C547E5" w:rsidRPr="00C547E5">
        <w:rPr>
          <w:lang w:val="en-US"/>
        </w:rPr>
        <w:t>this obligation.</w:t>
      </w:r>
      <w:r w:rsidR="0080748A">
        <w:rPr>
          <w:rStyle w:val="FootnoteReference"/>
          <w:lang w:val="en-US"/>
        </w:rPr>
        <w:footnoteReference w:id="116"/>
      </w:r>
    </w:p>
    <w:p w14:paraId="7AEB7458" w14:textId="281BAC15" w:rsidR="00C547E5" w:rsidRPr="00C547E5" w:rsidRDefault="000C5FB6" w:rsidP="00C547E5">
      <w:pPr>
        <w:pStyle w:val="SingleTxtG"/>
        <w:rPr>
          <w:lang w:val="en-US"/>
        </w:rPr>
      </w:pPr>
      <w:r>
        <w:rPr>
          <w:lang w:val="en-US"/>
        </w:rPr>
        <w:t>3</w:t>
      </w:r>
      <w:r w:rsidR="00051674">
        <w:rPr>
          <w:lang w:val="en-US"/>
        </w:rPr>
        <w:t>5</w:t>
      </w:r>
      <w:r w:rsidR="00C547E5" w:rsidRPr="00C547E5">
        <w:rPr>
          <w:lang w:val="en-US"/>
        </w:rPr>
        <w:t>.</w:t>
      </w:r>
      <w:r w:rsidR="00C547E5" w:rsidRPr="00C547E5">
        <w:rPr>
          <w:lang w:val="en-US"/>
        </w:rPr>
        <w:tab/>
        <w:t>Moreover, it is a general rule of customary international law that a State is internationally responsible for knowingly aiding and assisting another State in the commission of an internationally wrongful act, when the act would be internationally wrongful if committed by the assisting State itself.</w:t>
      </w:r>
      <w:r w:rsidR="00C547E5" w:rsidRPr="0038700A">
        <w:rPr>
          <w:rStyle w:val="FootnoteReference"/>
        </w:rPr>
        <w:footnoteReference w:id="117"/>
      </w:r>
      <w:r w:rsidR="00C547E5" w:rsidRPr="00C547E5">
        <w:rPr>
          <w:lang w:val="en-US"/>
        </w:rPr>
        <w:t xml:space="preserve"> </w:t>
      </w:r>
      <w:r w:rsidR="00B63DB8">
        <w:rPr>
          <w:lang w:val="en-US"/>
        </w:rPr>
        <w:t xml:space="preserve">In </w:t>
      </w:r>
      <w:r w:rsidR="00B63DB8" w:rsidRPr="00B63DB8">
        <w:rPr>
          <w:iCs/>
          <w:lang w:val="en-US"/>
        </w:rPr>
        <w:t>assessing whether a State incurs such responsibility for facilitating the violations by another State against persons detained outside the assisting State’s territory, a number of factors may be relevant, including,  the significance of contribution of the assistance</w:t>
      </w:r>
      <w:r w:rsidR="00B63DB8" w:rsidRPr="00B63DB8">
        <w:rPr>
          <w:iCs/>
        </w:rPr>
        <w:t>—</w:t>
      </w:r>
      <w:r w:rsidR="00B63DB8" w:rsidRPr="00B63DB8">
        <w:rPr>
          <w:iCs/>
          <w:lang w:val="en-US"/>
        </w:rPr>
        <w:t>including the provision of intelligence, equipment, financing, or technical support</w:t>
      </w:r>
      <w:r w:rsidR="00B63DB8" w:rsidRPr="00B63DB8">
        <w:rPr>
          <w:iCs/>
        </w:rPr>
        <w:t>—</w:t>
      </w:r>
      <w:r w:rsidR="00B63DB8" w:rsidRPr="00B63DB8">
        <w:rPr>
          <w:iCs/>
          <w:lang w:val="en-US"/>
        </w:rPr>
        <w:t xml:space="preserve">towards a violation;  the opposability of the international obligation violated to the assisting State; and the knowledge of the assisting State of the circumstances of the assisted violation; being at  minimum, aware that the support provided would facilitate </w:t>
      </w:r>
      <w:r w:rsidR="00C547E5" w:rsidRPr="00C547E5">
        <w:rPr>
          <w:lang w:val="en-US"/>
        </w:rPr>
        <w:t xml:space="preserve">the commission of </w:t>
      </w:r>
      <w:r w:rsidR="003A6B05">
        <w:rPr>
          <w:lang w:val="en-US"/>
        </w:rPr>
        <w:t>a</w:t>
      </w:r>
      <w:r w:rsidR="003A6B05" w:rsidRPr="00C547E5">
        <w:rPr>
          <w:lang w:val="en-US"/>
        </w:rPr>
        <w:t xml:space="preserve"> </w:t>
      </w:r>
      <w:r w:rsidR="00C547E5" w:rsidRPr="00C547E5">
        <w:rPr>
          <w:lang w:val="en-US"/>
        </w:rPr>
        <w:t xml:space="preserve">violation. However, </w:t>
      </w:r>
      <w:r w:rsidR="000316B2">
        <w:rPr>
          <w:lang w:val="en-US"/>
        </w:rPr>
        <w:t xml:space="preserve">it has been advanced that </w:t>
      </w:r>
      <w:r w:rsidR="00C547E5" w:rsidRPr="00C547E5">
        <w:rPr>
          <w:lang w:val="en-US"/>
        </w:rPr>
        <w:t xml:space="preserve">the relevance of this last </w:t>
      </w:r>
      <w:r w:rsidR="005C28EB">
        <w:rPr>
          <w:lang w:val="en-US"/>
        </w:rPr>
        <w:t>factor</w:t>
      </w:r>
      <w:r w:rsidR="005C28EB" w:rsidRPr="00C547E5">
        <w:rPr>
          <w:lang w:val="en-US"/>
        </w:rPr>
        <w:t xml:space="preserve"> </w:t>
      </w:r>
      <w:r w:rsidR="003A6B05">
        <w:rPr>
          <w:lang w:val="en-US"/>
        </w:rPr>
        <w:t xml:space="preserve">may </w:t>
      </w:r>
      <w:r w:rsidR="00C547E5" w:rsidRPr="00C547E5">
        <w:rPr>
          <w:lang w:val="en-US"/>
        </w:rPr>
        <w:t xml:space="preserve">depend on the gravity of the assisted violation, </w:t>
      </w:r>
      <w:r w:rsidR="005C28EB">
        <w:rPr>
          <w:lang w:val="en-US"/>
        </w:rPr>
        <w:t xml:space="preserve">with </w:t>
      </w:r>
      <w:r w:rsidR="00C547E5" w:rsidRPr="00C547E5">
        <w:rPr>
          <w:lang w:val="en-US"/>
        </w:rPr>
        <w:t xml:space="preserve">the more serious the violation </w:t>
      </w:r>
      <w:r w:rsidR="005C28EB">
        <w:rPr>
          <w:lang w:val="en-US"/>
        </w:rPr>
        <w:t xml:space="preserve">being, </w:t>
      </w:r>
      <w:r w:rsidR="00C547E5" w:rsidRPr="00C547E5">
        <w:rPr>
          <w:lang w:val="en-US"/>
        </w:rPr>
        <w:t>the lower the required knowledge threshold</w:t>
      </w:r>
      <w:r w:rsidR="005C28EB">
        <w:rPr>
          <w:lang w:val="en-US"/>
        </w:rPr>
        <w:t xml:space="preserve"> that would be appropriate</w:t>
      </w:r>
      <w:r w:rsidR="00C547E5" w:rsidRPr="00C547E5">
        <w:rPr>
          <w:lang w:val="en-US"/>
        </w:rPr>
        <w:t>.</w:t>
      </w:r>
      <w:r w:rsidR="00C547E5" w:rsidRPr="00C547E5">
        <w:rPr>
          <w:vertAlign w:val="superscript"/>
          <w:lang w:val="en-US"/>
        </w:rPr>
        <w:t xml:space="preserve"> </w:t>
      </w:r>
      <w:bookmarkStart w:id="7" w:name="_Ref440703127"/>
      <w:r w:rsidR="00C547E5" w:rsidRPr="0038700A">
        <w:rPr>
          <w:rStyle w:val="FootnoteReference"/>
        </w:rPr>
        <w:footnoteReference w:id="118"/>
      </w:r>
      <w:bookmarkEnd w:id="7"/>
      <w:r w:rsidR="00C547E5" w:rsidRPr="00C547E5">
        <w:rPr>
          <w:lang w:val="en-US"/>
        </w:rPr>
        <w:t xml:space="preserve">  In cases when the detaining State breaches a peremptory norm</w:t>
      </w:r>
      <w:r w:rsidR="00C547E5" w:rsidRPr="00C547E5">
        <w:t>—</w:t>
      </w:r>
      <w:r w:rsidR="00C547E5" w:rsidRPr="00C547E5">
        <w:rPr>
          <w:lang w:val="en-US"/>
        </w:rPr>
        <w:t>e.g. by systematically subjecting detainees to arbitrary detention or torture, or violating their fundamental fair trial rights</w:t>
      </w:r>
      <w:r w:rsidR="00C547E5" w:rsidRPr="00C547E5">
        <w:t>—</w:t>
      </w:r>
      <w:r w:rsidR="00C547E5" w:rsidRPr="0038700A">
        <w:rPr>
          <w:rStyle w:val="FootnoteReference"/>
        </w:rPr>
        <w:footnoteReference w:id="119"/>
      </w:r>
      <w:r w:rsidR="00C547E5" w:rsidRPr="00C547E5">
        <w:rPr>
          <w:lang w:val="en-US"/>
        </w:rPr>
        <w:t>a</w:t>
      </w:r>
      <w:r w:rsidR="000316B2">
        <w:rPr>
          <w:lang w:val="en-US"/>
        </w:rPr>
        <w:t xml:space="preserve">n assisting State </w:t>
      </w:r>
      <w:r w:rsidR="00C547E5" w:rsidRPr="00C547E5">
        <w:rPr>
          <w:lang w:val="en-US"/>
        </w:rPr>
        <w:t xml:space="preserve">might be </w:t>
      </w:r>
      <w:r w:rsidR="003A6B05">
        <w:rPr>
          <w:lang w:val="en-US"/>
        </w:rPr>
        <w:t>considered</w:t>
      </w:r>
      <w:r w:rsidR="003A6B05" w:rsidRPr="00C547E5">
        <w:rPr>
          <w:lang w:val="en-US"/>
        </w:rPr>
        <w:t xml:space="preserve"> </w:t>
      </w:r>
      <w:r w:rsidR="00C547E5" w:rsidRPr="00C547E5">
        <w:rPr>
          <w:lang w:val="en-US"/>
        </w:rPr>
        <w:t xml:space="preserve">responsible for aiding and assisting in the commission of an international wrongful act even if it was not shown to have actual or near certain knowledge of the violation, </w:t>
      </w:r>
      <w:r w:rsidR="009011A2">
        <w:rPr>
          <w:lang w:val="en-US"/>
        </w:rPr>
        <w:t xml:space="preserve">on basis instead of a presumption of </w:t>
      </w:r>
      <w:r w:rsidR="00C547E5" w:rsidRPr="00C547E5">
        <w:rPr>
          <w:lang w:val="en-US"/>
        </w:rPr>
        <w:t>knowledge.</w:t>
      </w:r>
      <w:r w:rsidR="00C547E5" w:rsidRPr="0038700A">
        <w:rPr>
          <w:rStyle w:val="FootnoteReference"/>
        </w:rPr>
        <w:footnoteReference w:id="120"/>
      </w:r>
      <w:r w:rsidR="00C547E5" w:rsidRPr="00C547E5">
        <w:rPr>
          <w:lang w:val="en-US"/>
        </w:rPr>
        <w:t xml:space="preserve"> When assistance is provided to a non-State </w:t>
      </w:r>
      <w:r w:rsidR="00D93FEA">
        <w:rPr>
          <w:lang w:val="en-US"/>
        </w:rPr>
        <w:t>actor carrying out the detention</w:t>
      </w:r>
      <w:r w:rsidR="00C547E5" w:rsidRPr="00C547E5">
        <w:rPr>
          <w:lang w:val="en-US"/>
        </w:rPr>
        <w:t xml:space="preserve"> and the aforementioned conditions have been met, international responsibility </w:t>
      </w:r>
      <w:r w:rsidR="009011A2">
        <w:rPr>
          <w:lang w:val="en-US"/>
        </w:rPr>
        <w:t>may likewise</w:t>
      </w:r>
      <w:r w:rsidR="00E249C7">
        <w:rPr>
          <w:lang w:val="en-US"/>
        </w:rPr>
        <w:t xml:space="preserve"> arise</w:t>
      </w:r>
      <w:r w:rsidR="009011A2">
        <w:rPr>
          <w:lang w:val="en-US"/>
        </w:rPr>
        <w:t xml:space="preserve"> </w:t>
      </w:r>
      <w:r w:rsidR="00C547E5" w:rsidRPr="00C547E5">
        <w:rPr>
          <w:lang w:val="en-US"/>
        </w:rPr>
        <w:t>if that actor’s actions c</w:t>
      </w:r>
      <w:r w:rsidR="009011A2">
        <w:rPr>
          <w:lang w:val="en-US"/>
        </w:rPr>
        <w:t xml:space="preserve">an </w:t>
      </w:r>
      <w:r w:rsidR="00C547E5" w:rsidRPr="00C547E5">
        <w:rPr>
          <w:lang w:val="en-US"/>
        </w:rPr>
        <w:t>be attributed to a State.</w:t>
      </w:r>
      <w:r w:rsidR="00C547E5" w:rsidRPr="0038700A">
        <w:rPr>
          <w:rStyle w:val="FootnoteReference"/>
        </w:rPr>
        <w:footnoteReference w:id="121"/>
      </w:r>
      <w:r w:rsidR="00C547E5" w:rsidRPr="00C547E5">
        <w:rPr>
          <w:lang w:val="en-US"/>
        </w:rPr>
        <w:t xml:space="preserve"> </w:t>
      </w:r>
    </w:p>
    <w:p w14:paraId="35DB5C7D" w14:textId="71AA943B" w:rsidR="00C547E5" w:rsidRPr="00C547E5" w:rsidRDefault="003572B7" w:rsidP="003572B7">
      <w:pPr>
        <w:pStyle w:val="HChG"/>
      </w:pPr>
      <w:r>
        <w:tab/>
        <w:t>V.</w:t>
      </w:r>
      <w:r>
        <w:tab/>
      </w:r>
      <w:r w:rsidR="00C547E5" w:rsidRPr="00C547E5">
        <w:t>Conclusions and recommendations</w:t>
      </w:r>
    </w:p>
    <w:p w14:paraId="3B77FF74" w14:textId="48A564B1" w:rsidR="00C547E5" w:rsidRPr="00C547E5" w:rsidRDefault="000C5FB6" w:rsidP="00C547E5">
      <w:pPr>
        <w:pStyle w:val="SingleTxtG"/>
        <w:rPr>
          <w:b/>
        </w:rPr>
      </w:pPr>
      <w:r>
        <w:t>3</w:t>
      </w:r>
      <w:r w:rsidR="00051674">
        <w:t>6</w:t>
      </w:r>
      <w:r w:rsidR="00C547E5" w:rsidRPr="00C547E5">
        <w:t>.</w:t>
      </w:r>
      <w:r w:rsidR="00C547E5" w:rsidRPr="00C547E5">
        <w:tab/>
      </w:r>
      <w:r w:rsidR="00DD22DB">
        <w:rPr>
          <w:b/>
        </w:rPr>
        <w:t xml:space="preserve">While there are situations that may require States to resort to extraterritorial detention, such measures </w:t>
      </w:r>
      <w:r w:rsidR="00112C58">
        <w:rPr>
          <w:b/>
        </w:rPr>
        <w:t>bear</w:t>
      </w:r>
      <w:r w:rsidR="00C547E5" w:rsidRPr="00C547E5">
        <w:rPr>
          <w:b/>
        </w:rPr>
        <w:t xml:space="preserve"> a high risk </w:t>
      </w:r>
      <w:r w:rsidR="000316B2">
        <w:rPr>
          <w:b/>
        </w:rPr>
        <w:t>of being</w:t>
      </w:r>
      <w:r w:rsidR="00C547E5" w:rsidRPr="00C547E5">
        <w:rPr>
          <w:b/>
        </w:rPr>
        <w:t xml:space="preserve"> implemented without </w:t>
      </w:r>
      <w:r w:rsidR="009011A2">
        <w:rPr>
          <w:b/>
        </w:rPr>
        <w:t xml:space="preserve">the due protection of law, notably with respect to </w:t>
      </w:r>
      <w:r w:rsidR="00C547E5" w:rsidRPr="00C547E5">
        <w:rPr>
          <w:b/>
        </w:rPr>
        <w:t>sufficien</w:t>
      </w:r>
      <w:r w:rsidR="009011A2">
        <w:rPr>
          <w:b/>
        </w:rPr>
        <w:t>cy of</w:t>
      </w:r>
      <w:r w:rsidR="00C547E5" w:rsidRPr="00C547E5">
        <w:rPr>
          <w:b/>
        </w:rPr>
        <w:t xml:space="preserve"> judicial oversight</w:t>
      </w:r>
      <w:r w:rsidR="002A67C3">
        <w:rPr>
          <w:b/>
        </w:rPr>
        <w:t>, with commensurate impact on the integrity of the judiciary</w:t>
      </w:r>
      <w:r w:rsidR="0075642E">
        <w:rPr>
          <w:b/>
        </w:rPr>
        <w:t xml:space="preserve">. </w:t>
      </w:r>
      <w:r w:rsidR="002C0092">
        <w:rPr>
          <w:b/>
          <w:lang w:val="en-US"/>
        </w:rPr>
        <w:t>W</w:t>
      </w:r>
      <w:r w:rsidR="00C547E5" w:rsidRPr="00C547E5">
        <w:rPr>
          <w:b/>
          <w:lang w:val="en-US"/>
        </w:rPr>
        <w:t xml:space="preserve">hether undertaken in the context of counterterrorism or other law enforcement and intelligence operations, or during armed conflict, </w:t>
      </w:r>
      <w:r w:rsidR="00C547E5" w:rsidRPr="00C547E5">
        <w:rPr>
          <w:b/>
        </w:rPr>
        <w:t>extraterritorial</w:t>
      </w:r>
      <w:r w:rsidR="00C547E5" w:rsidRPr="00C547E5">
        <w:rPr>
          <w:b/>
          <w:lang w:val="en-US"/>
        </w:rPr>
        <w:t xml:space="preserve"> detention ha</w:t>
      </w:r>
      <w:r w:rsidR="00112C58">
        <w:rPr>
          <w:b/>
          <w:lang w:val="en-US"/>
        </w:rPr>
        <w:t>s</w:t>
      </w:r>
      <w:r w:rsidR="00C547E5" w:rsidRPr="00C547E5">
        <w:rPr>
          <w:b/>
          <w:lang w:val="en-US"/>
        </w:rPr>
        <w:t xml:space="preserve"> often </w:t>
      </w:r>
      <w:r w:rsidR="000316B2">
        <w:rPr>
          <w:b/>
        </w:rPr>
        <w:t>led to</w:t>
      </w:r>
      <w:r w:rsidR="00C547E5" w:rsidRPr="00C547E5">
        <w:rPr>
          <w:b/>
        </w:rPr>
        <w:t xml:space="preserve"> human rights violations such as arbitrary and unlawful deprivation of liberty, as well as torture and other forms of ill-treatment. Furthermore, </w:t>
      </w:r>
      <w:r w:rsidR="000316B2">
        <w:rPr>
          <w:b/>
        </w:rPr>
        <w:t xml:space="preserve">some </w:t>
      </w:r>
      <w:r w:rsidR="00C547E5" w:rsidRPr="00C547E5">
        <w:rPr>
          <w:b/>
        </w:rPr>
        <w:t xml:space="preserve">States operating outside their borders have transferred </w:t>
      </w:r>
      <w:r w:rsidR="009011A2">
        <w:rPr>
          <w:b/>
        </w:rPr>
        <w:t xml:space="preserve">to other States </w:t>
      </w:r>
      <w:r w:rsidR="00C547E5" w:rsidRPr="00C547E5">
        <w:rPr>
          <w:b/>
        </w:rPr>
        <w:t xml:space="preserve">persons whom they detained without satisfying the substantive and procedural requirements of the principle of </w:t>
      </w:r>
      <w:r w:rsidR="00C547E5" w:rsidRPr="00C547E5">
        <w:rPr>
          <w:b/>
          <w:i/>
        </w:rPr>
        <w:t>non-</w:t>
      </w:r>
      <w:proofErr w:type="spellStart"/>
      <w:r w:rsidR="00C547E5" w:rsidRPr="00C547E5">
        <w:rPr>
          <w:b/>
          <w:i/>
        </w:rPr>
        <w:t>refoulement</w:t>
      </w:r>
      <w:proofErr w:type="spellEnd"/>
      <w:r w:rsidR="002C0092">
        <w:rPr>
          <w:b/>
        </w:rPr>
        <w:t>,</w:t>
      </w:r>
      <w:r w:rsidR="00C547E5" w:rsidRPr="00C547E5">
        <w:rPr>
          <w:b/>
        </w:rPr>
        <w:t xml:space="preserve"> thereby exposing these persons to </w:t>
      </w:r>
      <w:r w:rsidR="002A67C3">
        <w:rPr>
          <w:b/>
        </w:rPr>
        <w:t xml:space="preserve">real risks of </w:t>
      </w:r>
      <w:r w:rsidR="000316B2">
        <w:rPr>
          <w:b/>
        </w:rPr>
        <w:t xml:space="preserve">human rights </w:t>
      </w:r>
      <w:r w:rsidR="00C547E5" w:rsidRPr="00C547E5">
        <w:rPr>
          <w:b/>
        </w:rPr>
        <w:t xml:space="preserve">violations. In other cases, States have facilitated detentions outside their territory by third parties without </w:t>
      </w:r>
      <w:r w:rsidR="002A67C3">
        <w:rPr>
          <w:b/>
        </w:rPr>
        <w:t xml:space="preserve">appropriate </w:t>
      </w:r>
      <w:r w:rsidR="00C547E5" w:rsidRPr="00C547E5">
        <w:rPr>
          <w:b/>
        </w:rPr>
        <w:t>procedural safeguards and judicial guarantees</w:t>
      </w:r>
      <w:r w:rsidR="00DD22DB">
        <w:rPr>
          <w:b/>
        </w:rPr>
        <w:t xml:space="preserve"> required by international law</w:t>
      </w:r>
      <w:r w:rsidR="002C0092">
        <w:rPr>
          <w:b/>
        </w:rPr>
        <w:t>,</w:t>
      </w:r>
      <w:r w:rsidR="00C547E5" w:rsidRPr="00C547E5">
        <w:rPr>
          <w:b/>
        </w:rPr>
        <w:t xml:space="preserve"> thus contributing significantly to </w:t>
      </w:r>
      <w:r w:rsidR="002A67C3">
        <w:rPr>
          <w:b/>
        </w:rPr>
        <w:t xml:space="preserve">risks of </w:t>
      </w:r>
      <w:r w:rsidR="00C547E5" w:rsidRPr="00C547E5">
        <w:rPr>
          <w:b/>
        </w:rPr>
        <w:t xml:space="preserve">human rights violations. In order to ensure that extraterritorial detention </w:t>
      </w:r>
      <w:r w:rsidR="009011A2">
        <w:rPr>
          <w:b/>
        </w:rPr>
        <w:t>does</w:t>
      </w:r>
      <w:r w:rsidR="009011A2" w:rsidRPr="00C547E5">
        <w:rPr>
          <w:b/>
        </w:rPr>
        <w:t xml:space="preserve"> </w:t>
      </w:r>
      <w:r w:rsidR="00C547E5" w:rsidRPr="00C547E5">
        <w:rPr>
          <w:b/>
        </w:rPr>
        <w:t xml:space="preserve">not compromise the integrity of the judicial system and to </w:t>
      </w:r>
      <w:r w:rsidR="002A67C3">
        <w:rPr>
          <w:b/>
        </w:rPr>
        <w:t xml:space="preserve">facilitate provision of effective remedies for </w:t>
      </w:r>
      <w:r w:rsidR="00C547E5" w:rsidRPr="00C547E5">
        <w:rPr>
          <w:b/>
        </w:rPr>
        <w:t xml:space="preserve">human rights violations </w:t>
      </w:r>
      <w:r w:rsidR="002A67C3">
        <w:rPr>
          <w:b/>
        </w:rPr>
        <w:t xml:space="preserve">suffered </w:t>
      </w:r>
      <w:r w:rsidR="00C547E5" w:rsidRPr="00C547E5">
        <w:rPr>
          <w:b/>
        </w:rPr>
        <w:t>in the course of such detention, a number of measures are recommended</w:t>
      </w:r>
      <w:r w:rsidR="002C0092">
        <w:rPr>
          <w:b/>
        </w:rPr>
        <w:t>:</w:t>
      </w:r>
    </w:p>
    <w:p w14:paraId="058FC908" w14:textId="138ED345" w:rsidR="00C547E5" w:rsidRPr="00C547E5" w:rsidRDefault="000C5FB6" w:rsidP="00C547E5">
      <w:pPr>
        <w:pStyle w:val="SingleTxtG"/>
        <w:rPr>
          <w:b/>
          <w:lang w:val="en-US"/>
        </w:rPr>
      </w:pPr>
      <w:r>
        <w:rPr>
          <w:lang w:val="en-US"/>
        </w:rPr>
        <w:t>3</w:t>
      </w:r>
      <w:r w:rsidR="00051674">
        <w:rPr>
          <w:lang w:val="en-US"/>
        </w:rPr>
        <w:t>7</w:t>
      </w:r>
      <w:r w:rsidR="00C547E5" w:rsidRPr="003572B7">
        <w:rPr>
          <w:lang w:val="en-US"/>
        </w:rPr>
        <w:t>.</w:t>
      </w:r>
      <w:r w:rsidR="00C547E5" w:rsidRPr="00C547E5">
        <w:rPr>
          <w:b/>
          <w:lang w:val="en-US"/>
        </w:rPr>
        <w:tab/>
        <w:t xml:space="preserve">States should recognize and ensure that their human rights obligations apply to, and are fully enjoyed, by all persons under the effective control of their agents, </w:t>
      </w:r>
      <w:r w:rsidR="00C547E5" w:rsidRPr="00C547E5">
        <w:rPr>
          <w:b/>
          <w:lang w:val="en-US"/>
        </w:rPr>
        <w:lastRenderedPageBreak/>
        <w:t>wherever located in the world</w:t>
      </w:r>
      <w:r w:rsidR="002A67C3">
        <w:rPr>
          <w:b/>
          <w:lang w:val="en-US"/>
        </w:rPr>
        <w:t xml:space="preserve">, including with respect </w:t>
      </w:r>
      <w:r w:rsidR="00C547E5" w:rsidRPr="00C547E5">
        <w:rPr>
          <w:b/>
          <w:lang w:val="en-US"/>
        </w:rPr>
        <w:t>to persons detained extraterritorially in the context of armed conflict</w:t>
      </w:r>
      <w:r w:rsidR="00A43FD3">
        <w:rPr>
          <w:b/>
          <w:lang w:val="en-US"/>
        </w:rPr>
        <w:t>.</w:t>
      </w:r>
    </w:p>
    <w:p w14:paraId="781FDABF" w14:textId="5B878117" w:rsidR="00C547E5" w:rsidRPr="00C547E5" w:rsidRDefault="000C5FB6" w:rsidP="00C547E5">
      <w:pPr>
        <w:pStyle w:val="SingleTxtG"/>
        <w:rPr>
          <w:b/>
          <w:bCs/>
        </w:rPr>
      </w:pPr>
      <w:r>
        <w:t>3</w:t>
      </w:r>
      <w:r w:rsidR="00051674">
        <w:t>8</w:t>
      </w:r>
      <w:r w:rsidR="00C547E5" w:rsidRPr="003572B7">
        <w:t>.</w:t>
      </w:r>
      <w:r w:rsidR="00C547E5" w:rsidRPr="00C547E5">
        <w:rPr>
          <w:b/>
        </w:rPr>
        <w:tab/>
      </w:r>
      <w:r w:rsidR="00317388">
        <w:rPr>
          <w:b/>
        </w:rPr>
        <w:t>D</w:t>
      </w:r>
      <w:r w:rsidR="00C547E5" w:rsidRPr="00C547E5">
        <w:rPr>
          <w:b/>
        </w:rPr>
        <w:t xml:space="preserve">etention carried out outside of States’ borders, including in </w:t>
      </w:r>
      <w:r w:rsidR="00987A30">
        <w:rPr>
          <w:b/>
        </w:rPr>
        <w:t xml:space="preserve">situations of </w:t>
      </w:r>
      <w:r w:rsidR="00C547E5" w:rsidRPr="00C547E5">
        <w:rPr>
          <w:b/>
        </w:rPr>
        <w:t>armed conflict or emergency, must</w:t>
      </w:r>
      <w:r w:rsidR="0075642E">
        <w:rPr>
          <w:b/>
        </w:rPr>
        <w:t xml:space="preserve"> </w:t>
      </w:r>
      <w:r w:rsidR="00C547E5" w:rsidRPr="00C547E5">
        <w:rPr>
          <w:b/>
        </w:rPr>
        <w:t xml:space="preserve">be under effective </w:t>
      </w:r>
      <w:r w:rsidR="00DD22DB">
        <w:rPr>
          <w:b/>
        </w:rPr>
        <w:t>control of a court or other tribunal possessing the same attributes of independence and impartiality as the judiciary</w:t>
      </w:r>
      <w:r w:rsidR="00A43FD3">
        <w:rPr>
          <w:b/>
        </w:rPr>
        <w:t>.</w:t>
      </w:r>
      <w:r w:rsidR="00C547E5" w:rsidRPr="00C547E5">
        <w:rPr>
          <w:b/>
        </w:rPr>
        <w:t xml:space="preserve"> </w:t>
      </w:r>
      <w:r w:rsidR="00317388">
        <w:rPr>
          <w:b/>
        </w:rPr>
        <w:t xml:space="preserve">In relation to administrative detention, </w:t>
      </w:r>
      <w:r w:rsidR="00317388" w:rsidRPr="00C547E5">
        <w:rPr>
          <w:b/>
          <w:bCs/>
        </w:rPr>
        <w:t xml:space="preserve">States should </w:t>
      </w:r>
      <w:r w:rsidR="002A67C3">
        <w:rPr>
          <w:b/>
          <w:bCs/>
        </w:rPr>
        <w:t xml:space="preserve">also </w:t>
      </w:r>
      <w:r w:rsidR="00317388" w:rsidRPr="00C547E5">
        <w:rPr>
          <w:b/>
          <w:bCs/>
        </w:rPr>
        <w:t>ensure that independent, prompt and thorough procedures to review the circumstances of detention and the status of detainees are available to all detainees.</w:t>
      </w:r>
      <w:r w:rsidR="0019371C">
        <w:rPr>
          <w:b/>
          <w:bCs/>
        </w:rPr>
        <w:t xml:space="preserve"> </w:t>
      </w:r>
      <w:r w:rsidR="00317388">
        <w:rPr>
          <w:b/>
        </w:rPr>
        <w:t>D</w:t>
      </w:r>
      <w:r w:rsidR="00C547E5" w:rsidRPr="00C547E5">
        <w:rPr>
          <w:b/>
        </w:rPr>
        <w:t xml:space="preserve">etained persons </w:t>
      </w:r>
      <w:r w:rsidR="00317388">
        <w:rPr>
          <w:b/>
        </w:rPr>
        <w:t xml:space="preserve">have a </w:t>
      </w:r>
      <w:r w:rsidR="00C547E5" w:rsidRPr="00C547E5">
        <w:rPr>
          <w:b/>
        </w:rPr>
        <w:t xml:space="preserve">right to </w:t>
      </w:r>
      <w:r w:rsidR="009011A2">
        <w:rPr>
          <w:b/>
        </w:rPr>
        <w:t xml:space="preserve">institute </w:t>
      </w:r>
      <w:r w:rsidR="00C547E5" w:rsidRPr="00C547E5">
        <w:rPr>
          <w:b/>
        </w:rPr>
        <w:t xml:space="preserve">proceedings </w:t>
      </w:r>
      <w:r w:rsidR="009011A2">
        <w:rPr>
          <w:b/>
        </w:rPr>
        <w:t xml:space="preserve">to challenge </w:t>
      </w:r>
      <w:r w:rsidR="00C547E5" w:rsidRPr="00C547E5">
        <w:rPr>
          <w:b/>
        </w:rPr>
        <w:t>unlawful or arbitrary detention.</w:t>
      </w:r>
    </w:p>
    <w:p w14:paraId="7917BCFB" w14:textId="62C8FE06" w:rsidR="00A6020A" w:rsidRPr="00C547E5" w:rsidRDefault="00A6020A" w:rsidP="00A6020A">
      <w:pPr>
        <w:pStyle w:val="SingleTxtG"/>
        <w:rPr>
          <w:b/>
        </w:rPr>
      </w:pPr>
      <w:r>
        <w:rPr>
          <w:bCs/>
        </w:rPr>
        <w:t>3</w:t>
      </w:r>
      <w:r w:rsidR="00051674">
        <w:rPr>
          <w:bCs/>
        </w:rPr>
        <w:t>9</w:t>
      </w:r>
      <w:r w:rsidRPr="003572B7">
        <w:rPr>
          <w:bCs/>
        </w:rPr>
        <w:t>.</w:t>
      </w:r>
      <w:r w:rsidRPr="00C547E5">
        <w:rPr>
          <w:b/>
          <w:bCs/>
        </w:rPr>
        <w:tab/>
        <w:t>Victims of human rights violations in extraterritorial detention should be provided with judicial remedies and adequate, effective and prompt reparation proportionate to the gravity of the violations and the harm suffered.</w:t>
      </w:r>
    </w:p>
    <w:p w14:paraId="1EB9E318" w14:textId="6F9F085F" w:rsidR="00FD3989" w:rsidRPr="00C547E5" w:rsidRDefault="00051674" w:rsidP="00FD3989">
      <w:pPr>
        <w:pStyle w:val="SingleTxtG"/>
        <w:rPr>
          <w:b/>
          <w:bCs/>
        </w:rPr>
      </w:pPr>
      <w:r>
        <w:rPr>
          <w:bCs/>
        </w:rPr>
        <w:t>40</w:t>
      </w:r>
      <w:r w:rsidR="00FD3989" w:rsidRPr="003572B7">
        <w:rPr>
          <w:bCs/>
        </w:rPr>
        <w:t>.</w:t>
      </w:r>
      <w:r w:rsidR="00FD3989" w:rsidRPr="00C547E5">
        <w:rPr>
          <w:b/>
          <w:bCs/>
        </w:rPr>
        <w:tab/>
        <w:t>Extraterritorial detention by intelligence services should be governed by law</w:t>
      </w:r>
      <w:r w:rsidR="009011A2">
        <w:rPr>
          <w:b/>
          <w:bCs/>
        </w:rPr>
        <w:t>,</w:t>
      </w:r>
      <w:r w:rsidR="006F6DF2">
        <w:rPr>
          <w:b/>
          <w:bCs/>
        </w:rPr>
        <w:t xml:space="preserve"> and must be</w:t>
      </w:r>
      <w:r w:rsidR="009011A2">
        <w:rPr>
          <w:b/>
          <w:bCs/>
        </w:rPr>
        <w:t xml:space="preserve"> </w:t>
      </w:r>
      <w:r w:rsidR="00FD3989" w:rsidRPr="00C547E5">
        <w:rPr>
          <w:b/>
          <w:bCs/>
        </w:rPr>
        <w:t xml:space="preserve">in conformity with international law. To ensure accountability, such detention </w:t>
      </w:r>
      <w:r w:rsidR="009011A2">
        <w:rPr>
          <w:b/>
          <w:bCs/>
        </w:rPr>
        <w:t>should</w:t>
      </w:r>
      <w:r w:rsidR="009011A2" w:rsidRPr="00C547E5">
        <w:rPr>
          <w:b/>
          <w:bCs/>
        </w:rPr>
        <w:t xml:space="preserve"> </w:t>
      </w:r>
      <w:r w:rsidR="00FD3989" w:rsidRPr="00C547E5">
        <w:rPr>
          <w:b/>
          <w:bCs/>
        </w:rPr>
        <w:t>be subject to effective independent review and oversight mechanisms with access to all relevant information.</w:t>
      </w:r>
    </w:p>
    <w:p w14:paraId="5C49D793" w14:textId="2EEEE662" w:rsidR="00C547E5" w:rsidRPr="00C547E5" w:rsidRDefault="0019371C" w:rsidP="00C547E5">
      <w:pPr>
        <w:pStyle w:val="SingleTxtG"/>
        <w:rPr>
          <w:b/>
          <w:bCs/>
        </w:rPr>
      </w:pPr>
      <w:r>
        <w:t>4</w:t>
      </w:r>
      <w:r w:rsidR="00051674">
        <w:t>1</w:t>
      </w:r>
      <w:r w:rsidR="00C547E5" w:rsidRPr="003572B7">
        <w:t>.</w:t>
      </w:r>
      <w:r w:rsidR="00C547E5" w:rsidRPr="00C547E5">
        <w:rPr>
          <w:b/>
        </w:rPr>
        <w:tab/>
        <w:t xml:space="preserve"> States </w:t>
      </w:r>
      <w:r w:rsidR="00C547E5" w:rsidRPr="00C547E5">
        <w:rPr>
          <w:b/>
          <w:bCs/>
        </w:rPr>
        <w:t>should adopt all necessary measures to prohibit s</w:t>
      </w:r>
      <w:r w:rsidR="00C547E5" w:rsidRPr="00C547E5">
        <w:rPr>
          <w:b/>
        </w:rPr>
        <w:t>ecret detention and other forms of unofficial detention</w:t>
      </w:r>
      <w:r w:rsidR="00C547E5" w:rsidRPr="00C547E5">
        <w:rPr>
          <w:b/>
          <w:bCs/>
        </w:rPr>
        <w:t xml:space="preserve"> in any territory under their jurisdiction.</w:t>
      </w:r>
    </w:p>
    <w:p w14:paraId="17E003A9" w14:textId="6619CDB4" w:rsidR="00C547E5" w:rsidRPr="00C547E5" w:rsidRDefault="0019371C" w:rsidP="00C547E5">
      <w:pPr>
        <w:pStyle w:val="SingleTxtG"/>
        <w:rPr>
          <w:b/>
          <w:bCs/>
        </w:rPr>
      </w:pPr>
      <w:r>
        <w:rPr>
          <w:bCs/>
        </w:rPr>
        <w:t>4</w:t>
      </w:r>
      <w:r w:rsidR="00051674">
        <w:rPr>
          <w:bCs/>
        </w:rPr>
        <w:t>2</w:t>
      </w:r>
      <w:r w:rsidR="00C547E5" w:rsidRPr="003572B7">
        <w:rPr>
          <w:bCs/>
        </w:rPr>
        <w:t>.</w:t>
      </w:r>
      <w:r w:rsidR="00C547E5" w:rsidRPr="00C547E5">
        <w:rPr>
          <w:b/>
          <w:bCs/>
        </w:rPr>
        <w:tab/>
        <w:t xml:space="preserve">States </w:t>
      </w:r>
      <w:r w:rsidR="00DE57BB">
        <w:rPr>
          <w:b/>
          <w:bCs/>
        </w:rPr>
        <w:t>must</w:t>
      </w:r>
      <w:r w:rsidR="00285915">
        <w:rPr>
          <w:b/>
          <w:bCs/>
        </w:rPr>
        <w:t xml:space="preserve"> </w:t>
      </w:r>
      <w:r w:rsidR="00C547E5" w:rsidRPr="00C547E5">
        <w:rPr>
          <w:b/>
          <w:bCs/>
        </w:rPr>
        <w:t>ensure that independent institutions promptly investigate any allegations of secret detention</w:t>
      </w:r>
      <w:r w:rsidR="00317388">
        <w:rPr>
          <w:b/>
          <w:bCs/>
        </w:rPr>
        <w:t xml:space="preserve">, enforced </w:t>
      </w:r>
      <w:r w:rsidR="0086743F">
        <w:rPr>
          <w:b/>
          <w:bCs/>
        </w:rPr>
        <w:t>disappearance</w:t>
      </w:r>
      <w:r w:rsidR="00C547E5" w:rsidRPr="00C547E5">
        <w:rPr>
          <w:b/>
          <w:bCs/>
        </w:rPr>
        <w:t xml:space="preserve"> and of unlawful acts committed in the context of extraterritorial detention.</w:t>
      </w:r>
    </w:p>
    <w:p w14:paraId="07F93B65" w14:textId="29DA2305" w:rsidR="00C547E5" w:rsidRPr="00C547E5" w:rsidRDefault="000C5FB6" w:rsidP="00C547E5">
      <w:pPr>
        <w:pStyle w:val="SingleTxtG"/>
        <w:rPr>
          <w:b/>
          <w:bCs/>
        </w:rPr>
      </w:pPr>
      <w:r>
        <w:rPr>
          <w:bCs/>
        </w:rPr>
        <w:t>4</w:t>
      </w:r>
      <w:r w:rsidR="00051674">
        <w:rPr>
          <w:bCs/>
        </w:rPr>
        <w:t>3</w:t>
      </w:r>
      <w:r w:rsidR="00C547E5" w:rsidRPr="003572B7">
        <w:rPr>
          <w:bCs/>
        </w:rPr>
        <w:t>.</w:t>
      </w:r>
      <w:r w:rsidR="00C547E5" w:rsidRPr="00C547E5">
        <w:rPr>
          <w:b/>
          <w:bCs/>
        </w:rPr>
        <w:t xml:space="preserve"> </w:t>
      </w:r>
      <w:r w:rsidR="009011A2">
        <w:rPr>
          <w:b/>
          <w:bCs/>
        </w:rPr>
        <w:tab/>
      </w:r>
      <w:r w:rsidR="00C547E5" w:rsidRPr="00C547E5">
        <w:rPr>
          <w:b/>
        </w:rPr>
        <w:t xml:space="preserve">All necessary measures should be adopted </w:t>
      </w:r>
      <w:r w:rsidR="000316B2">
        <w:rPr>
          <w:b/>
        </w:rPr>
        <w:t xml:space="preserve">by States </w:t>
      </w:r>
      <w:r w:rsidR="00C547E5" w:rsidRPr="00C547E5">
        <w:rPr>
          <w:b/>
        </w:rPr>
        <w:t>to prevent the recurrence of violations</w:t>
      </w:r>
      <w:r w:rsidR="0065492D">
        <w:rPr>
          <w:b/>
        </w:rPr>
        <w:t xml:space="preserve"> related to extraterritorial detention</w:t>
      </w:r>
      <w:r w:rsidR="00C547E5" w:rsidRPr="00C547E5">
        <w:rPr>
          <w:b/>
        </w:rPr>
        <w:t xml:space="preserve">, in particular by providing adequate training and clear guidance to its personnel and contract employees, </w:t>
      </w:r>
      <w:r w:rsidR="000316B2">
        <w:rPr>
          <w:b/>
        </w:rPr>
        <w:t>in</w:t>
      </w:r>
      <w:r w:rsidR="002A67C3">
        <w:rPr>
          <w:b/>
        </w:rPr>
        <w:t>cluding with respect to access to judicial and administrative remedies, in</w:t>
      </w:r>
      <w:r w:rsidR="000316B2">
        <w:rPr>
          <w:b/>
        </w:rPr>
        <w:t xml:space="preserve"> line with </w:t>
      </w:r>
      <w:r w:rsidR="002C0092">
        <w:rPr>
          <w:b/>
        </w:rPr>
        <w:t>their</w:t>
      </w:r>
      <w:r w:rsidR="002C0092" w:rsidRPr="00C547E5">
        <w:rPr>
          <w:b/>
        </w:rPr>
        <w:t xml:space="preserve"> </w:t>
      </w:r>
      <w:r w:rsidR="00C547E5" w:rsidRPr="00C547E5">
        <w:rPr>
          <w:b/>
        </w:rPr>
        <w:t xml:space="preserve">obligations </w:t>
      </w:r>
      <w:r w:rsidR="000316B2">
        <w:rPr>
          <w:b/>
        </w:rPr>
        <w:t>under international law</w:t>
      </w:r>
      <w:r w:rsidR="00C547E5" w:rsidRPr="00C547E5">
        <w:rPr>
          <w:b/>
        </w:rPr>
        <w:t>.</w:t>
      </w:r>
    </w:p>
    <w:p w14:paraId="7F6852BA" w14:textId="1176E020" w:rsidR="00C547E5" w:rsidRPr="00C547E5" w:rsidRDefault="000C5FB6" w:rsidP="00C547E5">
      <w:pPr>
        <w:pStyle w:val="SingleTxtG"/>
        <w:rPr>
          <w:b/>
          <w:bCs/>
        </w:rPr>
      </w:pPr>
      <w:r>
        <w:t>4</w:t>
      </w:r>
      <w:r w:rsidR="00051674">
        <w:t>4</w:t>
      </w:r>
      <w:r w:rsidR="00C547E5" w:rsidRPr="003572B7">
        <w:t>.</w:t>
      </w:r>
      <w:r w:rsidR="00C547E5" w:rsidRPr="00C547E5">
        <w:rPr>
          <w:b/>
        </w:rPr>
        <w:tab/>
        <w:t>State</w:t>
      </w:r>
      <w:r w:rsidR="000316B2">
        <w:rPr>
          <w:b/>
        </w:rPr>
        <w:t xml:space="preserve">s should ensure </w:t>
      </w:r>
      <w:r w:rsidR="00993F05">
        <w:rPr>
          <w:b/>
        </w:rPr>
        <w:t>the registration of all de</w:t>
      </w:r>
      <w:r w:rsidR="000316B2">
        <w:rPr>
          <w:b/>
        </w:rPr>
        <w:t>tainees</w:t>
      </w:r>
      <w:r w:rsidR="009011A2">
        <w:rPr>
          <w:b/>
        </w:rPr>
        <w:t xml:space="preserve"> held by them</w:t>
      </w:r>
      <w:r w:rsidR="00993F05">
        <w:rPr>
          <w:b/>
        </w:rPr>
        <w:t>,</w:t>
      </w:r>
      <w:r w:rsidR="000316B2">
        <w:rPr>
          <w:b/>
        </w:rPr>
        <w:t xml:space="preserve"> </w:t>
      </w:r>
      <w:r w:rsidR="00993F05" w:rsidRPr="00C547E5">
        <w:rPr>
          <w:b/>
        </w:rPr>
        <w:t>in any territory</w:t>
      </w:r>
      <w:r w:rsidR="00993F05">
        <w:rPr>
          <w:b/>
        </w:rPr>
        <w:t>,</w:t>
      </w:r>
      <w:r w:rsidR="00993F05" w:rsidRPr="00C547E5">
        <w:rPr>
          <w:b/>
        </w:rPr>
        <w:t xml:space="preserve"> </w:t>
      </w:r>
      <w:r w:rsidR="00993F05">
        <w:rPr>
          <w:b/>
        </w:rPr>
        <w:t xml:space="preserve">and the </w:t>
      </w:r>
      <w:r w:rsidR="009011A2">
        <w:rPr>
          <w:b/>
        </w:rPr>
        <w:t xml:space="preserve">maintenance </w:t>
      </w:r>
      <w:r w:rsidR="00993F05">
        <w:rPr>
          <w:b/>
        </w:rPr>
        <w:t xml:space="preserve">of </w:t>
      </w:r>
      <w:r w:rsidR="009011A2">
        <w:rPr>
          <w:b/>
        </w:rPr>
        <w:t xml:space="preserve">appropriate </w:t>
      </w:r>
      <w:r w:rsidR="00993F05">
        <w:rPr>
          <w:b/>
        </w:rPr>
        <w:t>records</w:t>
      </w:r>
      <w:r w:rsidR="00987A30">
        <w:rPr>
          <w:b/>
        </w:rPr>
        <w:t xml:space="preserve"> in all circumstances.</w:t>
      </w:r>
    </w:p>
    <w:p w14:paraId="603A9CE2" w14:textId="4606866C" w:rsidR="00C547E5" w:rsidRPr="00C547E5" w:rsidRDefault="000C5FB6" w:rsidP="00C547E5">
      <w:pPr>
        <w:pStyle w:val="SingleTxtG"/>
        <w:rPr>
          <w:bCs/>
        </w:rPr>
      </w:pPr>
      <w:r>
        <w:rPr>
          <w:bCs/>
        </w:rPr>
        <w:t>4</w:t>
      </w:r>
      <w:r w:rsidR="00051674">
        <w:rPr>
          <w:bCs/>
        </w:rPr>
        <w:t>5</w:t>
      </w:r>
      <w:r w:rsidR="00C547E5" w:rsidRPr="00C547E5">
        <w:rPr>
          <w:bCs/>
        </w:rPr>
        <w:t>.</w:t>
      </w:r>
      <w:r w:rsidR="00C547E5" w:rsidRPr="00C547E5">
        <w:rPr>
          <w:bCs/>
        </w:rPr>
        <w:tab/>
      </w:r>
      <w:r w:rsidR="00C547E5" w:rsidRPr="00C547E5">
        <w:rPr>
          <w:b/>
        </w:rPr>
        <w:t>Independent and impartial mechanisms should have timely access to all places where persons are deprived of their liberty at all times. States that have not already done so, should consider ratifying the Optional Protocol to the Convention against Torture and Other Cruel, Inhuman or Degrading Treatment or Punishment.</w:t>
      </w:r>
    </w:p>
    <w:p w14:paraId="43A178EC" w14:textId="69159CDF" w:rsidR="00C547E5" w:rsidRPr="00C547E5" w:rsidRDefault="000C5FB6" w:rsidP="00C547E5">
      <w:pPr>
        <w:pStyle w:val="SingleTxtG"/>
        <w:rPr>
          <w:b/>
          <w:bCs/>
        </w:rPr>
      </w:pPr>
      <w:r>
        <w:rPr>
          <w:bCs/>
        </w:rPr>
        <w:t>4</w:t>
      </w:r>
      <w:r w:rsidR="00051674">
        <w:rPr>
          <w:bCs/>
        </w:rPr>
        <w:t>6</w:t>
      </w:r>
      <w:r w:rsidR="00C547E5" w:rsidRPr="003572B7">
        <w:rPr>
          <w:bCs/>
        </w:rPr>
        <w:t>.</w:t>
      </w:r>
      <w:r w:rsidR="00C547E5" w:rsidRPr="00C547E5">
        <w:rPr>
          <w:b/>
          <w:bCs/>
        </w:rPr>
        <w:tab/>
        <w:t xml:space="preserve">States </w:t>
      </w:r>
      <w:r w:rsidR="008D15D2">
        <w:rPr>
          <w:b/>
          <w:bCs/>
        </w:rPr>
        <w:t>must</w:t>
      </w:r>
      <w:r w:rsidR="008D15D2" w:rsidRPr="00C547E5">
        <w:rPr>
          <w:b/>
          <w:bCs/>
        </w:rPr>
        <w:t xml:space="preserve"> </w:t>
      </w:r>
      <w:r w:rsidR="00C547E5" w:rsidRPr="00C547E5">
        <w:rPr>
          <w:b/>
          <w:bCs/>
        </w:rPr>
        <w:t xml:space="preserve">comply with the principle of </w:t>
      </w:r>
      <w:r w:rsidR="00C547E5" w:rsidRPr="00C547E5">
        <w:rPr>
          <w:b/>
          <w:bCs/>
          <w:i/>
        </w:rPr>
        <w:t>non-</w:t>
      </w:r>
      <w:proofErr w:type="spellStart"/>
      <w:r w:rsidR="00C547E5" w:rsidRPr="00C547E5">
        <w:rPr>
          <w:b/>
          <w:bCs/>
          <w:i/>
        </w:rPr>
        <w:t>refoulement</w:t>
      </w:r>
      <w:proofErr w:type="spellEnd"/>
      <w:r w:rsidR="00C547E5" w:rsidRPr="00C547E5">
        <w:rPr>
          <w:b/>
          <w:bCs/>
        </w:rPr>
        <w:t xml:space="preserve"> at all times and with respect to all persons </w:t>
      </w:r>
      <w:r w:rsidR="00713BDB">
        <w:rPr>
          <w:b/>
          <w:bCs/>
        </w:rPr>
        <w:t>they detain</w:t>
      </w:r>
      <w:r w:rsidR="00C547E5" w:rsidRPr="00C547E5">
        <w:rPr>
          <w:b/>
          <w:bCs/>
        </w:rPr>
        <w:t xml:space="preserve">. Accordingly, they </w:t>
      </w:r>
      <w:r w:rsidR="00D15B50">
        <w:rPr>
          <w:b/>
          <w:bCs/>
        </w:rPr>
        <w:t>should</w:t>
      </w:r>
      <w:r w:rsidR="00460560">
        <w:rPr>
          <w:b/>
          <w:bCs/>
        </w:rPr>
        <w:t>:</w:t>
      </w:r>
    </w:p>
    <w:p w14:paraId="24A8C203" w14:textId="09490A69" w:rsidR="00C547E5" w:rsidRPr="00C547E5" w:rsidRDefault="000C5FB6" w:rsidP="00C547E5">
      <w:pPr>
        <w:pStyle w:val="SingleTxtG"/>
        <w:rPr>
          <w:b/>
          <w:bCs/>
        </w:rPr>
      </w:pPr>
      <w:r>
        <w:rPr>
          <w:b/>
          <w:bCs/>
        </w:rPr>
        <w:tab/>
      </w:r>
      <w:r>
        <w:rPr>
          <w:b/>
          <w:bCs/>
        </w:rPr>
        <w:tab/>
      </w:r>
      <w:r w:rsidRPr="000C5FB6">
        <w:rPr>
          <w:bCs/>
        </w:rPr>
        <w:t>(a)</w:t>
      </w:r>
      <w:r>
        <w:rPr>
          <w:b/>
          <w:bCs/>
        </w:rPr>
        <w:tab/>
      </w:r>
      <w:r w:rsidR="00C547E5" w:rsidRPr="00C547E5">
        <w:rPr>
          <w:b/>
          <w:bCs/>
        </w:rPr>
        <w:t xml:space="preserve">conduct individualized risk assessments prior to transfers and desist from transfers to an authority in whose hands the detainee would face a real risk of </w:t>
      </w:r>
      <w:r w:rsidR="00324F47" w:rsidRPr="0019371C">
        <w:rPr>
          <w:b/>
          <w:bCs/>
        </w:rPr>
        <w:t xml:space="preserve">torture, cruel, inhuman or degrading treatment or punishment </w:t>
      </w:r>
      <w:r w:rsidR="00D15B50">
        <w:rPr>
          <w:b/>
          <w:bCs/>
        </w:rPr>
        <w:t>or</w:t>
      </w:r>
      <w:r w:rsidR="00D15B50" w:rsidRPr="0019371C">
        <w:rPr>
          <w:b/>
          <w:bCs/>
        </w:rPr>
        <w:t xml:space="preserve"> </w:t>
      </w:r>
      <w:r w:rsidR="00324F47" w:rsidRPr="0019371C">
        <w:rPr>
          <w:b/>
          <w:bCs/>
        </w:rPr>
        <w:t>other irreparable harm</w:t>
      </w:r>
      <w:r w:rsidR="00D15B50">
        <w:rPr>
          <w:b/>
          <w:bCs/>
        </w:rPr>
        <w:t>,</w:t>
      </w:r>
      <w:r w:rsidR="00C547E5" w:rsidRPr="00C547E5">
        <w:rPr>
          <w:b/>
          <w:bCs/>
        </w:rPr>
        <w:t xml:space="preserve"> or who m</w:t>
      </w:r>
      <w:r w:rsidR="00D15B50">
        <w:rPr>
          <w:b/>
          <w:bCs/>
        </w:rPr>
        <w:t xml:space="preserve">ay in turn </w:t>
      </w:r>
      <w:r w:rsidR="00C547E5" w:rsidRPr="00C547E5">
        <w:rPr>
          <w:b/>
          <w:bCs/>
        </w:rPr>
        <w:t xml:space="preserve">transfer them into </w:t>
      </w:r>
      <w:r w:rsidR="00D15B50">
        <w:rPr>
          <w:b/>
          <w:bCs/>
        </w:rPr>
        <w:t xml:space="preserve">a situation of </w:t>
      </w:r>
      <w:r w:rsidR="00C547E5" w:rsidRPr="00C547E5">
        <w:rPr>
          <w:b/>
          <w:bCs/>
        </w:rPr>
        <w:t>such risk;</w:t>
      </w:r>
    </w:p>
    <w:p w14:paraId="7927C37B" w14:textId="2061CBE4" w:rsidR="00C547E5" w:rsidRPr="00C547E5" w:rsidRDefault="000C5FB6" w:rsidP="00C547E5">
      <w:pPr>
        <w:pStyle w:val="SingleTxtG"/>
        <w:rPr>
          <w:b/>
          <w:bCs/>
        </w:rPr>
      </w:pPr>
      <w:r>
        <w:rPr>
          <w:b/>
          <w:bCs/>
        </w:rPr>
        <w:tab/>
      </w:r>
      <w:r>
        <w:rPr>
          <w:b/>
          <w:bCs/>
        </w:rPr>
        <w:tab/>
      </w:r>
      <w:r w:rsidRPr="000C5FB6">
        <w:rPr>
          <w:bCs/>
        </w:rPr>
        <w:t>(b)</w:t>
      </w:r>
      <w:r>
        <w:rPr>
          <w:b/>
          <w:bCs/>
        </w:rPr>
        <w:tab/>
      </w:r>
      <w:proofErr w:type="gramStart"/>
      <w:r w:rsidR="00C547E5" w:rsidRPr="00C547E5">
        <w:rPr>
          <w:b/>
          <w:bCs/>
        </w:rPr>
        <w:t>ensure</w:t>
      </w:r>
      <w:proofErr w:type="gramEnd"/>
      <w:r w:rsidR="00C547E5" w:rsidRPr="00C547E5">
        <w:rPr>
          <w:b/>
          <w:bCs/>
        </w:rPr>
        <w:t xml:space="preserve"> that detainees have the possibility </w:t>
      </w:r>
      <w:r w:rsidR="00D15B50">
        <w:rPr>
          <w:b/>
          <w:bCs/>
        </w:rPr>
        <w:t xml:space="preserve">effectively </w:t>
      </w:r>
      <w:r w:rsidR="00C547E5" w:rsidRPr="00C547E5">
        <w:rPr>
          <w:b/>
          <w:bCs/>
        </w:rPr>
        <w:t xml:space="preserve">to challenge decisions of </w:t>
      </w:r>
      <w:proofErr w:type="spellStart"/>
      <w:r w:rsidR="00C547E5" w:rsidRPr="00C547E5">
        <w:rPr>
          <w:b/>
          <w:bCs/>
          <w:i/>
        </w:rPr>
        <w:t>refoulement</w:t>
      </w:r>
      <w:proofErr w:type="spellEnd"/>
      <w:r w:rsidR="002A67C3" w:rsidRPr="002A67C3">
        <w:rPr>
          <w:b/>
        </w:rPr>
        <w:t xml:space="preserve"> before competent administrative and judicial authorities</w:t>
      </w:r>
      <w:r w:rsidR="00DD22DB">
        <w:rPr>
          <w:b/>
          <w:bCs/>
        </w:rPr>
        <w:t>;</w:t>
      </w:r>
    </w:p>
    <w:p w14:paraId="05833016" w14:textId="00BF72A0" w:rsidR="00C547E5" w:rsidRPr="00C547E5" w:rsidRDefault="000C5FB6" w:rsidP="00C547E5">
      <w:pPr>
        <w:pStyle w:val="SingleTxtG"/>
        <w:rPr>
          <w:b/>
          <w:bCs/>
        </w:rPr>
      </w:pPr>
      <w:r>
        <w:rPr>
          <w:b/>
          <w:bCs/>
        </w:rPr>
        <w:tab/>
      </w:r>
      <w:r>
        <w:rPr>
          <w:b/>
          <w:bCs/>
        </w:rPr>
        <w:tab/>
      </w:r>
      <w:r w:rsidRPr="000C5FB6">
        <w:rPr>
          <w:bCs/>
        </w:rPr>
        <w:t>(c)</w:t>
      </w:r>
      <w:r>
        <w:rPr>
          <w:b/>
          <w:bCs/>
        </w:rPr>
        <w:tab/>
      </w:r>
      <w:r w:rsidR="001E3AEE">
        <w:rPr>
          <w:b/>
          <w:bCs/>
        </w:rPr>
        <w:t xml:space="preserve">as recommended by the Committee </w:t>
      </w:r>
      <w:r w:rsidR="00D15B50">
        <w:rPr>
          <w:b/>
          <w:bCs/>
        </w:rPr>
        <w:t>a</w:t>
      </w:r>
      <w:r w:rsidR="001E3AEE">
        <w:rPr>
          <w:b/>
          <w:bCs/>
        </w:rPr>
        <w:t>gainst Torture</w:t>
      </w:r>
      <w:r w:rsidR="00D15B50">
        <w:rPr>
          <w:b/>
          <w:bCs/>
        </w:rPr>
        <w:t>,</w:t>
      </w:r>
      <w:r w:rsidR="001E3AEE">
        <w:rPr>
          <w:b/>
          <w:bCs/>
        </w:rPr>
        <w:t xml:space="preserve"> </w:t>
      </w:r>
      <w:r w:rsidR="00C547E5" w:rsidRPr="00C547E5">
        <w:rPr>
          <w:b/>
          <w:bCs/>
        </w:rPr>
        <w:t xml:space="preserve">only rely on diplomatic assurances provided by States which do not systematically subject detainees to </w:t>
      </w:r>
      <w:r w:rsidR="00324F47">
        <w:rPr>
          <w:b/>
          <w:bCs/>
        </w:rPr>
        <w:t xml:space="preserve">torture, </w:t>
      </w:r>
      <w:r w:rsidR="00C547E5" w:rsidRPr="00C547E5">
        <w:rPr>
          <w:b/>
          <w:bCs/>
        </w:rPr>
        <w:t>ill-treatment or other violations of human rights, and after a thorough examination of the merits of each individual case</w:t>
      </w:r>
      <w:r w:rsidR="00D15B50">
        <w:rPr>
          <w:b/>
          <w:bCs/>
        </w:rPr>
        <w:t xml:space="preserve"> to ensure that relevant assurances are effective to address real risks of harm</w:t>
      </w:r>
      <w:r w:rsidR="00DD22DB">
        <w:rPr>
          <w:b/>
          <w:bCs/>
        </w:rPr>
        <w:t>;</w:t>
      </w:r>
    </w:p>
    <w:p w14:paraId="14D86CC6" w14:textId="77777777" w:rsidR="00C547E5" w:rsidRPr="003572B7" w:rsidRDefault="000C5FB6" w:rsidP="00C547E5">
      <w:pPr>
        <w:pStyle w:val="SingleTxtG"/>
        <w:rPr>
          <w:b/>
          <w:bCs/>
        </w:rPr>
      </w:pPr>
      <w:r>
        <w:rPr>
          <w:b/>
          <w:bCs/>
        </w:rPr>
        <w:tab/>
      </w:r>
      <w:r>
        <w:rPr>
          <w:b/>
          <w:bCs/>
        </w:rPr>
        <w:tab/>
      </w:r>
      <w:r w:rsidRPr="000C5FB6">
        <w:rPr>
          <w:bCs/>
        </w:rPr>
        <w:t>(d)</w:t>
      </w:r>
      <w:r>
        <w:rPr>
          <w:b/>
          <w:bCs/>
        </w:rPr>
        <w:tab/>
      </w:r>
      <w:proofErr w:type="gramStart"/>
      <w:r w:rsidR="00C547E5" w:rsidRPr="00C547E5">
        <w:rPr>
          <w:b/>
          <w:bCs/>
        </w:rPr>
        <w:t>establish</w:t>
      </w:r>
      <w:proofErr w:type="gramEnd"/>
      <w:r w:rsidR="00C547E5" w:rsidRPr="00C547E5">
        <w:rPr>
          <w:b/>
          <w:bCs/>
        </w:rPr>
        <w:t xml:space="preserve"> and implement clear procedures for obtaining such assurances, with adequate judicial mechanisms for review, and effective post-</w:t>
      </w:r>
      <w:r w:rsidR="003572B7">
        <w:rPr>
          <w:b/>
          <w:bCs/>
        </w:rPr>
        <w:t>return monitoring arrangements.</w:t>
      </w:r>
    </w:p>
    <w:p w14:paraId="4DD1A4EC" w14:textId="5DBE5848" w:rsidR="00C547E5" w:rsidRPr="00C547E5" w:rsidRDefault="000C5FB6" w:rsidP="00C547E5">
      <w:pPr>
        <w:pStyle w:val="SingleTxtG"/>
        <w:rPr>
          <w:b/>
        </w:rPr>
      </w:pPr>
      <w:r>
        <w:t>4</w:t>
      </w:r>
      <w:r w:rsidR="00074806">
        <w:t>7</w:t>
      </w:r>
      <w:r w:rsidR="00C547E5" w:rsidRPr="003572B7">
        <w:t>.</w:t>
      </w:r>
      <w:r w:rsidR="00C547E5" w:rsidRPr="00C547E5">
        <w:rPr>
          <w:b/>
        </w:rPr>
        <w:tab/>
        <w:t>States engaging in extraterritorial armed conflict should, to the fullest extent possible, implement the following mitigating measures to preserve the integrity of the judicial system and prevent violations</w:t>
      </w:r>
      <w:r w:rsidR="00324F47">
        <w:rPr>
          <w:b/>
        </w:rPr>
        <w:t xml:space="preserve"> of international law</w:t>
      </w:r>
      <w:r w:rsidR="00C547E5" w:rsidRPr="00C547E5">
        <w:rPr>
          <w:b/>
        </w:rPr>
        <w:t>:</w:t>
      </w:r>
    </w:p>
    <w:p w14:paraId="7EB0C606" w14:textId="26C44F0F" w:rsidR="00C547E5" w:rsidRPr="00C547E5" w:rsidRDefault="000C5FB6" w:rsidP="00C547E5">
      <w:pPr>
        <w:pStyle w:val="SingleTxtG"/>
        <w:rPr>
          <w:b/>
        </w:rPr>
      </w:pPr>
      <w:r>
        <w:rPr>
          <w:b/>
        </w:rPr>
        <w:lastRenderedPageBreak/>
        <w:tab/>
      </w:r>
      <w:r>
        <w:rPr>
          <w:b/>
        </w:rPr>
        <w:tab/>
      </w:r>
      <w:r w:rsidRPr="000C5FB6">
        <w:t>(a)</w:t>
      </w:r>
      <w:r>
        <w:rPr>
          <w:b/>
        </w:rPr>
        <w:tab/>
      </w:r>
      <w:r w:rsidR="00C547E5" w:rsidRPr="00C547E5">
        <w:rPr>
          <w:b/>
        </w:rPr>
        <w:t>Plan in advance</w:t>
      </w:r>
      <w:r w:rsidR="00D15B50">
        <w:rPr>
          <w:b/>
        </w:rPr>
        <w:t xml:space="preserve"> of operations</w:t>
      </w:r>
      <w:r w:rsidR="00C547E5" w:rsidRPr="00C547E5">
        <w:rPr>
          <w:b/>
        </w:rPr>
        <w:t xml:space="preserve"> to ensure that procedures will be set in place and that </w:t>
      </w:r>
      <w:r w:rsidR="0086743F">
        <w:rPr>
          <w:b/>
        </w:rPr>
        <w:t>personnel</w:t>
      </w:r>
      <w:r w:rsidR="002C0092" w:rsidRPr="00C547E5">
        <w:rPr>
          <w:b/>
        </w:rPr>
        <w:t xml:space="preserve"> </w:t>
      </w:r>
      <w:r w:rsidR="00C547E5" w:rsidRPr="00C547E5">
        <w:rPr>
          <w:b/>
        </w:rPr>
        <w:t>deployed will be sufficient in number</w:t>
      </w:r>
      <w:r w:rsidR="00D15B50">
        <w:rPr>
          <w:b/>
        </w:rPr>
        <w:t>, adequately resourced,</w:t>
      </w:r>
      <w:r w:rsidR="00C547E5" w:rsidRPr="00C547E5">
        <w:rPr>
          <w:b/>
        </w:rPr>
        <w:t xml:space="preserve"> and wi</w:t>
      </w:r>
      <w:r w:rsidR="00D15B50">
        <w:rPr>
          <w:b/>
        </w:rPr>
        <w:t xml:space="preserve">th </w:t>
      </w:r>
      <w:r w:rsidR="00C547E5" w:rsidRPr="00C547E5">
        <w:rPr>
          <w:b/>
        </w:rPr>
        <w:t xml:space="preserve">training and expertise necessary to operate detention facilities in conformity with norms and standards </w:t>
      </w:r>
      <w:r w:rsidR="002C0092" w:rsidRPr="00C547E5">
        <w:rPr>
          <w:b/>
        </w:rPr>
        <w:t>under international</w:t>
      </w:r>
      <w:r w:rsidR="00C547E5" w:rsidRPr="00C547E5">
        <w:rPr>
          <w:b/>
        </w:rPr>
        <w:t xml:space="preserve"> human rights law and i</w:t>
      </w:r>
      <w:r w:rsidR="003572B7">
        <w:rPr>
          <w:b/>
        </w:rPr>
        <w:t>nternational humanitarian law.</w:t>
      </w:r>
    </w:p>
    <w:p w14:paraId="5EA9E1A5" w14:textId="0E3D708D" w:rsidR="00C547E5" w:rsidRPr="00C547E5" w:rsidRDefault="000C5FB6" w:rsidP="00C547E5">
      <w:pPr>
        <w:pStyle w:val="SingleTxtG"/>
        <w:rPr>
          <w:b/>
        </w:rPr>
      </w:pPr>
      <w:r>
        <w:rPr>
          <w:b/>
        </w:rPr>
        <w:tab/>
      </w:r>
      <w:r>
        <w:rPr>
          <w:b/>
        </w:rPr>
        <w:tab/>
      </w:r>
      <w:r w:rsidRPr="000C5FB6">
        <w:t>(b)</w:t>
      </w:r>
      <w:r>
        <w:rPr>
          <w:b/>
        </w:rPr>
        <w:tab/>
      </w:r>
      <w:r w:rsidR="00C547E5" w:rsidRPr="00C547E5">
        <w:rPr>
          <w:b/>
        </w:rPr>
        <w:t xml:space="preserve">Agree upon and maintain </w:t>
      </w:r>
      <w:r w:rsidR="002A67C3">
        <w:rPr>
          <w:b/>
        </w:rPr>
        <w:t xml:space="preserve">any </w:t>
      </w:r>
      <w:r w:rsidR="00C547E5" w:rsidRPr="00C547E5">
        <w:rPr>
          <w:b/>
        </w:rPr>
        <w:t xml:space="preserve">detainee transfer procedures and effective subsequent monitoring of treatment by the transferring State in order to </w:t>
      </w:r>
      <w:r w:rsidR="002A67C3">
        <w:rPr>
          <w:b/>
        </w:rPr>
        <w:t xml:space="preserve">fully </w:t>
      </w:r>
      <w:r w:rsidR="00C547E5" w:rsidRPr="00C547E5">
        <w:rPr>
          <w:b/>
        </w:rPr>
        <w:t xml:space="preserve">conform </w:t>
      </w:r>
      <w:proofErr w:type="gramStart"/>
      <w:r w:rsidR="00C547E5" w:rsidRPr="00C547E5">
        <w:rPr>
          <w:b/>
        </w:rPr>
        <w:t>with</w:t>
      </w:r>
      <w:proofErr w:type="gramEnd"/>
      <w:r w:rsidR="00C547E5" w:rsidRPr="00C547E5">
        <w:rPr>
          <w:b/>
        </w:rPr>
        <w:t xml:space="preserve"> the principle of </w:t>
      </w:r>
      <w:r w:rsidR="00C547E5" w:rsidRPr="00C547E5">
        <w:rPr>
          <w:b/>
          <w:i/>
        </w:rPr>
        <w:t>non</w:t>
      </w:r>
      <w:r w:rsidR="00C547E5" w:rsidRPr="00C547E5">
        <w:rPr>
          <w:b/>
        </w:rPr>
        <w:t>-</w:t>
      </w:r>
      <w:proofErr w:type="spellStart"/>
      <w:r w:rsidR="00C547E5" w:rsidRPr="00C547E5">
        <w:rPr>
          <w:b/>
          <w:i/>
        </w:rPr>
        <w:t>refoulement</w:t>
      </w:r>
      <w:proofErr w:type="spellEnd"/>
      <w:r w:rsidR="00C547E5" w:rsidRPr="00C547E5">
        <w:rPr>
          <w:b/>
        </w:rPr>
        <w:t>.</w:t>
      </w:r>
    </w:p>
    <w:p w14:paraId="36424E62" w14:textId="4F06473A" w:rsidR="00C547E5" w:rsidRPr="00C547E5" w:rsidRDefault="000C5FB6" w:rsidP="00C547E5">
      <w:pPr>
        <w:pStyle w:val="SingleTxtG"/>
        <w:rPr>
          <w:b/>
        </w:rPr>
      </w:pPr>
      <w:r>
        <w:rPr>
          <w:b/>
        </w:rPr>
        <w:tab/>
      </w:r>
      <w:r>
        <w:rPr>
          <w:b/>
        </w:rPr>
        <w:tab/>
      </w:r>
      <w:r w:rsidRPr="000C5FB6">
        <w:t>(c)</w:t>
      </w:r>
      <w:r>
        <w:rPr>
          <w:b/>
        </w:rPr>
        <w:tab/>
      </w:r>
      <w:r w:rsidR="00C547E5" w:rsidRPr="00C547E5">
        <w:rPr>
          <w:b/>
        </w:rPr>
        <w:t>Establish binding agreement</w:t>
      </w:r>
      <w:r w:rsidR="00D15B50">
        <w:rPr>
          <w:b/>
        </w:rPr>
        <w:t>s</w:t>
      </w:r>
      <w:r w:rsidR="00C547E5" w:rsidRPr="00C547E5">
        <w:rPr>
          <w:b/>
        </w:rPr>
        <w:t xml:space="preserve"> with the host State and </w:t>
      </w:r>
      <w:r w:rsidR="00D15B50">
        <w:rPr>
          <w:b/>
        </w:rPr>
        <w:t xml:space="preserve">other relevant States </w:t>
      </w:r>
      <w:r w:rsidR="00C547E5" w:rsidRPr="00C547E5">
        <w:rPr>
          <w:b/>
        </w:rPr>
        <w:t>setting out legal parameters for detention that correspond with the requirements of international law</w:t>
      </w:r>
      <w:r w:rsidR="002A67C3">
        <w:rPr>
          <w:b/>
        </w:rPr>
        <w:t xml:space="preserve">, including access to effective remedies for </w:t>
      </w:r>
      <w:r w:rsidR="003572B7">
        <w:rPr>
          <w:b/>
        </w:rPr>
        <w:t xml:space="preserve"> </w:t>
      </w:r>
      <w:r w:rsidR="002A67C3">
        <w:rPr>
          <w:b/>
        </w:rPr>
        <w:t xml:space="preserve">violations of </w:t>
      </w:r>
      <w:r w:rsidR="003572B7">
        <w:rPr>
          <w:b/>
        </w:rPr>
        <w:t>human rights.</w:t>
      </w:r>
    </w:p>
    <w:p w14:paraId="28C5DE78" w14:textId="0B2AE908" w:rsidR="00C547E5" w:rsidRPr="00C547E5" w:rsidRDefault="000C5FB6" w:rsidP="00C547E5">
      <w:pPr>
        <w:pStyle w:val="SingleTxtG"/>
        <w:rPr>
          <w:b/>
        </w:rPr>
      </w:pPr>
      <w:r>
        <w:t>4</w:t>
      </w:r>
      <w:r w:rsidR="00074806">
        <w:t>8</w:t>
      </w:r>
      <w:r w:rsidR="00C547E5" w:rsidRPr="003572B7">
        <w:t>.</w:t>
      </w:r>
      <w:r w:rsidR="00C547E5" w:rsidRPr="00C547E5">
        <w:rPr>
          <w:b/>
        </w:rPr>
        <w:tab/>
        <w:t>In cooperating with third parties in activities involving detention, including detention of migrants and security detention, States should:</w:t>
      </w:r>
    </w:p>
    <w:p w14:paraId="49F46567" w14:textId="77777777" w:rsidR="00C547E5" w:rsidRPr="00C547E5" w:rsidRDefault="000C5FB6" w:rsidP="00C547E5">
      <w:pPr>
        <w:pStyle w:val="SingleTxtG"/>
        <w:rPr>
          <w:b/>
        </w:rPr>
      </w:pPr>
      <w:r>
        <w:rPr>
          <w:b/>
        </w:rPr>
        <w:tab/>
      </w:r>
      <w:r>
        <w:rPr>
          <w:b/>
        </w:rPr>
        <w:tab/>
      </w:r>
      <w:r w:rsidRPr="000C5FB6">
        <w:t>(a)</w:t>
      </w:r>
      <w:r>
        <w:rPr>
          <w:b/>
        </w:rPr>
        <w:tab/>
      </w:r>
      <w:r w:rsidR="00C547E5" w:rsidRPr="00C547E5">
        <w:rPr>
          <w:b/>
        </w:rPr>
        <w:t>prior to the start of cooperation</w:t>
      </w:r>
      <w:r w:rsidR="001A6F60">
        <w:rPr>
          <w:b/>
        </w:rPr>
        <w:t>,</w:t>
      </w:r>
      <w:r w:rsidR="00C547E5" w:rsidRPr="00C547E5">
        <w:rPr>
          <w:b/>
        </w:rPr>
        <w:t xml:space="preserve"> conduct human rights risk assessments, examining the impact their co-operation activities may have on the</w:t>
      </w:r>
      <w:r w:rsidR="001A6F60">
        <w:rPr>
          <w:b/>
        </w:rPr>
        <w:t xml:space="preserve"> human</w:t>
      </w:r>
      <w:r w:rsidR="00C547E5" w:rsidRPr="00C547E5">
        <w:rPr>
          <w:b/>
        </w:rPr>
        <w:t xml:space="preserve"> rights of detainees </w:t>
      </w:r>
      <w:r w:rsidR="001A6F60">
        <w:rPr>
          <w:b/>
        </w:rPr>
        <w:t>including</w:t>
      </w:r>
      <w:r w:rsidR="00C547E5" w:rsidRPr="00C547E5">
        <w:rPr>
          <w:b/>
        </w:rPr>
        <w:t xml:space="preserve"> protection from </w:t>
      </w:r>
      <w:proofErr w:type="spellStart"/>
      <w:r w:rsidR="00C547E5" w:rsidRPr="00C547E5">
        <w:rPr>
          <w:b/>
          <w:i/>
        </w:rPr>
        <w:t>refoulement</w:t>
      </w:r>
      <w:proofErr w:type="spellEnd"/>
      <w:r w:rsidR="001A6F60">
        <w:rPr>
          <w:b/>
        </w:rPr>
        <w:t>;</w:t>
      </w:r>
    </w:p>
    <w:p w14:paraId="3FE30905" w14:textId="77777777" w:rsidR="00C547E5" w:rsidRPr="00C547E5" w:rsidRDefault="000C5FB6" w:rsidP="00C547E5">
      <w:pPr>
        <w:pStyle w:val="SingleTxtG"/>
        <w:rPr>
          <w:b/>
        </w:rPr>
      </w:pPr>
      <w:r>
        <w:rPr>
          <w:b/>
        </w:rPr>
        <w:tab/>
      </w:r>
      <w:r>
        <w:rPr>
          <w:b/>
        </w:rPr>
        <w:tab/>
      </w:r>
      <w:r w:rsidRPr="000C5FB6">
        <w:t>(b)</w:t>
      </w:r>
      <w:r>
        <w:rPr>
          <w:b/>
        </w:rPr>
        <w:tab/>
      </w:r>
      <w:proofErr w:type="gramStart"/>
      <w:r w:rsidR="00C547E5" w:rsidRPr="00C547E5">
        <w:rPr>
          <w:b/>
        </w:rPr>
        <w:t>develop</w:t>
      </w:r>
      <w:proofErr w:type="gramEnd"/>
      <w:r w:rsidR="00C547E5" w:rsidRPr="00C547E5">
        <w:rPr>
          <w:b/>
        </w:rPr>
        <w:t xml:space="preserve"> risk mitigation strategies, which should clearly set out the steps that will be taken to ensure that human rights violations do not occur and suspend the implementation of planned co-operation activities when risks of human rights violations cannot be sufficiently mitigated</w:t>
      </w:r>
      <w:r w:rsidR="001A6F60">
        <w:rPr>
          <w:b/>
        </w:rPr>
        <w:t>;</w:t>
      </w:r>
    </w:p>
    <w:p w14:paraId="03DDCE2D" w14:textId="77777777" w:rsidR="00A6020A" w:rsidRDefault="000C5FB6" w:rsidP="00C547E5">
      <w:pPr>
        <w:pStyle w:val="SingleTxtG"/>
        <w:rPr>
          <w:b/>
        </w:rPr>
      </w:pPr>
      <w:r>
        <w:rPr>
          <w:b/>
        </w:rPr>
        <w:tab/>
      </w:r>
      <w:r>
        <w:rPr>
          <w:b/>
        </w:rPr>
        <w:tab/>
      </w:r>
      <w:r w:rsidRPr="000C5FB6">
        <w:t>(c)</w:t>
      </w:r>
      <w:r>
        <w:rPr>
          <w:b/>
        </w:rPr>
        <w:tab/>
      </w:r>
      <w:proofErr w:type="gramStart"/>
      <w:r w:rsidR="00C547E5" w:rsidRPr="00C547E5">
        <w:rPr>
          <w:b/>
        </w:rPr>
        <w:t>subject</w:t>
      </w:r>
      <w:proofErr w:type="gramEnd"/>
      <w:r w:rsidR="00C547E5" w:rsidRPr="00C547E5">
        <w:rPr>
          <w:b/>
        </w:rPr>
        <w:t xml:space="preserve"> co-operation activities to independent mechanisms to monitor their impact</w:t>
      </w:r>
      <w:r w:rsidR="001A6F60">
        <w:rPr>
          <w:b/>
        </w:rPr>
        <w:t xml:space="preserve"> </w:t>
      </w:r>
      <w:r w:rsidR="00C547E5" w:rsidRPr="00C547E5">
        <w:rPr>
          <w:b/>
        </w:rPr>
        <w:t>on the enjoyment of human rights of those affected and immediately suspend co-operation if it is shown that these activities have a detrimental human rights impact</w:t>
      </w:r>
      <w:r w:rsidR="004B15B8">
        <w:rPr>
          <w:b/>
        </w:rPr>
        <w:t>;</w:t>
      </w:r>
    </w:p>
    <w:p w14:paraId="6F3B4127" w14:textId="2DAF9FD7" w:rsidR="00A6020A" w:rsidRPr="00C547E5" w:rsidRDefault="00A6020A" w:rsidP="00A6020A">
      <w:pPr>
        <w:pStyle w:val="SingleTxtG"/>
        <w:rPr>
          <w:b/>
        </w:rPr>
      </w:pPr>
      <w:r>
        <w:rPr>
          <w:b/>
          <w:bCs/>
        </w:rPr>
        <w:tab/>
      </w:r>
      <w:r>
        <w:rPr>
          <w:b/>
          <w:bCs/>
        </w:rPr>
        <w:tab/>
      </w:r>
      <w:r w:rsidRPr="000C5FB6">
        <w:rPr>
          <w:bCs/>
        </w:rPr>
        <w:t>(d)</w:t>
      </w:r>
      <w:r>
        <w:rPr>
          <w:b/>
          <w:bCs/>
        </w:rPr>
        <w:tab/>
      </w:r>
      <w:proofErr w:type="gramStart"/>
      <w:r>
        <w:rPr>
          <w:b/>
          <w:bCs/>
        </w:rPr>
        <w:t>ensure</w:t>
      </w:r>
      <w:proofErr w:type="gramEnd"/>
      <w:r>
        <w:rPr>
          <w:b/>
          <w:bCs/>
        </w:rPr>
        <w:t xml:space="preserve"> that p</w:t>
      </w:r>
      <w:r w:rsidRPr="00C547E5">
        <w:rPr>
          <w:b/>
        </w:rPr>
        <w:t>ersons potentially affected by co-operation activities have access to an effective system of redress</w:t>
      </w:r>
      <w:r w:rsidR="002A67C3">
        <w:rPr>
          <w:b/>
        </w:rPr>
        <w:t>, including before courts of competent jurisdiction</w:t>
      </w:r>
      <w:r w:rsidRPr="00C547E5">
        <w:rPr>
          <w:b/>
        </w:rPr>
        <w:t>.</w:t>
      </w:r>
    </w:p>
    <w:p w14:paraId="4F3F66D5" w14:textId="33E1D99E" w:rsidR="00C547E5" w:rsidRPr="00C547E5" w:rsidRDefault="0019371C" w:rsidP="00C547E5">
      <w:pPr>
        <w:pStyle w:val="SingleTxtG"/>
        <w:rPr>
          <w:b/>
        </w:rPr>
      </w:pPr>
      <w:r>
        <w:rPr>
          <w:bCs/>
        </w:rPr>
        <w:t>4</w:t>
      </w:r>
      <w:r w:rsidR="00074806">
        <w:rPr>
          <w:bCs/>
        </w:rPr>
        <w:t>9</w:t>
      </w:r>
      <w:r w:rsidR="00C547E5" w:rsidRPr="003572B7">
        <w:rPr>
          <w:bCs/>
        </w:rPr>
        <w:t>.</w:t>
      </w:r>
      <w:r w:rsidR="00C547E5" w:rsidRPr="00C547E5">
        <w:rPr>
          <w:b/>
          <w:bCs/>
        </w:rPr>
        <w:tab/>
        <w:t xml:space="preserve">The High Commissioner encourages all relevant stakeholders, including human rights mechanisms to </w:t>
      </w:r>
      <w:r w:rsidR="00993F05">
        <w:rPr>
          <w:b/>
          <w:bCs/>
        </w:rPr>
        <w:t xml:space="preserve">continue to </w:t>
      </w:r>
      <w:r w:rsidR="00C547E5" w:rsidRPr="00C547E5">
        <w:rPr>
          <w:b/>
          <w:bCs/>
        </w:rPr>
        <w:t>consider</w:t>
      </w:r>
      <w:r w:rsidR="00993F05">
        <w:rPr>
          <w:b/>
          <w:bCs/>
        </w:rPr>
        <w:t>, within their respective mandates,</w:t>
      </w:r>
      <w:r w:rsidR="00C547E5" w:rsidRPr="00C547E5">
        <w:rPr>
          <w:b/>
          <w:bCs/>
        </w:rPr>
        <w:t xml:space="preserve"> the human rights impact</w:t>
      </w:r>
      <w:r w:rsidR="00993F05">
        <w:rPr>
          <w:b/>
          <w:bCs/>
        </w:rPr>
        <w:t>s</w:t>
      </w:r>
      <w:r w:rsidR="00C547E5" w:rsidRPr="00C547E5">
        <w:rPr>
          <w:b/>
          <w:bCs/>
        </w:rPr>
        <w:t xml:space="preserve"> of deprivation of liberty carried out or facilitated by States outside their </w:t>
      </w:r>
      <w:r w:rsidR="002A67C3">
        <w:rPr>
          <w:b/>
          <w:bCs/>
        </w:rPr>
        <w:t xml:space="preserve">own </w:t>
      </w:r>
      <w:r w:rsidR="00C547E5" w:rsidRPr="00C547E5">
        <w:rPr>
          <w:b/>
          <w:bCs/>
        </w:rPr>
        <w:t>territory.</w:t>
      </w:r>
    </w:p>
    <w:p w14:paraId="4E58E859" w14:textId="382F1D34" w:rsidR="00C547E5" w:rsidRPr="00072F89" w:rsidRDefault="00072F89" w:rsidP="00072F89">
      <w:pPr>
        <w:pStyle w:val="SingleTxtG"/>
        <w:spacing w:before="240" w:after="0"/>
        <w:jc w:val="center"/>
        <w:rPr>
          <w:b/>
          <w:u w:val="single"/>
          <w:lang w:val="en-US"/>
        </w:rPr>
      </w:pPr>
      <w:r>
        <w:rPr>
          <w:b/>
          <w:lang w:val="en-US"/>
        </w:rPr>
        <w:tab/>
      </w:r>
      <w:r>
        <w:rPr>
          <w:b/>
          <w:u w:val="single"/>
          <w:lang w:val="en-US"/>
        </w:rPr>
        <w:tab/>
      </w:r>
      <w:r>
        <w:rPr>
          <w:b/>
          <w:u w:val="single"/>
          <w:lang w:val="en-US"/>
        </w:rPr>
        <w:tab/>
      </w:r>
      <w:r>
        <w:rPr>
          <w:b/>
          <w:u w:val="single"/>
          <w:lang w:val="en-US"/>
        </w:rPr>
        <w:tab/>
      </w:r>
    </w:p>
    <w:sectPr w:rsidR="00C547E5" w:rsidRPr="00072F89" w:rsidSect="00AE14FE">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0473BE" w16cid:durableId="21F6BCEA"/>
  <w16cid:commentId w16cid:paraId="0267BFC9" w16cid:durableId="21F78AF4"/>
  <w16cid:commentId w16cid:paraId="23162424" w16cid:durableId="21F78BC4"/>
  <w16cid:commentId w16cid:paraId="608AF3D8" w16cid:durableId="21F78C17"/>
  <w16cid:commentId w16cid:paraId="6C19E1EB" w16cid:durableId="21F7AAE1"/>
  <w16cid:commentId w16cid:paraId="19596BBA" w16cid:durableId="21F6BCEB"/>
  <w16cid:commentId w16cid:paraId="3B737D1F" w16cid:durableId="21F78DB8"/>
  <w16cid:commentId w16cid:paraId="1BB5CEC7" w16cid:durableId="21F78E73"/>
  <w16cid:commentId w16cid:paraId="46D14308" w16cid:durableId="21F6BC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CE47F" w14:textId="77777777" w:rsidR="00ED4D26" w:rsidRDefault="00ED4D26"/>
  </w:endnote>
  <w:endnote w:type="continuationSeparator" w:id="0">
    <w:p w14:paraId="64D6350F" w14:textId="77777777" w:rsidR="00ED4D26" w:rsidRDefault="00ED4D26"/>
  </w:endnote>
  <w:endnote w:type="continuationNotice" w:id="1">
    <w:p w14:paraId="09B19986" w14:textId="77777777" w:rsidR="00ED4D26" w:rsidRDefault="00ED4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8CD3" w14:textId="65576B44" w:rsidR="00ED4D26" w:rsidRPr="00AE14FE" w:rsidRDefault="00ED4D26" w:rsidP="00AE14FE">
    <w:pPr>
      <w:pStyle w:val="Footer"/>
      <w:tabs>
        <w:tab w:val="right" w:pos="9638"/>
      </w:tabs>
      <w:rPr>
        <w:sz w:val="18"/>
      </w:rPr>
    </w:pPr>
    <w:r w:rsidRPr="00AE14FE">
      <w:rPr>
        <w:b/>
        <w:sz w:val="18"/>
      </w:rPr>
      <w:fldChar w:fldCharType="begin"/>
    </w:r>
    <w:r w:rsidRPr="00AE14FE">
      <w:rPr>
        <w:b/>
        <w:sz w:val="18"/>
      </w:rPr>
      <w:instrText xml:space="preserve"> PAGE  \* MERGEFORMAT </w:instrText>
    </w:r>
    <w:r w:rsidRPr="00AE14FE">
      <w:rPr>
        <w:b/>
        <w:sz w:val="18"/>
      </w:rPr>
      <w:fldChar w:fldCharType="separate"/>
    </w:r>
    <w:r w:rsidR="00495944">
      <w:rPr>
        <w:b/>
        <w:noProof/>
        <w:sz w:val="18"/>
      </w:rPr>
      <w:t>14</w:t>
    </w:r>
    <w:r w:rsidRPr="00AE14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1A6C" w14:textId="5421ABAB" w:rsidR="00ED4D26" w:rsidRPr="00AE14FE" w:rsidRDefault="00ED4D26" w:rsidP="00AE14FE">
    <w:pPr>
      <w:pStyle w:val="Footer"/>
      <w:tabs>
        <w:tab w:val="right" w:pos="9638"/>
      </w:tabs>
      <w:rPr>
        <w:b/>
        <w:sz w:val="18"/>
      </w:rPr>
    </w:pPr>
    <w:r>
      <w:tab/>
    </w:r>
    <w:r w:rsidRPr="00AE14FE">
      <w:rPr>
        <w:b/>
        <w:sz w:val="18"/>
      </w:rPr>
      <w:fldChar w:fldCharType="begin"/>
    </w:r>
    <w:r w:rsidRPr="00AE14FE">
      <w:rPr>
        <w:b/>
        <w:sz w:val="18"/>
      </w:rPr>
      <w:instrText xml:space="preserve"> PAGE  \* MERGEFORMAT </w:instrText>
    </w:r>
    <w:r w:rsidRPr="00AE14FE">
      <w:rPr>
        <w:b/>
        <w:sz w:val="18"/>
      </w:rPr>
      <w:fldChar w:fldCharType="separate"/>
    </w:r>
    <w:r w:rsidR="00495944">
      <w:rPr>
        <w:b/>
        <w:noProof/>
        <w:sz w:val="18"/>
      </w:rPr>
      <w:t>15</w:t>
    </w:r>
    <w:r w:rsidRPr="00AE14F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1BEF1" w14:textId="77777777" w:rsidR="00ED4D26" w:rsidRPr="000B175B" w:rsidRDefault="00ED4D26" w:rsidP="000B175B">
      <w:pPr>
        <w:tabs>
          <w:tab w:val="right" w:pos="2155"/>
        </w:tabs>
        <w:spacing w:after="80"/>
        <w:ind w:left="680"/>
        <w:rPr>
          <w:u w:val="single"/>
        </w:rPr>
      </w:pPr>
      <w:r>
        <w:rPr>
          <w:u w:val="single"/>
        </w:rPr>
        <w:tab/>
      </w:r>
    </w:p>
  </w:footnote>
  <w:footnote w:type="continuationSeparator" w:id="0">
    <w:p w14:paraId="183BF0F1" w14:textId="77777777" w:rsidR="00ED4D26" w:rsidRPr="00FC68B7" w:rsidRDefault="00ED4D26" w:rsidP="00FC68B7">
      <w:pPr>
        <w:tabs>
          <w:tab w:val="left" w:pos="2155"/>
        </w:tabs>
        <w:spacing w:after="80"/>
        <w:ind w:left="680"/>
        <w:rPr>
          <w:u w:val="single"/>
        </w:rPr>
      </w:pPr>
      <w:r>
        <w:rPr>
          <w:u w:val="single"/>
        </w:rPr>
        <w:tab/>
      </w:r>
    </w:p>
  </w:footnote>
  <w:footnote w:type="continuationNotice" w:id="1">
    <w:p w14:paraId="12B5F3B8" w14:textId="77777777" w:rsidR="00ED4D26" w:rsidRDefault="00ED4D26"/>
  </w:footnote>
  <w:footnote w:id="2">
    <w:p w14:paraId="4F3411ED" w14:textId="42F2DC99" w:rsidR="00F93D18" w:rsidRPr="00F93D18" w:rsidRDefault="00F93D18">
      <w:pPr>
        <w:pStyle w:val="FootnoteText"/>
      </w:pPr>
      <w:r>
        <w:rPr>
          <w:rStyle w:val="FootnoteReference"/>
        </w:rPr>
        <w:tab/>
      </w:r>
      <w:r w:rsidRPr="00F93D18">
        <w:rPr>
          <w:rStyle w:val="FootnoteReference"/>
          <w:sz w:val="20"/>
          <w:vertAlign w:val="baseline"/>
        </w:rPr>
        <w:t>*</w:t>
      </w:r>
      <w:r>
        <w:rPr>
          <w:rStyle w:val="FootnoteReference"/>
          <w:sz w:val="20"/>
          <w:vertAlign w:val="baseline"/>
        </w:rPr>
        <w:tab/>
      </w:r>
      <w:r w:rsidRPr="00C00F51">
        <w:t>The present report was submitted after the deadline in order to reflect the most recent information</w:t>
      </w:r>
      <w:r>
        <w:t>.</w:t>
      </w:r>
    </w:p>
  </w:footnote>
  <w:footnote w:id="3">
    <w:p w14:paraId="26670744" w14:textId="61822AE0" w:rsidR="00ED4D26" w:rsidRPr="00C547E5" w:rsidRDefault="00ED4D26" w:rsidP="0038700A">
      <w:pPr>
        <w:pStyle w:val="FootnoteText"/>
      </w:pPr>
      <w:r>
        <w:tab/>
      </w:r>
      <w:r w:rsidRPr="0038700A">
        <w:rPr>
          <w:rStyle w:val="FootnoteReference"/>
        </w:rPr>
        <w:footnoteRef/>
      </w:r>
      <w:r>
        <w:tab/>
      </w:r>
      <w:r w:rsidRPr="00C547E5">
        <w:t xml:space="preserve">A/HRC/RES/37/3, </w:t>
      </w:r>
      <w:r>
        <w:t>para.</w:t>
      </w:r>
      <w:r w:rsidR="00072F89">
        <w:t>15.</w:t>
      </w:r>
    </w:p>
  </w:footnote>
  <w:footnote w:id="4">
    <w:p w14:paraId="598E8D73" w14:textId="78BDF35E" w:rsidR="00ED4D26" w:rsidRPr="00C547E5" w:rsidRDefault="00ED4D26" w:rsidP="003572B7">
      <w:pPr>
        <w:pStyle w:val="FootnoteText"/>
        <w:rPr>
          <w:rFonts w:ascii="Times" w:hAnsi="Times"/>
          <w:szCs w:val="18"/>
        </w:rPr>
      </w:pPr>
      <w:r>
        <w:rPr>
          <w:rFonts w:ascii="Times" w:hAnsi="Times"/>
          <w:szCs w:val="18"/>
        </w:rPr>
        <w:tab/>
      </w:r>
      <w:r w:rsidRPr="0038700A">
        <w:rPr>
          <w:rStyle w:val="FootnoteReference"/>
        </w:rPr>
        <w:footnoteRef/>
      </w:r>
      <w:r>
        <w:rPr>
          <w:rFonts w:ascii="Times" w:hAnsi="Times"/>
          <w:szCs w:val="18"/>
        </w:rPr>
        <w:tab/>
      </w:r>
      <w:r w:rsidRPr="00C547E5">
        <w:rPr>
          <w:rFonts w:ascii="Times" w:hAnsi="Times"/>
          <w:szCs w:val="18"/>
        </w:rPr>
        <w:t>Submissions were received from</w:t>
      </w:r>
      <w:r>
        <w:rPr>
          <w:rFonts w:ascii="Times" w:hAnsi="Times"/>
          <w:szCs w:val="18"/>
        </w:rPr>
        <w:t xml:space="preserve"> </w:t>
      </w:r>
      <w:r w:rsidRPr="00C547E5">
        <w:rPr>
          <w:rFonts w:ascii="Times" w:hAnsi="Times"/>
          <w:szCs w:val="18"/>
        </w:rPr>
        <w:t>El Salvador, Italy, Jordan, Kyrgyzstan,</w:t>
      </w:r>
      <w:r>
        <w:rPr>
          <w:rFonts w:ascii="Times" w:hAnsi="Times"/>
          <w:szCs w:val="18"/>
        </w:rPr>
        <w:t xml:space="preserve"> </w:t>
      </w:r>
      <w:r w:rsidRPr="00C547E5">
        <w:rPr>
          <w:rFonts w:ascii="Times" w:hAnsi="Times"/>
          <w:szCs w:val="18"/>
        </w:rPr>
        <w:t xml:space="preserve">Romania, </w:t>
      </w:r>
      <w:proofErr w:type="gramStart"/>
      <w:r w:rsidRPr="00C547E5">
        <w:rPr>
          <w:rFonts w:ascii="Times" w:hAnsi="Times"/>
          <w:szCs w:val="18"/>
        </w:rPr>
        <w:t>Russian</w:t>
      </w:r>
      <w:proofErr w:type="gramEnd"/>
      <w:r w:rsidRPr="00C547E5">
        <w:rPr>
          <w:rFonts w:ascii="Times" w:hAnsi="Times"/>
          <w:szCs w:val="18"/>
        </w:rPr>
        <w:t xml:space="preserve"> Federation</w:t>
      </w:r>
      <w:r>
        <w:rPr>
          <w:rFonts w:ascii="Times" w:hAnsi="Times"/>
          <w:szCs w:val="18"/>
        </w:rPr>
        <w:t xml:space="preserve">; as well as from </w:t>
      </w:r>
      <w:r w:rsidRPr="00C547E5">
        <w:rPr>
          <w:rFonts w:ascii="Times" w:hAnsi="Times"/>
          <w:szCs w:val="18"/>
        </w:rPr>
        <w:t xml:space="preserve">the Ukrainian Parliament Commissioner for Human Rights, </w:t>
      </w:r>
      <w:r>
        <w:rPr>
          <w:rFonts w:ascii="Times" w:hAnsi="Times"/>
          <w:szCs w:val="18"/>
        </w:rPr>
        <w:t>UNODC</w:t>
      </w:r>
      <w:r w:rsidRPr="00C547E5">
        <w:rPr>
          <w:rFonts w:ascii="Times" w:hAnsi="Times"/>
          <w:szCs w:val="18"/>
        </w:rPr>
        <w:t>, Physicians for Human Rights and the At-</w:t>
      </w:r>
      <w:proofErr w:type="spellStart"/>
      <w:r w:rsidRPr="00C547E5">
        <w:rPr>
          <w:rFonts w:ascii="Times" w:hAnsi="Times"/>
          <w:szCs w:val="18"/>
        </w:rPr>
        <w:t>sik</w:t>
      </w:r>
      <w:proofErr w:type="spellEnd"/>
      <w:r w:rsidRPr="00C547E5">
        <w:rPr>
          <w:rFonts w:ascii="Times" w:hAnsi="Times"/>
          <w:szCs w:val="18"/>
        </w:rPr>
        <w:t>-</w:t>
      </w:r>
      <w:proofErr w:type="spellStart"/>
      <w:r w:rsidRPr="00C547E5">
        <w:rPr>
          <w:rFonts w:ascii="Times" w:hAnsi="Times"/>
          <w:szCs w:val="18"/>
        </w:rPr>
        <w:t>hata</w:t>
      </w:r>
      <w:proofErr w:type="spellEnd"/>
      <w:r w:rsidRPr="00C547E5">
        <w:rPr>
          <w:rFonts w:ascii="Times" w:hAnsi="Times"/>
          <w:szCs w:val="18"/>
        </w:rPr>
        <w:t xml:space="preserve"> Nation of </w:t>
      </w:r>
      <w:proofErr w:type="spellStart"/>
      <w:r w:rsidRPr="00C547E5">
        <w:rPr>
          <w:rFonts w:ascii="Times" w:hAnsi="Times"/>
          <w:szCs w:val="18"/>
        </w:rPr>
        <w:t>Yamassee</w:t>
      </w:r>
      <w:proofErr w:type="spellEnd"/>
      <w:r w:rsidRPr="00C547E5">
        <w:rPr>
          <w:rFonts w:ascii="Times" w:hAnsi="Times"/>
          <w:szCs w:val="18"/>
        </w:rPr>
        <w:t xml:space="preserve"> Moors</w:t>
      </w:r>
      <w:r w:rsidRPr="00C547E5">
        <w:rPr>
          <w:rFonts w:ascii="Verdana" w:hAnsi="Verdana" w:cs="Segoe UI"/>
          <w:color w:val="676767"/>
          <w:szCs w:val="18"/>
        </w:rPr>
        <w:t>.</w:t>
      </w:r>
    </w:p>
  </w:footnote>
  <w:footnote w:id="5">
    <w:p w14:paraId="4CD55522" w14:textId="130E3333" w:rsidR="00ED4D26" w:rsidRPr="00285915" w:rsidRDefault="00ED4D26" w:rsidP="003572B7">
      <w:pPr>
        <w:pStyle w:val="FootnoteText"/>
        <w:rPr>
          <w:szCs w:val="18"/>
          <w:lang w:val="it-IT"/>
        </w:rPr>
      </w:pPr>
      <w:r>
        <w:rPr>
          <w:szCs w:val="18"/>
        </w:rPr>
        <w:tab/>
      </w:r>
      <w:r w:rsidRPr="0038700A">
        <w:rPr>
          <w:rStyle w:val="FootnoteReference"/>
        </w:rPr>
        <w:footnoteRef/>
      </w:r>
      <w:r>
        <w:rPr>
          <w:szCs w:val="18"/>
        </w:rPr>
        <w:tab/>
      </w:r>
      <w:r w:rsidRPr="00C547E5">
        <w:rPr>
          <w:szCs w:val="18"/>
        </w:rPr>
        <w:t>See, CCPR/C/21/Rev1/Add.13, para</w:t>
      </w:r>
      <w:r>
        <w:rPr>
          <w:szCs w:val="18"/>
        </w:rPr>
        <w:t>.</w:t>
      </w:r>
      <w:r w:rsidRPr="00C547E5">
        <w:rPr>
          <w:szCs w:val="18"/>
          <w:lang w:val="it-IT"/>
        </w:rPr>
        <w:t>10</w:t>
      </w:r>
      <w:r>
        <w:rPr>
          <w:szCs w:val="18"/>
          <w:lang w:val="it-IT"/>
        </w:rPr>
        <w:t xml:space="preserve">. </w:t>
      </w:r>
      <w:r>
        <w:rPr>
          <w:szCs w:val="18"/>
          <w:lang w:val="it-IT"/>
        </w:rPr>
        <w:t xml:space="preserve">See also </w:t>
      </w:r>
      <w:r w:rsidRPr="00C547E5">
        <w:rPr>
          <w:szCs w:val="18"/>
          <w:lang w:val="it-IT"/>
        </w:rPr>
        <w:t xml:space="preserve"> CCPR/C/GC/35, para.63; CCPR/C/GC/36, para.</w:t>
      </w:r>
      <w:r w:rsidRPr="00285915">
        <w:rPr>
          <w:szCs w:val="18"/>
          <w:lang w:val="it-IT"/>
        </w:rPr>
        <w:t>63.</w:t>
      </w:r>
    </w:p>
  </w:footnote>
  <w:footnote w:id="6">
    <w:p w14:paraId="2F2FE9D2" w14:textId="7ED64365" w:rsidR="00ED4D26" w:rsidRPr="00285915" w:rsidRDefault="00ED4D26" w:rsidP="003572B7">
      <w:pPr>
        <w:pStyle w:val="FootnoteText"/>
        <w:rPr>
          <w:szCs w:val="18"/>
          <w:lang w:val="it-IT"/>
        </w:rPr>
      </w:pPr>
      <w:r w:rsidRPr="00285915">
        <w:rPr>
          <w:szCs w:val="18"/>
          <w:lang w:val="it-IT"/>
        </w:rPr>
        <w:tab/>
      </w:r>
      <w:r w:rsidRPr="0038700A">
        <w:rPr>
          <w:rStyle w:val="FootnoteReference"/>
        </w:rPr>
        <w:footnoteRef/>
      </w:r>
      <w:r w:rsidRPr="00285915">
        <w:rPr>
          <w:szCs w:val="18"/>
          <w:lang w:val="it-IT"/>
        </w:rPr>
        <w:tab/>
      </w:r>
      <w:r w:rsidRPr="00285915">
        <w:rPr>
          <w:szCs w:val="18"/>
          <w:lang w:val="it-IT"/>
        </w:rPr>
        <w:t xml:space="preserve">See, e.g., A/HRC/4/40, paras.33,35,37; A/HRC/42/40, para.56; </w:t>
      </w:r>
      <w:r w:rsidRPr="00285915">
        <w:rPr>
          <w:bCs/>
          <w:szCs w:val="18"/>
          <w:lang w:val="it-IT"/>
        </w:rPr>
        <w:t>CAT/C/USA/CO/2</w:t>
      </w:r>
      <w:r>
        <w:rPr>
          <w:bCs/>
          <w:szCs w:val="18"/>
          <w:lang w:val="it-IT"/>
        </w:rPr>
        <w:t>, paras</w:t>
      </w:r>
      <w:r w:rsidRPr="00285915">
        <w:rPr>
          <w:bCs/>
          <w:szCs w:val="18"/>
          <w:lang w:val="it-IT"/>
        </w:rPr>
        <w:t>.</w:t>
      </w:r>
      <w:r>
        <w:rPr>
          <w:bCs/>
          <w:szCs w:val="18"/>
          <w:lang w:val="it-IT"/>
        </w:rPr>
        <w:t>16,17</w:t>
      </w:r>
      <w:r w:rsidR="00583E42">
        <w:rPr>
          <w:bCs/>
          <w:szCs w:val="18"/>
          <w:lang w:val="it-IT"/>
        </w:rPr>
        <w:t>.</w:t>
      </w:r>
    </w:p>
  </w:footnote>
  <w:footnote w:id="7">
    <w:p w14:paraId="5C29E96A" w14:textId="143275B4" w:rsidR="00ED4D26" w:rsidRPr="00C547E5" w:rsidRDefault="00ED4D26" w:rsidP="004B5D95">
      <w:pPr>
        <w:pStyle w:val="FootnoteText"/>
        <w:rPr>
          <w:szCs w:val="18"/>
        </w:rPr>
      </w:pPr>
      <w:r w:rsidRPr="00285915">
        <w:rPr>
          <w:szCs w:val="18"/>
          <w:lang w:val="it-IT"/>
        </w:rPr>
        <w:tab/>
      </w:r>
      <w:r w:rsidRPr="0038700A">
        <w:rPr>
          <w:rStyle w:val="FootnoteReference"/>
        </w:rPr>
        <w:footnoteRef/>
      </w:r>
      <w:r>
        <w:rPr>
          <w:szCs w:val="18"/>
        </w:rPr>
        <w:tab/>
        <w:t xml:space="preserve">E.g., CCPR/C/USA/4, </w:t>
      </w:r>
      <w:r w:rsidRPr="00C547E5">
        <w:rPr>
          <w:szCs w:val="18"/>
        </w:rPr>
        <w:t xml:space="preserve">para.5; </w:t>
      </w:r>
      <w:r>
        <w:rPr>
          <w:szCs w:val="18"/>
        </w:rPr>
        <w:t>Human Rights Committee</w:t>
      </w:r>
      <w:r w:rsidRPr="00C547E5">
        <w:rPr>
          <w:szCs w:val="18"/>
        </w:rPr>
        <w:t xml:space="preserve">, Draft </w:t>
      </w:r>
      <w:r>
        <w:rPr>
          <w:szCs w:val="18"/>
        </w:rPr>
        <w:t>General Comment No. 35</w:t>
      </w:r>
      <w:r w:rsidRPr="00C547E5">
        <w:rPr>
          <w:szCs w:val="18"/>
        </w:rPr>
        <w:t xml:space="preserve">: Comments by the Government of Canada, </w:t>
      </w:r>
      <w:r>
        <w:rPr>
          <w:szCs w:val="18"/>
        </w:rPr>
        <w:t xml:space="preserve">6 October 2014, </w:t>
      </w:r>
      <w:r w:rsidRPr="00C547E5">
        <w:rPr>
          <w:szCs w:val="18"/>
        </w:rPr>
        <w:t>para</w:t>
      </w:r>
      <w:r>
        <w:rPr>
          <w:szCs w:val="18"/>
        </w:rPr>
        <w:t>.7</w:t>
      </w:r>
      <w:r w:rsidRPr="00C547E5">
        <w:rPr>
          <w:szCs w:val="18"/>
        </w:rPr>
        <w:t>.</w:t>
      </w:r>
    </w:p>
  </w:footnote>
  <w:footnote w:id="8">
    <w:p w14:paraId="4EEC7653" w14:textId="77777777" w:rsidR="00ED4D26" w:rsidRPr="00C547E5" w:rsidRDefault="00ED4D26" w:rsidP="004B5D95">
      <w:pPr>
        <w:pStyle w:val="FootnoteText"/>
        <w:rPr>
          <w:szCs w:val="18"/>
        </w:rPr>
      </w:pPr>
      <w:r>
        <w:rPr>
          <w:szCs w:val="18"/>
        </w:rPr>
        <w:tab/>
      </w:r>
      <w:r w:rsidRPr="0038700A">
        <w:rPr>
          <w:rStyle w:val="FootnoteReference"/>
        </w:rPr>
        <w:footnoteRef/>
      </w:r>
      <w:r>
        <w:rPr>
          <w:szCs w:val="18"/>
        </w:rPr>
        <w:tab/>
      </w:r>
      <w:r w:rsidRPr="00C547E5">
        <w:rPr>
          <w:i/>
          <w:iCs/>
          <w:szCs w:val="18"/>
        </w:rPr>
        <w:t xml:space="preserve">Amnesty International Canada v. Canada (Canadian Forces) </w:t>
      </w:r>
      <w:r w:rsidRPr="00C547E5">
        <w:rPr>
          <w:szCs w:val="18"/>
        </w:rPr>
        <w:t xml:space="preserve">[2008] F.C.J. No. 356; 2008 FC 336; </w:t>
      </w:r>
      <w:proofErr w:type="spellStart"/>
      <w:r w:rsidRPr="00C547E5">
        <w:rPr>
          <w:i/>
          <w:iCs/>
          <w:szCs w:val="18"/>
        </w:rPr>
        <w:t>Adalah</w:t>
      </w:r>
      <w:proofErr w:type="spellEnd"/>
      <w:r w:rsidRPr="00C547E5">
        <w:rPr>
          <w:i/>
          <w:iCs/>
          <w:szCs w:val="18"/>
        </w:rPr>
        <w:t xml:space="preserve"> v Minister of </w:t>
      </w:r>
      <w:proofErr w:type="spellStart"/>
      <w:r w:rsidRPr="00C547E5">
        <w:rPr>
          <w:i/>
          <w:iCs/>
          <w:szCs w:val="18"/>
        </w:rPr>
        <w:t>Defense</w:t>
      </w:r>
      <w:proofErr w:type="spellEnd"/>
      <w:r w:rsidRPr="00C547E5">
        <w:rPr>
          <w:szCs w:val="18"/>
        </w:rPr>
        <w:t xml:space="preserve"> 827605 (2006) HCJ 8276/05 (</w:t>
      </w:r>
      <w:proofErr w:type="spellStart"/>
      <w:r w:rsidRPr="00C547E5">
        <w:rPr>
          <w:szCs w:val="18"/>
        </w:rPr>
        <w:t>Isr</w:t>
      </w:r>
      <w:proofErr w:type="spellEnd"/>
      <w:r w:rsidRPr="00C547E5">
        <w:rPr>
          <w:szCs w:val="18"/>
        </w:rPr>
        <w:t xml:space="preserve">), para. 22; Kaunda v President of South Africa and </w:t>
      </w:r>
      <w:proofErr w:type="spellStart"/>
      <w:r w:rsidRPr="00C547E5">
        <w:rPr>
          <w:szCs w:val="18"/>
        </w:rPr>
        <w:t>ors</w:t>
      </w:r>
      <w:proofErr w:type="spellEnd"/>
      <w:r w:rsidRPr="00C547E5">
        <w:rPr>
          <w:szCs w:val="18"/>
        </w:rPr>
        <w:t>, Appeal to</w:t>
      </w:r>
      <w:r w:rsidRPr="008F5D5B">
        <w:t xml:space="preserve"> Constitutional Court, </w:t>
      </w:r>
      <w:r w:rsidRPr="00C547E5">
        <w:rPr>
          <w:szCs w:val="18"/>
        </w:rPr>
        <w:t>Case CCT 23/04, [2004] ZACC 5, ILDC 89 (ZA 2004), 2005 (4) SA 235 (CC), 2004 (10) BCLR 1009 (CC), (2005) 44 ILM 173, (2009) 136 ILR 452, 4 August 2004, South Africa; Constitutional Court [CC].</w:t>
      </w:r>
    </w:p>
  </w:footnote>
  <w:footnote w:id="9">
    <w:p w14:paraId="608440CA" w14:textId="7EEE0E4C" w:rsidR="00ED4D26" w:rsidRPr="004F277A" w:rsidRDefault="00ED4D26" w:rsidP="003572B7">
      <w:pPr>
        <w:pStyle w:val="FootnoteText"/>
        <w:rPr>
          <w:szCs w:val="18"/>
        </w:rPr>
      </w:pPr>
      <w:r>
        <w:rPr>
          <w:szCs w:val="18"/>
        </w:rPr>
        <w:tab/>
      </w:r>
      <w:r w:rsidRPr="0038700A">
        <w:rPr>
          <w:rStyle w:val="FootnoteReference"/>
        </w:rPr>
        <w:footnoteRef/>
      </w:r>
      <w:r>
        <w:rPr>
          <w:szCs w:val="18"/>
        </w:rPr>
        <w:tab/>
      </w:r>
      <w:r w:rsidRPr="00C547E5">
        <w:rPr>
          <w:i/>
          <w:szCs w:val="18"/>
        </w:rPr>
        <w:t>L</w:t>
      </w:r>
      <w:r w:rsidRPr="00C547E5">
        <w:rPr>
          <w:i/>
          <w:iCs/>
          <w:szCs w:val="18"/>
        </w:rPr>
        <w:t>egal Consequences of the Construction of a Wall in the Occupied Palestinian Territory, Advisory Opinion</w:t>
      </w:r>
      <w:r w:rsidRPr="00C547E5">
        <w:rPr>
          <w:iCs/>
          <w:szCs w:val="18"/>
        </w:rPr>
        <w:t>, I.C.J. Reports 2004</w:t>
      </w:r>
      <w:r w:rsidRPr="00C547E5">
        <w:rPr>
          <w:szCs w:val="18"/>
        </w:rPr>
        <w:t xml:space="preserve">, p.136, paras.108-113; </w:t>
      </w:r>
      <w:r w:rsidRPr="00C547E5">
        <w:rPr>
          <w:i/>
          <w:szCs w:val="18"/>
        </w:rPr>
        <w:t>Armed Activities on the Territory of the Congo (Democratic Republic of the Congo v. Uganda)</w:t>
      </w:r>
      <w:r w:rsidRPr="00C547E5">
        <w:rPr>
          <w:szCs w:val="18"/>
        </w:rPr>
        <w:t>, Ju</w:t>
      </w:r>
      <w:r>
        <w:rPr>
          <w:szCs w:val="18"/>
        </w:rPr>
        <w:t>dgment, I.C.J. Reports 2005, p.168, para.</w:t>
      </w:r>
      <w:r w:rsidRPr="004F277A">
        <w:rPr>
          <w:szCs w:val="18"/>
        </w:rPr>
        <w:t>216.</w:t>
      </w:r>
    </w:p>
  </w:footnote>
  <w:footnote w:id="10">
    <w:p w14:paraId="4CB68223" w14:textId="77777777" w:rsidR="00ED4D26" w:rsidRPr="00285915" w:rsidRDefault="00ED4D26" w:rsidP="003572B7">
      <w:pPr>
        <w:pStyle w:val="FootnoteText"/>
        <w:rPr>
          <w:szCs w:val="18"/>
          <w:lang w:val="es-ES"/>
        </w:rPr>
      </w:pPr>
      <w:r w:rsidRPr="004F277A">
        <w:rPr>
          <w:szCs w:val="18"/>
        </w:rPr>
        <w:tab/>
      </w:r>
      <w:r w:rsidRPr="0038700A">
        <w:rPr>
          <w:rStyle w:val="FootnoteReference"/>
        </w:rPr>
        <w:footnoteRef/>
      </w:r>
      <w:r w:rsidRPr="00285915">
        <w:rPr>
          <w:szCs w:val="18"/>
          <w:lang w:val="es-ES"/>
        </w:rPr>
        <w:tab/>
        <w:t>CCPR/C/21/Rev1/Add.13, para.10; CAT/C/GC/2, para.</w:t>
      </w:r>
      <w:r>
        <w:rPr>
          <w:szCs w:val="18"/>
          <w:lang w:val="es-ES"/>
        </w:rPr>
        <w:t xml:space="preserve"> </w:t>
      </w:r>
      <w:r w:rsidRPr="00285915">
        <w:rPr>
          <w:szCs w:val="18"/>
          <w:lang w:val="es-ES"/>
        </w:rPr>
        <w:t>16.</w:t>
      </w:r>
    </w:p>
  </w:footnote>
  <w:footnote w:id="11">
    <w:p w14:paraId="10AB631E" w14:textId="135BDDE7" w:rsidR="00ED4D26" w:rsidRPr="00285915" w:rsidRDefault="00ED4D26" w:rsidP="003572B7">
      <w:pPr>
        <w:pStyle w:val="FootnoteText"/>
        <w:rPr>
          <w:szCs w:val="18"/>
          <w:lang w:val="es-ES"/>
        </w:rPr>
      </w:pPr>
      <w:r w:rsidRPr="00285915">
        <w:rPr>
          <w:szCs w:val="18"/>
          <w:lang w:val="es-ES"/>
        </w:rPr>
        <w:tab/>
      </w:r>
      <w:r w:rsidRPr="0038700A">
        <w:rPr>
          <w:rStyle w:val="FootnoteReference"/>
        </w:rPr>
        <w:footnoteRef/>
      </w:r>
      <w:r w:rsidRPr="00285915">
        <w:rPr>
          <w:szCs w:val="18"/>
          <w:lang w:val="es-ES"/>
        </w:rPr>
        <w:tab/>
        <w:t>A/HRC/22/44 para.38; A/HRC/19/57/Add.2 para.94; CCPR/C/21/Rev.1/Add.6 para. 8.</w:t>
      </w:r>
    </w:p>
  </w:footnote>
  <w:footnote w:id="12">
    <w:p w14:paraId="1A0626AE" w14:textId="6DD2ED54" w:rsidR="00ED4D26" w:rsidRPr="00285915" w:rsidRDefault="00ED4D26" w:rsidP="003572B7">
      <w:pPr>
        <w:pStyle w:val="FootnoteText"/>
        <w:rPr>
          <w:szCs w:val="18"/>
          <w:lang w:val="es-ES"/>
        </w:rPr>
      </w:pPr>
      <w:r w:rsidRPr="00285915">
        <w:rPr>
          <w:szCs w:val="18"/>
          <w:lang w:val="es-ES"/>
        </w:rPr>
        <w:tab/>
      </w:r>
      <w:r w:rsidRPr="0038700A">
        <w:rPr>
          <w:rStyle w:val="FootnoteReference"/>
        </w:rPr>
        <w:footnoteRef/>
      </w:r>
      <w:r w:rsidRPr="00285915">
        <w:rPr>
          <w:szCs w:val="18"/>
          <w:lang w:val="es-ES"/>
        </w:rPr>
        <w:tab/>
        <w:t>CCPR/C/GC/35, para.63; CCPR/C/USA/CO/3, paras.12,18.</w:t>
      </w:r>
    </w:p>
  </w:footnote>
  <w:footnote w:id="13">
    <w:p w14:paraId="79069E33" w14:textId="7FCE02D7" w:rsidR="00ED4D26" w:rsidRPr="00285915" w:rsidRDefault="00ED4D26" w:rsidP="007012FA">
      <w:pPr>
        <w:pStyle w:val="FootnoteText"/>
        <w:rPr>
          <w:szCs w:val="18"/>
          <w:lang w:val="es-ES"/>
        </w:rPr>
      </w:pPr>
      <w:r w:rsidRPr="00285915">
        <w:rPr>
          <w:szCs w:val="18"/>
          <w:lang w:val="es-ES"/>
        </w:rPr>
        <w:tab/>
      </w:r>
      <w:r w:rsidRPr="0038700A">
        <w:rPr>
          <w:rStyle w:val="FootnoteReference"/>
        </w:rPr>
        <w:footnoteRef/>
      </w:r>
      <w:r w:rsidRPr="00285915">
        <w:rPr>
          <w:szCs w:val="18"/>
          <w:lang w:val="es-ES"/>
        </w:rPr>
        <w:tab/>
        <w:t xml:space="preserve">General </w:t>
      </w:r>
      <w:proofErr w:type="spellStart"/>
      <w:r w:rsidRPr="00285915">
        <w:rPr>
          <w:szCs w:val="18"/>
          <w:lang w:val="es-ES"/>
        </w:rPr>
        <w:t>Comment</w:t>
      </w:r>
      <w:proofErr w:type="spellEnd"/>
      <w:r w:rsidRPr="00285915">
        <w:rPr>
          <w:szCs w:val="18"/>
          <w:lang w:val="es-ES"/>
        </w:rPr>
        <w:t xml:space="preserve"> No.35, CCPR/C/GC/35, para.15.</w:t>
      </w:r>
    </w:p>
  </w:footnote>
  <w:footnote w:id="14">
    <w:p w14:paraId="0DF00530" w14:textId="77777777" w:rsidR="00ED4D26" w:rsidRPr="00285915" w:rsidRDefault="00ED4D26">
      <w:pPr>
        <w:pStyle w:val="FootnoteText"/>
        <w:rPr>
          <w:i/>
          <w:lang w:val="es-ES"/>
        </w:rPr>
      </w:pPr>
      <w:r w:rsidRPr="00285915">
        <w:rPr>
          <w:lang w:val="es-ES"/>
        </w:rPr>
        <w:tab/>
      </w:r>
      <w:r>
        <w:rPr>
          <w:rStyle w:val="FootnoteReference"/>
        </w:rPr>
        <w:footnoteRef/>
      </w:r>
      <w:r w:rsidRPr="00285915">
        <w:rPr>
          <w:lang w:val="es-ES"/>
        </w:rPr>
        <w:t xml:space="preserve"> </w:t>
      </w:r>
      <w:r w:rsidRPr="00285915">
        <w:rPr>
          <w:lang w:val="es-ES"/>
        </w:rPr>
        <w:tab/>
      </w:r>
      <w:proofErr w:type="spellStart"/>
      <w:r w:rsidRPr="00285915">
        <w:rPr>
          <w:i/>
          <w:lang w:val="es-ES"/>
        </w:rPr>
        <w:t>Ibid</w:t>
      </w:r>
      <w:proofErr w:type="spellEnd"/>
      <w:r w:rsidRPr="00285915">
        <w:rPr>
          <w:i/>
          <w:lang w:val="es-ES"/>
        </w:rPr>
        <w:t>.</w:t>
      </w:r>
    </w:p>
  </w:footnote>
  <w:footnote w:id="15">
    <w:p w14:paraId="4C03C340" w14:textId="708ADE23" w:rsidR="00ED4D26" w:rsidRPr="00285915" w:rsidRDefault="00ED4D26" w:rsidP="003572B7">
      <w:pPr>
        <w:pStyle w:val="FootnoteText"/>
        <w:rPr>
          <w:szCs w:val="18"/>
          <w:lang w:val="es-ES"/>
        </w:rPr>
      </w:pPr>
      <w:r w:rsidRPr="00285915">
        <w:rPr>
          <w:szCs w:val="18"/>
          <w:lang w:val="es-ES"/>
        </w:rPr>
        <w:tab/>
      </w:r>
      <w:r w:rsidRPr="0038700A">
        <w:rPr>
          <w:rStyle w:val="FootnoteReference"/>
        </w:rPr>
        <w:footnoteRef/>
      </w:r>
      <w:r w:rsidRPr="00285915">
        <w:rPr>
          <w:szCs w:val="18"/>
          <w:lang w:val="es-ES"/>
        </w:rPr>
        <w:tab/>
        <w:t>A/HRC/13/42, para.286.</w:t>
      </w:r>
    </w:p>
  </w:footnote>
  <w:footnote w:id="16">
    <w:p w14:paraId="47664CA9" w14:textId="32F5F33A" w:rsidR="00ED4D26" w:rsidRPr="00285915" w:rsidRDefault="00ED4D26" w:rsidP="00430DCF">
      <w:pPr>
        <w:pStyle w:val="FootnoteText"/>
        <w:rPr>
          <w:szCs w:val="18"/>
          <w:lang w:val="es-ES"/>
        </w:rPr>
      </w:pPr>
      <w:r w:rsidRPr="00285915">
        <w:rPr>
          <w:szCs w:val="18"/>
          <w:lang w:val="es-ES"/>
        </w:rPr>
        <w:tab/>
      </w:r>
      <w:r w:rsidRPr="0038700A">
        <w:rPr>
          <w:rStyle w:val="FootnoteReference"/>
        </w:rPr>
        <w:footnoteRef/>
      </w:r>
      <w:r w:rsidRPr="00285915">
        <w:rPr>
          <w:szCs w:val="18"/>
          <w:lang w:val="es-ES"/>
        </w:rPr>
        <w:tab/>
        <w:t>A/HRC/13/42, paras.98-164.</w:t>
      </w:r>
    </w:p>
  </w:footnote>
  <w:footnote w:id="17">
    <w:p w14:paraId="3A97C424" w14:textId="5BADA9CF" w:rsidR="00ED4D26" w:rsidRPr="00285915" w:rsidRDefault="00ED4D26" w:rsidP="003572B7">
      <w:pPr>
        <w:pStyle w:val="FootnoteText"/>
        <w:rPr>
          <w:lang w:val="es-ES"/>
        </w:rPr>
      </w:pPr>
      <w:r w:rsidRPr="00285915">
        <w:rPr>
          <w:lang w:val="es-ES"/>
        </w:rPr>
        <w:tab/>
      </w:r>
      <w:r w:rsidRPr="0038700A">
        <w:rPr>
          <w:rStyle w:val="FootnoteReference"/>
        </w:rPr>
        <w:footnoteRef/>
      </w:r>
      <w:r w:rsidRPr="00285915">
        <w:rPr>
          <w:lang w:val="es-ES"/>
        </w:rPr>
        <w:tab/>
        <w:t>A/HRC/13/42, para.8</w:t>
      </w:r>
      <w:r w:rsidR="00072F89">
        <w:rPr>
          <w:lang w:val="es-ES"/>
        </w:rPr>
        <w:t>.</w:t>
      </w:r>
    </w:p>
  </w:footnote>
  <w:footnote w:id="18">
    <w:p w14:paraId="6B4C5D43" w14:textId="42329610" w:rsidR="00ED4D26" w:rsidRPr="00C547E5" w:rsidRDefault="00ED4D26" w:rsidP="003572B7">
      <w:pPr>
        <w:pStyle w:val="FootnoteText"/>
        <w:rPr>
          <w:szCs w:val="18"/>
        </w:rPr>
      </w:pPr>
      <w:r w:rsidRPr="00285915">
        <w:rPr>
          <w:szCs w:val="18"/>
          <w:lang w:val="es-ES"/>
        </w:rPr>
        <w:tab/>
      </w:r>
      <w:r w:rsidRPr="0038700A">
        <w:rPr>
          <w:rStyle w:val="FootnoteReference"/>
        </w:rPr>
        <w:footnoteRef/>
      </w:r>
      <w:r>
        <w:rPr>
          <w:szCs w:val="18"/>
          <w:lang w:val="es-ES"/>
        </w:rPr>
        <w:tab/>
      </w:r>
      <w:proofErr w:type="spellStart"/>
      <w:r>
        <w:rPr>
          <w:szCs w:val="18"/>
          <w:lang w:val="es-ES"/>
        </w:rPr>
        <w:t>Ibid</w:t>
      </w:r>
      <w:proofErr w:type="spellEnd"/>
      <w:r>
        <w:rPr>
          <w:szCs w:val="18"/>
          <w:lang w:val="es-ES"/>
        </w:rPr>
        <w:t>., paras.17,</w:t>
      </w:r>
      <w:r w:rsidRPr="00285915">
        <w:rPr>
          <w:szCs w:val="18"/>
          <w:lang w:val="es-ES"/>
        </w:rPr>
        <w:t xml:space="preserve">36. </w:t>
      </w:r>
      <w:r w:rsidRPr="00C547E5">
        <w:rPr>
          <w:szCs w:val="18"/>
        </w:rPr>
        <w:t>See also CCPR/C/21/Rev.1/Add.11, para.13(b).</w:t>
      </w:r>
    </w:p>
  </w:footnote>
  <w:footnote w:id="19">
    <w:p w14:paraId="6BA2B86A" w14:textId="77777777" w:rsidR="00ED4D26" w:rsidRPr="00285915" w:rsidRDefault="00ED4D26" w:rsidP="003572B7">
      <w:pPr>
        <w:pStyle w:val="FootnoteText"/>
        <w:rPr>
          <w:bCs/>
          <w:szCs w:val="18"/>
          <w:lang w:val="es-ES"/>
        </w:rPr>
      </w:pPr>
      <w:r>
        <w:rPr>
          <w:szCs w:val="18"/>
        </w:rPr>
        <w:tab/>
      </w:r>
      <w:r w:rsidRPr="0038700A">
        <w:rPr>
          <w:rStyle w:val="FootnoteReference"/>
        </w:rPr>
        <w:footnoteRef/>
      </w:r>
      <w:r w:rsidRPr="00285915">
        <w:rPr>
          <w:szCs w:val="18"/>
          <w:lang w:val="es-ES"/>
        </w:rPr>
        <w:tab/>
        <w:t>CCPR/C/21/Rev.1/Add.11, para.16; CCPR/C/GC/35, para.67</w:t>
      </w:r>
      <w:r w:rsidRPr="00285915">
        <w:rPr>
          <w:bCs/>
          <w:szCs w:val="18"/>
          <w:lang w:val="es-ES"/>
        </w:rPr>
        <w:t xml:space="preserve">. </w:t>
      </w:r>
    </w:p>
  </w:footnote>
  <w:footnote w:id="20">
    <w:p w14:paraId="5C89BC0F" w14:textId="548BF573" w:rsidR="00ED4D26" w:rsidRPr="00242083" w:rsidRDefault="00ED4D26" w:rsidP="003572B7">
      <w:pPr>
        <w:pStyle w:val="FootnoteText"/>
        <w:rPr>
          <w:szCs w:val="18"/>
        </w:rPr>
      </w:pPr>
      <w:r w:rsidRPr="00285915">
        <w:rPr>
          <w:szCs w:val="18"/>
          <w:lang w:val="es-ES"/>
        </w:rPr>
        <w:tab/>
      </w:r>
      <w:r w:rsidRPr="0038700A">
        <w:rPr>
          <w:rStyle w:val="FootnoteReference"/>
        </w:rPr>
        <w:footnoteRef/>
      </w:r>
      <w:r w:rsidRPr="00285915">
        <w:rPr>
          <w:szCs w:val="18"/>
          <w:lang w:val="fr-FR"/>
        </w:rPr>
        <w:tab/>
        <w:t xml:space="preserve">Articles 9(1), 9(4) ICCPR; CCPR/C/GC/35, para.46. </w:t>
      </w:r>
      <w:r w:rsidRPr="00242083">
        <w:rPr>
          <w:szCs w:val="18"/>
        </w:rPr>
        <w:t>See A/HRC/13/42, paras.18-19.</w:t>
      </w:r>
    </w:p>
  </w:footnote>
  <w:footnote w:id="21">
    <w:p w14:paraId="2B00678A" w14:textId="77777777" w:rsidR="00ED4D26" w:rsidRPr="00C547E5" w:rsidRDefault="00ED4D26" w:rsidP="003572B7">
      <w:pPr>
        <w:pStyle w:val="FootnoteText"/>
        <w:rPr>
          <w:szCs w:val="18"/>
        </w:rPr>
      </w:pPr>
      <w:r w:rsidRPr="00242083">
        <w:rPr>
          <w:szCs w:val="18"/>
        </w:rPr>
        <w:tab/>
      </w:r>
      <w:r w:rsidRPr="0038700A">
        <w:rPr>
          <w:rStyle w:val="FootnoteReference"/>
        </w:rPr>
        <w:footnoteRef/>
      </w:r>
      <w:r w:rsidRPr="00B63DB8">
        <w:rPr>
          <w:szCs w:val="18"/>
          <w:lang w:val="fr-CA"/>
        </w:rPr>
        <w:tab/>
        <w:t xml:space="preserve">Articles 9(2), 9(3),14 ICCPR; A/HRC/13/42, paras.24-27. </w:t>
      </w:r>
      <w:r w:rsidRPr="00C547E5">
        <w:rPr>
          <w:szCs w:val="18"/>
        </w:rPr>
        <w:t>Fundamental requirements of fair trial must be respected even during a state of emergency, CCPR/C/21/Rev.1/Add.11, para.16.</w:t>
      </w:r>
    </w:p>
  </w:footnote>
  <w:footnote w:id="22">
    <w:p w14:paraId="4990D5AD" w14:textId="4E916B85" w:rsidR="00ED4D26" w:rsidRPr="00C547E5" w:rsidRDefault="00ED4D26" w:rsidP="003572B7">
      <w:pPr>
        <w:pStyle w:val="FootnoteText"/>
        <w:rPr>
          <w:szCs w:val="18"/>
        </w:rPr>
      </w:pPr>
      <w:r>
        <w:rPr>
          <w:szCs w:val="18"/>
        </w:rPr>
        <w:tab/>
      </w:r>
      <w:r w:rsidRPr="0038700A">
        <w:rPr>
          <w:rStyle w:val="FootnoteReference"/>
        </w:rPr>
        <w:footnoteRef/>
      </w:r>
      <w:r w:rsidRPr="00285915">
        <w:rPr>
          <w:szCs w:val="18"/>
          <w:lang w:val="es-ES"/>
        </w:rPr>
        <w:tab/>
        <w:t xml:space="preserve">A/HRC/13/42, para.28; A/RES/47/133, OP 1. </w:t>
      </w:r>
      <w:r w:rsidRPr="00C547E5">
        <w:rPr>
          <w:szCs w:val="18"/>
        </w:rPr>
        <w:t>See also, CCPR/C/GC/35, para.17</w:t>
      </w:r>
      <w:r w:rsidR="00072F89">
        <w:rPr>
          <w:szCs w:val="18"/>
        </w:rPr>
        <w:t>.</w:t>
      </w:r>
    </w:p>
  </w:footnote>
  <w:footnote w:id="23">
    <w:p w14:paraId="54621EB2" w14:textId="77777777" w:rsidR="00ED4D26" w:rsidRPr="00C547E5" w:rsidRDefault="00ED4D26" w:rsidP="003572B7">
      <w:pPr>
        <w:pStyle w:val="FootnoteText"/>
        <w:rPr>
          <w:szCs w:val="18"/>
        </w:rPr>
      </w:pPr>
      <w:r>
        <w:rPr>
          <w:szCs w:val="18"/>
        </w:rPr>
        <w:tab/>
      </w:r>
      <w:r w:rsidRPr="0038700A">
        <w:rPr>
          <w:rStyle w:val="FootnoteReference"/>
        </w:rPr>
        <w:footnoteRef/>
      </w:r>
      <w:r>
        <w:rPr>
          <w:szCs w:val="18"/>
        </w:rPr>
        <w:tab/>
        <w:t xml:space="preserve">As defined in </w:t>
      </w:r>
      <w:r w:rsidRPr="00C547E5">
        <w:rPr>
          <w:szCs w:val="18"/>
        </w:rPr>
        <w:t>Article 2 of the International Convention for the Protection of All Persons from Enforced Disappearance</w:t>
      </w:r>
      <w:r>
        <w:rPr>
          <w:szCs w:val="18"/>
        </w:rPr>
        <w:t>.</w:t>
      </w:r>
    </w:p>
  </w:footnote>
  <w:footnote w:id="24">
    <w:p w14:paraId="53406C21" w14:textId="5B517048" w:rsidR="00ED4D26" w:rsidRPr="00C547E5" w:rsidRDefault="00ED4D26" w:rsidP="003572B7">
      <w:pPr>
        <w:pStyle w:val="FootnoteText"/>
        <w:rPr>
          <w:szCs w:val="18"/>
          <w:lang w:val="it-IT"/>
        </w:rPr>
      </w:pPr>
      <w:r>
        <w:rPr>
          <w:szCs w:val="18"/>
          <w:lang w:val="it-IT"/>
        </w:rPr>
        <w:tab/>
      </w:r>
      <w:r w:rsidRPr="0038700A">
        <w:rPr>
          <w:rStyle w:val="FootnoteReference"/>
        </w:rPr>
        <w:footnoteRef/>
      </w:r>
      <w:r>
        <w:rPr>
          <w:szCs w:val="18"/>
          <w:lang w:val="it-IT"/>
        </w:rPr>
        <w:tab/>
      </w:r>
      <w:r w:rsidR="00072F89">
        <w:rPr>
          <w:szCs w:val="18"/>
          <w:lang w:val="it-IT"/>
        </w:rPr>
        <w:t>A/HRC/19/58/Rev.1, para.42.</w:t>
      </w:r>
    </w:p>
  </w:footnote>
  <w:footnote w:id="25">
    <w:p w14:paraId="6981032E" w14:textId="52EF397A" w:rsidR="00ED4D26" w:rsidRPr="00E85795" w:rsidRDefault="00ED4D26" w:rsidP="003572B7">
      <w:pPr>
        <w:pStyle w:val="FootnoteText"/>
        <w:rPr>
          <w:szCs w:val="18"/>
          <w:lang w:val="it-IT"/>
        </w:rPr>
      </w:pPr>
      <w:r>
        <w:rPr>
          <w:szCs w:val="18"/>
          <w:lang w:val="it-IT"/>
        </w:rPr>
        <w:tab/>
      </w:r>
      <w:r w:rsidRPr="0038700A">
        <w:rPr>
          <w:rStyle w:val="FootnoteReference"/>
        </w:rPr>
        <w:footnoteRef/>
      </w:r>
      <w:r>
        <w:rPr>
          <w:szCs w:val="18"/>
          <w:lang w:val="it-IT"/>
        </w:rPr>
        <w:tab/>
      </w:r>
      <w:r w:rsidRPr="00C547E5">
        <w:rPr>
          <w:szCs w:val="18"/>
          <w:lang w:val="it-IT"/>
        </w:rPr>
        <w:t xml:space="preserve">A/RES/60/148, </w:t>
      </w:r>
      <w:r w:rsidRPr="00C547E5">
        <w:rPr>
          <w:szCs w:val="18"/>
          <w:lang w:val="it-IT"/>
        </w:rPr>
        <w:t xml:space="preserve">para. 11; </w:t>
      </w:r>
      <w:r w:rsidRPr="005C646C">
        <w:rPr>
          <w:szCs w:val="18"/>
          <w:lang w:val="it-IT"/>
        </w:rPr>
        <w:t>CCPR/C/114/D/2038/2011</w:t>
      </w:r>
      <w:r w:rsidRPr="00C547E5">
        <w:rPr>
          <w:szCs w:val="18"/>
          <w:lang w:val="it-IT"/>
        </w:rPr>
        <w:t>, para.</w:t>
      </w:r>
      <w:r>
        <w:rPr>
          <w:szCs w:val="18"/>
          <w:lang w:val="it-IT"/>
        </w:rPr>
        <w:t>10.6</w:t>
      </w:r>
      <w:r w:rsidRPr="00C547E5">
        <w:rPr>
          <w:szCs w:val="18"/>
          <w:lang w:val="it-IT"/>
        </w:rPr>
        <w:t>; CAT/C/USA/CO/2, paras.</w:t>
      </w:r>
      <w:r w:rsidRPr="00E85795">
        <w:rPr>
          <w:szCs w:val="18"/>
          <w:lang w:val="it-IT"/>
        </w:rPr>
        <w:t>17-18.</w:t>
      </w:r>
    </w:p>
  </w:footnote>
  <w:footnote w:id="26">
    <w:p w14:paraId="1563E9B5" w14:textId="2E2CA49E" w:rsidR="00ED4D26" w:rsidRPr="00304D88" w:rsidRDefault="00ED4D26" w:rsidP="003572B7">
      <w:pPr>
        <w:pStyle w:val="FootnoteText"/>
        <w:rPr>
          <w:szCs w:val="18"/>
          <w:lang w:val="it-IT"/>
        </w:rPr>
      </w:pPr>
      <w:r w:rsidRPr="00E85795">
        <w:rPr>
          <w:szCs w:val="18"/>
          <w:lang w:val="it-IT"/>
        </w:rPr>
        <w:tab/>
      </w:r>
      <w:r w:rsidRPr="0038700A">
        <w:rPr>
          <w:rStyle w:val="FootnoteReference"/>
        </w:rPr>
        <w:footnoteRef/>
      </w:r>
      <w:r w:rsidRPr="00E85795">
        <w:rPr>
          <w:szCs w:val="18"/>
          <w:lang w:val="it-IT"/>
        </w:rPr>
        <w:tab/>
      </w:r>
      <w:r w:rsidRPr="00E85795">
        <w:rPr>
          <w:szCs w:val="18"/>
          <w:lang w:val="it-IT"/>
        </w:rPr>
        <w:t>CCPR/C/19/D/</w:t>
      </w:r>
      <w:r w:rsidRPr="00E85795">
        <w:rPr>
          <w:iCs/>
          <w:szCs w:val="18"/>
          <w:lang w:val="it-IT"/>
        </w:rPr>
        <w:t>107/1981, para.</w:t>
      </w:r>
      <w:r w:rsidRPr="00304D88">
        <w:rPr>
          <w:iCs/>
          <w:szCs w:val="18"/>
          <w:lang w:val="it-IT"/>
        </w:rPr>
        <w:t>14</w:t>
      </w:r>
      <w:r w:rsidR="00072F89">
        <w:rPr>
          <w:iCs/>
          <w:szCs w:val="18"/>
          <w:lang w:val="it-IT"/>
        </w:rPr>
        <w:t>.</w:t>
      </w:r>
    </w:p>
  </w:footnote>
  <w:footnote w:id="27">
    <w:p w14:paraId="3509911B" w14:textId="77777777" w:rsidR="00ED4D26" w:rsidRPr="00285915" w:rsidRDefault="00ED4D26" w:rsidP="003572B7">
      <w:pPr>
        <w:pStyle w:val="FootnoteText"/>
        <w:rPr>
          <w:szCs w:val="18"/>
          <w:lang w:val="es-ES"/>
        </w:rPr>
      </w:pPr>
      <w:r w:rsidRPr="00304D88">
        <w:rPr>
          <w:szCs w:val="18"/>
          <w:lang w:val="it-IT"/>
        </w:rPr>
        <w:tab/>
      </w:r>
      <w:r w:rsidRPr="0038700A">
        <w:rPr>
          <w:rStyle w:val="FootnoteReference"/>
        </w:rPr>
        <w:footnoteRef/>
      </w:r>
      <w:r w:rsidRPr="00285915">
        <w:rPr>
          <w:szCs w:val="18"/>
          <w:lang w:val="es-ES"/>
        </w:rPr>
        <w:tab/>
      </w:r>
      <w:proofErr w:type="spellStart"/>
      <w:r w:rsidRPr="00285915">
        <w:rPr>
          <w:szCs w:val="18"/>
          <w:lang w:val="es-ES"/>
        </w:rPr>
        <w:t>Articles</w:t>
      </w:r>
      <w:proofErr w:type="spellEnd"/>
      <w:r w:rsidRPr="00285915">
        <w:rPr>
          <w:szCs w:val="18"/>
          <w:lang w:val="es-ES"/>
        </w:rPr>
        <w:t xml:space="preserve"> 17(1) and 23(1) ICCPR.</w:t>
      </w:r>
    </w:p>
  </w:footnote>
  <w:footnote w:id="28">
    <w:p w14:paraId="4B10962B" w14:textId="76E12ABB" w:rsidR="00ED4D26" w:rsidRPr="00CC1D6E" w:rsidRDefault="00ED4D26" w:rsidP="003572B7">
      <w:pPr>
        <w:pStyle w:val="FootnoteText"/>
        <w:rPr>
          <w:szCs w:val="18"/>
          <w:lang w:val="es-ES"/>
        </w:rPr>
      </w:pPr>
      <w:r w:rsidRPr="00285915">
        <w:rPr>
          <w:szCs w:val="18"/>
          <w:lang w:val="es-ES"/>
        </w:rPr>
        <w:tab/>
      </w:r>
      <w:r w:rsidRPr="0038700A">
        <w:rPr>
          <w:rStyle w:val="FootnoteReference"/>
        </w:rPr>
        <w:footnoteRef/>
      </w:r>
      <w:r w:rsidRPr="00CC1D6E">
        <w:rPr>
          <w:szCs w:val="18"/>
          <w:lang w:val="es-ES"/>
        </w:rPr>
        <w:tab/>
      </w:r>
      <w:r>
        <w:rPr>
          <w:szCs w:val="18"/>
          <w:lang w:val="es-ES"/>
        </w:rPr>
        <w:t>A/HRC/42/40, paras.46,56,69,</w:t>
      </w:r>
      <w:r w:rsidRPr="00CC1D6E">
        <w:rPr>
          <w:szCs w:val="18"/>
          <w:lang w:val="es-ES"/>
        </w:rPr>
        <w:t>92; A/HRC/39/46, para.136.</w:t>
      </w:r>
    </w:p>
  </w:footnote>
  <w:footnote w:id="29">
    <w:p w14:paraId="565DD5E6" w14:textId="2BDADB67" w:rsidR="00ED4D26" w:rsidRPr="00C547E5" w:rsidRDefault="00ED4D26" w:rsidP="003572B7">
      <w:pPr>
        <w:pStyle w:val="FootnoteText"/>
        <w:rPr>
          <w:szCs w:val="18"/>
        </w:rPr>
      </w:pPr>
      <w:r w:rsidRPr="00CC1D6E">
        <w:rPr>
          <w:szCs w:val="18"/>
          <w:lang w:val="es-ES"/>
        </w:rPr>
        <w:tab/>
      </w:r>
      <w:r w:rsidRPr="0038700A">
        <w:rPr>
          <w:rStyle w:val="FootnoteReference"/>
        </w:rPr>
        <w:footnoteRef/>
      </w:r>
      <w:r>
        <w:rPr>
          <w:szCs w:val="18"/>
        </w:rPr>
        <w:tab/>
      </w:r>
      <w:r w:rsidRPr="00C547E5">
        <w:rPr>
          <w:szCs w:val="18"/>
        </w:rPr>
        <w:t xml:space="preserve">David </w:t>
      </w:r>
      <w:proofErr w:type="spellStart"/>
      <w:r w:rsidRPr="00C547E5">
        <w:rPr>
          <w:szCs w:val="18"/>
        </w:rPr>
        <w:t>Weissbrodt</w:t>
      </w:r>
      <w:proofErr w:type="spellEnd"/>
      <w:r w:rsidRPr="00C547E5">
        <w:rPr>
          <w:szCs w:val="18"/>
        </w:rPr>
        <w:t xml:space="preserve"> &amp; Amy </w:t>
      </w:r>
      <w:proofErr w:type="spellStart"/>
      <w:r w:rsidRPr="00C547E5">
        <w:rPr>
          <w:szCs w:val="18"/>
        </w:rPr>
        <w:t>Bergquist</w:t>
      </w:r>
      <w:proofErr w:type="spellEnd"/>
      <w:r w:rsidRPr="00C547E5">
        <w:rPr>
          <w:szCs w:val="18"/>
        </w:rPr>
        <w:t xml:space="preserve">, </w:t>
      </w:r>
      <w:r w:rsidRPr="00C547E5">
        <w:rPr>
          <w:i/>
          <w:iCs/>
          <w:szCs w:val="18"/>
        </w:rPr>
        <w:t>Extraordinary Rendition: A Human Rights Analysis</w:t>
      </w:r>
      <w:r w:rsidRPr="00C547E5">
        <w:rPr>
          <w:szCs w:val="18"/>
        </w:rPr>
        <w:t xml:space="preserve">, 19 </w:t>
      </w:r>
      <w:proofErr w:type="spellStart"/>
      <w:r w:rsidRPr="00C547E5">
        <w:rPr>
          <w:smallCaps/>
          <w:szCs w:val="18"/>
        </w:rPr>
        <w:t>Harv</w:t>
      </w:r>
      <w:proofErr w:type="spellEnd"/>
      <w:r w:rsidRPr="00C547E5">
        <w:rPr>
          <w:smallCaps/>
          <w:szCs w:val="18"/>
        </w:rPr>
        <w:t xml:space="preserve">. Hum. </w:t>
      </w:r>
      <w:proofErr w:type="spellStart"/>
      <w:r w:rsidRPr="00C547E5">
        <w:rPr>
          <w:smallCaps/>
          <w:szCs w:val="18"/>
        </w:rPr>
        <w:t>Rts</w:t>
      </w:r>
      <w:proofErr w:type="spellEnd"/>
      <w:r w:rsidRPr="00C547E5">
        <w:rPr>
          <w:smallCaps/>
          <w:szCs w:val="18"/>
        </w:rPr>
        <w:t>. J.</w:t>
      </w:r>
      <w:r>
        <w:rPr>
          <w:szCs w:val="18"/>
        </w:rPr>
        <w:t xml:space="preserve"> 123,</w:t>
      </w:r>
      <w:r w:rsidRPr="00C547E5">
        <w:rPr>
          <w:szCs w:val="18"/>
        </w:rPr>
        <w:t xml:space="preserve">127 (2006); International Commission of Jurists, </w:t>
      </w:r>
      <w:r w:rsidRPr="00C547E5">
        <w:rPr>
          <w:i/>
          <w:iCs/>
          <w:szCs w:val="18"/>
        </w:rPr>
        <w:t xml:space="preserve">Assessing Damage, Urging Action, </w:t>
      </w:r>
      <w:r w:rsidRPr="00C547E5">
        <w:rPr>
          <w:iCs/>
          <w:szCs w:val="18"/>
        </w:rPr>
        <w:t>Report of the Eminent Jurists Panel on Terrorism, Counter-terrorism and Human Rights</w:t>
      </w:r>
      <w:r w:rsidRPr="00C547E5">
        <w:rPr>
          <w:szCs w:val="18"/>
        </w:rPr>
        <w:t>, Geneva, 2009, p. 80. See also, A/HRC/13/42, para.36</w:t>
      </w:r>
      <w:r w:rsidR="00072F89">
        <w:rPr>
          <w:szCs w:val="18"/>
        </w:rPr>
        <w:t>.</w:t>
      </w:r>
    </w:p>
  </w:footnote>
  <w:footnote w:id="30">
    <w:p w14:paraId="68E3B012" w14:textId="685943BD" w:rsidR="00ED4D26" w:rsidRPr="00C547E5" w:rsidRDefault="00ED4D26" w:rsidP="00D45DEA">
      <w:pPr>
        <w:pStyle w:val="FootnoteText"/>
        <w:rPr>
          <w:szCs w:val="18"/>
        </w:rPr>
      </w:pPr>
      <w:r>
        <w:rPr>
          <w:i/>
          <w:iCs/>
          <w:szCs w:val="18"/>
        </w:rPr>
        <w:tab/>
      </w:r>
      <w:r w:rsidRPr="0038700A">
        <w:rPr>
          <w:rStyle w:val="FootnoteReference"/>
        </w:rPr>
        <w:footnoteRef/>
      </w:r>
      <w:r>
        <w:rPr>
          <w:i/>
          <w:iCs/>
          <w:szCs w:val="18"/>
        </w:rPr>
        <w:tab/>
      </w:r>
      <w:proofErr w:type="spellStart"/>
      <w:r w:rsidRPr="00C547E5">
        <w:rPr>
          <w:i/>
          <w:iCs/>
          <w:szCs w:val="18"/>
        </w:rPr>
        <w:t>Husayn</w:t>
      </w:r>
      <w:proofErr w:type="spellEnd"/>
      <w:r w:rsidRPr="00C547E5">
        <w:rPr>
          <w:i/>
          <w:iCs/>
          <w:szCs w:val="18"/>
        </w:rPr>
        <w:t xml:space="preserve"> (Abu </w:t>
      </w:r>
      <w:proofErr w:type="spellStart"/>
      <w:r w:rsidRPr="00C547E5">
        <w:rPr>
          <w:i/>
          <w:iCs/>
          <w:szCs w:val="18"/>
        </w:rPr>
        <w:t>Zubaydah</w:t>
      </w:r>
      <w:proofErr w:type="spellEnd"/>
      <w:r w:rsidRPr="00C547E5">
        <w:rPr>
          <w:i/>
          <w:iCs/>
          <w:szCs w:val="18"/>
        </w:rPr>
        <w:t>) v. Poland</w:t>
      </w:r>
      <w:r w:rsidRPr="00C547E5">
        <w:rPr>
          <w:szCs w:val="18"/>
        </w:rPr>
        <w:t xml:space="preserve">, </w:t>
      </w:r>
      <w:proofErr w:type="spellStart"/>
      <w:r w:rsidRPr="00C547E5">
        <w:rPr>
          <w:szCs w:val="18"/>
        </w:rPr>
        <w:t>ECtHR</w:t>
      </w:r>
      <w:proofErr w:type="spellEnd"/>
      <w:r w:rsidRPr="00C547E5">
        <w:rPr>
          <w:szCs w:val="18"/>
        </w:rPr>
        <w:t>, Application N</w:t>
      </w:r>
      <w:r>
        <w:rPr>
          <w:szCs w:val="18"/>
        </w:rPr>
        <w:t>o. 7511/13, 24 July 2014, para.</w:t>
      </w:r>
      <w:r w:rsidRPr="00C547E5">
        <w:rPr>
          <w:szCs w:val="18"/>
        </w:rPr>
        <w:t>452.</w:t>
      </w:r>
    </w:p>
  </w:footnote>
  <w:footnote w:id="31">
    <w:p w14:paraId="01E68260" w14:textId="774534E6" w:rsidR="00ED4D26" w:rsidRPr="00C547E5" w:rsidRDefault="00ED4D26" w:rsidP="00D45DEA">
      <w:pPr>
        <w:pStyle w:val="FootnoteText"/>
        <w:rPr>
          <w:szCs w:val="18"/>
        </w:rPr>
      </w:pPr>
      <w:r>
        <w:rPr>
          <w:i/>
          <w:iCs/>
          <w:szCs w:val="18"/>
        </w:rPr>
        <w:tab/>
      </w:r>
      <w:r w:rsidRPr="0038700A">
        <w:rPr>
          <w:rStyle w:val="FootnoteReference"/>
        </w:rPr>
        <w:footnoteRef/>
      </w:r>
      <w:r>
        <w:rPr>
          <w:i/>
          <w:iCs/>
          <w:szCs w:val="18"/>
        </w:rPr>
        <w:tab/>
      </w:r>
      <w:proofErr w:type="spellStart"/>
      <w:r w:rsidRPr="00C547E5">
        <w:rPr>
          <w:i/>
          <w:iCs/>
          <w:szCs w:val="18"/>
        </w:rPr>
        <w:t>Savriddin</w:t>
      </w:r>
      <w:proofErr w:type="spellEnd"/>
      <w:r w:rsidRPr="00C547E5">
        <w:rPr>
          <w:i/>
          <w:iCs/>
          <w:szCs w:val="18"/>
        </w:rPr>
        <w:t xml:space="preserve"> </w:t>
      </w:r>
      <w:proofErr w:type="spellStart"/>
      <w:r w:rsidRPr="00C547E5">
        <w:rPr>
          <w:i/>
          <w:iCs/>
          <w:szCs w:val="18"/>
        </w:rPr>
        <w:t>Dzhurayev</w:t>
      </w:r>
      <w:proofErr w:type="spellEnd"/>
      <w:r w:rsidRPr="00C547E5">
        <w:rPr>
          <w:i/>
          <w:iCs/>
          <w:szCs w:val="18"/>
        </w:rPr>
        <w:t xml:space="preserve"> v. Russia</w:t>
      </w:r>
      <w:r w:rsidRPr="00C547E5">
        <w:rPr>
          <w:szCs w:val="18"/>
        </w:rPr>
        <w:t xml:space="preserve">, </w:t>
      </w:r>
      <w:proofErr w:type="spellStart"/>
      <w:r w:rsidRPr="00C547E5">
        <w:rPr>
          <w:szCs w:val="18"/>
        </w:rPr>
        <w:t>ECtHR</w:t>
      </w:r>
      <w:proofErr w:type="spellEnd"/>
      <w:r w:rsidRPr="00C547E5">
        <w:rPr>
          <w:szCs w:val="18"/>
        </w:rPr>
        <w:t xml:space="preserve">, Application No. 38124/07, </w:t>
      </w:r>
      <w:r>
        <w:rPr>
          <w:szCs w:val="18"/>
        </w:rPr>
        <w:t>25 April 2013</w:t>
      </w:r>
      <w:r w:rsidRPr="00C547E5">
        <w:rPr>
          <w:szCs w:val="18"/>
        </w:rPr>
        <w:t>, para.205.</w:t>
      </w:r>
    </w:p>
  </w:footnote>
  <w:footnote w:id="32">
    <w:p w14:paraId="03245C91" w14:textId="0393A546" w:rsidR="00ED4D26" w:rsidRPr="00C547E5" w:rsidRDefault="00ED4D26" w:rsidP="000D2158">
      <w:pPr>
        <w:pStyle w:val="FootnoteText"/>
        <w:rPr>
          <w:szCs w:val="18"/>
        </w:rPr>
      </w:pPr>
      <w:r>
        <w:rPr>
          <w:szCs w:val="18"/>
        </w:rPr>
        <w:tab/>
      </w:r>
      <w:r w:rsidRPr="0038700A">
        <w:rPr>
          <w:rStyle w:val="FootnoteReference"/>
        </w:rPr>
        <w:footnoteRef/>
      </w:r>
      <w:r>
        <w:rPr>
          <w:szCs w:val="18"/>
        </w:rPr>
        <w:tab/>
      </w:r>
      <w:r w:rsidRPr="00C547E5">
        <w:rPr>
          <w:szCs w:val="18"/>
        </w:rPr>
        <w:t>Articles 9(1), 9(4) ICCPR; Mr. Ibn al-</w:t>
      </w:r>
      <w:proofErr w:type="spellStart"/>
      <w:r w:rsidRPr="00C547E5">
        <w:rPr>
          <w:szCs w:val="18"/>
        </w:rPr>
        <w:t>Shaykh</w:t>
      </w:r>
      <w:proofErr w:type="spellEnd"/>
      <w:r w:rsidRPr="00C547E5">
        <w:rPr>
          <w:szCs w:val="18"/>
        </w:rPr>
        <w:t xml:space="preserve"> al-</w:t>
      </w:r>
      <w:proofErr w:type="spellStart"/>
      <w:r w:rsidRPr="00C547E5">
        <w:rPr>
          <w:szCs w:val="18"/>
        </w:rPr>
        <w:t>Libi</w:t>
      </w:r>
      <w:proofErr w:type="spellEnd"/>
      <w:r w:rsidRPr="00C547E5">
        <w:rPr>
          <w:szCs w:val="18"/>
        </w:rPr>
        <w:t xml:space="preserve"> and 25 other persons v. United States, U.N. Working Group on Arbitrary Detention, Opinion No. 29/2006, A/HRC/4/40/Add.1, paras. 1</w:t>
      </w:r>
      <w:r>
        <w:rPr>
          <w:szCs w:val="18"/>
        </w:rPr>
        <w:t>3</w:t>
      </w:r>
      <w:proofErr w:type="gramStart"/>
      <w:r>
        <w:rPr>
          <w:szCs w:val="18"/>
        </w:rPr>
        <w:t>,17,</w:t>
      </w:r>
      <w:r w:rsidRPr="00C547E5">
        <w:rPr>
          <w:szCs w:val="18"/>
        </w:rPr>
        <w:t>22</w:t>
      </w:r>
      <w:proofErr w:type="gramEnd"/>
      <w:r w:rsidRPr="00C547E5">
        <w:rPr>
          <w:szCs w:val="18"/>
        </w:rPr>
        <w:t xml:space="preserve">; Silvia Borelli, </w:t>
      </w:r>
      <w:r w:rsidRPr="00C547E5">
        <w:rPr>
          <w:i/>
          <w:szCs w:val="18"/>
        </w:rPr>
        <w:t>Extraordinary Rendition, Counter-Terrorism and International Law</w:t>
      </w:r>
      <w:r w:rsidRPr="00C547E5">
        <w:rPr>
          <w:szCs w:val="18"/>
        </w:rPr>
        <w:t xml:space="preserve"> in Ben Saul (ed.), </w:t>
      </w:r>
      <w:r w:rsidRPr="00C547E5">
        <w:rPr>
          <w:smallCaps/>
          <w:szCs w:val="18"/>
        </w:rPr>
        <w:t>Research Handbook on International Law and Terrorism</w:t>
      </w:r>
      <w:r w:rsidRPr="00C547E5">
        <w:rPr>
          <w:szCs w:val="18"/>
        </w:rPr>
        <w:t xml:space="preserve"> 361, 364 (2014).</w:t>
      </w:r>
    </w:p>
  </w:footnote>
  <w:footnote w:id="33">
    <w:p w14:paraId="24FFE94B" w14:textId="66B8B244" w:rsidR="00ED4D26" w:rsidRPr="000D2158" w:rsidRDefault="00ED4D26" w:rsidP="000D2158">
      <w:pPr>
        <w:pStyle w:val="FootnoteText"/>
        <w:rPr>
          <w:szCs w:val="18"/>
          <w:lang w:val="it-IT"/>
        </w:rPr>
      </w:pPr>
      <w:r>
        <w:rPr>
          <w:szCs w:val="18"/>
          <w:lang w:val="it-IT"/>
        </w:rPr>
        <w:tab/>
      </w:r>
      <w:r w:rsidRPr="0038700A">
        <w:rPr>
          <w:rStyle w:val="FootnoteReference"/>
        </w:rPr>
        <w:footnoteRef/>
      </w:r>
      <w:r>
        <w:rPr>
          <w:szCs w:val="18"/>
          <w:lang w:val="it-IT"/>
        </w:rPr>
        <w:tab/>
      </w:r>
      <w:r w:rsidRPr="000D2158">
        <w:rPr>
          <w:szCs w:val="18"/>
          <w:lang w:val="it-IT"/>
        </w:rPr>
        <w:t>Ibid.</w:t>
      </w:r>
    </w:p>
  </w:footnote>
  <w:footnote w:id="34">
    <w:p w14:paraId="08A598B8" w14:textId="01762379" w:rsidR="00ED4D26" w:rsidRPr="00C547E5" w:rsidRDefault="00ED4D26" w:rsidP="000D2158">
      <w:pPr>
        <w:pStyle w:val="FootnoteText"/>
        <w:rPr>
          <w:szCs w:val="18"/>
          <w:lang w:val="it-IT"/>
        </w:rPr>
      </w:pPr>
      <w:r>
        <w:rPr>
          <w:szCs w:val="18"/>
          <w:lang w:val="it-IT"/>
        </w:rPr>
        <w:tab/>
      </w:r>
      <w:r w:rsidRPr="0038700A">
        <w:rPr>
          <w:rStyle w:val="FootnoteReference"/>
        </w:rPr>
        <w:footnoteRef/>
      </w:r>
      <w:r w:rsidRPr="000B7ED8">
        <w:rPr>
          <w:szCs w:val="18"/>
          <w:lang w:val="it-IT"/>
        </w:rPr>
        <w:tab/>
      </w:r>
      <w:r w:rsidRPr="000B7ED8">
        <w:rPr>
          <w:szCs w:val="18"/>
          <w:lang w:val="it-IT"/>
        </w:rPr>
        <w:t xml:space="preserve">Articles </w:t>
      </w:r>
      <w:r w:rsidRPr="000B7ED8">
        <w:rPr>
          <w:szCs w:val="18"/>
          <w:lang w:val="it-IT"/>
        </w:rPr>
        <w:t>7, 10(1), 14, 16 ICCPR; CCPR/C/GC/35, para.</w:t>
      </w:r>
      <w:r w:rsidRPr="00C547E5">
        <w:rPr>
          <w:szCs w:val="18"/>
          <w:lang w:val="it-IT"/>
        </w:rPr>
        <w:t>56; CAT/C/GC/2,</w:t>
      </w:r>
      <w:r w:rsidR="00072F89" w:rsidRPr="00C547E5">
        <w:rPr>
          <w:szCs w:val="18"/>
          <w:lang w:val="it-IT"/>
        </w:rPr>
        <w:t xml:space="preserve"> </w:t>
      </w:r>
      <w:r w:rsidRPr="00C547E5">
        <w:rPr>
          <w:szCs w:val="18"/>
          <w:lang w:val="it-IT"/>
        </w:rPr>
        <w:t xml:space="preserve">para.13; CCPR/C/USA/CO/4, para.21; </w:t>
      </w:r>
      <w:r w:rsidRPr="00C547E5">
        <w:rPr>
          <w:bCs/>
          <w:szCs w:val="18"/>
          <w:lang w:val="it-IT"/>
        </w:rPr>
        <w:t>CAT/C/USA/CO/2, para.22.</w:t>
      </w:r>
    </w:p>
  </w:footnote>
  <w:footnote w:id="35">
    <w:p w14:paraId="53E078B3" w14:textId="3329E657" w:rsidR="00ED4D26" w:rsidRPr="00C547E5" w:rsidRDefault="00ED4D26" w:rsidP="000D2158">
      <w:pPr>
        <w:pStyle w:val="FootnoteText"/>
        <w:rPr>
          <w:szCs w:val="18"/>
          <w:lang w:val="it-IT"/>
        </w:rPr>
      </w:pPr>
      <w:r>
        <w:rPr>
          <w:i/>
          <w:szCs w:val="18"/>
          <w:lang w:val="it-IT"/>
        </w:rPr>
        <w:tab/>
      </w:r>
      <w:r w:rsidRPr="0038700A">
        <w:rPr>
          <w:rStyle w:val="FootnoteReference"/>
        </w:rPr>
        <w:footnoteRef/>
      </w:r>
      <w:r>
        <w:rPr>
          <w:i/>
          <w:szCs w:val="18"/>
          <w:lang w:val="it-IT"/>
        </w:rPr>
        <w:tab/>
      </w:r>
      <w:r w:rsidRPr="00C547E5">
        <w:rPr>
          <w:i/>
          <w:szCs w:val="18"/>
          <w:lang w:val="it-IT"/>
        </w:rPr>
        <w:t xml:space="preserve">El-Masri </w:t>
      </w:r>
      <w:r w:rsidRPr="00C547E5">
        <w:rPr>
          <w:i/>
          <w:szCs w:val="18"/>
          <w:lang w:val="it-IT"/>
        </w:rPr>
        <w:t>v Macedonia</w:t>
      </w:r>
      <w:r w:rsidRPr="00C547E5">
        <w:rPr>
          <w:szCs w:val="18"/>
          <w:lang w:val="it-IT"/>
        </w:rPr>
        <w:t>, App. No. 39630/09 (ECtHR [GC], 13 December 2012), para.240.</w:t>
      </w:r>
    </w:p>
  </w:footnote>
  <w:footnote w:id="36">
    <w:p w14:paraId="65834B29" w14:textId="172E7513" w:rsidR="00ED4D26" w:rsidRPr="00C547E5" w:rsidRDefault="00ED4D26" w:rsidP="000D2158">
      <w:pPr>
        <w:pStyle w:val="FootnoteText"/>
        <w:rPr>
          <w:szCs w:val="18"/>
          <w:lang w:val="it-IT"/>
        </w:rPr>
      </w:pPr>
      <w:r>
        <w:rPr>
          <w:bCs/>
          <w:szCs w:val="18"/>
          <w:lang w:val="it-IT"/>
        </w:rPr>
        <w:tab/>
      </w:r>
      <w:r w:rsidRPr="0038700A">
        <w:rPr>
          <w:rStyle w:val="FootnoteReference"/>
        </w:rPr>
        <w:footnoteRef/>
      </w:r>
      <w:r>
        <w:rPr>
          <w:bCs/>
          <w:szCs w:val="18"/>
          <w:lang w:val="it-IT"/>
        </w:rPr>
        <w:tab/>
      </w:r>
      <w:r w:rsidRPr="000D2158">
        <w:rPr>
          <w:bCs/>
          <w:szCs w:val="18"/>
          <w:lang w:val="it-IT"/>
        </w:rPr>
        <w:t>CAT/C/USA/CO/3-5</w:t>
      </w:r>
      <w:r w:rsidRPr="000D2158">
        <w:rPr>
          <w:szCs w:val="18"/>
          <w:lang w:val="it-IT"/>
        </w:rPr>
        <w:t>,</w:t>
      </w:r>
      <w:r w:rsidRPr="00C547E5">
        <w:rPr>
          <w:szCs w:val="18"/>
          <w:lang w:val="it-IT"/>
        </w:rPr>
        <w:t xml:space="preserve"> </w:t>
      </w:r>
      <w:r w:rsidRPr="00C547E5">
        <w:rPr>
          <w:szCs w:val="18"/>
          <w:lang w:val="it-IT"/>
        </w:rPr>
        <w:t>para</w:t>
      </w:r>
      <w:r>
        <w:rPr>
          <w:szCs w:val="18"/>
          <w:lang w:val="it-IT"/>
        </w:rPr>
        <w:t>.</w:t>
      </w:r>
      <w:r w:rsidR="00072F89">
        <w:rPr>
          <w:szCs w:val="18"/>
          <w:lang w:val="it-IT"/>
        </w:rPr>
        <w:t>11.</w:t>
      </w:r>
    </w:p>
  </w:footnote>
  <w:footnote w:id="37">
    <w:p w14:paraId="78E73F74" w14:textId="02C4D6E1" w:rsidR="00ED4D26" w:rsidRPr="00C547E5" w:rsidRDefault="00ED4D26" w:rsidP="00C547E5">
      <w:pPr>
        <w:pStyle w:val="FootnoteText"/>
        <w:rPr>
          <w:szCs w:val="18"/>
          <w:lang w:val="it-IT"/>
        </w:rPr>
      </w:pPr>
      <w:r>
        <w:rPr>
          <w:rFonts w:eastAsiaTheme="minorEastAsia"/>
          <w:szCs w:val="18"/>
          <w:lang w:val="it-IT"/>
        </w:rPr>
        <w:tab/>
      </w:r>
      <w:r w:rsidRPr="0038700A">
        <w:rPr>
          <w:rStyle w:val="FootnoteReference"/>
        </w:rPr>
        <w:footnoteRef/>
      </w:r>
      <w:r>
        <w:rPr>
          <w:rFonts w:eastAsiaTheme="minorEastAsia"/>
          <w:szCs w:val="18"/>
          <w:lang w:val="it-IT"/>
        </w:rPr>
        <w:tab/>
      </w:r>
      <w:r w:rsidRPr="00C547E5">
        <w:rPr>
          <w:rFonts w:eastAsiaTheme="minorEastAsia"/>
          <w:szCs w:val="18"/>
          <w:lang w:val="it-IT"/>
        </w:rPr>
        <w:t>CAT/C/AZE/CO/3</w:t>
      </w:r>
      <w:r>
        <w:rPr>
          <w:rFonts w:eastAsiaTheme="minorEastAsia"/>
          <w:szCs w:val="18"/>
          <w:lang w:val="it-IT"/>
        </w:rPr>
        <w:t>, para.22</w:t>
      </w:r>
      <w:r w:rsidR="00072F89">
        <w:rPr>
          <w:rFonts w:eastAsiaTheme="minorEastAsia"/>
          <w:szCs w:val="18"/>
          <w:lang w:val="it-IT"/>
        </w:rPr>
        <w:t>.</w:t>
      </w:r>
    </w:p>
  </w:footnote>
  <w:footnote w:id="38">
    <w:p w14:paraId="5A7A43FE" w14:textId="2772177D" w:rsidR="00ED4D26" w:rsidRPr="000D2158" w:rsidRDefault="00ED4D26" w:rsidP="000D2158">
      <w:pPr>
        <w:pStyle w:val="FootnoteText"/>
        <w:rPr>
          <w:szCs w:val="18"/>
          <w:lang w:val="it-IT" w:bidi="he-IL"/>
        </w:rPr>
      </w:pPr>
      <w:r>
        <w:rPr>
          <w:szCs w:val="18"/>
          <w:lang w:val="it-IT"/>
        </w:rPr>
        <w:tab/>
      </w:r>
      <w:r w:rsidRPr="0038700A">
        <w:rPr>
          <w:rStyle w:val="FootnoteReference"/>
        </w:rPr>
        <w:footnoteRef/>
      </w:r>
      <w:r>
        <w:rPr>
          <w:szCs w:val="18"/>
          <w:lang w:val="it-IT"/>
        </w:rPr>
        <w:tab/>
      </w:r>
      <w:r w:rsidRPr="00C547E5">
        <w:rPr>
          <w:szCs w:val="18"/>
          <w:lang w:val="it-IT"/>
        </w:rPr>
        <w:t>CAT/C/USA/CO/2, para.</w:t>
      </w:r>
      <w:r w:rsidRPr="000D2158">
        <w:rPr>
          <w:szCs w:val="18"/>
          <w:lang w:val="it-IT"/>
        </w:rPr>
        <w:t>20</w:t>
      </w:r>
      <w:r w:rsidRPr="000D2158">
        <w:rPr>
          <w:szCs w:val="18"/>
          <w:lang w:val="it-IT" w:bidi="he-IL"/>
        </w:rPr>
        <w:t>; CCPR/C/88/D/1416/2005, para.11.5.</w:t>
      </w:r>
    </w:p>
  </w:footnote>
  <w:footnote w:id="39">
    <w:p w14:paraId="1F8F550C" w14:textId="77777777" w:rsidR="00ED4D26" w:rsidRPr="000B7ED8" w:rsidRDefault="00ED4D26" w:rsidP="000D2158">
      <w:pPr>
        <w:pStyle w:val="FootnoteText"/>
        <w:rPr>
          <w:szCs w:val="18"/>
        </w:rPr>
      </w:pPr>
      <w:r w:rsidRPr="00A06D4E">
        <w:rPr>
          <w:szCs w:val="18"/>
          <w:lang w:val="es-ES"/>
        </w:rPr>
        <w:tab/>
      </w:r>
      <w:r w:rsidRPr="0038700A">
        <w:rPr>
          <w:rStyle w:val="FootnoteReference"/>
        </w:rPr>
        <w:footnoteRef/>
      </w:r>
      <w:r>
        <w:rPr>
          <w:szCs w:val="18"/>
        </w:rPr>
        <w:tab/>
      </w:r>
      <w:r>
        <w:rPr>
          <w:szCs w:val="18"/>
        </w:rPr>
        <w:tab/>
      </w:r>
      <w:r w:rsidRPr="000D2158">
        <w:rPr>
          <w:szCs w:val="18"/>
        </w:rPr>
        <w:t xml:space="preserve">Convention against Torture and </w:t>
      </w:r>
      <w:r w:rsidRPr="00C547E5">
        <w:rPr>
          <w:szCs w:val="18"/>
        </w:rPr>
        <w:t>Other Cruel, Inhuman or Degrading Treatment or Punishment (CAT), Article 3(1)</w:t>
      </w:r>
      <w:r>
        <w:rPr>
          <w:szCs w:val="18"/>
        </w:rPr>
        <w:t>; CCPR/C/21/Rev.1/Add.11, para.</w:t>
      </w:r>
      <w:r w:rsidRPr="000B7ED8">
        <w:rPr>
          <w:szCs w:val="18"/>
        </w:rPr>
        <w:t>12.</w:t>
      </w:r>
    </w:p>
  </w:footnote>
  <w:footnote w:id="40">
    <w:p w14:paraId="58BE64CE" w14:textId="77777777" w:rsidR="00ED4D26" w:rsidRPr="004F277A" w:rsidRDefault="00ED4D26" w:rsidP="000D2158">
      <w:pPr>
        <w:pStyle w:val="FootnoteText"/>
        <w:rPr>
          <w:szCs w:val="18"/>
          <w:lang w:val="es-ES"/>
        </w:rPr>
      </w:pPr>
      <w:r w:rsidRPr="000B7ED8">
        <w:rPr>
          <w:szCs w:val="18"/>
        </w:rPr>
        <w:tab/>
      </w:r>
      <w:r w:rsidRPr="0038700A">
        <w:rPr>
          <w:rStyle w:val="FootnoteReference"/>
        </w:rPr>
        <w:footnoteRef/>
      </w:r>
      <w:r w:rsidRPr="004F277A">
        <w:rPr>
          <w:szCs w:val="18"/>
          <w:lang w:val="es-ES"/>
        </w:rPr>
        <w:tab/>
        <w:t>CCPR/C/GC/36, paras.30-31.</w:t>
      </w:r>
    </w:p>
  </w:footnote>
  <w:footnote w:id="41">
    <w:p w14:paraId="1B2E1C90" w14:textId="77777777" w:rsidR="00ED4D26" w:rsidRPr="004F277A" w:rsidRDefault="00ED4D26" w:rsidP="000D2158">
      <w:pPr>
        <w:pStyle w:val="FootnoteText"/>
        <w:rPr>
          <w:szCs w:val="18"/>
          <w:lang w:val="es-ES"/>
        </w:rPr>
      </w:pPr>
      <w:r w:rsidRPr="004F277A">
        <w:rPr>
          <w:szCs w:val="18"/>
          <w:lang w:val="es-ES"/>
        </w:rPr>
        <w:tab/>
      </w:r>
      <w:r w:rsidRPr="0038700A">
        <w:rPr>
          <w:rStyle w:val="FootnoteReference"/>
        </w:rPr>
        <w:footnoteRef/>
      </w:r>
      <w:r w:rsidRPr="004F277A">
        <w:rPr>
          <w:szCs w:val="18"/>
          <w:lang w:val="es-ES"/>
        </w:rPr>
        <w:tab/>
        <w:t>CCPR/C/GC/35, para.57.</w:t>
      </w:r>
    </w:p>
  </w:footnote>
  <w:footnote w:id="42">
    <w:p w14:paraId="530A7F1A" w14:textId="467233FC" w:rsidR="00ED4D26" w:rsidRPr="00C547E5" w:rsidRDefault="00ED4D26" w:rsidP="000D2158">
      <w:pPr>
        <w:pStyle w:val="FootnoteText"/>
        <w:rPr>
          <w:szCs w:val="18"/>
          <w:lang w:val="it-IT"/>
        </w:rPr>
      </w:pPr>
      <w:r w:rsidRPr="004F277A">
        <w:rPr>
          <w:szCs w:val="18"/>
          <w:lang w:val="es-ES"/>
        </w:rPr>
        <w:tab/>
      </w:r>
      <w:r w:rsidRPr="0038700A">
        <w:rPr>
          <w:rStyle w:val="FootnoteReference"/>
        </w:rPr>
        <w:footnoteRef/>
      </w:r>
      <w:r w:rsidRPr="00A06D4E">
        <w:rPr>
          <w:szCs w:val="18"/>
          <w:lang w:val="es-ES"/>
        </w:rPr>
        <w:tab/>
      </w:r>
      <w:r w:rsidRPr="002206E9">
        <w:rPr>
          <w:color w:val="000000"/>
          <w:szCs w:val="18"/>
          <w:lang w:val="es-ES"/>
        </w:rPr>
        <w:t>CPR/C/21/Rev.1/</w:t>
      </w:r>
      <w:r>
        <w:rPr>
          <w:color w:val="000000"/>
          <w:szCs w:val="18"/>
          <w:lang w:val="es-ES"/>
        </w:rPr>
        <w:t>Add.1</w:t>
      </w:r>
      <w:r w:rsidRPr="002206E9">
        <w:rPr>
          <w:color w:val="000000"/>
          <w:szCs w:val="18"/>
          <w:lang w:val="es-ES"/>
        </w:rPr>
        <w:t>3</w:t>
      </w:r>
      <w:r>
        <w:rPr>
          <w:color w:val="000000"/>
          <w:szCs w:val="18"/>
          <w:lang w:val="es-ES"/>
        </w:rPr>
        <w:t xml:space="preserve"> </w:t>
      </w:r>
      <w:r w:rsidRPr="004F277A">
        <w:rPr>
          <w:szCs w:val="18"/>
          <w:lang w:val="es-ES"/>
        </w:rPr>
        <w:t>para.</w:t>
      </w:r>
      <w:r w:rsidRPr="00C547E5">
        <w:rPr>
          <w:szCs w:val="18"/>
          <w:lang w:val="it-IT"/>
        </w:rPr>
        <w:t>12</w:t>
      </w:r>
      <w:r>
        <w:rPr>
          <w:szCs w:val="18"/>
          <w:lang w:val="it-IT"/>
        </w:rPr>
        <w:t xml:space="preserve">; </w:t>
      </w:r>
      <w:r w:rsidRPr="004F277A">
        <w:rPr>
          <w:lang w:val="es-ES"/>
        </w:rPr>
        <w:t>CAT/C/GC/4, paras.9-17.</w:t>
      </w:r>
    </w:p>
  </w:footnote>
  <w:footnote w:id="43">
    <w:p w14:paraId="54BAEA87" w14:textId="77777777" w:rsidR="00ED4D26" w:rsidRPr="004F277A" w:rsidRDefault="00ED4D26" w:rsidP="00C547E5">
      <w:pPr>
        <w:pStyle w:val="FootnoteText"/>
        <w:rPr>
          <w:szCs w:val="18"/>
          <w:lang w:val="es-ES"/>
        </w:rPr>
      </w:pPr>
      <w:r>
        <w:rPr>
          <w:bCs/>
          <w:szCs w:val="18"/>
          <w:lang w:val="it-IT"/>
        </w:rPr>
        <w:tab/>
      </w:r>
      <w:r w:rsidRPr="0038700A">
        <w:rPr>
          <w:rStyle w:val="FootnoteReference"/>
        </w:rPr>
        <w:footnoteRef/>
      </w:r>
      <w:r>
        <w:rPr>
          <w:bCs/>
          <w:szCs w:val="18"/>
          <w:lang w:val="it-IT"/>
        </w:rPr>
        <w:tab/>
      </w:r>
      <w:r w:rsidRPr="00C547E5">
        <w:rPr>
          <w:bCs/>
          <w:szCs w:val="18"/>
          <w:lang w:val="it-IT"/>
        </w:rPr>
        <w:t>CAT/C/GC/4, para.</w:t>
      </w:r>
      <w:r w:rsidRPr="004F277A">
        <w:rPr>
          <w:bCs/>
          <w:szCs w:val="18"/>
          <w:lang w:val="es-ES"/>
        </w:rPr>
        <w:t>29.</w:t>
      </w:r>
    </w:p>
  </w:footnote>
  <w:footnote w:id="44">
    <w:p w14:paraId="21C40DF8" w14:textId="77777777" w:rsidR="00ED4D26" w:rsidRPr="00C547E5" w:rsidRDefault="00ED4D26" w:rsidP="005758EA">
      <w:pPr>
        <w:pStyle w:val="FootnoteText"/>
        <w:rPr>
          <w:szCs w:val="18"/>
          <w:lang w:val="it-IT"/>
        </w:rPr>
      </w:pPr>
      <w:r w:rsidRPr="004F277A">
        <w:rPr>
          <w:szCs w:val="18"/>
          <w:lang w:val="es-ES"/>
        </w:rPr>
        <w:tab/>
      </w:r>
      <w:r w:rsidRPr="0038700A">
        <w:rPr>
          <w:rStyle w:val="FootnoteReference"/>
        </w:rPr>
        <w:footnoteRef/>
      </w:r>
      <w:r w:rsidRPr="004F277A">
        <w:rPr>
          <w:szCs w:val="18"/>
          <w:lang w:val="es-ES"/>
        </w:rPr>
        <w:tab/>
        <w:t>CAT/C/USA/CO/2, para.</w:t>
      </w:r>
      <w:r w:rsidRPr="00C547E5">
        <w:rPr>
          <w:szCs w:val="18"/>
          <w:lang w:val="it-IT"/>
        </w:rPr>
        <w:t>20.</w:t>
      </w:r>
    </w:p>
  </w:footnote>
  <w:footnote w:id="45">
    <w:p w14:paraId="52A0880D" w14:textId="19A0C6A1" w:rsidR="00ED4D26" w:rsidRPr="004F277A" w:rsidRDefault="00ED4D26">
      <w:pPr>
        <w:pStyle w:val="FootnoteText"/>
        <w:rPr>
          <w:lang w:val="es-ES"/>
        </w:rPr>
      </w:pPr>
      <w:r w:rsidRPr="004F277A">
        <w:rPr>
          <w:lang w:val="es-ES"/>
        </w:rPr>
        <w:tab/>
      </w:r>
      <w:r>
        <w:rPr>
          <w:rStyle w:val="FootnoteReference"/>
        </w:rPr>
        <w:footnoteRef/>
      </w:r>
      <w:r w:rsidRPr="004F277A">
        <w:rPr>
          <w:lang w:val="es-ES"/>
        </w:rPr>
        <w:t xml:space="preserve"> </w:t>
      </w:r>
      <w:r w:rsidRPr="004F277A">
        <w:rPr>
          <w:lang w:val="es-ES"/>
        </w:rPr>
        <w:tab/>
      </w:r>
      <w:r w:rsidRPr="00C547E5">
        <w:rPr>
          <w:bCs/>
          <w:szCs w:val="18"/>
          <w:lang w:val="it-IT"/>
        </w:rPr>
        <w:t xml:space="preserve">CAT/C/GC/4, </w:t>
      </w:r>
      <w:r w:rsidRPr="00C547E5">
        <w:rPr>
          <w:bCs/>
          <w:szCs w:val="18"/>
          <w:lang w:val="it-IT"/>
        </w:rPr>
        <w:t>para.</w:t>
      </w:r>
      <w:r w:rsidRPr="004F277A">
        <w:rPr>
          <w:bCs/>
          <w:szCs w:val="18"/>
          <w:lang w:val="es-ES"/>
        </w:rPr>
        <w:t>20</w:t>
      </w:r>
      <w:r w:rsidR="00072F89">
        <w:rPr>
          <w:bCs/>
          <w:szCs w:val="18"/>
          <w:lang w:val="es-ES"/>
        </w:rPr>
        <w:t>.</w:t>
      </w:r>
    </w:p>
  </w:footnote>
  <w:footnote w:id="46">
    <w:p w14:paraId="79589D29" w14:textId="77777777" w:rsidR="00ED4D26" w:rsidRPr="00C547E5" w:rsidRDefault="00ED4D26" w:rsidP="005758EA">
      <w:pPr>
        <w:pStyle w:val="FootnoteText"/>
        <w:rPr>
          <w:szCs w:val="18"/>
          <w:lang w:val="it-IT"/>
        </w:rPr>
      </w:pPr>
      <w:r>
        <w:rPr>
          <w:bCs/>
          <w:szCs w:val="18"/>
          <w:lang w:val="it-IT"/>
        </w:rPr>
        <w:tab/>
      </w:r>
      <w:r w:rsidRPr="0038700A">
        <w:rPr>
          <w:rStyle w:val="FootnoteReference"/>
        </w:rPr>
        <w:footnoteRef/>
      </w:r>
      <w:r>
        <w:rPr>
          <w:bCs/>
          <w:szCs w:val="18"/>
          <w:lang w:val="it-IT"/>
        </w:rPr>
        <w:tab/>
      </w:r>
      <w:r w:rsidRPr="00C547E5">
        <w:rPr>
          <w:bCs/>
          <w:szCs w:val="18"/>
          <w:lang w:val="it-IT"/>
        </w:rPr>
        <w:t>Ibid.,para.</w:t>
      </w:r>
      <w:r>
        <w:rPr>
          <w:bCs/>
          <w:szCs w:val="18"/>
          <w:lang w:val="it-IT"/>
        </w:rPr>
        <w:t xml:space="preserve"> </w:t>
      </w:r>
      <w:r w:rsidRPr="00C547E5">
        <w:rPr>
          <w:bCs/>
          <w:szCs w:val="18"/>
          <w:lang w:val="it-IT"/>
        </w:rPr>
        <w:t>21.</w:t>
      </w:r>
    </w:p>
  </w:footnote>
  <w:footnote w:id="47">
    <w:p w14:paraId="1CAEF60A" w14:textId="3D555B97" w:rsidR="00ED4D26" w:rsidRPr="000B7ED8" w:rsidRDefault="00ED4D26" w:rsidP="005758EA">
      <w:pPr>
        <w:pStyle w:val="FootnoteText"/>
        <w:rPr>
          <w:lang w:val="it-IT"/>
        </w:rPr>
      </w:pPr>
      <w:r>
        <w:rPr>
          <w:lang w:val="it-IT"/>
        </w:rPr>
        <w:tab/>
      </w:r>
      <w:r w:rsidRPr="0038700A">
        <w:rPr>
          <w:rStyle w:val="FootnoteReference"/>
        </w:rPr>
        <w:footnoteRef/>
      </w:r>
      <w:r>
        <w:rPr>
          <w:lang w:val="it-IT"/>
        </w:rPr>
        <w:tab/>
      </w:r>
      <w:r>
        <w:rPr>
          <w:lang w:val="it-IT"/>
        </w:rPr>
        <w:t xml:space="preserve">Eg. </w:t>
      </w:r>
      <w:r w:rsidRPr="00C6795C">
        <w:rPr>
          <w:lang w:val="it-IT"/>
        </w:rPr>
        <w:t xml:space="preserve">CCPR/C/USA/CO/4, para.21; </w:t>
      </w:r>
      <w:r w:rsidRPr="00C6795C">
        <w:rPr>
          <w:bCs/>
          <w:lang w:val="it-IT"/>
        </w:rPr>
        <w:t>CAT/C/USA/CO/2, para.</w:t>
      </w:r>
      <w:r w:rsidRPr="000B7ED8">
        <w:rPr>
          <w:bCs/>
          <w:lang w:val="it-IT"/>
        </w:rPr>
        <w:t>22.</w:t>
      </w:r>
    </w:p>
  </w:footnote>
  <w:footnote w:id="48">
    <w:p w14:paraId="7F218E08" w14:textId="77777777" w:rsidR="00ED4D26" w:rsidRPr="00C547E5" w:rsidRDefault="00ED4D26" w:rsidP="005758EA">
      <w:pPr>
        <w:pStyle w:val="FootnoteText"/>
        <w:rPr>
          <w:szCs w:val="18"/>
        </w:rPr>
      </w:pPr>
      <w:r w:rsidRPr="000B7ED8">
        <w:rPr>
          <w:szCs w:val="18"/>
          <w:lang w:val="it-IT"/>
        </w:rPr>
        <w:tab/>
      </w:r>
      <w:r w:rsidRPr="0038700A">
        <w:rPr>
          <w:rStyle w:val="FootnoteReference"/>
        </w:rPr>
        <w:footnoteRef/>
      </w:r>
      <w:r>
        <w:rPr>
          <w:szCs w:val="18"/>
        </w:rPr>
        <w:tab/>
      </w:r>
      <w:r w:rsidRPr="00C547E5">
        <w:rPr>
          <w:szCs w:val="18"/>
        </w:rPr>
        <w:t>A/RES/60/147.</w:t>
      </w:r>
    </w:p>
  </w:footnote>
  <w:footnote w:id="49">
    <w:p w14:paraId="4552D625" w14:textId="5BFC1761" w:rsidR="00ED4D26" w:rsidRPr="00C547E5" w:rsidRDefault="00ED4D26" w:rsidP="005758EA">
      <w:pPr>
        <w:pStyle w:val="FootnoteText"/>
        <w:rPr>
          <w:szCs w:val="18"/>
        </w:rPr>
      </w:pPr>
      <w:r>
        <w:rPr>
          <w:i/>
          <w:iCs/>
          <w:szCs w:val="18"/>
        </w:rPr>
        <w:tab/>
      </w:r>
      <w:r w:rsidRPr="0038700A">
        <w:rPr>
          <w:rStyle w:val="FootnoteReference"/>
        </w:rPr>
        <w:footnoteRef/>
      </w:r>
      <w:r>
        <w:rPr>
          <w:i/>
          <w:iCs/>
          <w:szCs w:val="18"/>
        </w:rPr>
        <w:tab/>
      </w:r>
      <w:r w:rsidRPr="00C547E5">
        <w:rPr>
          <w:i/>
          <w:iCs/>
          <w:szCs w:val="18"/>
        </w:rPr>
        <w:t>El</w:t>
      </w:r>
      <w:r w:rsidRPr="00C547E5">
        <w:rPr>
          <w:szCs w:val="18"/>
        </w:rPr>
        <w:t>-</w:t>
      </w:r>
      <w:proofErr w:type="spellStart"/>
      <w:r w:rsidRPr="00C547E5">
        <w:rPr>
          <w:i/>
          <w:iCs/>
          <w:szCs w:val="18"/>
        </w:rPr>
        <w:t>Masri</w:t>
      </w:r>
      <w:proofErr w:type="spellEnd"/>
      <w:r w:rsidRPr="00C547E5">
        <w:rPr>
          <w:i/>
          <w:iCs/>
          <w:szCs w:val="18"/>
        </w:rPr>
        <w:t xml:space="preserve"> v</w:t>
      </w:r>
      <w:r w:rsidRPr="00C547E5">
        <w:rPr>
          <w:szCs w:val="18"/>
        </w:rPr>
        <w:t xml:space="preserve">. </w:t>
      </w:r>
      <w:r w:rsidRPr="00C547E5">
        <w:rPr>
          <w:i/>
          <w:iCs/>
          <w:szCs w:val="18"/>
        </w:rPr>
        <w:t>United States</w:t>
      </w:r>
      <w:r w:rsidRPr="00C547E5">
        <w:rPr>
          <w:szCs w:val="18"/>
        </w:rPr>
        <w:t xml:space="preserve">, 479 F.3d 296 (4th Cir. 2007), cert. denied, </w:t>
      </w:r>
      <w:r w:rsidRPr="00C547E5">
        <w:rPr>
          <w:iCs/>
          <w:szCs w:val="18"/>
        </w:rPr>
        <w:t>552 U.S. 947</w:t>
      </w:r>
      <w:r w:rsidRPr="00C547E5">
        <w:rPr>
          <w:szCs w:val="18"/>
        </w:rPr>
        <w:t xml:space="preserve"> (2007); </w:t>
      </w:r>
      <w:r w:rsidRPr="00C547E5">
        <w:rPr>
          <w:i/>
          <w:szCs w:val="18"/>
        </w:rPr>
        <w:t>El-</w:t>
      </w:r>
      <w:proofErr w:type="spellStart"/>
      <w:r w:rsidRPr="00C547E5">
        <w:rPr>
          <w:i/>
          <w:szCs w:val="18"/>
        </w:rPr>
        <w:t>Masri</w:t>
      </w:r>
      <w:proofErr w:type="spellEnd"/>
      <w:r w:rsidRPr="00C547E5">
        <w:rPr>
          <w:i/>
          <w:szCs w:val="18"/>
        </w:rPr>
        <w:t>, supra</w:t>
      </w:r>
      <w:r w:rsidRPr="00C547E5">
        <w:rPr>
          <w:szCs w:val="18"/>
        </w:rPr>
        <w:t xml:space="preserve"> note </w:t>
      </w:r>
      <w:r w:rsidRPr="00C547E5">
        <w:rPr>
          <w:szCs w:val="18"/>
        </w:rPr>
        <w:fldChar w:fldCharType="begin"/>
      </w:r>
      <w:r w:rsidRPr="00C547E5">
        <w:rPr>
          <w:szCs w:val="18"/>
        </w:rPr>
        <w:instrText xml:space="preserve"> NOTEREF _Ref440033049 \h </w:instrText>
      </w:r>
      <w:r>
        <w:rPr>
          <w:szCs w:val="18"/>
        </w:rPr>
        <w:instrText xml:space="preserve"> \* MERGEFORMAT </w:instrText>
      </w:r>
      <w:r w:rsidRPr="00C547E5">
        <w:rPr>
          <w:szCs w:val="18"/>
        </w:rPr>
      </w:r>
      <w:r w:rsidRPr="00C547E5">
        <w:rPr>
          <w:szCs w:val="18"/>
        </w:rPr>
        <w:fldChar w:fldCharType="separate"/>
      </w:r>
      <w:r>
        <w:rPr>
          <w:szCs w:val="18"/>
        </w:rPr>
        <w:t>33</w:t>
      </w:r>
      <w:r w:rsidRPr="00C547E5">
        <w:rPr>
          <w:szCs w:val="18"/>
        </w:rPr>
        <w:fldChar w:fldCharType="end"/>
      </w:r>
      <w:r w:rsidRPr="00C547E5">
        <w:rPr>
          <w:szCs w:val="18"/>
        </w:rPr>
        <w:t>, at para.191</w:t>
      </w:r>
      <w:r w:rsidR="00072F89">
        <w:rPr>
          <w:szCs w:val="18"/>
        </w:rPr>
        <w:t>.</w:t>
      </w:r>
    </w:p>
  </w:footnote>
  <w:footnote w:id="50">
    <w:p w14:paraId="15EE326B" w14:textId="1AD946FC" w:rsidR="00ED4D26" w:rsidRPr="00C50D86" w:rsidRDefault="00ED4D26" w:rsidP="005758EA">
      <w:pPr>
        <w:pStyle w:val="FootnoteText"/>
        <w:rPr>
          <w:szCs w:val="18"/>
        </w:rPr>
      </w:pPr>
      <w:r w:rsidRPr="0041744F">
        <w:rPr>
          <w:szCs w:val="18"/>
        </w:rPr>
        <w:tab/>
      </w:r>
      <w:r w:rsidRPr="0038700A">
        <w:rPr>
          <w:rStyle w:val="FootnoteReference"/>
        </w:rPr>
        <w:footnoteRef/>
      </w:r>
      <w:r w:rsidRPr="00B63DB8">
        <w:rPr>
          <w:szCs w:val="18"/>
          <w:lang w:val="fr-CA"/>
        </w:rPr>
        <w:tab/>
        <w:t xml:space="preserve">Articles 5,7, 12 CAT; A/RES/60/147, para.4. </w:t>
      </w:r>
      <w:r w:rsidRPr="002B7D16">
        <w:rPr>
          <w:szCs w:val="18"/>
        </w:rPr>
        <w:t>See also article 2 of ICCPR.</w:t>
      </w:r>
    </w:p>
  </w:footnote>
  <w:footnote w:id="51">
    <w:p w14:paraId="6E10F8B4" w14:textId="4B7C16CC" w:rsidR="00ED4D26" w:rsidRPr="00C547E5" w:rsidRDefault="00ED4D26" w:rsidP="005758EA">
      <w:pPr>
        <w:pStyle w:val="FootnoteText"/>
        <w:rPr>
          <w:szCs w:val="18"/>
          <w:lang w:val="it-IT"/>
        </w:rPr>
      </w:pPr>
      <w:r w:rsidRPr="00C50D86">
        <w:rPr>
          <w:szCs w:val="18"/>
        </w:rPr>
        <w:tab/>
      </w:r>
      <w:r w:rsidRPr="0038700A">
        <w:rPr>
          <w:rStyle w:val="FootnoteReference"/>
        </w:rPr>
        <w:footnoteRef/>
      </w:r>
      <w:r w:rsidRPr="00072F89">
        <w:rPr>
          <w:szCs w:val="18"/>
        </w:rPr>
        <w:tab/>
        <w:t xml:space="preserve">CAT/C/GBR/CO/5, para. </w:t>
      </w:r>
      <w:r w:rsidRPr="00C547E5">
        <w:rPr>
          <w:szCs w:val="18"/>
          <w:lang w:val="it-IT"/>
        </w:rPr>
        <w:t>15; CAT/C/USA/CO/3-5, para.12.</w:t>
      </w:r>
    </w:p>
  </w:footnote>
  <w:footnote w:id="52">
    <w:p w14:paraId="1C21F652" w14:textId="77777777" w:rsidR="00ED4D26" w:rsidRPr="00C547E5" w:rsidRDefault="00ED4D26" w:rsidP="005758EA">
      <w:pPr>
        <w:pStyle w:val="FootnoteText"/>
        <w:rPr>
          <w:szCs w:val="18"/>
          <w:lang w:val="it-IT"/>
        </w:rPr>
      </w:pPr>
      <w:r>
        <w:rPr>
          <w:szCs w:val="18"/>
          <w:lang w:val="it-IT"/>
        </w:rPr>
        <w:tab/>
      </w:r>
      <w:r w:rsidRPr="0038700A">
        <w:rPr>
          <w:rStyle w:val="FootnoteReference"/>
        </w:rPr>
        <w:footnoteRef/>
      </w:r>
      <w:r>
        <w:rPr>
          <w:szCs w:val="18"/>
          <w:lang w:val="it-IT"/>
        </w:rPr>
        <w:tab/>
      </w:r>
      <w:r>
        <w:rPr>
          <w:szCs w:val="18"/>
          <w:lang w:val="it-IT"/>
        </w:rPr>
        <w:tab/>
      </w:r>
      <w:r w:rsidRPr="00C547E5">
        <w:rPr>
          <w:szCs w:val="18"/>
          <w:lang w:val="it-IT"/>
        </w:rPr>
        <w:t xml:space="preserve">E.g., </w:t>
      </w:r>
      <w:r w:rsidRPr="00C547E5">
        <w:rPr>
          <w:i/>
          <w:szCs w:val="18"/>
          <w:lang w:val="it-IT"/>
        </w:rPr>
        <w:t>El-Masri, supra</w:t>
      </w:r>
      <w:r w:rsidRPr="00C547E5">
        <w:rPr>
          <w:szCs w:val="18"/>
          <w:lang w:val="it-IT"/>
        </w:rPr>
        <w:t xml:space="preserve"> note </w:t>
      </w:r>
      <w:r w:rsidRPr="004F277A">
        <w:rPr>
          <w:szCs w:val="18"/>
          <w:lang w:val="es-ES"/>
        </w:rPr>
        <w:t>47</w:t>
      </w:r>
      <w:r w:rsidRPr="00C547E5">
        <w:rPr>
          <w:szCs w:val="18"/>
          <w:lang w:val="it-IT"/>
        </w:rPr>
        <w:t>, paras.186-194.</w:t>
      </w:r>
    </w:p>
  </w:footnote>
  <w:footnote w:id="53">
    <w:p w14:paraId="5DF3750A" w14:textId="178F6BED" w:rsidR="00ED4D26" w:rsidRPr="00C547E5" w:rsidRDefault="00ED4D26" w:rsidP="005758EA">
      <w:pPr>
        <w:pStyle w:val="FootnoteText"/>
        <w:rPr>
          <w:szCs w:val="18"/>
          <w:lang w:val="it-IT"/>
        </w:rPr>
      </w:pPr>
      <w:r>
        <w:rPr>
          <w:szCs w:val="18"/>
          <w:lang w:val="it-IT"/>
        </w:rPr>
        <w:tab/>
      </w:r>
      <w:r w:rsidRPr="0038700A">
        <w:rPr>
          <w:rStyle w:val="FootnoteReference"/>
        </w:rPr>
        <w:footnoteRef/>
      </w:r>
      <w:r>
        <w:rPr>
          <w:szCs w:val="18"/>
          <w:lang w:val="it-IT"/>
        </w:rPr>
        <w:tab/>
      </w:r>
      <w:r>
        <w:rPr>
          <w:szCs w:val="18"/>
          <w:lang w:val="it-IT"/>
        </w:rPr>
        <w:tab/>
      </w:r>
      <w:r w:rsidRPr="00C547E5">
        <w:rPr>
          <w:szCs w:val="18"/>
          <w:lang w:val="it-IT"/>
        </w:rPr>
        <w:t xml:space="preserve">CCPR/C/USA/CO/4, </w:t>
      </w:r>
      <w:r w:rsidRPr="00C547E5">
        <w:rPr>
          <w:szCs w:val="18"/>
          <w:lang w:val="it-IT"/>
        </w:rPr>
        <w:t xml:space="preserve">para.5; </w:t>
      </w:r>
      <w:r w:rsidRPr="003E3C62">
        <w:rPr>
          <w:szCs w:val="18"/>
          <w:lang w:val="it-IT"/>
        </w:rPr>
        <w:t xml:space="preserve">Borelli, </w:t>
      </w:r>
      <w:r w:rsidRPr="003E3C62">
        <w:rPr>
          <w:i/>
          <w:szCs w:val="18"/>
          <w:lang w:val="it-IT"/>
        </w:rPr>
        <w:t xml:space="preserve">supra </w:t>
      </w:r>
      <w:r w:rsidRPr="003E3C62">
        <w:rPr>
          <w:szCs w:val="18"/>
          <w:lang w:val="it-IT"/>
        </w:rPr>
        <w:t xml:space="preserve">note </w:t>
      </w:r>
      <w:r w:rsidRPr="003E3C62">
        <w:rPr>
          <w:szCs w:val="18"/>
        </w:rPr>
        <w:fldChar w:fldCharType="begin"/>
      </w:r>
      <w:r w:rsidRPr="003E3C62">
        <w:rPr>
          <w:szCs w:val="18"/>
          <w:lang w:val="it-IT"/>
        </w:rPr>
        <w:instrText xml:space="preserve"> NOTEREF _Ref440019107 \h  \* MERGEFORMAT </w:instrText>
      </w:r>
      <w:r w:rsidRPr="003E3C62">
        <w:rPr>
          <w:szCs w:val="18"/>
        </w:rPr>
      </w:r>
      <w:r w:rsidRPr="003E3C62">
        <w:rPr>
          <w:szCs w:val="18"/>
        </w:rPr>
        <w:fldChar w:fldCharType="separate"/>
      </w:r>
      <w:r>
        <w:rPr>
          <w:szCs w:val="18"/>
          <w:lang w:val="it-IT"/>
        </w:rPr>
        <w:t>30</w:t>
      </w:r>
      <w:r w:rsidRPr="003E3C62">
        <w:rPr>
          <w:szCs w:val="18"/>
        </w:rPr>
        <w:fldChar w:fldCharType="end"/>
      </w:r>
      <w:r w:rsidRPr="003E3C62">
        <w:rPr>
          <w:szCs w:val="18"/>
          <w:lang w:val="it-IT"/>
        </w:rPr>
        <w:t>,  p.372.</w:t>
      </w:r>
    </w:p>
  </w:footnote>
  <w:footnote w:id="54">
    <w:p w14:paraId="5FDDE4E3" w14:textId="72003A3E" w:rsidR="00ED4D26" w:rsidRPr="00B63DB8" w:rsidRDefault="00ED4D26" w:rsidP="005758EA">
      <w:pPr>
        <w:pStyle w:val="FootnoteText"/>
        <w:rPr>
          <w:szCs w:val="18"/>
        </w:rPr>
      </w:pPr>
      <w:r w:rsidRPr="004F277A">
        <w:rPr>
          <w:szCs w:val="18"/>
          <w:lang w:val="es-ES"/>
        </w:rPr>
        <w:tab/>
      </w:r>
      <w:r w:rsidRPr="0038700A">
        <w:rPr>
          <w:rStyle w:val="FootnoteReference"/>
        </w:rPr>
        <w:footnoteRef/>
      </w:r>
      <w:r w:rsidRPr="00E85795">
        <w:rPr>
          <w:szCs w:val="18"/>
          <w:lang w:val="fr-CA"/>
        </w:rPr>
        <w:tab/>
        <w:t xml:space="preserve">ICCPR, Article 4. </w:t>
      </w:r>
      <w:r w:rsidRPr="00B63DB8">
        <w:rPr>
          <w:szCs w:val="18"/>
        </w:rPr>
        <w:t>CCPR/C/21/Rev.1/Add.11</w:t>
      </w:r>
      <w:r w:rsidR="00072F89" w:rsidRPr="00B63DB8">
        <w:rPr>
          <w:szCs w:val="18"/>
        </w:rPr>
        <w:t>.</w:t>
      </w:r>
    </w:p>
  </w:footnote>
  <w:footnote w:id="55">
    <w:p w14:paraId="5EA2B3A7" w14:textId="69A585F8" w:rsidR="00ED4D26" w:rsidRPr="004F277A" w:rsidRDefault="00ED4D26" w:rsidP="005758EA">
      <w:pPr>
        <w:pStyle w:val="FootnoteText"/>
        <w:rPr>
          <w:szCs w:val="18"/>
          <w:lang w:val="es-ES"/>
        </w:rPr>
      </w:pPr>
      <w:r w:rsidRPr="00B63DB8">
        <w:rPr>
          <w:szCs w:val="18"/>
        </w:rPr>
        <w:tab/>
      </w:r>
      <w:r w:rsidRPr="0038700A">
        <w:rPr>
          <w:rStyle w:val="FootnoteReference"/>
        </w:rPr>
        <w:footnoteRef/>
      </w:r>
      <w:r w:rsidRPr="004F277A">
        <w:rPr>
          <w:szCs w:val="18"/>
          <w:lang w:val="es-ES"/>
        </w:rPr>
        <w:tab/>
        <w:t>A/HRC/22/44 paras.51,75.</w:t>
      </w:r>
    </w:p>
  </w:footnote>
  <w:footnote w:id="56">
    <w:p w14:paraId="22D2E9AF" w14:textId="67AE02C1" w:rsidR="00ED4D26" w:rsidRPr="004F277A" w:rsidRDefault="00ED4D26" w:rsidP="005758EA">
      <w:pPr>
        <w:pStyle w:val="FootnoteText"/>
        <w:rPr>
          <w:szCs w:val="18"/>
          <w:lang w:val="es-ES"/>
        </w:rPr>
      </w:pPr>
      <w:r w:rsidRPr="004F277A">
        <w:rPr>
          <w:szCs w:val="18"/>
          <w:lang w:val="es-ES"/>
        </w:rPr>
        <w:tab/>
      </w:r>
      <w:r w:rsidRPr="0038700A">
        <w:rPr>
          <w:rStyle w:val="FootnoteReference"/>
        </w:rPr>
        <w:footnoteRef/>
      </w:r>
      <w:r w:rsidRPr="004F277A">
        <w:rPr>
          <w:szCs w:val="18"/>
          <w:lang w:val="es-ES"/>
        </w:rPr>
        <w:tab/>
      </w:r>
      <w:r w:rsidRPr="004F277A">
        <w:rPr>
          <w:szCs w:val="18"/>
          <w:lang w:val="es-ES"/>
        </w:rPr>
        <w:tab/>
        <w:t>CCPR/C/21/Rev.1/Add.11, para.16.</w:t>
      </w:r>
    </w:p>
  </w:footnote>
  <w:footnote w:id="57">
    <w:p w14:paraId="105B9427" w14:textId="35C3752E" w:rsidR="00ED4D26" w:rsidRPr="00C547E5" w:rsidRDefault="00ED4D26" w:rsidP="005758EA">
      <w:pPr>
        <w:pStyle w:val="FootnoteText"/>
        <w:rPr>
          <w:szCs w:val="18"/>
        </w:rPr>
      </w:pPr>
      <w:r w:rsidRPr="004F277A">
        <w:rPr>
          <w:i/>
          <w:szCs w:val="18"/>
          <w:lang w:val="es-ES"/>
        </w:rPr>
        <w:tab/>
      </w:r>
      <w:r w:rsidRPr="0038700A">
        <w:rPr>
          <w:rStyle w:val="FootnoteReference"/>
        </w:rPr>
        <w:footnoteRef/>
      </w:r>
      <w:r>
        <w:rPr>
          <w:i/>
          <w:szCs w:val="18"/>
        </w:rPr>
        <w:tab/>
      </w:r>
      <w:r>
        <w:rPr>
          <w:i/>
          <w:szCs w:val="18"/>
        </w:rPr>
        <w:tab/>
      </w:r>
      <w:r w:rsidRPr="00C547E5">
        <w:rPr>
          <w:i/>
          <w:szCs w:val="18"/>
        </w:rPr>
        <w:t>Legality of the Threat or Use of Nuclear Weapons, Advisory Opinion</w:t>
      </w:r>
      <w:r w:rsidRPr="00C547E5">
        <w:rPr>
          <w:szCs w:val="18"/>
        </w:rPr>
        <w:t xml:space="preserve">, I.C.J. Reports 1996, p.226; </w:t>
      </w:r>
      <w:r w:rsidRPr="00C547E5">
        <w:rPr>
          <w:i/>
          <w:szCs w:val="18"/>
        </w:rPr>
        <w:t>The Wall case</w:t>
      </w:r>
      <w:r w:rsidRPr="00C547E5">
        <w:rPr>
          <w:szCs w:val="18"/>
        </w:rPr>
        <w:t xml:space="preserve">, </w:t>
      </w:r>
      <w:r w:rsidRPr="00C547E5">
        <w:rPr>
          <w:i/>
          <w:szCs w:val="18"/>
        </w:rPr>
        <w:t xml:space="preserve">supra </w:t>
      </w:r>
      <w:r w:rsidRPr="00C547E5">
        <w:rPr>
          <w:szCs w:val="18"/>
        </w:rPr>
        <w:t>note</w:t>
      </w:r>
      <w:r>
        <w:rPr>
          <w:szCs w:val="18"/>
        </w:rPr>
        <w:t xml:space="preserve"> 7</w:t>
      </w:r>
      <w:r w:rsidRPr="00C547E5">
        <w:rPr>
          <w:szCs w:val="18"/>
        </w:rPr>
        <w:t xml:space="preserve">, p.136; </w:t>
      </w:r>
      <w:r w:rsidRPr="00C547E5">
        <w:rPr>
          <w:i/>
          <w:szCs w:val="18"/>
        </w:rPr>
        <w:t xml:space="preserve">Armed Activities case, supra </w:t>
      </w:r>
      <w:r w:rsidRPr="00C547E5">
        <w:rPr>
          <w:szCs w:val="18"/>
        </w:rPr>
        <w:t>note</w:t>
      </w:r>
      <w:r>
        <w:rPr>
          <w:szCs w:val="18"/>
        </w:rPr>
        <w:t xml:space="preserve"> 7</w:t>
      </w:r>
      <w:r w:rsidR="00072F89">
        <w:rPr>
          <w:szCs w:val="18"/>
        </w:rPr>
        <w:t>, p.168.</w:t>
      </w:r>
      <w:r w:rsidRPr="00C547E5">
        <w:rPr>
          <w:szCs w:val="18"/>
        </w:rPr>
        <w:t xml:space="preserve"> CCPR/C/21/Rev.1/Add.11, para. 3; CCPR/C/21/Rev.1/Add.13, para. 11; CCPR/C/GC/35, para.64.</w:t>
      </w:r>
    </w:p>
  </w:footnote>
  <w:footnote w:id="58">
    <w:p w14:paraId="244F4AC6" w14:textId="32CBACA0" w:rsidR="00ED4D26" w:rsidRPr="00C547E5" w:rsidRDefault="00ED4D26" w:rsidP="005758EA">
      <w:pPr>
        <w:pStyle w:val="FootnoteText"/>
        <w:rPr>
          <w:szCs w:val="18"/>
        </w:rPr>
      </w:pPr>
      <w:r>
        <w:rPr>
          <w:szCs w:val="18"/>
        </w:rPr>
        <w:tab/>
      </w:r>
      <w:r w:rsidRPr="0038700A">
        <w:rPr>
          <w:rStyle w:val="FootnoteReference"/>
        </w:rPr>
        <w:footnoteRef/>
      </w:r>
      <w:r>
        <w:rPr>
          <w:szCs w:val="18"/>
        </w:rPr>
        <w:tab/>
        <w:t>With regard to</w:t>
      </w:r>
      <w:r w:rsidRPr="00C547E5">
        <w:rPr>
          <w:szCs w:val="18"/>
        </w:rPr>
        <w:t xml:space="preserve"> detention in international armed conflicts are specified in the Geneva Conventions of 1949 (Geneva Conventions), First Additional Protocol of 1977 (Additional Protocol I) and customary international law. </w:t>
      </w:r>
      <w:r>
        <w:rPr>
          <w:szCs w:val="18"/>
        </w:rPr>
        <w:t>For</w:t>
      </w:r>
      <w:r w:rsidRPr="00C547E5">
        <w:rPr>
          <w:szCs w:val="18"/>
        </w:rPr>
        <w:t xml:space="preserve"> detention in non-international armed conflicts </w:t>
      </w:r>
      <w:r>
        <w:rPr>
          <w:szCs w:val="18"/>
        </w:rPr>
        <w:t>see</w:t>
      </w:r>
      <w:r w:rsidRPr="00C547E5">
        <w:rPr>
          <w:szCs w:val="18"/>
        </w:rPr>
        <w:t xml:space="preserve"> Common Article 3 of the Geneva Conventions, Second Additional Protocol of 1977 (Additional Protocol II), a</w:t>
      </w:r>
      <w:r w:rsidR="00072F89">
        <w:rPr>
          <w:szCs w:val="18"/>
        </w:rPr>
        <w:t>nd customary international law.</w:t>
      </w:r>
    </w:p>
  </w:footnote>
  <w:footnote w:id="59">
    <w:p w14:paraId="10F46706" w14:textId="77777777" w:rsidR="00ED4D26" w:rsidRPr="00C547E5" w:rsidRDefault="00ED4D26" w:rsidP="00F27CEB">
      <w:pPr>
        <w:pStyle w:val="FootnoteText"/>
        <w:rPr>
          <w:szCs w:val="18"/>
        </w:rPr>
      </w:pPr>
      <w:r>
        <w:rPr>
          <w:szCs w:val="18"/>
        </w:rPr>
        <w:tab/>
      </w:r>
      <w:r w:rsidRPr="0038700A">
        <w:rPr>
          <w:rStyle w:val="FootnoteReference"/>
        </w:rPr>
        <w:footnoteRef/>
      </w:r>
      <w:r>
        <w:rPr>
          <w:szCs w:val="18"/>
        </w:rPr>
        <w:tab/>
        <w:t xml:space="preserve">E.g. </w:t>
      </w:r>
      <w:r w:rsidRPr="00C547E5">
        <w:rPr>
          <w:szCs w:val="18"/>
        </w:rPr>
        <w:t>CCPR/C/USA/4, 22 May 2012, paras.506–509; Working Group on Arbitrary Detention, The Draft Basic Principles: Comments by the Government of Australia, 17 March 2015, paras.4–6.</w:t>
      </w:r>
    </w:p>
  </w:footnote>
  <w:footnote w:id="60">
    <w:p w14:paraId="0B210389" w14:textId="77777777" w:rsidR="00ED4D26" w:rsidRPr="00C547E5" w:rsidRDefault="00ED4D26" w:rsidP="00046197">
      <w:pPr>
        <w:pStyle w:val="FootnoteText"/>
        <w:rPr>
          <w:bCs/>
          <w:szCs w:val="18"/>
        </w:rPr>
      </w:pPr>
      <w:r>
        <w:rPr>
          <w:bCs/>
          <w:szCs w:val="18"/>
          <w:lang w:val="it-IT"/>
        </w:rPr>
        <w:tab/>
      </w:r>
      <w:r w:rsidRPr="0038700A">
        <w:rPr>
          <w:rStyle w:val="FootnoteReference"/>
        </w:rPr>
        <w:footnoteRef/>
      </w:r>
      <w:r>
        <w:rPr>
          <w:bCs/>
          <w:szCs w:val="18"/>
          <w:lang w:val="it-IT"/>
        </w:rPr>
        <w:tab/>
      </w:r>
      <w:r w:rsidRPr="00C547E5">
        <w:rPr>
          <w:bCs/>
          <w:szCs w:val="18"/>
          <w:lang w:val="it-IT"/>
        </w:rPr>
        <w:t>CRC/C/OPAC/USA/CO/2, para.</w:t>
      </w:r>
      <w:r w:rsidRPr="00C547E5">
        <w:rPr>
          <w:bCs/>
          <w:szCs w:val="18"/>
        </w:rPr>
        <w:t xml:space="preserve">37; </w:t>
      </w:r>
      <w:r w:rsidRPr="00C547E5">
        <w:rPr>
          <w:szCs w:val="18"/>
        </w:rPr>
        <w:t>ICRC, Strengthening Legal Protection for Persons Deprived of their Liberty in relation to Non-International Armed Conflict: Regional Consultations 2012-13, Background Paper, 2013, p.6-7.</w:t>
      </w:r>
    </w:p>
  </w:footnote>
  <w:footnote w:id="61">
    <w:p w14:paraId="0C9154A5" w14:textId="77777777" w:rsidR="00ED4D26" w:rsidRPr="004F277A" w:rsidRDefault="00ED4D26" w:rsidP="00046197">
      <w:pPr>
        <w:pStyle w:val="FootnoteText"/>
        <w:rPr>
          <w:szCs w:val="18"/>
          <w:lang w:val="es-ES"/>
        </w:rPr>
      </w:pPr>
      <w:r w:rsidRPr="000C5FB6">
        <w:rPr>
          <w:szCs w:val="18"/>
        </w:rPr>
        <w:tab/>
      </w:r>
      <w:r w:rsidRPr="0038700A">
        <w:rPr>
          <w:rStyle w:val="FootnoteReference"/>
        </w:rPr>
        <w:footnoteRef/>
      </w:r>
      <w:r>
        <w:rPr>
          <w:szCs w:val="18"/>
          <w:lang w:val="it-IT"/>
        </w:rPr>
        <w:tab/>
      </w:r>
      <w:r w:rsidRPr="00C547E5">
        <w:rPr>
          <w:szCs w:val="18"/>
          <w:lang w:val="it-IT"/>
        </w:rPr>
        <w:t>CAT/C/USA/CO/2, para</w:t>
      </w:r>
      <w:r>
        <w:rPr>
          <w:szCs w:val="18"/>
          <w:lang w:val="it-IT"/>
        </w:rPr>
        <w:t>.</w:t>
      </w:r>
      <w:r w:rsidRPr="004F277A">
        <w:rPr>
          <w:szCs w:val="18"/>
          <w:lang w:val="es-ES"/>
        </w:rPr>
        <w:t>16.</w:t>
      </w:r>
    </w:p>
  </w:footnote>
  <w:footnote w:id="62">
    <w:p w14:paraId="3E69086C" w14:textId="3989EF73" w:rsidR="00ED4D26" w:rsidRPr="00F27CEB" w:rsidRDefault="00ED4D26">
      <w:pPr>
        <w:pStyle w:val="FootnoteText"/>
        <w:rPr>
          <w:lang w:val="en-US"/>
        </w:rPr>
      </w:pPr>
      <w:r w:rsidRPr="004F277A">
        <w:rPr>
          <w:lang w:val="es-ES"/>
        </w:rPr>
        <w:tab/>
      </w:r>
      <w:r>
        <w:rPr>
          <w:rStyle w:val="FootnoteReference"/>
        </w:rPr>
        <w:footnoteRef/>
      </w:r>
      <w:r>
        <w:t xml:space="preserve"> </w:t>
      </w:r>
      <w:r>
        <w:tab/>
      </w:r>
      <w:r w:rsidRPr="00F27CEB">
        <w:rPr>
          <w:szCs w:val="18"/>
        </w:rPr>
        <w:t xml:space="preserve">See. </w:t>
      </w:r>
      <w:proofErr w:type="gramStart"/>
      <w:r w:rsidRPr="00F27CEB">
        <w:rPr>
          <w:szCs w:val="18"/>
        </w:rPr>
        <w:t>paras.20-23</w:t>
      </w:r>
      <w:proofErr w:type="gramEnd"/>
      <w:r w:rsidR="00072F89">
        <w:rPr>
          <w:szCs w:val="18"/>
        </w:rPr>
        <w:t>.</w:t>
      </w:r>
    </w:p>
  </w:footnote>
  <w:footnote w:id="63">
    <w:p w14:paraId="5E74DFD7" w14:textId="096327A0" w:rsidR="00ED4D26" w:rsidRPr="00C547E5" w:rsidRDefault="00ED4D26" w:rsidP="00046197">
      <w:pPr>
        <w:pStyle w:val="FootnoteText"/>
        <w:rPr>
          <w:szCs w:val="18"/>
        </w:rPr>
      </w:pPr>
      <w:r>
        <w:rPr>
          <w:szCs w:val="18"/>
        </w:rPr>
        <w:tab/>
      </w:r>
      <w:r w:rsidRPr="0038700A">
        <w:rPr>
          <w:rStyle w:val="FootnoteReference"/>
        </w:rPr>
        <w:footnoteRef/>
      </w:r>
      <w:r>
        <w:rPr>
          <w:szCs w:val="18"/>
        </w:rPr>
        <w:tab/>
      </w:r>
      <w:r w:rsidRPr="00C547E5">
        <w:rPr>
          <w:szCs w:val="18"/>
        </w:rPr>
        <w:t>Such non-criminal detention for security reasons is sometimes also referred to as ‘administrative’ or ‘security detention’.</w:t>
      </w:r>
    </w:p>
  </w:footnote>
  <w:footnote w:id="64">
    <w:p w14:paraId="44BC1552" w14:textId="747D451D" w:rsidR="00ED4D26" w:rsidRPr="00C547E5" w:rsidRDefault="00ED4D26" w:rsidP="00046197">
      <w:pPr>
        <w:pStyle w:val="FootnoteText"/>
        <w:rPr>
          <w:szCs w:val="18"/>
        </w:rPr>
      </w:pPr>
      <w:r>
        <w:rPr>
          <w:szCs w:val="18"/>
        </w:rPr>
        <w:tab/>
      </w:r>
      <w:r w:rsidRPr="0038700A">
        <w:rPr>
          <w:rStyle w:val="FootnoteReference"/>
        </w:rPr>
        <w:footnoteRef/>
      </w:r>
      <w:r>
        <w:rPr>
          <w:szCs w:val="18"/>
        </w:rPr>
        <w:tab/>
      </w:r>
      <w:r w:rsidRPr="00C547E5">
        <w:rPr>
          <w:szCs w:val="18"/>
        </w:rPr>
        <w:t>Third Geneva Convention, Article 4.</w:t>
      </w:r>
    </w:p>
  </w:footnote>
  <w:footnote w:id="65">
    <w:p w14:paraId="7E8AB8F0" w14:textId="05270B75" w:rsidR="00ED4D26" w:rsidRPr="00C547E5" w:rsidRDefault="00ED4D26" w:rsidP="00046197">
      <w:pPr>
        <w:pStyle w:val="FootnoteText"/>
        <w:rPr>
          <w:szCs w:val="18"/>
        </w:rPr>
      </w:pPr>
      <w:r>
        <w:rPr>
          <w:szCs w:val="18"/>
        </w:rPr>
        <w:tab/>
      </w:r>
      <w:r w:rsidRPr="0038700A">
        <w:rPr>
          <w:rStyle w:val="FootnoteReference"/>
        </w:rPr>
        <w:footnoteRef/>
      </w:r>
      <w:r>
        <w:rPr>
          <w:szCs w:val="18"/>
        </w:rPr>
        <w:tab/>
      </w:r>
      <w:r w:rsidRPr="00C547E5">
        <w:rPr>
          <w:szCs w:val="18"/>
        </w:rPr>
        <w:t>See para 2</w:t>
      </w:r>
      <w:r>
        <w:rPr>
          <w:szCs w:val="18"/>
        </w:rPr>
        <w:t>8</w:t>
      </w:r>
      <w:r w:rsidRPr="00C547E5">
        <w:rPr>
          <w:szCs w:val="18"/>
        </w:rPr>
        <w:t xml:space="preserve"> below.</w:t>
      </w:r>
    </w:p>
  </w:footnote>
  <w:footnote w:id="66">
    <w:p w14:paraId="2AE5BA56" w14:textId="70B6EF81" w:rsidR="00ED4D26" w:rsidRDefault="00ED4D26">
      <w:pPr>
        <w:pStyle w:val="FootnoteText"/>
      </w:pPr>
      <w:r>
        <w:rPr>
          <w:lang w:val="it-IT"/>
        </w:rPr>
        <w:tab/>
      </w:r>
      <w:r>
        <w:rPr>
          <w:rStyle w:val="FootnoteReference"/>
        </w:rPr>
        <w:footnoteRef/>
      </w:r>
      <w:r>
        <w:rPr>
          <w:lang w:val="it-IT"/>
        </w:rPr>
        <w:tab/>
      </w:r>
      <w:r>
        <w:t>CCPR/C/GC/35, para.64</w:t>
      </w:r>
      <w:r w:rsidR="00072F89">
        <w:t>.</w:t>
      </w:r>
    </w:p>
  </w:footnote>
  <w:footnote w:id="67">
    <w:p w14:paraId="4A2A457D" w14:textId="732C3654" w:rsidR="00ED4D26" w:rsidRPr="00C547E5" w:rsidRDefault="00ED4D26" w:rsidP="00D276E5">
      <w:pPr>
        <w:pStyle w:val="FootnoteText"/>
        <w:rPr>
          <w:szCs w:val="18"/>
        </w:rPr>
      </w:pPr>
      <w:r>
        <w:rPr>
          <w:szCs w:val="18"/>
        </w:rPr>
        <w:tab/>
      </w:r>
      <w:r w:rsidRPr="0038700A">
        <w:rPr>
          <w:rStyle w:val="FootnoteReference"/>
        </w:rPr>
        <w:footnoteRef/>
      </w:r>
      <w:r>
        <w:rPr>
          <w:szCs w:val="18"/>
        </w:rPr>
        <w:tab/>
      </w:r>
      <w:r w:rsidRPr="00C547E5">
        <w:rPr>
          <w:szCs w:val="18"/>
        </w:rPr>
        <w:t>Third Geneva Convention, Article 21(1).</w:t>
      </w:r>
    </w:p>
  </w:footnote>
  <w:footnote w:id="68">
    <w:p w14:paraId="61AE87F7" w14:textId="7575831F" w:rsidR="00ED4D26" w:rsidRPr="00A42B64" w:rsidRDefault="00ED4D26">
      <w:pPr>
        <w:pStyle w:val="FootnoteText"/>
      </w:pPr>
      <w:r>
        <w:tab/>
      </w:r>
      <w:r>
        <w:rPr>
          <w:rStyle w:val="FootnoteReference"/>
        </w:rPr>
        <w:footnoteRef/>
      </w:r>
      <w:r>
        <w:t xml:space="preserve"> </w:t>
      </w:r>
      <w:r>
        <w:tab/>
      </w:r>
      <w:r w:rsidRPr="00C547E5">
        <w:rPr>
          <w:szCs w:val="18"/>
        </w:rPr>
        <w:t xml:space="preserve">Fourth Geneva Convention, Articles </w:t>
      </w:r>
      <w:r>
        <w:rPr>
          <w:szCs w:val="18"/>
        </w:rPr>
        <w:t>64</w:t>
      </w:r>
      <w:proofErr w:type="gramStart"/>
      <w:r>
        <w:rPr>
          <w:szCs w:val="18"/>
        </w:rPr>
        <w:t>,68</w:t>
      </w:r>
      <w:proofErr w:type="gramEnd"/>
      <w:r>
        <w:rPr>
          <w:szCs w:val="18"/>
        </w:rPr>
        <w:t>.</w:t>
      </w:r>
    </w:p>
  </w:footnote>
  <w:footnote w:id="69">
    <w:p w14:paraId="52B8BADB" w14:textId="73311063" w:rsidR="00ED4D26" w:rsidRPr="00C547E5" w:rsidRDefault="00ED4D26" w:rsidP="00377C6E">
      <w:pPr>
        <w:pStyle w:val="FootnoteText"/>
        <w:rPr>
          <w:szCs w:val="18"/>
        </w:rPr>
      </w:pPr>
      <w:r>
        <w:rPr>
          <w:szCs w:val="18"/>
        </w:rPr>
        <w:tab/>
      </w:r>
      <w:r w:rsidRPr="0038700A">
        <w:rPr>
          <w:rStyle w:val="FootnoteReference"/>
        </w:rPr>
        <w:footnoteRef/>
      </w:r>
      <w:r>
        <w:rPr>
          <w:szCs w:val="18"/>
        </w:rPr>
        <w:tab/>
      </w:r>
      <w:r w:rsidRPr="00C547E5">
        <w:rPr>
          <w:szCs w:val="18"/>
        </w:rPr>
        <w:t>Protected persons are those protected by The Fourth Geneva Convention as defied in Article 4 thereto.</w:t>
      </w:r>
    </w:p>
  </w:footnote>
  <w:footnote w:id="70">
    <w:p w14:paraId="13E5335C" w14:textId="0212D640" w:rsidR="00ED4D26" w:rsidRPr="00C547E5" w:rsidRDefault="00ED4D26" w:rsidP="00D276E5">
      <w:pPr>
        <w:pStyle w:val="FootnoteText"/>
        <w:rPr>
          <w:szCs w:val="18"/>
        </w:rPr>
      </w:pPr>
      <w:r>
        <w:rPr>
          <w:szCs w:val="18"/>
        </w:rPr>
        <w:tab/>
      </w:r>
      <w:r w:rsidRPr="0038700A">
        <w:rPr>
          <w:rStyle w:val="FootnoteReference"/>
        </w:rPr>
        <w:footnoteRef/>
      </w:r>
      <w:r>
        <w:rPr>
          <w:szCs w:val="18"/>
        </w:rPr>
        <w:tab/>
      </w:r>
      <w:r w:rsidRPr="00C547E5">
        <w:rPr>
          <w:szCs w:val="18"/>
        </w:rPr>
        <w:t>Fourth Gen</w:t>
      </w:r>
      <w:r>
        <w:rPr>
          <w:szCs w:val="18"/>
        </w:rPr>
        <w:t>eva Convention, Articles 76(1)</w:t>
      </w:r>
      <w:proofErr w:type="gramStart"/>
      <w:r>
        <w:rPr>
          <w:szCs w:val="18"/>
        </w:rPr>
        <w:t>,</w:t>
      </w:r>
      <w:r w:rsidRPr="00C547E5">
        <w:rPr>
          <w:szCs w:val="18"/>
        </w:rPr>
        <w:t>78</w:t>
      </w:r>
      <w:proofErr w:type="gramEnd"/>
      <w:r w:rsidRPr="00C547E5">
        <w:rPr>
          <w:szCs w:val="18"/>
        </w:rPr>
        <w:t>(1).</w:t>
      </w:r>
    </w:p>
  </w:footnote>
  <w:footnote w:id="71">
    <w:p w14:paraId="5AF0150E" w14:textId="5FA81543" w:rsidR="00ED4D26" w:rsidRPr="00C547E5" w:rsidRDefault="00ED4D26" w:rsidP="00D276E5">
      <w:pPr>
        <w:pStyle w:val="FootnoteText"/>
        <w:rPr>
          <w:szCs w:val="18"/>
        </w:rPr>
      </w:pPr>
      <w:r>
        <w:rPr>
          <w:szCs w:val="18"/>
        </w:rPr>
        <w:tab/>
      </w:r>
      <w:r w:rsidRPr="0038700A">
        <w:rPr>
          <w:rStyle w:val="FootnoteReference"/>
        </w:rPr>
        <w:footnoteRef/>
      </w:r>
      <w:r>
        <w:rPr>
          <w:szCs w:val="18"/>
        </w:rPr>
        <w:tab/>
      </w:r>
      <w:r w:rsidRPr="00C547E5">
        <w:rPr>
          <w:szCs w:val="18"/>
        </w:rPr>
        <w:t>ICRC, Commentary on the First Geneva Convention, 2016, para.720.</w:t>
      </w:r>
    </w:p>
  </w:footnote>
  <w:footnote w:id="72">
    <w:p w14:paraId="4764A29C" w14:textId="77777777" w:rsidR="00ED4D26" w:rsidRPr="00C547E5" w:rsidRDefault="00ED4D26" w:rsidP="00D276E5">
      <w:pPr>
        <w:pStyle w:val="FootnoteText"/>
        <w:rPr>
          <w:szCs w:val="18"/>
        </w:rPr>
      </w:pPr>
      <w:r>
        <w:rPr>
          <w:szCs w:val="18"/>
        </w:rPr>
        <w:tab/>
      </w:r>
      <w:r w:rsidRPr="0038700A">
        <w:rPr>
          <w:rStyle w:val="FootnoteReference"/>
        </w:rPr>
        <w:footnoteRef/>
      </w:r>
      <w:r>
        <w:rPr>
          <w:szCs w:val="18"/>
        </w:rPr>
        <w:tab/>
      </w:r>
      <w:r>
        <w:rPr>
          <w:szCs w:val="18"/>
        </w:rPr>
        <w:tab/>
      </w:r>
      <w:proofErr w:type="spellStart"/>
      <w:r w:rsidRPr="00C547E5">
        <w:rPr>
          <w:szCs w:val="18"/>
        </w:rPr>
        <w:t>Serdar</w:t>
      </w:r>
      <w:proofErr w:type="spellEnd"/>
      <w:r w:rsidRPr="00C547E5">
        <w:rPr>
          <w:szCs w:val="18"/>
        </w:rPr>
        <w:t xml:space="preserve"> Mohammed v. Secretary of State for Defence</w:t>
      </w:r>
      <w:r w:rsidRPr="00C547E5">
        <w:rPr>
          <w:i/>
          <w:szCs w:val="18"/>
        </w:rPr>
        <w:t xml:space="preserve"> </w:t>
      </w:r>
      <w:r w:rsidRPr="00C547E5">
        <w:rPr>
          <w:bCs/>
          <w:szCs w:val="18"/>
        </w:rPr>
        <w:t>[2015] EWCA</w:t>
      </w:r>
      <w:r w:rsidRPr="00C547E5">
        <w:rPr>
          <w:b/>
          <w:bCs/>
          <w:szCs w:val="18"/>
        </w:rPr>
        <w:t xml:space="preserve"> </w:t>
      </w:r>
      <w:r w:rsidRPr="00C547E5">
        <w:rPr>
          <w:szCs w:val="18"/>
        </w:rPr>
        <w:t>(</w:t>
      </w:r>
      <w:proofErr w:type="spellStart"/>
      <w:r w:rsidRPr="00C547E5">
        <w:rPr>
          <w:szCs w:val="18"/>
        </w:rPr>
        <w:t>Civ</w:t>
      </w:r>
      <w:proofErr w:type="spellEnd"/>
      <w:r w:rsidRPr="00C547E5">
        <w:rPr>
          <w:szCs w:val="18"/>
        </w:rPr>
        <w:t>) 843. See also, Al-</w:t>
      </w:r>
      <w:proofErr w:type="spellStart"/>
      <w:r w:rsidRPr="00C547E5">
        <w:rPr>
          <w:szCs w:val="18"/>
        </w:rPr>
        <w:t>Waheed</w:t>
      </w:r>
      <w:proofErr w:type="spellEnd"/>
      <w:r w:rsidRPr="00C547E5">
        <w:rPr>
          <w:szCs w:val="18"/>
        </w:rPr>
        <w:t xml:space="preserve"> v. Ministry of Defence [2017] UKSC 2.</w:t>
      </w:r>
    </w:p>
  </w:footnote>
  <w:footnote w:id="73">
    <w:p w14:paraId="7ABF236B" w14:textId="77777777" w:rsidR="00ED4D26" w:rsidRPr="00304D88" w:rsidRDefault="00ED4D26" w:rsidP="00D276E5">
      <w:pPr>
        <w:pStyle w:val="FootnoteText"/>
        <w:rPr>
          <w:szCs w:val="18"/>
        </w:rPr>
      </w:pPr>
      <w:r w:rsidRPr="00E85795">
        <w:rPr>
          <w:szCs w:val="18"/>
        </w:rPr>
        <w:tab/>
      </w:r>
      <w:r w:rsidRPr="0038700A">
        <w:rPr>
          <w:rStyle w:val="FootnoteReference"/>
        </w:rPr>
        <w:footnoteRef/>
      </w:r>
      <w:r w:rsidRPr="00304D88">
        <w:rPr>
          <w:szCs w:val="18"/>
        </w:rPr>
        <w:tab/>
        <w:t>ICCPR, Article 9; CCPR/C/GC/35, para.11.</w:t>
      </w:r>
    </w:p>
  </w:footnote>
  <w:footnote w:id="74">
    <w:p w14:paraId="11BEBD87" w14:textId="4F4FF046" w:rsidR="00ED4D26" w:rsidRPr="00C547E5" w:rsidRDefault="00ED4D26" w:rsidP="00D276E5">
      <w:pPr>
        <w:pStyle w:val="FootnoteText"/>
        <w:rPr>
          <w:szCs w:val="18"/>
        </w:rPr>
      </w:pPr>
      <w:r w:rsidRPr="00304D88">
        <w:rPr>
          <w:szCs w:val="18"/>
        </w:rPr>
        <w:tab/>
      </w:r>
      <w:r w:rsidRPr="0038700A">
        <w:rPr>
          <w:rStyle w:val="FootnoteReference"/>
        </w:rPr>
        <w:footnoteRef/>
      </w:r>
      <w:r>
        <w:rPr>
          <w:szCs w:val="18"/>
        </w:rPr>
        <w:tab/>
      </w:r>
      <w:r w:rsidRPr="00C547E5">
        <w:rPr>
          <w:szCs w:val="18"/>
        </w:rPr>
        <w:t xml:space="preserve">The Third Geneva </w:t>
      </w:r>
      <w:r>
        <w:rPr>
          <w:szCs w:val="18"/>
        </w:rPr>
        <w:t>Convention 1949, Articles 5(2),21(1),</w:t>
      </w:r>
      <w:r w:rsidRPr="00C547E5">
        <w:rPr>
          <w:szCs w:val="18"/>
        </w:rPr>
        <w:t>118; The Fourth Geneva Conve</w:t>
      </w:r>
      <w:r>
        <w:rPr>
          <w:szCs w:val="18"/>
        </w:rPr>
        <w:t>ntion of 1949, Articles 42,43,78,132(1),</w:t>
      </w:r>
      <w:r w:rsidRPr="00C547E5">
        <w:rPr>
          <w:szCs w:val="18"/>
        </w:rPr>
        <w:t>133(1); First Additional Protocol, Article 75(3).</w:t>
      </w:r>
    </w:p>
  </w:footnote>
  <w:footnote w:id="75">
    <w:p w14:paraId="5D79AF0B" w14:textId="62479708" w:rsidR="00ED4D26" w:rsidRPr="00C547E5" w:rsidRDefault="00ED4D26" w:rsidP="00D276E5">
      <w:pPr>
        <w:pStyle w:val="FootnoteText"/>
        <w:rPr>
          <w:szCs w:val="18"/>
        </w:rPr>
      </w:pPr>
      <w:r>
        <w:rPr>
          <w:szCs w:val="18"/>
        </w:rPr>
        <w:tab/>
      </w:r>
      <w:r w:rsidRPr="0038700A">
        <w:rPr>
          <w:rStyle w:val="FootnoteReference"/>
        </w:rPr>
        <w:footnoteRef/>
      </w:r>
      <w:r>
        <w:rPr>
          <w:szCs w:val="18"/>
        </w:rPr>
        <w:tab/>
      </w:r>
      <w:r w:rsidRPr="00C547E5">
        <w:rPr>
          <w:szCs w:val="18"/>
        </w:rPr>
        <w:t xml:space="preserve">ICRC, </w:t>
      </w:r>
      <w:r w:rsidRPr="00C547E5">
        <w:rPr>
          <w:i/>
          <w:szCs w:val="18"/>
        </w:rPr>
        <w:t>Internment in Armed Conflict: Basic Rules and Challenges</w:t>
      </w:r>
      <w:r w:rsidRPr="00C547E5">
        <w:rPr>
          <w:szCs w:val="18"/>
        </w:rPr>
        <w:t>, Opinion Paper (2014), pp.6-8.</w:t>
      </w:r>
    </w:p>
  </w:footnote>
  <w:footnote w:id="76">
    <w:p w14:paraId="203D3262" w14:textId="628830A9" w:rsidR="00ED4D26" w:rsidRPr="00C547E5" w:rsidRDefault="00ED4D26" w:rsidP="00F65796">
      <w:pPr>
        <w:pStyle w:val="FootnoteText"/>
        <w:rPr>
          <w:bCs/>
          <w:szCs w:val="18"/>
        </w:rPr>
      </w:pPr>
      <w:r>
        <w:rPr>
          <w:szCs w:val="18"/>
          <w:lang w:val="it-IT"/>
        </w:rPr>
        <w:tab/>
      </w:r>
      <w:r w:rsidRPr="0038700A">
        <w:rPr>
          <w:rStyle w:val="FootnoteReference"/>
        </w:rPr>
        <w:footnoteRef/>
      </w:r>
      <w:r>
        <w:rPr>
          <w:szCs w:val="18"/>
          <w:lang w:val="it-IT"/>
        </w:rPr>
        <w:tab/>
      </w:r>
      <w:r>
        <w:rPr>
          <w:bCs/>
          <w:szCs w:val="18"/>
          <w:lang w:val="it-IT"/>
        </w:rPr>
        <w:t>CAT/C/USA/CO/3-5, para.</w:t>
      </w:r>
      <w:r w:rsidRPr="00C547E5">
        <w:rPr>
          <w:bCs/>
          <w:szCs w:val="18"/>
        </w:rPr>
        <w:t xml:space="preserve">14; MINSUMA, “Human Rights and the Peace Process in Mali (January 2016 –June 2017)”, 2018, para. 103; </w:t>
      </w:r>
      <w:r w:rsidRPr="00C547E5">
        <w:rPr>
          <w:szCs w:val="18"/>
        </w:rPr>
        <w:t xml:space="preserve">ICRC, </w:t>
      </w:r>
      <w:r w:rsidRPr="00C547E5">
        <w:rPr>
          <w:i/>
          <w:szCs w:val="18"/>
        </w:rPr>
        <w:t xml:space="preserve">supra </w:t>
      </w:r>
      <w:r w:rsidRPr="00C547E5">
        <w:rPr>
          <w:szCs w:val="18"/>
        </w:rPr>
        <w:t xml:space="preserve">note </w:t>
      </w:r>
      <w:r w:rsidRPr="00C547E5">
        <w:rPr>
          <w:szCs w:val="18"/>
        </w:rPr>
        <w:fldChar w:fldCharType="begin"/>
      </w:r>
      <w:r w:rsidRPr="00C547E5">
        <w:rPr>
          <w:szCs w:val="18"/>
        </w:rPr>
        <w:instrText xml:space="preserve"> NOTEREF _Ref441309129 \h </w:instrText>
      </w:r>
      <w:r>
        <w:rPr>
          <w:szCs w:val="18"/>
        </w:rPr>
        <w:instrText xml:space="preserve"> \* MERGEFORMAT </w:instrText>
      </w:r>
      <w:r w:rsidRPr="00C547E5">
        <w:rPr>
          <w:szCs w:val="18"/>
        </w:rPr>
      </w:r>
      <w:r w:rsidRPr="00C547E5">
        <w:rPr>
          <w:szCs w:val="18"/>
        </w:rPr>
        <w:fldChar w:fldCharType="separate"/>
      </w:r>
      <w:r>
        <w:rPr>
          <w:szCs w:val="18"/>
        </w:rPr>
        <w:t>58</w:t>
      </w:r>
      <w:r w:rsidRPr="00C547E5">
        <w:rPr>
          <w:szCs w:val="18"/>
        </w:rPr>
        <w:fldChar w:fldCharType="end"/>
      </w:r>
      <w:r w:rsidRPr="00C547E5">
        <w:rPr>
          <w:szCs w:val="18"/>
        </w:rPr>
        <w:t>, p.</w:t>
      </w:r>
      <w:r>
        <w:rPr>
          <w:szCs w:val="18"/>
        </w:rPr>
        <w:t>1</w:t>
      </w:r>
      <w:r w:rsidRPr="00C547E5">
        <w:rPr>
          <w:szCs w:val="18"/>
        </w:rPr>
        <w:t>0.</w:t>
      </w:r>
    </w:p>
  </w:footnote>
  <w:footnote w:id="77">
    <w:p w14:paraId="5D0BC495" w14:textId="6B220978" w:rsidR="00ED4D26" w:rsidRPr="00C547E5" w:rsidRDefault="00ED4D26" w:rsidP="009E575D">
      <w:pPr>
        <w:pStyle w:val="FootnoteText"/>
        <w:rPr>
          <w:szCs w:val="18"/>
        </w:rPr>
      </w:pPr>
      <w:r>
        <w:rPr>
          <w:szCs w:val="18"/>
        </w:rPr>
        <w:tab/>
      </w:r>
      <w:r w:rsidRPr="0038700A">
        <w:rPr>
          <w:rStyle w:val="FootnoteReference"/>
        </w:rPr>
        <w:footnoteRef/>
      </w:r>
      <w:r>
        <w:rPr>
          <w:szCs w:val="18"/>
        </w:rPr>
        <w:tab/>
      </w:r>
      <w:r w:rsidRPr="00C547E5">
        <w:rPr>
          <w:szCs w:val="18"/>
        </w:rPr>
        <w:t>CCPR/C/GC/35, para.15; The Fourth Ge</w:t>
      </w:r>
      <w:r w:rsidR="00072F89">
        <w:rPr>
          <w:szCs w:val="18"/>
        </w:rPr>
        <w:t>neva Convention, Article 78(1).</w:t>
      </w:r>
    </w:p>
  </w:footnote>
  <w:footnote w:id="78">
    <w:p w14:paraId="28F7AF25" w14:textId="77777777" w:rsidR="00ED4D26" w:rsidRPr="003E3C62" w:rsidRDefault="00ED4D26" w:rsidP="00F65796">
      <w:pPr>
        <w:pStyle w:val="FootnoteText"/>
        <w:rPr>
          <w:szCs w:val="18"/>
        </w:rPr>
      </w:pPr>
      <w:r w:rsidRPr="0022073D">
        <w:rPr>
          <w:szCs w:val="18"/>
        </w:rPr>
        <w:tab/>
      </w:r>
      <w:r w:rsidRPr="0038700A">
        <w:rPr>
          <w:rStyle w:val="FootnoteReference"/>
        </w:rPr>
        <w:footnoteRef/>
      </w:r>
      <w:r w:rsidRPr="004F277A">
        <w:rPr>
          <w:szCs w:val="18"/>
          <w:lang w:val="es-ES"/>
        </w:rPr>
        <w:tab/>
        <w:t xml:space="preserve">A/HRC/37/42, para.17-18; CCPR/C/ISR/CO/4, para. </w:t>
      </w:r>
      <w:r w:rsidRPr="003E3C62">
        <w:rPr>
          <w:szCs w:val="18"/>
        </w:rPr>
        <w:t>10; CAT/C/ISR/CO/5, paras. 22–23; OHCHR, Report on the situation of human rights in the temporarily occupied Autonomous Republic of Crimea and the city of Sevastopol, Ukraine 13 September 2017 to 30 June 2018 (OHCHR Crimea Thematic Report), para.30.</w:t>
      </w:r>
    </w:p>
  </w:footnote>
  <w:footnote w:id="79">
    <w:p w14:paraId="4106F7C2" w14:textId="1DC0DD01" w:rsidR="00ED4D26" w:rsidRPr="00C547E5" w:rsidRDefault="00ED4D26" w:rsidP="00F65796">
      <w:pPr>
        <w:pStyle w:val="FootnoteText"/>
        <w:rPr>
          <w:szCs w:val="18"/>
        </w:rPr>
      </w:pPr>
      <w:r w:rsidRPr="003E3C62">
        <w:rPr>
          <w:szCs w:val="18"/>
        </w:rPr>
        <w:tab/>
      </w:r>
      <w:r w:rsidRPr="003E3C62">
        <w:rPr>
          <w:rStyle w:val="FootnoteReference"/>
        </w:rPr>
        <w:footnoteRef/>
      </w:r>
      <w:r w:rsidRPr="003E3C62">
        <w:rPr>
          <w:szCs w:val="18"/>
        </w:rPr>
        <w:tab/>
        <w:t>OHCHR Cr</w:t>
      </w:r>
      <w:r>
        <w:rPr>
          <w:szCs w:val="18"/>
        </w:rPr>
        <w:t>imea Thematic Report, paras.29</w:t>
      </w:r>
      <w:proofErr w:type="gramStart"/>
      <w:r>
        <w:rPr>
          <w:szCs w:val="18"/>
        </w:rPr>
        <w:t>,</w:t>
      </w:r>
      <w:r w:rsidRPr="003E3C62">
        <w:rPr>
          <w:szCs w:val="18"/>
        </w:rPr>
        <w:t>32</w:t>
      </w:r>
      <w:proofErr w:type="gramEnd"/>
      <w:r w:rsidRPr="003E3C62">
        <w:rPr>
          <w:szCs w:val="18"/>
        </w:rPr>
        <w:t>-35.</w:t>
      </w:r>
    </w:p>
  </w:footnote>
  <w:footnote w:id="80">
    <w:p w14:paraId="435B94BC" w14:textId="2B75D0A8" w:rsidR="00ED4D26" w:rsidRPr="00C547E5" w:rsidRDefault="00ED4D26" w:rsidP="00F65796">
      <w:pPr>
        <w:pStyle w:val="FootnoteText"/>
        <w:rPr>
          <w:szCs w:val="18"/>
        </w:rPr>
      </w:pPr>
      <w:r>
        <w:rPr>
          <w:szCs w:val="18"/>
        </w:rPr>
        <w:tab/>
      </w:r>
      <w:r w:rsidRPr="0038700A">
        <w:rPr>
          <w:rStyle w:val="FootnoteReference"/>
        </w:rPr>
        <w:footnoteRef/>
      </w:r>
      <w:r>
        <w:rPr>
          <w:szCs w:val="18"/>
        </w:rPr>
        <w:tab/>
      </w:r>
      <w:proofErr w:type="gramStart"/>
      <w:r w:rsidRPr="00C547E5">
        <w:rPr>
          <w:szCs w:val="18"/>
        </w:rPr>
        <w:t>Ibid.,</w:t>
      </w:r>
      <w:proofErr w:type="gramEnd"/>
      <w:r w:rsidRPr="00C547E5">
        <w:rPr>
          <w:szCs w:val="18"/>
        </w:rPr>
        <w:t xml:space="preserve"> paras.18-19; OHCHR, Report on the human rights situation in Ukraine from 16 May to 15 August 2018, para.109.</w:t>
      </w:r>
    </w:p>
  </w:footnote>
  <w:footnote w:id="81">
    <w:p w14:paraId="2B65C02C" w14:textId="27F84C76" w:rsidR="00ED4D26" w:rsidRPr="00C547E5" w:rsidRDefault="00ED4D26" w:rsidP="00F65796">
      <w:pPr>
        <w:pStyle w:val="FootnoteText"/>
        <w:rPr>
          <w:szCs w:val="18"/>
        </w:rPr>
      </w:pPr>
      <w:r>
        <w:rPr>
          <w:szCs w:val="18"/>
        </w:rPr>
        <w:tab/>
      </w:r>
      <w:r w:rsidRPr="0038700A">
        <w:rPr>
          <w:rStyle w:val="FootnoteReference"/>
        </w:rPr>
        <w:footnoteRef/>
      </w:r>
      <w:r>
        <w:rPr>
          <w:szCs w:val="18"/>
        </w:rPr>
        <w:tab/>
      </w:r>
      <w:r w:rsidRPr="00C547E5">
        <w:rPr>
          <w:szCs w:val="18"/>
        </w:rPr>
        <w:t>The Fourth Geneva Convention, Articles 64</w:t>
      </w:r>
      <w:proofErr w:type="gramStart"/>
      <w:r w:rsidRPr="00C547E5">
        <w:rPr>
          <w:szCs w:val="18"/>
        </w:rPr>
        <w:t>,</w:t>
      </w:r>
      <w:r>
        <w:rPr>
          <w:szCs w:val="18"/>
        </w:rPr>
        <w:t>67,</w:t>
      </w:r>
      <w:r w:rsidRPr="00C547E5">
        <w:rPr>
          <w:szCs w:val="18"/>
        </w:rPr>
        <w:t>70</w:t>
      </w:r>
      <w:proofErr w:type="gramEnd"/>
      <w:r w:rsidRPr="00C547E5">
        <w:rPr>
          <w:szCs w:val="18"/>
        </w:rPr>
        <w:t>.</w:t>
      </w:r>
    </w:p>
  </w:footnote>
  <w:footnote w:id="82">
    <w:p w14:paraId="798A2395" w14:textId="77777777" w:rsidR="00ED4D26" w:rsidRPr="00C547E5" w:rsidRDefault="00ED4D26" w:rsidP="00E174EE">
      <w:pPr>
        <w:pStyle w:val="FootnoteText"/>
        <w:rPr>
          <w:szCs w:val="18"/>
        </w:rPr>
      </w:pPr>
      <w:r>
        <w:rPr>
          <w:szCs w:val="18"/>
        </w:rPr>
        <w:tab/>
      </w:r>
      <w:r w:rsidRPr="0038700A">
        <w:rPr>
          <w:rStyle w:val="FootnoteReference"/>
        </w:rPr>
        <w:footnoteRef/>
      </w:r>
      <w:r>
        <w:rPr>
          <w:szCs w:val="18"/>
        </w:rPr>
        <w:tab/>
      </w:r>
      <w:r w:rsidRPr="00C547E5">
        <w:rPr>
          <w:szCs w:val="18"/>
        </w:rPr>
        <w:t>OHCHR Crimea Thematic Report, p</w:t>
      </w:r>
      <w:r>
        <w:rPr>
          <w:szCs w:val="18"/>
        </w:rPr>
        <w:t>ara.2</w:t>
      </w:r>
      <w:r w:rsidRPr="00C547E5">
        <w:rPr>
          <w:szCs w:val="18"/>
        </w:rPr>
        <w:t>1.</w:t>
      </w:r>
    </w:p>
  </w:footnote>
  <w:footnote w:id="83">
    <w:p w14:paraId="438415E5" w14:textId="77777777" w:rsidR="00ED4D26" w:rsidRPr="00C547E5" w:rsidRDefault="00ED4D26" w:rsidP="002F78C4">
      <w:pPr>
        <w:pStyle w:val="FootnoteText"/>
        <w:rPr>
          <w:szCs w:val="18"/>
        </w:rPr>
      </w:pPr>
      <w:r>
        <w:rPr>
          <w:szCs w:val="18"/>
        </w:rPr>
        <w:tab/>
      </w:r>
      <w:r w:rsidRPr="0038700A">
        <w:rPr>
          <w:rStyle w:val="FootnoteReference"/>
        </w:rPr>
        <w:footnoteRef/>
      </w:r>
      <w:r>
        <w:rPr>
          <w:szCs w:val="18"/>
        </w:rPr>
        <w:tab/>
      </w:r>
      <w:r w:rsidRPr="00C547E5">
        <w:rPr>
          <w:szCs w:val="18"/>
        </w:rPr>
        <w:t>A/HRC/37/42, paras 28-29.</w:t>
      </w:r>
    </w:p>
  </w:footnote>
  <w:footnote w:id="84">
    <w:p w14:paraId="3D48DB51" w14:textId="1B1C9F63" w:rsidR="00ED4D26" w:rsidRPr="00C547E5" w:rsidRDefault="00ED4D26" w:rsidP="002F78C4">
      <w:pPr>
        <w:pStyle w:val="FootnoteText"/>
        <w:rPr>
          <w:szCs w:val="18"/>
        </w:rPr>
      </w:pPr>
      <w:r>
        <w:rPr>
          <w:szCs w:val="18"/>
        </w:rPr>
        <w:tab/>
      </w:r>
      <w:r w:rsidRPr="0038700A">
        <w:rPr>
          <w:rStyle w:val="FootnoteReference"/>
        </w:rPr>
        <w:footnoteRef/>
      </w:r>
      <w:r>
        <w:rPr>
          <w:szCs w:val="18"/>
        </w:rPr>
        <w:tab/>
      </w:r>
      <w:r w:rsidRPr="00C547E5">
        <w:rPr>
          <w:szCs w:val="18"/>
        </w:rPr>
        <w:t>A/73/907–S/2019/509, para.86; UNICEF, Annual CAAC Bulletin 2018: Israel &amp; the State of Palestine, p</w:t>
      </w:r>
      <w:r>
        <w:rPr>
          <w:szCs w:val="18"/>
        </w:rPr>
        <w:t>.</w:t>
      </w:r>
      <w:r w:rsidRPr="00C547E5">
        <w:rPr>
          <w:szCs w:val="18"/>
        </w:rPr>
        <w:t>5-6.</w:t>
      </w:r>
    </w:p>
  </w:footnote>
  <w:footnote w:id="85">
    <w:p w14:paraId="2F128632" w14:textId="77777777" w:rsidR="00ED4D26" w:rsidRPr="00DB73F3" w:rsidRDefault="00ED4D26" w:rsidP="007A04CD">
      <w:pPr>
        <w:pStyle w:val="FootnoteText"/>
      </w:pPr>
      <w:r>
        <w:tab/>
      </w:r>
      <w:r>
        <w:rPr>
          <w:rStyle w:val="FootnoteReference"/>
        </w:rPr>
        <w:footnoteRef/>
      </w:r>
      <w:r>
        <w:t xml:space="preserve">  </w:t>
      </w:r>
      <w:r>
        <w:tab/>
      </w:r>
      <w:r w:rsidRPr="00C547E5">
        <w:rPr>
          <w:szCs w:val="18"/>
        </w:rPr>
        <w:t>OHCHR Crimea Thematic Report, paras.22-2</w:t>
      </w:r>
      <w:r>
        <w:rPr>
          <w:szCs w:val="18"/>
        </w:rPr>
        <w:t>5.</w:t>
      </w:r>
    </w:p>
  </w:footnote>
  <w:footnote w:id="86">
    <w:p w14:paraId="74B308D9" w14:textId="0647DF44" w:rsidR="00ED4D26" w:rsidRPr="00C547E5" w:rsidRDefault="00ED4D26" w:rsidP="002F78C4">
      <w:pPr>
        <w:pStyle w:val="FootnoteText"/>
        <w:rPr>
          <w:szCs w:val="18"/>
        </w:rPr>
      </w:pPr>
      <w:r>
        <w:rPr>
          <w:szCs w:val="18"/>
        </w:rPr>
        <w:tab/>
      </w:r>
      <w:r w:rsidRPr="0038700A">
        <w:rPr>
          <w:rStyle w:val="FootnoteReference"/>
        </w:rPr>
        <w:footnoteRef/>
      </w:r>
      <w:r>
        <w:rPr>
          <w:szCs w:val="18"/>
        </w:rPr>
        <w:tab/>
      </w:r>
      <w:proofErr w:type="gramStart"/>
      <w:r>
        <w:rPr>
          <w:szCs w:val="18"/>
        </w:rPr>
        <w:t>Ibid.,</w:t>
      </w:r>
      <w:proofErr w:type="gramEnd"/>
      <w:r>
        <w:rPr>
          <w:szCs w:val="18"/>
        </w:rPr>
        <w:t xml:space="preserve"> para.26</w:t>
      </w:r>
      <w:r w:rsidR="00072F89">
        <w:rPr>
          <w:szCs w:val="18"/>
        </w:rPr>
        <w:t>.</w:t>
      </w:r>
    </w:p>
  </w:footnote>
  <w:footnote w:id="87">
    <w:p w14:paraId="13676120" w14:textId="075552F8" w:rsidR="00ED4D26" w:rsidRPr="00C547E5" w:rsidRDefault="00ED4D26" w:rsidP="002F78C4">
      <w:pPr>
        <w:pStyle w:val="FootnoteText"/>
        <w:rPr>
          <w:szCs w:val="18"/>
        </w:rPr>
      </w:pPr>
      <w:r>
        <w:rPr>
          <w:szCs w:val="18"/>
        </w:rPr>
        <w:tab/>
      </w:r>
      <w:r w:rsidRPr="0038700A">
        <w:rPr>
          <w:rStyle w:val="FootnoteReference"/>
        </w:rPr>
        <w:footnoteRef/>
      </w:r>
      <w:r>
        <w:rPr>
          <w:szCs w:val="18"/>
        </w:rPr>
        <w:tab/>
      </w:r>
      <w:r w:rsidRPr="00C547E5">
        <w:rPr>
          <w:szCs w:val="18"/>
        </w:rPr>
        <w:t xml:space="preserve">UNICEF Bulletin, </w:t>
      </w:r>
      <w:r w:rsidRPr="00C547E5">
        <w:rPr>
          <w:i/>
          <w:szCs w:val="18"/>
        </w:rPr>
        <w:t xml:space="preserve">supra </w:t>
      </w:r>
      <w:r w:rsidRPr="00C547E5">
        <w:rPr>
          <w:szCs w:val="18"/>
        </w:rPr>
        <w:t xml:space="preserve">note </w:t>
      </w:r>
      <w:r w:rsidRPr="00C547E5">
        <w:rPr>
          <w:szCs w:val="18"/>
        </w:rPr>
        <w:fldChar w:fldCharType="begin"/>
      </w:r>
      <w:r w:rsidRPr="00C547E5">
        <w:rPr>
          <w:szCs w:val="18"/>
        </w:rPr>
        <w:instrText xml:space="preserve"> NOTEREF _Ref441046489 \h </w:instrText>
      </w:r>
      <w:r>
        <w:rPr>
          <w:szCs w:val="18"/>
        </w:rPr>
        <w:instrText xml:space="preserve"> \* MERGEFORMAT </w:instrText>
      </w:r>
      <w:r w:rsidRPr="00C547E5">
        <w:rPr>
          <w:szCs w:val="18"/>
        </w:rPr>
      </w:r>
      <w:r w:rsidRPr="00C547E5">
        <w:rPr>
          <w:szCs w:val="18"/>
        </w:rPr>
        <w:fldChar w:fldCharType="separate"/>
      </w:r>
      <w:r>
        <w:rPr>
          <w:szCs w:val="18"/>
        </w:rPr>
        <w:t>82</w:t>
      </w:r>
      <w:r w:rsidRPr="00C547E5">
        <w:rPr>
          <w:szCs w:val="18"/>
        </w:rPr>
        <w:fldChar w:fldCharType="end"/>
      </w:r>
      <w:r w:rsidRPr="00C547E5">
        <w:rPr>
          <w:szCs w:val="18"/>
        </w:rPr>
        <w:t>.</w:t>
      </w:r>
    </w:p>
  </w:footnote>
  <w:footnote w:id="88">
    <w:p w14:paraId="0005B882" w14:textId="77777777" w:rsidR="00ED4D26" w:rsidRPr="00C547E5" w:rsidRDefault="00ED4D26" w:rsidP="002F78C4">
      <w:pPr>
        <w:pStyle w:val="FootnoteText"/>
        <w:rPr>
          <w:szCs w:val="18"/>
        </w:rPr>
      </w:pPr>
      <w:r>
        <w:rPr>
          <w:szCs w:val="18"/>
        </w:rPr>
        <w:tab/>
      </w:r>
      <w:r w:rsidRPr="0038700A">
        <w:rPr>
          <w:rStyle w:val="FootnoteReference"/>
        </w:rPr>
        <w:footnoteRef/>
      </w:r>
      <w:r>
        <w:rPr>
          <w:szCs w:val="18"/>
        </w:rPr>
        <w:tab/>
      </w:r>
      <w:r w:rsidRPr="00C547E5">
        <w:rPr>
          <w:szCs w:val="18"/>
        </w:rPr>
        <w:t>OHCHR, Report on the human rights situation in Ukraine from 16 February to 15 May 2019, para. 102.</w:t>
      </w:r>
    </w:p>
  </w:footnote>
  <w:footnote w:id="89">
    <w:p w14:paraId="76840952" w14:textId="44BF28A5" w:rsidR="00ED4D26" w:rsidRPr="008F5D5B" w:rsidRDefault="00ED4D26" w:rsidP="003F4C8F">
      <w:pPr>
        <w:pStyle w:val="FootnoteText"/>
      </w:pPr>
      <w:r>
        <w:tab/>
      </w:r>
      <w:r w:rsidRPr="0038700A">
        <w:rPr>
          <w:rStyle w:val="FootnoteReference"/>
        </w:rPr>
        <w:footnoteRef/>
      </w:r>
      <w:r>
        <w:tab/>
      </w:r>
      <w:r w:rsidRPr="008F5D5B">
        <w:t>Articles 12(2)-(3) (regarding transfer of POWs); The Fourth Geneva Convention, Article 45(2) (concerning transfer of protected persons detained in the territory of the State).</w:t>
      </w:r>
    </w:p>
  </w:footnote>
  <w:footnote w:id="90">
    <w:p w14:paraId="4266948A" w14:textId="77777777" w:rsidR="00ED4D26" w:rsidRPr="00C547E5" w:rsidRDefault="00ED4D26" w:rsidP="002F78C4">
      <w:pPr>
        <w:pStyle w:val="FootnoteText"/>
        <w:rPr>
          <w:szCs w:val="18"/>
        </w:rPr>
      </w:pPr>
      <w:r>
        <w:rPr>
          <w:szCs w:val="18"/>
        </w:rPr>
        <w:tab/>
      </w:r>
      <w:r w:rsidRPr="0038700A">
        <w:rPr>
          <w:rStyle w:val="FootnoteReference"/>
        </w:rPr>
        <w:footnoteRef/>
      </w:r>
      <w:r>
        <w:rPr>
          <w:szCs w:val="18"/>
        </w:rPr>
        <w:tab/>
      </w:r>
      <w:r w:rsidRPr="00C547E5">
        <w:rPr>
          <w:szCs w:val="18"/>
        </w:rPr>
        <w:t>The Fourth Geneva Convention, Articles 49(1), 76(1).</w:t>
      </w:r>
    </w:p>
  </w:footnote>
  <w:footnote w:id="91">
    <w:p w14:paraId="745D3C3C" w14:textId="77777777" w:rsidR="00ED4D26" w:rsidRPr="00C547E5" w:rsidRDefault="00ED4D26" w:rsidP="002F78C4">
      <w:pPr>
        <w:pStyle w:val="FootnoteText"/>
        <w:rPr>
          <w:szCs w:val="18"/>
        </w:rPr>
      </w:pPr>
      <w:r>
        <w:rPr>
          <w:szCs w:val="18"/>
        </w:rPr>
        <w:tab/>
      </w:r>
      <w:r w:rsidRPr="0038700A">
        <w:rPr>
          <w:rStyle w:val="FootnoteReference"/>
        </w:rPr>
        <w:footnoteRef/>
      </w:r>
      <w:r>
        <w:rPr>
          <w:szCs w:val="18"/>
        </w:rPr>
        <w:tab/>
      </w:r>
      <w:r w:rsidRPr="00C547E5">
        <w:rPr>
          <w:szCs w:val="18"/>
        </w:rPr>
        <w:t>Arguably, however, Common Article 3 prohibits transfer to another State when there are substantial grounds to believe that this will result in ill-treatment or arbitrarily deprivation of life. See, ICRC, Commentary on the First Geneva Convention, 2016, para.708.</w:t>
      </w:r>
    </w:p>
  </w:footnote>
  <w:footnote w:id="92">
    <w:p w14:paraId="37DCBC4A" w14:textId="77777777" w:rsidR="00ED4D26" w:rsidRPr="00C547E5" w:rsidRDefault="00ED4D26" w:rsidP="002F78C4">
      <w:pPr>
        <w:pStyle w:val="FootnoteText"/>
        <w:rPr>
          <w:szCs w:val="18"/>
        </w:rPr>
      </w:pPr>
      <w:r>
        <w:rPr>
          <w:szCs w:val="18"/>
        </w:rPr>
        <w:tab/>
      </w:r>
      <w:r w:rsidRPr="0038700A">
        <w:rPr>
          <w:rStyle w:val="FootnoteReference"/>
        </w:rPr>
        <w:footnoteRef/>
      </w:r>
      <w:r>
        <w:rPr>
          <w:szCs w:val="18"/>
        </w:rPr>
        <w:tab/>
      </w:r>
      <w:r w:rsidRPr="00C547E5">
        <w:rPr>
          <w:szCs w:val="18"/>
        </w:rPr>
        <w:t>CAT/C/GC/4, para.18.</w:t>
      </w:r>
    </w:p>
  </w:footnote>
  <w:footnote w:id="93">
    <w:p w14:paraId="2A302B57" w14:textId="1C63C546" w:rsidR="00ED4D26" w:rsidRPr="004F277A" w:rsidRDefault="00ED4D26" w:rsidP="002F78C4">
      <w:pPr>
        <w:pStyle w:val="FootnoteText"/>
        <w:rPr>
          <w:szCs w:val="18"/>
          <w:lang w:val="es-ES"/>
        </w:rPr>
      </w:pPr>
      <w:r>
        <w:rPr>
          <w:szCs w:val="18"/>
        </w:rPr>
        <w:tab/>
      </w:r>
      <w:r w:rsidRPr="0038700A">
        <w:rPr>
          <w:rStyle w:val="FootnoteReference"/>
        </w:rPr>
        <w:footnoteRef/>
      </w:r>
      <w:r w:rsidRPr="004F277A">
        <w:rPr>
          <w:szCs w:val="18"/>
          <w:lang w:val="es-ES"/>
        </w:rPr>
        <w:tab/>
      </w:r>
      <w:proofErr w:type="spellStart"/>
      <w:r w:rsidRPr="004F277A">
        <w:rPr>
          <w:szCs w:val="18"/>
          <w:lang w:val="es-ES"/>
        </w:rPr>
        <w:t>Ibid</w:t>
      </w:r>
      <w:proofErr w:type="spellEnd"/>
      <w:r w:rsidRPr="004F277A">
        <w:rPr>
          <w:szCs w:val="18"/>
          <w:lang w:val="es-ES"/>
        </w:rPr>
        <w:t>, para.12; CAT/C/GBR/CO/5, para.19.</w:t>
      </w:r>
    </w:p>
  </w:footnote>
  <w:footnote w:id="94">
    <w:p w14:paraId="14FB74E3" w14:textId="440BAA6C" w:rsidR="00ED4D26" w:rsidRPr="00C547E5" w:rsidRDefault="00ED4D26" w:rsidP="002F78C4">
      <w:pPr>
        <w:pStyle w:val="FootnoteText"/>
        <w:rPr>
          <w:szCs w:val="18"/>
        </w:rPr>
      </w:pPr>
      <w:r w:rsidRPr="004F277A">
        <w:rPr>
          <w:szCs w:val="18"/>
          <w:lang w:val="es-ES"/>
        </w:rPr>
        <w:tab/>
      </w:r>
      <w:r w:rsidRPr="0038700A">
        <w:rPr>
          <w:rStyle w:val="FootnoteReference"/>
        </w:rPr>
        <w:footnoteRef/>
      </w:r>
      <w:r>
        <w:rPr>
          <w:szCs w:val="18"/>
        </w:rPr>
        <w:tab/>
      </w:r>
      <w:r w:rsidRPr="00C547E5">
        <w:rPr>
          <w:szCs w:val="18"/>
        </w:rPr>
        <w:t>E.g., A/HRC/</w:t>
      </w:r>
      <w:r>
        <w:rPr>
          <w:szCs w:val="18"/>
        </w:rPr>
        <w:t>34</w:t>
      </w:r>
      <w:r w:rsidRPr="00C547E5">
        <w:rPr>
          <w:szCs w:val="18"/>
        </w:rPr>
        <w:t>/</w:t>
      </w:r>
      <w:r>
        <w:rPr>
          <w:szCs w:val="18"/>
        </w:rPr>
        <w:t>36</w:t>
      </w:r>
      <w:r w:rsidRPr="00C547E5">
        <w:rPr>
          <w:szCs w:val="18"/>
        </w:rPr>
        <w:t>, para.</w:t>
      </w:r>
      <w:r>
        <w:rPr>
          <w:szCs w:val="18"/>
        </w:rPr>
        <w:t>18</w:t>
      </w:r>
      <w:r w:rsidRPr="00C547E5">
        <w:rPr>
          <w:szCs w:val="18"/>
        </w:rPr>
        <w:t>; OHCHR, Report on the human rights situation in Ukraine 16 August to 15 November 2019, para.97.</w:t>
      </w:r>
    </w:p>
  </w:footnote>
  <w:footnote w:id="95">
    <w:p w14:paraId="76856C3A" w14:textId="77777777" w:rsidR="00ED4D26" w:rsidRPr="00C547E5" w:rsidRDefault="00ED4D26" w:rsidP="008515CD">
      <w:pPr>
        <w:pStyle w:val="FootnoteText"/>
        <w:rPr>
          <w:szCs w:val="18"/>
        </w:rPr>
      </w:pPr>
      <w:r>
        <w:rPr>
          <w:szCs w:val="18"/>
          <w:lang w:val="it-IT"/>
        </w:rPr>
        <w:tab/>
      </w:r>
      <w:r w:rsidRPr="0038700A">
        <w:rPr>
          <w:rStyle w:val="FootnoteReference"/>
        </w:rPr>
        <w:footnoteRef/>
      </w:r>
      <w:r w:rsidRPr="00C66F2C">
        <w:rPr>
          <w:szCs w:val="18"/>
          <w:lang w:val="it-IT"/>
        </w:rPr>
        <w:t xml:space="preserve"> </w:t>
      </w:r>
      <w:r>
        <w:rPr>
          <w:szCs w:val="18"/>
          <w:lang w:val="it-IT"/>
        </w:rPr>
        <w:tab/>
      </w:r>
      <w:r w:rsidRPr="00C66F2C">
        <w:rPr>
          <w:szCs w:val="18"/>
          <w:lang w:val="it-IT"/>
        </w:rPr>
        <w:t>E.g., CED/C/FRA/CO/1, para.</w:t>
      </w:r>
      <w:r w:rsidRPr="00C547E5">
        <w:rPr>
          <w:szCs w:val="18"/>
        </w:rPr>
        <w:t>28; CAT/C/CAN/CO/6, para.11.</w:t>
      </w:r>
    </w:p>
  </w:footnote>
  <w:footnote w:id="96">
    <w:p w14:paraId="13E1442D" w14:textId="77777777" w:rsidR="00ED4D26" w:rsidRPr="00C547E5" w:rsidRDefault="00ED4D26" w:rsidP="002F78C4">
      <w:pPr>
        <w:pStyle w:val="FootnoteText"/>
        <w:rPr>
          <w:szCs w:val="18"/>
        </w:rPr>
      </w:pPr>
      <w:r>
        <w:rPr>
          <w:szCs w:val="18"/>
        </w:rPr>
        <w:tab/>
      </w:r>
      <w:r w:rsidRPr="0038700A">
        <w:rPr>
          <w:rStyle w:val="FootnoteReference"/>
        </w:rPr>
        <w:footnoteRef/>
      </w:r>
      <w:r>
        <w:rPr>
          <w:szCs w:val="18"/>
        </w:rPr>
        <w:tab/>
      </w:r>
      <w:proofErr w:type="spellStart"/>
      <w:r w:rsidRPr="003E3C62">
        <w:rPr>
          <w:szCs w:val="18"/>
        </w:rPr>
        <w:t>Cordula</w:t>
      </w:r>
      <w:proofErr w:type="spellEnd"/>
      <w:r w:rsidRPr="003E3C62">
        <w:rPr>
          <w:szCs w:val="18"/>
        </w:rPr>
        <w:t xml:space="preserve"> </w:t>
      </w:r>
      <w:proofErr w:type="spellStart"/>
      <w:r w:rsidRPr="003E3C62">
        <w:rPr>
          <w:szCs w:val="18"/>
        </w:rPr>
        <w:t>Droege</w:t>
      </w:r>
      <w:proofErr w:type="spellEnd"/>
      <w:r w:rsidRPr="003E3C62">
        <w:rPr>
          <w:szCs w:val="18"/>
        </w:rPr>
        <w:t xml:space="preserve">, </w:t>
      </w:r>
      <w:r w:rsidRPr="003E3C62">
        <w:rPr>
          <w:i/>
          <w:szCs w:val="18"/>
        </w:rPr>
        <w:t>Transfers of detainees: legal framework, non-</w:t>
      </w:r>
      <w:proofErr w:type="spellStart"/>
      <w:r w:rsidRPr="003E3C62">
        <w:rPr>
          <w:i/>
          <w:szCs w:val="18"/>
        </w:rPr>
        <w:t>refoulement</w:t>
      </w:r>
      <w:proofErr w:type="spellEnd"/>
      <w:r w:rsidRPr="003E3C62">
        <w:rPr>
          <w:i/>
          <w:szCs w:val="18"/>
        </w:rPr>
        <w:t xml:space="preserve"> and contemporary challenges</w:t>
      </w:r>
      <w:r w:rsidRPr="003E3C62">
        <w:rPr>
          <w:szCs w:val="18"/>
        </w:rPr>
        <w:t xml:space="preserve">, </w:t>
      </w:r>
      <w:r w:rsidRPr="003E3C62">
        <w:rPr>
          <w:iCs/>
          <w:smallCaps/>
          <w:szCs w:val="18"/>
        </w:rPr>
        <w:t>Int’l Rev. Red Cross</w:t>
      </w:r>
      <w:r w:rsidRPr="003E3C62">
        <w:rPr>
          <w:szCs w:val="18"/>
        </w:rPr>
        <w:t xml:space="preserve">, </w:t>
      </w:r>
      <w:r w:rsidRPr="003E3C62">
        <w:rPr>
          <w:i/>
          <w:iCs/>
          <w:szCs w:val="18"/>
        </w:rPr>
        <w:t>90</w:t>
      </w:r>
      <w:r w:rsidRPr="003E3C62">
        <w:rPr>
          <w:szCs w:val="18"/>
        </w:rPr>
        <w:t xml:space="preserve">(871), 669, </w:t>
      </w:r>
      <w:proofErr w:type="gramStart"/>
      <w:r w:rsidRPr="003E3C62">
        <w:rPr>
          <w:szCs w:val="18"/>
        </w:rPr>
        <w:t>683</w:t>
      </w:r>
      <w:proofErr w:type="gramEnd"/>
      <w:r w:rsidRPr="003E3C62">
        <w:rPr>
          <w:szCs w:val="18"/>
        </w:rPr>
        <w:t xml:space="preserve"> (2008).</w:t>
      </w:r>
    </w:p>
  </w:footnote>
  <w:footnote w:id="97">
    <w:p w14:paraId="44012320" w14:textId="77777777" w:rsidR="00ED4D26" w:rsidRPr="00C547E5" w:rsidRDefault="00ED4D26" w:rsidP="002F78C4">
      <w:pPr>
        <w:pStyle w:val="FootnoteText"/>
        <w:rPr>
          <w:szCs w:val="18"/>
        </w:rPr>
      </w:pPr>
      <w:r>
        <w:rPr>
          <w:szCs w:val="18"/>
        </w:rPr>
        <w:tab/>
      </w:r>
      <w:r w:rsidRPr="0038700A">
        <w:rPr>
          <w:rStyle w:val="FootnoteReference"/>
        </w:rPr>
        <w:footnoteRef/>
      </w:r>
      <w:r>
        <w:rPr>
          <w:szCs w:val="18"/>
        </w:rPr>
        <w:tab/>
      </w:r>
      <w:r w:rsidRPr="00C547E5">
        <w:rPr>
          <w:szCs w:val="18"/>
        </w:rPr>
        <w:t>OHCHR Crimea Thematic Report, paras.3, 7.</w:t>
      </w:r>
    </w:p>
  </w:footnote>
  <w:footnote w:id="98">
    <w:p w14:paraId="7AAD65FA" w14:textId="34AFAFCD" w:rsidR="00ED4D26" w:rsidRPr="00C66F2C" w:rsidRDefault="00ED4D26" w:rsidP="00C547E5">
      <w:pPr>
        <w:pStyle w:val="FootnoteText"/>
        <w:rPr>
          <w:szCs w:val="18"/>
          <w:lang w:val="it-IT"/>
        </w:rPr>
      </w:pPr>
      <w:r>
        <w:rPr>
          <w:szCs w:val="18"/>
          <w:lang w:val="it-IT"/>
        </w:rPr>
        <w:tab/>
      </w:r>
      <w:r w:rsidRPr="0038700A">
        <w:rPr>
          <w:rStyle w:val="FootnoteReference"/>
        </w:rPr>
        <w:footnoteRef/>
      </w:r>
      <w:r>
        <w:rPr>
          <w:szCs w:val="18"/>
          <w:lang w:val="it-IT"/>
        </w:rPr>
        <w:tab/>
      </w:r>
      <w:r w:rsidRPr="00C66F2C">
        <w:rPr>
          <w:szCs w:val="18"/>
          <w:lang w:val="it-IT"/>
        </w:rPr>
        <w:t>CCPR/C/USA/CO/4, para.5</w:t>
      </w:r>
      <w:r w:rsidR="00072F89">
        <w:rPr>
          <w:szCs w:val="18"/>
          <w:lang w:val="it-IT"/>
        </w:rPr>
        <w:t>.</w:t>
      </w:r>
    </w:p>
  </w:footnote>
  <w:footnote w:id="99">
    <w:p w14:paraId="692E227A" w14:textId="6B781E43" w:rsidR="00ED4D26" w:rsidRPr="00C547E5" w:rsidRDefault="00ED4D26" w:rsidP="002F78C4">
      <w:pPr>
        <w:pStyle w:val="FootnoteText"/>
        <w:rPr>
          <w:szCs w:val="18"/>
          <w:lang w:val="it-IT"/>
        </w:rPr>
      </w:pPr>
      <w:r>
        <w:rPr>
          <w:szCs w:val="18"/>
          <w:lang w:val="it-IT"/>
        </w:rPr>
        <w:tab/>
      </w:r>
      <w:r w:rsidRPr="0038700A">
        <w:rPr>
          <w:rStyle w:val="FootnoteReference"/>
        </w:rPr>
        <w:footnoteRef/>
      </w:r>
      <w:r w:rsidRPr="004F277A">
        <w:rPr>
          <w:szCs w:val="18"/>
          <w:lang w:val="es-ES"/>
        </w:rPr>
        <w:tab/>
        <w:t>CAT/C/GBR/CO/5, paras.</w:t>
      </w:r>
      <w:r w:rsidR="00072F89">
        <w:rPr>
          <w:szCs w:val="18"/>
          <w:lang w:val="it-IT"/>
        </w:rPr>
        <w:t>15-16; CCPR/C/GBR/CO/7, para.9.</w:t>
      </w:r>
    </w:p>
  </w:footnote>
  <w:footnote w:id="100">
    <w:p w14:paraId="29ED8980" w14:textId="20128B68" w:rsidR="00ED4D26" w:rsidRPr="00C547E5" w:rsidRDefault="00ED4D26" w:rsidP="002F78C4">
      <w:pPr>
        <w:pStyle w:val="FootnoteText"/>
        <w:rPr>
          <w:szCs w:val="18"/>
          <w:lang w:val="it-IT"/>
        </w:rPr>
      </w:pPr>
      <w:r>
        <w:rPr>
          <w:szCs w:val="18"/>
          <w:lang w:val="it-IT"/>
        </w:rPr>
        <w:tab/>
      </w:r>
      <w:r w:rsidRPr="0038700A">
        <w:rPr>
          <w:rStyle w:val="FootnoteReference"/>
        </w:rPr>
        <w:footnoteRef/>
      </w:r>
      <w:r>
        <w:rPr>
          <w:szCs w:val="18"/>
          <w:lang w:val="it-IT"/>
        </w:rPr>
        <w:tab/>
      </w:r>
      <w:r w:rsidRPr="00C547E5">
        <w:rPr>
          <w:szCs w:val="18"/>
          <w:lang w:val="it-IT"/>
        </w:rPr>
        <w:t xml:space="preserve">E.g., </w:t>
      </w:r>
      <w:r w:rsidRPr="00C547E5">
        <w:rPr>
          <w:szCs w:val="18"/>
          <w:lang w:val="it-IT"/>
        </w:rPr>
        <w:t>CAT/C/USA/CO/3-5, para.13.</w:t>
      </w:r>
    </w:p>
  </w:footnote>
  <w:footnote w:id="101">
    <w:p w14:paraId="18C0AB8D" w14:textId="32F057E7" w:rsidR="00ED4D26" w:rsidRPr="00DA3757" w:rsidRDefault="00ED4D26" w:rsidP="002F78C4">
      <w:pPr>
        <w:pStyle w:val="FootnoteText"/>
        <w:rPr>
          <w:szCs w:val="18"/>
          <w:lang w:val="it-IT"/>
        </w:rPr>
      </w:pPr>
      <w:r>
        <w:rPr>
          <w:szCs w:val="18"/>
          <w:lang w:val="it-IT"/>
        </w:rPr>
        <w:tab/>
      </w:r>
      <w:r w:rsidRPr="0038700A">
        <w:rPr>
          <w:rStyle w:val="FootnoteReference"/>
        </w:rPr>
        <w:footnoteRef/>
      </w:r>
      <w:r>
        <w:rPr>
          <w:szCs w:val="18"/>
          <w:lang w:val="it-IT"/>
        </w:rPr>
        <w:tab/>
      </w:r>
      <w:r w:rsidRPr="00C547E5">
        <w:rPr>
          <w:szCs w:val="18"/>
          <w:lang w:val="it-IT"/>
        </w:rPr>
        <w:t xml:space="preserve">A/HRC/37/50, </w:t>
      </w:r>
      <w:r w:rsidRPr="00C547E5">
        <w:rPr>
          <w:szCs w:val="18"/>
          <w:lang w:val="it-IT"/>
        </w:rPr>
        <w:t>para.</w:t>
      </w:r>
      <w:r>
        <w:rPr>
          <w:szCs w:val="18"/>
          <w:lang w:val="it-IT"/>
        </w:rPr>
        <w:t>8; CAT/C/AUS/4-5, para.</w:t>
      </w:r>
      <w:r w:rsidRPr="00C547E5">
        <w:rPr>
          <w:szCs w:val="18"/>
          <w:lang w:val="it-IT"/>
        </w:rPr>
        <w:t xml:space="preserve">17; </w:t>
      </w:r>
      <w:r>
        <w:rPr>
          <w:bCs/>
          <w:szCs w:val="18"/>
          <w:lang w:val="it-IT"/>
        </w:rPr>
        <w:t>CCPR/C/AUS/CO/6, para.</w:t>
      </w:r>
      <w:r w:rsidRPr="00C547E5">
        <w:rPr>
          <w:bCs/>
          <w:szCs w:val="18"/>
          <w:lang w:val="it-IT"/>
        </w:rPr>
        <w:t xml:space="preserve">35; </w:t>
      </w:r>
      <w:r w:rsidRPr="00C547E5">
        <w:rPr>
          <w:szCs w:val="18"/>
          <w:lang w:val="it-IT"/>
        </w:rPr>
        <w:t>CAT/C/ITA/CO/5-6, para.</w:t>
      </w:r>
      <w:r w:rsidRPr="00DA3757">
        <w:rPr>
          <w:szCs w:val="18"/>
          <w:lang w:val="it-IT"/>
        </w:rPr>
        <w:t>22.</w:t>
      </w:r>
    </w:p>
  </w:footnote>
  <w:footnote w:id="102">
    <w:p w14:paraId="3281EE9B" w14:textId="4A10184B" w:rsidR="00ED4D26" w:rsidRPr="00DA3757" w:rsidRDefault="00ED4D26" w:rsidP="002F78C4">
      <w:pPr>
        <w:pStyle w:val="FootnoteText"/>
        <w:rPr>
          <w:lang w:val="it-IT"/>
        </w:rPr>
      </w:pPr>
      <w:r w:rsidRPr="00DA3757">
        <w:rPr>
          <w:lang w:val="it-IT"/>
        </w:rPr>
        <w:tab/>
      </w:r>
      <w:r w:rsidRPr="0038700A">
        <w:rPr>
          <w:rStyle w:val="FootnoteReference"/>
        </w:rPr>
        <w:footnoteRef/>
      </w:r>
      <w:r w:rsidRPr="00DA3757">
        <w:rPr>
          <w:lang w:val="it-IT"/>
        </w:rPr>
        <w:tab/>
      </w:r>
      <w:r w:rsidRPr="00DA3757">
        <w:rPr>
          <w:lang w:val="it-IT"/>
        </w:rPr>
        <w:t>A/HRC/10/3, paras.47-57; A/HRC/42/17, paras.70, 79.</w:t>
      </w:r>
    </w:p>
  </w:footnote>
  <w:footnote w:id="103">
    <w:p w14:paraId="3DAB747E" w14:textId="77777777" w:rsidR="00ED4D26" w:rsidRPr="00F15A0D" w:rsidRDefault="00ED4D26" w:rsidP="002F78C4">
      <w:pPr>
        <w:pStyle w:val="FootnoteText"/>
      </w:pPr>
      <w:r w:rsidRPr="00DA3757">
        <w:rPr>
          <w:lang w:val="it-IT"/>
        </w:rPr>
        <w:tab/>
      </w:r>
      <w:r w:rsidRPr="0038700A">
        <w:rPr>
          <w:rStyle w:val="FootnoteReference"/>
        </w:rPr>
        <w:footnoteRef/>
      </w:r>
      <w:r w:rsidRPr="00DA3757">
        <w:rPr>
          <w:lang w:val="it-IT"/>
        </w:rPr>
        <w:tab/>
      </w:r>
      <w:r w:rsidRPr="00DA3757">
        <w:rPr>
          <w:lang w:val="it-IT"/>
        </w:rPr>
        <w:t xml:space="preserve">International </w:t>
      </w:r>
      <w:r w:rsidRPr="00DA3757">
        <w:rPr>
          <w:lang w:val="it-IT"/>
        </w:rPr>
        <w:t>Law Commission, Articles on Responsibility of States for International Wro</w:t>
      </w:r>
      <w:proofErr w:type="spellStart"/>
      <w:r>
        <w:t>ngful</w:t>
      </w:r>
      <w:proofErr w:type="spellEnd"/>
      <w:r>
        <w:t xml:space="preserve"> Acts (Articles of State Responsibility), Article 5.</w:t>
      </w:r>
    </w:p>
  </w:footnote>
  <w:footnote w:id="104">
    <w:p w14:paraId="75A0EAD9" w14:textId="77777777" w:rsidR="00ED4D26" w:rsidRPr="004F277A" w:rsidRDefault="00ED4D26" w:rsidP="002F78C4">
      <w:pPr>
        <w:pStyle w:val="FootnoteText"/>
        <w:rPr>
          <w:lang w:val="es-ES"/>
        </w:rPr>
      </w:pPr>
      <w:r>
        <w:rPr>
          <w:lang w:val="it-IT"/>
        </w:rPr>
        <w:tab/>
      </w:r>
      <w:r w:rsidRPr="0038700A">
        <w:rPr>
          <w:rStyle w:val="FootnoteReference"/>
        </w:rPr>
        <w:footnoteRef/>
      </w:r>
      <w:r w:rsidRPr="004F277A">
        <w:rPr>
          <w:lang w:val="es-ES"/>
        </w:rPr>
        <w:tab/>
        <w:t>CCPR/C/GC/35, para.8.</w:t>
      </w:r>
    </w:p>
  </w:footnote>
  <w:footnote w:id="105">
    <w:p w14:paraId="395E884F" w14:textId="04502234" w:rsidR="00ED4D26" w:rsidRPr="004F277A" w:rsidRDefault="00ED4D26" w:rsidP="002F78C4">
      <w:pPr>
        <w:pStyle w:val="FootnoteText"/>
        <w:rPr>
          <w:lang w:val="es-ES"/>
        </w:rPr>
      </w:pPr>
      <w:r w:rsidRPr="004F277A">
        <w:rPr>
          <w:lang w:val="es-ES"/>
        </w:rPr>
        <w:tab/>
      </w:r>
      <w:r w:rsidRPr="0038700A">
        <w:rPr>
          <w:rStyle w:val="FootnoteReference"/>
        </w:rPr>
        <w:footnoteRef/>
      </w:r>
      <w:r>
        <w:rPr>
          <w:lang w:val="it-IT"/>
        </w:rPr>
        <w:tab/>
      </w:r>
      <w:r>
        <w:rPr>
          <w:lang w:val="it-IT"/>
        </w:rPr>
        <w:t>Ibid., para.</w:t>
      </w:r>
      <w:r w:rsidRPr="002F78C4">
        <w:rPr>
          <w:lang w:val="it-IT"/>
        </w:rPr>
        <w:t>63; CCPR/C/GC/36, para.</w:t>
      </w:r>
      <w:r w:rsidRPr="004F277A">
        <w:rPr>
          <w:lang w:val="es-ES"/>
        </w:rPr>
        <w:t>63.</w:t>
      </w:r>
    </w:p>
  </w:footnote>
  <w:footnote w:id="106">
    <w:p w14:paraId="7AA013BD" w14:textId="4D211F31" w:rsidR="00ED4D26" w:rsidRPr="006F069B" w:rsidRDefault="00ED4D26" w:rsidP="002F78C4">
      <w:pPr>
        <w:pStyle w:val="FootnoteText"/>
      </w:pPr>
      <w:r w:rsidRPr="004F277A">
        <w:rPr>
          <w:lang w:val="es-ES"/>
        </w:rPr>
        <w:tab/>
      </w:r>
      <w:r w:rsidRPr="0038700A">
        <w:rPr>
          <w:rStyle w:val="FootnoteReference"/>
        </w:rPr>
        <w:footnoteRef/>
      </w:r>
      <w:r>
        <w:tab/>
      </w:r>
      <w:r w:rsidRPr="007F0898">
        <w:t xml:space="preserve">ICJ, </w:t>
      </w:r>
      <w:r w:rsidRPr="006F069B">
        <w:rPr>
          <w:i/>
        </w:rPr>
        <w:t>Case concerning application of the Convention on the Prevention and Punishment of the Crime of Genocide</w:t>
      </w:r>
      <w:r w:rsidRPr="007F0898">
        <w:t xml:space="preserve"> (</w:t>
      </w:r>
      <w:r w:rsidRPr="006F069B">
        <w:rPr>
          <w:i/>
        </w:rPr>
        <w:t>Bosnia and Herzegovina v Serbia and Montenegro</w:t>
      </w:r>
      <w:r w:rsidRPr="007F0898">
        <w:t>), Judgment, 26 February 2007,</w:t>
      </w:r>
      <w:r>
        <w:t xml:space="preserve"> paras.391-393.</w:t>
      </w:r>
    </w:p>
  </w:footnote>
  <w:footnote w:id="107">
    <w:p w14:paraId="6A224014" w14:textId="77777777" w:rsidR="00ED4D26" w:rsidRPr="004F277A" w:rsidRDefault="00ED4D26" w:rsidP="002F78C4">
      <w:pPr>
        <w:pStyle w:val="FootnoteText"/>
        <w:rPr>
          <w:lang w:val="es-ES"/>
        </w:rPr>
      </w:pPr>
      <w:r>
        <w:tab/>
      </w:r>
      <w:r w:rsidRPr="0038700A">
        <w:rPr>
          <w:rStyle w:val="FootnoteReference"/>
        </w:rPr>
        <w:footnoteRef/>
      </w:r>
      <w:r w:rsidRPr="004F277A">
        <w:rPr>
          <w:lang w:val="es-ES"/>
        </w:rPr>
        <w:tab/>
        <w:t>CCPR/C/21/Rev1/Add.13, para.10.</w:t>
      </w:r>
    </w:p>
  </w:footnote>
  <w:footnote w:id="108">
    <w:p w14:paraId="3F013A60" w14:textId="77777777" w:rsidR="00ED4D26" w:rsidRPr="009452B0" w:rsidRDefault="00ED4D26" w:rsidP="002F78C4">
      <w:pPr>
        <w:pStyle w:val="FootnoteText"/>
      </w:pPr>
      <w:r w:rsidRPr="004F277A">
        <w:rPr>
          <w:lang w:val="es-ES"/>
        </w:rPr>
        <w:tab/>
      </w:r>
      <w:r w:rsidRPr="0038700A">
        <w:rPr>
          <w:rStyle w:val="FootnoteReference"/>
        </w:rPr>
        <w:footnoteRef/>
      </w:r>
      <w:r>
        <w:tab/>
        <w:t xml:space="preserve">CCPR/C/GC/36, para. 63; </w:t>
      </w:r>
      <w:r w:rsidRPr="00942B34">
        <w:rPr>
          <w:i/>
        </w:rPr>
        <w:t>Al-</w:t>
      </w:r>
      <w:proofErr w:type="spellStart"/>
      <w:r w:rsidRPr="00942B34">
        <w:rPr>
          <w:i/>
        </w:rPr>
        <w:t>Skeini</w:t>
      </w:r>
      <w:proofErr w:type="spellEnd"/>
      <w:r w:rsidRPr="00942B34">
        <w:rPr>
          <w:i/>
        </w:rPr>
        <w:t xml:space="preserve"> v. United Kingdom</w:t>
      </w:r>
      <w:r w:rsidRPr="00942B34">
        <w:t>, App. No. 55721/07, 7 July 2011, para 142.</w:t>
      </w:r>
    </w:p>
  </w:footnote>
  <w:footnote w:id="109">
    <w:p w14:paraId="2D293910" w14:textId="77777777" w:rsidR="00ED4D26" w:rsidRPr="00072F89" w:rsidRDefault="00ED4D26" w:rsidP="002F78C4">
      <w:pPr>
        <w:pStyle w:val="FootnoteText"/>
        <w:rPr>
          <w:lang w:val="es-ES"/>
        </w:rPr>
      </w:pPr>
      <w:r>
        <w:tab/>
      </w:r>
      <w:r w:rsidRPr="0038700A">
        <w:rPr>
          <w:rStyle w:val="FootnoteReference"/>
        </w:rPr>
        <w:footnoteRef/>
      </w:r>
      <w:r w:rsidRPr="00072F89">
        <w:rPr>
          <w:lang w:val="es-ES"/>
        </w:rPr>
        <w:tab/>
        <w:t xml:space="preserve">Supra note 105, </w:t>
      </w:r>
      <w:proofErr w:type="spellStart"/>
      <w:r w:rsidRPr="00072F89">
        <w:rPr>
          <w:lang w:val="es-ES"/>
        </w:rPr>
        <w:t>Article</w:t>
      </w:r>
      <w:proofErr w:type="spellEnd"/>
      <w:r w:rsidRPr="00072F89">
        <w:rPr>
          <w:lang w:val="es-ES"/>
        </w:rPr>
        <w:t xml:space="preserve"> 8.</w:t>
      </w:r>
    </w:p>
  </w:footnote>
  <w:footnote w:id="110">
    <w:p w14:paraId="217ED988" w14:textId="3CF7732A" w:rsidR="00ED4D26" w:rsidRPr="004F277A" w:rsidRDefault="00ED4D26" w:rsidP="002F78C4">
      <w:pPr>
        <w:pStyle w:val="FootnoteText"/>
        <w:rPr>
          <w:lang w:val="es-ES"/>
        </w:rPr>
      </w:pPr>
      <w:r w:rsidRPr="00072F89">
        <w:rPr>
          <w:i/>
          <w:lang w:val="es-ES"/>
        </w:rPr>
        <w:tab/>
      </w:r>
      <w:r w:rsidRPr="0038700A">
        <w:rPr>
          <w:rStyle w:val="FootnoteReference"/>
        </w:rPr>
        <w:footnoteRef/>
      </w:r>
      <w:r w:rsidRPr="002F78C4">
        <w:rPr>
          <w:i/>
          <w:lang w:val="it-IT"/>
        </w:rPr>
        <w:tab/>
      </w:r>
      <w:r w:rsidRPr="002F78C4">
        <w:rPr>
          <w:i/>
          <w:lang w:val="it-IT"/>
        </w:rPr>
        <w:t>Genocide case</w:t>
      </w:r>
      <w:r w:rsidRPr="002F78C4">
        <w:rPr>
          <w:lang w:val="it-IT"/>
        </w:rPr>
        <w:t xml:space="preserve">, </w:t>
      </w:r>
      <w:r w:rsidRPr="002F78C4">
        <w:rPr>
          <w:i/>
          <w:lang w:val="it-IT"/>
        </w:rPr>
        <w:t xml:space="preserve">supra </w:t>
      </w:r>
      <w:r w:rsidRPr="002F78C4">
        <w:rPr>
          <w:lang w:val="it-IT"/>
        </w:rPr>
        <w:t xml:space="preserve">note </w:t>
      </w:r>
      <w:r>
        <w:fldChar w:fldCharType="begin"/>
      </w:r>
      <w:r w:rsidRPr="002F78C4">
        <w:rPr>
          <w:lang w:val="it-IT"/>
        </w:rPr>
        <w:instrText xml:space="preserve"> NOTEREF _Ref440285000 \h </w:instrText>
      </w:r>
      <w:r>
        <w:fldChar w:fldCharType="separate"/>
      </w:r>
      <w:r>
        <w:rPr>
          <w:lang w:val="it-IT"/>
        </w:rPr>
        <w:t>104</w:t>
      </w:r>
      <w:r>
        <w:fldChar w:fldCharType="end"/>
      </w:r>
      <w:r w:rsidRPr="002F78C4">
        <w:rPr>
          <w:lang w:val="it-IT"/>
        </w:rPr>
        <w:t>, para.</w:t>
      </w:r>
      <w:r w:rsidRPr="004F277A">
        <w:rPr>
          <w:lang w:val="es-ES"/>
        </w:rPr>
        <w:t>400</w:t>
      </w:r>
      <w:r w:rsidR="00072F89">
        <w:rPr>
          <w:lang w:val="es-ES"/>
        </w:rPr>
        <w:t>.</w:t>
      </w:r>
    </w:p>
  </w:footnote>
  <w:footnote w:id="111">
    <w:p w14:paraId="1A6BEB29" w14:textId="77777777" w:rsidR="00ED4D26" w:rsidRPr="004F277A" w:rsidRDefault="00ED4D26" w:rsidP="002F78C4">
      <w:pPr>
        <w:pStyle w:val="FootnoteText"/>
        <w:rPr>
          <w:lang w:val="es-ES"/>
        </w:rPr>
      </w:pPr>
      <w:r w:rsidRPr="004F277A">
        <w:rPr>
          <w:lang w:val="es-ES"/>
        </w:rPr>
        <w:tab/>
      </w:r>
      <w:r w:rsidRPr="0038700A">
        <w:rPr>
          <w:rStyle w:val="FootnoteReference"/>
        </w:rPr>
        <w:footnoteRef/>
      </w:r>
      <w:r w:rsidRPr="004F277A">
        <w:rPr>
          <w:lang w:val="es-ES"/>
        </w:rPr>
        <w:tab/>
        <w:t>CCPR/C/AUS/CO/6, para.35.</w:t>
      </w:r>
    </w:p>
  </w:footnote>
  <w:footnote w:id="112">
    <w:p w14:paraId="39293293" w14:textId="6233F649" w:rsidR="00ED4D26" w:rsidRPr="00015640" w:rsidRDefault="00ED4D26" w:rsidP="002F78C4">
      <w:pPr>
        <w:pStyle w:val="FootnoteText"/>
      </w:pPr>
      <w:r w:rsidRPr="004F277A">
        <w:rPr>
          <w:lang w:val="es-ES"/>
        </w:rPr>
        <w:tab/>
      </w:r>
      <w:r w:rsidRPr="0038700A">
        <w:rPr>
          <w:rStyle w:val="FootnoteReference"/>
        </w:rPr>
        <w:footnoteRef/>
      </w:r>
      <w:r>
        <w:tab/>
      </w:r>
      <w:r w:rsidRPr="00015640">
        <w:t xml:space="preserve">See, Miles Jackson, </w:t>
      </w:r>
      <w:r w:rsidRPr="00015640">
        <w:rPr>
          <w:i/>
        </w:rPr>
        <w:t xml:space="preserve">Freeing </w:t>
      </w:r>
      <w:proofErr w:type="spellStart"/>
      <w:r w:rsidRPr="00015640">
        <w:rPr>
          <w:i/>
        </w:rPr>
        <w:t>Soering</w:t>
      </w:r>
      <w:proofErr w:type="spellEnd"/>
      <w:r w:rsidRPr="00015640">
        <w:t xml:space="preserve">: The ECHR State Complicity in Torture and Jurisdiction, 27(3) Eur. J. Int’l L. 817 (2016); Magdalena </w:t>
      </w:r>
      <w:proofErr w:type="spellStart"/>
      <w:r w:rsidRPr="00015640">
        <w:t>Pacholska</w:t>
      </w:r>
      <w:proofErr w:type="spellEnd"/>
      <w:r w:rsidRPr="00015640">
        <w:t xml:space="preserve">, </w:t>
      </w:r>
      <w:r w:rsidRPr="00015640">
        <w:rPr>
          <w:i/>
        </w:rPr>
        <w:t>Complicity and the Law of International Organizations</w:t>
      </w:r>
      <w:r>
        <w:t xml:space="preserve">, </w:t>
      </w:r>
      <w:r w:rsidRPr="00015640">
        <w:t>Edward Elgar 2020</w:t>
      </w:r>
      <w:r>
        <w:t>(forthcoming)</w:t>
      </w:r>
      <w:r w:rsidRPr="00015640">
        <w:t>, Chapter 7, para</w:t>
      </w:r>
      <w:r>
        <w:t>.</w:t>
      </w:r>
      <w:r w:rsidRPr="00015640">
        <w:t>6.</w:t>
      </w:r>
    </w:p>
  </w:footnote>
  <w:footnote w:id="113">
    <w:p w14:paraId="7C861175" w14:textId="77777777" w:rsidR="00ED4D26" w:rsidRDefault="00ED4D26" w:rsidP="002F78C4">
      <w:pPr>
        <w:pStyle w:val="FootnoteText"/>
      </w:pPr>
      <w:r>
        <w:tab/>
      </w:r>
      <w:r w:rsidRPr="0038700A">
        <w:rPr>
          <w:rStyle w:val="FootnoteReference"/>
        </w:rPr>
        <w:footnoteRef/>
      </w:r>
      <w:r>
        <w:tab/>
        <w:t>CCPR/C/GC/36, paras.22 and 63.</w:t>
      </w:r>
    </w:p>
  </w:footnote>
  <w:footnote w:id="114">
    <w:p w14:paraId="3E58B076" w14:textId="07F03501" w:rsidR="00ED4D26" w:rsidRPr="0079043D" w:rsidRDefault="00ED4D26" w:rsidP="002F78C4">
      <w:pPr>
        <w:pStyle w:val="FootnoteText"/>
      </w:pPr>
      <w:r>
        <w:tab/>
      </w:r>
      <w:r w:rsidRPr="0038700A">
        <w:rPr>
          <w:rStyle w:val="FootnoteReference"/>
        </w:rPr>
        <w:footnoteRef/>
      </w:r>
      <w:r>
        <w:tab/>
        <w:t>2016 ICRC Commentary to the First Geneva Conventions, paras.154</w:t>
      </w:r>
      <w:proofErr w:type="gramStart"/>
      <w:r>
        <w:t>,158</w:t>
      </w:r>
      <w:proofErr w:type="gramEnd"/>
      <w:r>
        <w:t xml:space="preserve">; </w:t>
      </w:r>
      <w:r w:rsidRPr="0079043D">
        <w:t xml:space="preserve">ICJ, </w:t>
      </w:r>
      <w:r w:rsidRPr="0079043D">
        <w:rPr>
          <w:i/>
          <w:iCs/>
        </w:rPr>
        <w:t>Military and Paramilitary Activities in and against Nicaragua case</w:t>
      </w:r>
      <w:r w:rsidRPr="0079043D">
        <w:t>, Merits, Judgment, 1986, para.220.</w:t>
      </w:r>
    </w:p>
  </w:footnote>
  <w:footnote w:id="115">
    <w:p w14:paraId="6B767B8D" w14:textId="77777777" w:rsidR="00ED4D26" w:rsidRPr="00B20D43" w:rsidRDefault="00ED4D26" w:rsidP="002F78C4">
      <w:pPr>
        <w:pStyle w:val="FootnoteText"/>
      </w:pPr>
      <w:r>
        <w:tab/>
      </w:r>
      <w:r w:rsidRPr="0038700A">
        <w:rPr>
          <w:rStyle w:val="FootnoteReference"/>
        </w:rPr>
        <w:footnoteRef/>
      </w:r>
      <w:r>
        <w:tab/>
        <w:t xml:space="preserve">ICRC Commentary </w:t>
      </w:r>
      <w:proofErr w:type="gramStart"/>
      <w:r>
        <w:t>ibid.,</w:t>
      </w:r>
      <w:proofErr w:type="gramEnd"/>
      <w:r>
        <w:t xml:space="preserve"> at para.164.</w:t>
      </w:r>
    </w:p>
  </w:footnote>
  <w:footnote w:id="116">
    <w:p w14:paraId="4D167B5D" w14:textId="543F9796" w:rsidR="00ED4D26" w:rsidRPr="0080748A" w:rsidRDefault="00ED4D26">
      <w:pPr>
        <w:pStyle w:val="FootnoteText"/>
      </w:pPr>
      <w:r>
        <w:tab/>
      </w:r>
      <w:r>
        <w:rPr>
          <w:rStyle w:val="FootnoteReference"/>
        </w:rPr>
        <w:footnoteRef/>
      </w:r>
      <w:r>
        <w:t xml:space="preserve"> </w:t>
      </w:r>
      <w:r>
        <w:tab/>
      </w:r>
      <w:r w:rsidRPr="0080748A">
        <w:t>Ibid. para.160</w:t>
      </w:r>
      <w:r w:rsidR="00072F89">
        <w:t>.</w:t>
      </w:r>
    </w:p>
  </w:footnote>
  <w:footnote w:id="117">
    <w:p w14:paraId="3B6EC483" w14:textId="3EC72FFF" w:rsidR="00ED4D26" w:rsidRPr="002D65EC" w:rsidRDefault="00ED4D26" w:rsidP="00286110">
      <w:pPr>
        <w:pStyle w:val="FootnoteText"/>
      </w:pPr>
      <w:r>
        <w:tab/>
      </w:r>
      <w:r w:rsidRPr="0038700A">
        <w:rPr>
          <w:rStyle w:val="FootnoteReference"/>
        </w:rPr>
        <w:footnoteRef/>
      </w:r>
      <w:r>
        <w:tab/>
        <w:t xml:space="preserve">Articles of State Responsibility, Article 16; </w:t>
      </w:r>
      <w:r w:rsidRPr="00DA2EAE">
        <w:rPr>
          <w:i/>
        </w:rPr>
        <w:t>Genocide case</w:t>
      </w:r>
      <w:r>
        <w:t xml:space="preserve">, </w:t>
      </w:r>
      <w:r>
        <w:rPr>
          <w:i/>
        </w:rPr>
        <w:t xml:space="preserve">supra </w:t>
      </w:r>
      <w:r>
        <w:t xml:space="preserve">note </w:t>
      </w:r>
      <w:r>
        <w:fldChar w:fldCharType="begin"/>
      </w:r>
      <w:r>
        <w:instrText xml:space="preserve"> NOTEREF _Ref440285000 \h </w:instrText>
      </w:r>
      <w:r>
        <w:fldChar w:fldCharType="separate"/>
      </w:r>
      <w:r>
        <w:t>104</w:t>
      </w:r>
      <w:r>
        <w:fldChar w:fldCharType="end"/>
      </w:r>
      <w:r>
        <w:t>, para.420.</w:t>
      </w:r>
    </w:p>
  </w:footnote>
  <w:footnote w:id="118">
    <w:p w14:paraId="2375ABD6" w14:textId="7D98F55E" w:rsidR="00ED4D26" w:rsidRPr="001A093B" w:rsidRDefault="00ED4D26" w:rsidP="00286110">
      <w:pPr>
        <w:pStyle w:val="FootnoteText"/>
      </w:pPr>
      <w:r>
        <w:tab/>
      </w:r>
      <w:r w:rsidRPr="0038700A">
        <w:rPr>
          <w:rStyle w:val="FootnoteReference"/>
        </w:rPr>
        <w:footnoteRef/>
      </w:r>
      <w:r>
        <w:tab/>
        <w:t>International Law Commission, Commentary, Articles of State Responsibility, Article 16; ICRC Commentary ibid., at para.160</w:t>
      </w:r>
      <w:r w:rsidRPr="003E3C62">
        <w:t xml:space="preserve">; Magdalena </w:t>
      </w:r>
      <w:proofErr w:type="spellStart"/>
      <w:r w:rsidRPr="003E3C62">
        <w:t>Pacholska</w:t>
      </w:r>
      <w:proofErr w:type="spellEnd"/>
      <w:r w:rsidRPr="003E3C62">
        <w:t xml:space="preserve">, </w:t>
      </w:r>
      <w:r w:rsidRPr="003E3C62">
        <w:rPr>
          <w:i/>
        </w:rPr>
        <w:t>Complicity and the Law of International Organizations</w:t>
      </w:r>
      <w:r w:rsidRPr="003E3C62">
        <w:t xml:space="preserve">,  Edward Elgar 2020(forthcoming), Chapter 4.c.; </w:t>
      </w:r>
      <w:r w:rsidRPr="003E3C62">
        <w:rPr>
          <w:rFonts w:ascii="TimesNewRomanPSMT" w:hAnsi="TimesNewRomanPSMT"/>
        </w:rPr>
        <w:t xml:space="preserve">Crawford, </w:t>
      </w:r>
      <w:r w:rsidRPr="003E3C62">
        <w:rPr>
          <w:rFonts w:ascii="TimesNewRomanPS" w:hAnsi="TimesNewRomanPS"/>
          <w:i/>
          <w:iCs/>
        </w:rPr>
        <w:t>State Responsibility: The General Part</w:t>
      </w:r>
      <w:r w:rsidRPr="003E3C62">
        <w:rPr>
          <w:rFonts w:ascii="TimesNewRomanPSMT" w:hAnsi="TimesNewRomanPSMT"/>
        </w:rPr>
        <w:t xml:space="preserve">, Cambridge University Press 2013, p.408; Stefan </w:t>
      </w:r>
      <w:proofErr w:type="spellStart"/>
      <w:r w:rsidRPr="003E3C62">
        <w:rPr>
          <w:rFonts w:ascii="TimesNewRomanPSMT" w:hAnsi="TimesNewRomanPSMT"/>
        </w:rPr>
        <w:t>Talmon</w:t>
      </w:r>
      <w:proofErr w:type="spellEnd"/>
      <w:r w:rsidRPr="003E3C62">
        <w:rPr>
          <w:rFonts w:ascii="TimesNewRomanPSMT" w:hAnsi="TimesNewRomanPSMT"/>
        </w:rPr>
        <w:t>, ‘A Plurality of Responsible Actors: International Responsibility for Acts of the Coalition Provisional Authority’ in Iraq in Phil Shiner, Andrew Williams (</w:t>
      </w:r>
      <w:proofErr w:type="spellStart"/>
      <w:r w:rsidRPr="003E3C62">
        <w:rPr>
          <w:rFonts w:ascii="TimesNewRomanPSMT" w:hAnsi="TimesNewRomanPSMT"/>
        </w:rPr>
        <w:t>eds</w:t>
      </w:r>
      <w:proofErr w:type="spellEnd"/>
      <w:r w:rsidRPr="003E3C62">
        <w:rPr>
          <w:rFonts w:ascii="TimesNewRomanPSMT" w:hAnsi="TimesNewRomanPSMT"/>
        </w:rPr>
        <w:t xml:space="preserve">), </w:t>
      </w:r>
      <w:r w:rsidRPr="003E3C62">
        <w:rPr>
          <w:rFonts w:ascii="TimesNewRomanPS" w:hAnsi="TimesNewRomanPS"/>
          <w:i/>
          <w:iCs/>
        </w:rPr>
        <w:t xml:space="preserve">The Iraq War and International Law </w:t>
      </w:r>
      <w:r w:rsidRPr="003E3C62">
        <w:rPr>
          <w:rFonts w:ascii="TimesNewRomanPSMT" w:hAnsi="TimesNewRomanPSMT"/>
        </w:rPr>
        <w:t xml:space="preserve">(Bloomsbury 2008); Marco </w:t>
      </w:r>
      <w:proofErr w:type="spellStart"/>
      <w:r w:rsidRPr="003E3C62">
        <w:rPr>
          <w:rFonts w:ascii="TimesNewRomanPSMT" w:hAnsi="TimesNewRomanPSMT"/>
        </w:rPr>
        <w:t>Sassòli</w:t>
      </w:r>
      <w:proofErr w:type="spellEnd"/>
      <w:r w:rsidRPr="003E3C62">
        <w:rPr>
          <w:rFonts w:ascii="TimesNewRomanPSMT" w:hAnsi="TimesNewRomanPSMT"/>
        </w:rPr>
        <w:t>, ‘State responsibility for violations of international humanitarian law’ (2002) 846 IRRC, p.413</w:t>
      </w:r>
      <w:r w:rsidRPr="00670FB0">
        <w:rPr>
          <w:rFonts w:ascii="TimesNewRomanPSMT" w:hAnsi="TimesNewRomanPSMT"/>
        </w:rPr>
        <w:t xml:space="preserve"> </w:t>
      </w:r>
    </w:p>
  </w:footnote>
  <w:footnote w:id="119">
    <w:p w14:paraId="744DE6D6" w14:textId="51C66A02" w:rsidR="00ED4D26" w:rsidRPr="00B63DB8" w:rsidRDefault="00ED4D26" w:rsidP="00286110">
      <w:pPr>
        <w:pStyle w:val="FootnoteText"/>
        <w:rPr>
          <w:lang w:val="fr-CA"/>
        </w:rPr>
      </w:pPr>
      <w:r w:rsidRPr="00E85795">
        <w:tab/>
      </w:r>
      <w:r w:rsidRPr="0038700A">
        <w:rPr>
          <w:rStyle w:val="FootnoteReference"/>
        </w:rPr>
        <w:footnoteRef/>
      </w:r>
      <w:r w:rsidRPr="00B63DB8">
        <w:rPr>
          <w:lang w:val="fr-CA"/>
        </w:rPr>
        <w:tab/>
        <w:t>CCPR/C/21/Rev.1/Add.11, paras.11,16; CCPR/C/GC/35, paras.66-68.</w:t>
      </w:r>
    </w:p>
  </w:footnote>
  <w:footnote w:id="120">
    <w:p w14:paraId="6B9DA57D" w14:textId="77777777" w:rsidR="00ED4D26" w:rsidRPr="006336A9" w:rsidRDefault="00ED4D26" w:rsidP="00286110">
      <w:pPr>
        <w:pStyle w:val="FootnoteText"/>
      </w:pPr>
      <w:r w:rsidRPr="00B63DB8">
        <w:rPr>
          <w:lang w:val="fr-CA"/>
        </w:rPr>
        <w:tab/>
      </w:r>
      <w:r w:rsidRPr="0038700A">
        <w:rPr>
          <w:rStyle w:val="FootnoteReference"/>
        </w:rPr>
        <w:footnoteRef/>
      </w:r>
      <w:r>
        <w:tab/>
      </w:r>
      <w:r w:rsidRPr="006336A9">
        <w:t xml:space="preserve">Articles of State Responsibility, Article 41(2); Commentary, </w:t>
      </w:r>
      <w:r w:rsidRPr="006336A9">
        <w:rPr>
          <w:i/>
        </w:rPr>
        <w:t xml:space="preserve">supra </w:t>
      </w:r>
      <w:r w:rsidRPr="006336A9">
        <w:t xml:space="preserve">note </w:t>
      </w:r>
      <w:r>
        <w:t>119</w:t>
      </w:r>
      <w:r w:rsidRPr="006336A9">
        <w:t>, Article 41, para.11.</w:t>
      </w:r>
    </w:p>
  </w:footnote>
  <w:footnote w:id="121">
    <w:p w14:paraId="19E28F18" w14:textId="44C4A8A8" w:rsidR="00ED4D26" w:rsidRPr="006336A9" w:rsidRDefault="00ED4D26" w:rsidP="00C547E5">
      <w:pPr>
        <w:pStyle w:val="FootnoteText"/>
        <w:rPr>
          <w:lang w:val="en-US"/>
        </w:rPr>
      </w:pPr>
      <w:r>
        <w:rPr>
          <w:lang w:val="en-US"/>
        </w:rPr>
        <w:tab/>
      </w:r>
      <w:r w:rsidRPr="0038700A">
        <w:rPr>
          <w:rStyle w:val="FootnoteReference"/>
        </w:rPr>
        <w:footnoteRef/>
      </w:r>
      <w:r>
        <w:rPr>
          <w:lang w:val="en-US"/>
        </w:rPr>
        <w:tab/>
      </w:r>
      <w:r w:rsidRPr="006336A9">
        <w:rPr>
          <w:lang w:val="en-US"/>
        </w:rPr>
        <w:t>See para.30 above</w:t>
      </w:r>
      <w:r w:rsidR="00072F89">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10D0" w14:textId="0044DA77" w:rsidR="00ED4D26" w:rsidRPr="00CE3F4A" w:rsidRDefault="00583E42">
    <w:pPr>
      <w:pStyle w:val="Header"/>
      <w:rPr>
        <w:lang w:val="fr-CA"/>
      </w:rPr>
    </w:pPr>
    <w:fldSimple w:instr=" TITLE  \* MERGEFORMAT ">
      <w:r w:rsidR="00ED4D26">
        <w:t>A/HRC/43/</w:t>
      </w:r>
    </w:fldSimple>
    <w:r w:rsidR="00CE3F4A">
      <w:t>35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1EED3" w14:textId="0CC31365" w:rsidR="00ED4D26" w:rsidRPr="00AE14FE" w:rsidRDefault="00583E42" w:rsidP="00AE14FE">
    <w:pPr>
      <w:pStyle w:val="Header"/>
      <w:jc w:val="right"/>
    </w:pPr>
    <w:fldSimple w:instr=" TITLE  \* MERGEFORMAT ">
      <w:r w:rsidR="00ED4D26">
        <w:t>A/HRC/43/</w:t>
      </w:r>
      <w:r w:rsidR="00CE3F4A">
        <w:t>35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7F6341"/>
    <w:multiLevelType w:val="hybridMultilevel"/>
    <w:tmpl w:val="E2B00D52"/>
    <w:lvl w:ilvl="0" w:tplc="854A11DA">
      <w:start w:val="1"/>
      <w:numFmt w:val="decimal"/>
      <w:lvlText w:val="%1."/>
      <w:lvlJc w:val="left"/>
      <w:pPr>
        <w:ind w:left="1689" w:hanging="555"/>
      </w:pPr>
      <w:rPr>
        <w:rFonts w:hint="default"/>
        <w:b w:val="0"/>
        <w:bCs/>
        <w:i w:val="0"/>
        <w:iCs/>
        <w:vertAlign w:val="baselin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6457CAC"/>
    <w:multiLevelType w:val="hybridMultilevel"/>
    <w:tmpl w:val="47E4795E"/>
    <w:lvl w:ilvl="0" w:tplc="9530FDCC">
      <w:start w:val="6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52589"/>
    <w:multiLevelType w:val="hybridMultilevel"/>
    <w:tmpl w:val="61AA31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1565AE"/>
    <w:multiLevelType w:val="hybridMultilevel"/>
    <w:tmpl w:val="954CEFF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E5E345D"/>
    <w:multiLevelType w:val="hybridMultilevel"/>
    <w:tmpl w:val="776E5D50"/>
    <w:lvl w:ilvl="0" w:tplc="0809000F">
      <w:start w:val="4"/>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F0370"/>
    <w:multiLevelType w:val="hybridMultilevel"/>
    <w:tmpl w:val="93C21C4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18908D0"/>
    <w:multiLevelType w:val="hybridMultilevel"/>
    <w:tmpl w:val="F33AA66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6"/>
  </w:num>
  <w:num w:numId="13">
    <w:abstractNumId w:val="10"/>
  </w:num>
  <w:num w:numId="14">
    <w:abstractNumId w:val="14"/>
  </w:num>
  <w:num w:numId="15">
    <w:abstractNumId w:val="19"/>
  </w:num>
  <w:num w:numId="16">
    <w:abstractNumId w:val="15"/>
  </w:num>
  <w:num w:numId="17">
    <w:abstractNumId w:val="24"/>
  </w:num>
  <w:num w:numId="18">
    <w:abstractNumId w:val="25"/>
  </w:num>
  <w:num w:numId="19">
    <w:abstractNumId w:val="12"/>
  </w:num>
  <w:num w:numId="20">
    <w:abstractNumId w:val="23"/>
  </w:num>
  <w:num w:numId="21">
    <w:abstractNumId w:val="22"/>
  </w:num>
  <w:num w:numId="22">
    <w:abstractNumId w:val="18"/>
  </w:num>
  <w:num w:numId="23">
    <w:abstractNumId w:val="11"/>
  </w:num>
  <w:num w:numId="24">
    <w:abstractNumId w:val="20"/>
  </w:num>
  <w:num w:numId="25">
    <w:abstractNumId w:val="21"/>
  </w:num>
  <w:num w:numId="2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A"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CA" w:vendorID="64" w:dllVersion="4096" w:nlCheck="1" w:checkStyle="0"/>
  <w:activeWritingStyle w:appName="MSWord" w:lang="es-ES" w:vendorID="64" w:dllVersion="6" w:nlCheck="1" w:checkStyle="0"/>
  <w:activeWritingStyle w:appName="MSWord" w:lang="en-CA" w:vendorID="64" w:dllVersion="6" w:nlCheck="1" w:checkStyle="1"/>
  <w:activeWritingStyle w:appName="MSWord" w:lang="en-CA"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s-ES" w:vendorID="64" w:dllVersion="131078" w:nlCheck="1" w:checkStyle="0"/>
  <w:activeWritingStyle w:appName="MSWord" w:lang="fr-CA"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4FE"/>
    <w:rsid w:val="00001DA5"/>
    <w:rsid w:val="00002A7D"/>
    <w:rsid w:val="000038A8"/>
    <w:rsid w:val="00006790"/>
    <w:rsid w:val="00027624"/>
    <w:rsid w:val="000316B2"/>
    <w:rsid w:val="000363B9"/>
    <w:rsid w:val="00046197"/>
    <w:rsid w:val="00050F6B"/>
    <w:rsid w:val="00051674"/>
    <w:rsid w:val="0005788E"/>
    <w:rsid w:val="00066503"/>
    <w:rsid w:val="000678CD"/>
    <w:rsid w:val="00072C8C"/>
    <w:rsid w:val="00072F89"/>
    <w:rsid w:val="00074806"/>
    <w:rsid w:val="00081CE0"/>
    <w:rsid w:val="000823D8"/>
    <w:rsid w:val="00084D30"/>
    <w:rsid w:val="00090320"/>
    <w:rsid w:val="00090495"/>
    <w:rsid w:val="000931C0"/>
    <w:rsid w:val="00094992"/>
    <w:rsid w:val="000971C9"/>
    <w:rsid w:val="00097952"/>
    <w:rsid w:val="000A1496"/>
    <w:rsid w:val="000A2E09"/>
    <w:rsid w:val="000B175B"/>
    <w:rsid w:val="000B3704"/>
    <w:rsid w:val="000B3A0F"/>
    <w:rsid w:val="000B7ED8"/>
    <w:rsid w:val="000C5FB6"/>
    <w:rsid w:val="000C7248"/>
    <w:rsid w:val="000C7E9C"/>
    <w:rsid w:val="000D2158"/>
    <w:rsid w:val="000E0415"/>
    <w:rsid w:val="000E2E3C"/>
    <w:rsid w:val="000E5904"/>
    <w:rsid w:val="000E7DC1"/>
    <w:rsid w:val="000F0738"/>
    <w:rsid w:val="000F082B"/>
    <w:rsid w:val="000F7715"/>
    <w:rsid w:val="00105E70"/>
    <w:rsid w:val="00112C58"/>
    <w:rsid w:val="00115F84"/>
    <w:rsid w:val="00121E20"/>
    <w:rsid w:val="00132CC1"/>
    <w:rsid w:val="001519AA"/>
    <w:rsid w:val="00156390"/>
    <w:rsid w:val="00156B99"/>
    <w:rsid w:val="00160B5B"/>
    <w:rsid w:val="001631DA"/>
    <w:rsid w:val="00166124"/>
    <w:rsid w:val="001664A5"/>
    <w:rsid w:val="00172D82"/>
    <w:rsid w:val="00184DDA"/>
    <w:rsid w:val="001900CD"/>
    <w:rsid w:val="0019371C"/>
    <w:rsid w:val="001A0452"/>
    <w:rsid w:val="001A528A"/>
    <w:rsid w:val="001A6F60"/>
    <w:rsid w:val="001B4B04"/>
    <w:rsid w:val="001B5875"/>
    <w:rsid w:val="001C4B9C"/>
    <w:rsid w:val="001C6663"/>
    <w:rsid w:val="001C7895"/>
    <w:rsid w:val="001D1C1F"/>
    <w:rsid w:val="001D26DF"/>
    <w:rsid w:val="001E02E3"/>
    <w:rsid w:val="001E3AEE"/>
    <w:rsid w:val="001E4E1F"/>
    <w:rsid w:val="001F1599"/>
    <w:rsid w:val="001F19C4"/>
    <w:rsid w:val="001F52FC"/>
    <w:rsid w:val="002043F0"/>
    <w:rsid w:val="00210336"/>
    <w:rsid w:val="00211E0B"/>
    <w:rsid w:val="00212623"/>
    <w:rsid w:val="002170E5"/>
    <w:rsid w:val="002206E9"/>
    <w:rsid w:val="0022073D"/>
    <w:rsid w:val="00232575"/>
    <w:rsid w:val="002369A1"/>
    <w:rsid w:val="00242083"/>
    <w:rsid w:val="00247258"/>
    <w:rsid w:val="00257CAC"/>
    <w:rsid w:val="00257F75"/>
    <w:rsid w:val="002668E1"/>
    <w:rsid w:val="0027237A"/>
    <w:rsid w:val="00277F2C"/>
    <w:rsid w:val="00285858"/>
    <w:rsid w:val="00285915"/>
    <w:rsid w:val="00286110"/>
    <w:rsid w:val="002939D7"/>
    <w:rsid w:val="00296C4C"/>
    <w:rsid w:val="002974E9"/>
    <w:rsid w:val="002A0FD5"/>
    <w:rsid w:val="002A67C3"/>
    <w:rsid w:val="002A67C5"/>
    <w:rsid w:val="002A7F94"/>
    <w:rsid w:val="002B109A"/>
    <w:rsid w:val="002B2A04"/>
    <w:rsid w:val="002B4698"/>
    <w:rsid w:val="002B7D16"/>
    <w:rsid w:val="002C0092"/>
    <w:rsid w:val="002C6D45"/>
    <w:rsid w:val="002D2ACD"/>
    <w:rsid w:val="002D6E53"/>
    <w:rsid w:val="002D79CC"/>
    <w:rsid w:val="002E66F5"/>
    <w:rsid w:val="002E678E"/>
    <w:rsid w:val="002F046D"/>
    <w:rsid w:val="002F0EE1"/>
    <w:rsid w:val="002F2EAE"/>
    <w:rsid w:val="002F78C4"/>
    <w:rsid w:val="00301764"/>
    <w:rsid w:val="00304D88"/>
    <w:rsid w:val="00305B03"/>
    <w:rsid w:val="00305DCD"/>
    <w:rsid w:val="00317388"/>
    <w:rsid w:val="003229D8"/>
    <w:rsid w:val="00324F47"/>
    <w:rsid w:val="00336C97"/>
    <w:rsid w:val="00337F88"/>
    <w:rsid w:val="00342432"/>
    <w:rsid w:val="0035223F"/>
    <w:rsid w:val="00352D4B"/>
    <w:rsid w:val="0035638C"/>
    <w:rsid w:val="003569C4"/>
    <w:rsid w:val="003572B7"/>
    <w:rsid w:val="0037669E"/>
    <w:rsid w:val="00377C6E"/>
    <w:rsid w:val="00377D9F"/>
    <w:rsid w:val="003866D9"/>
    <w:rsid w:val="0038700A"/>
    <w:rsid w:val="003A46BB"/>
    <w:rsid w:val="003A4EC7"/>
    <w:rsid w:val="003A6B05"/>
    <w:rsid w:val="003A7295"/>
    <w:rsid w:val="003B1F60"/>
    <w:rsid w:val="003B6301"/>
    <w:rsid w:val="003C2CC4"/>
    <w:rsid w:val="003C4C00"/>
    <w:rsid w:val="003C6888"/>
    <w:rsid w:val="003C68FD"/>
    <w:rsid w:val="003D4B23"/>
    <w:rsid w:val="003D4CA3"/>
    <w:rsid w:val="003D7EA0"/>
    <w:rsid w:val="003E278A"/>
    <w:rsid w:val="003E3C62"/>
    <w:rsid w:val="003E7547"/>
    <w:rsid w:val="003F4C8F"/>
    <w:rsid w:val="00413520"/>
    <w:rsid w:val="0041744F"/>
    <w:rsid w:val="00421DD5"/>
    <w:rsid w:val="004221CC"/>
    <w:rsid w:val="00430DCF"/>
    <w:rsid w:val="004325CB"/>
    <w:rsid w:val="00434AF6"/>
    <w:rsid w:val="00436066"/>
    <w:rsid w:val="00440A07"/>
    <w:rsid w:val="00460560"/>
    <w:rsid w:val="00460E23"/>
    <w:rsid w:val="00462880"/>
    <w:rsid w:val="00463F20"/>
    <w:rsid w:val="00466630"/>
    <w:rsid w:val="00476DCE"/>
    <w:rsid w:val="00476F24"/>
    <w:rsid w:val="004806E7"/>
    <w:rsid w:val="00483D9C"/>
    <w:rsid w:val="00495944"/>
    <w:rsid w:val="00497DB0"/>
    <w:rsid w:val="004A332E"/>
    <w:rsid w:val="004A7E7B"/>
    <w:rsid w:val="004B15B8"/>
    <w:rsid w:val="004B18CA"/>
    <w:rsid w:val="004B288D"/>
    <w:rsid w:val="004B5D95"/>
    <w:rsid w:val="004C000B"/>
    <w:rsid w:val="004C55B0"/>
    <w:rsid w:val="004D07F1"/>
    <w:rsid w:val="004D5EDA"/>
    <w:rsid w:val="004F277A"/>
    <w:rsid w:val="004F6BA0"/>
    <w:rsid w:val="004F7F7E"/>
    <w:rsid w:val="00503BEA"/>
    <w:rsid w:val="00517B33"/>
    <w:rsid w:val="005309A9"/>
    <w:rsid w:val="00531482"/>
    <w:rsid w:val="005323D3"/>
    <w:rsid w:val="00533616"/>
    <w:rsid w:val="00535ABA"/>
    <w:rsid w:val="005361CF"/>
    <w:rsid w:val="0053768B"/>
    <w:rsid w:val="005420F2"/>
    <w:rsid w:val="0054285C"/>
    <w:rsid w:val="00550F01"/>
    <w:rsid w:val="00551131"/>
    <w:rsid w:val="00564989"/>
    <w:rsid w:val="0056618F"/>
    <w:rsid w:val="00570931"/>
    <w:rsid w:val="0057386E"/>
    <w:rsid w:val="005758EA"/>
    <w:rsid w:val="00583E42"/>
    <w:rsid w:val="00584173"/>
    <w:rsid w:val="005928B1"/>
    <w:rsid w:val="00595520"/>
    <w:rsid w:val="005A44B9"/>
    <w:rsid w:val="005A6F9A"/>
    <w:rsid w:val="005B1BA0"/>
    <w:rsid w:val="005B3DB3"/>
    <w:rsid w:val="005C1E46"/>
    <w:rsid w:val="005C234A"/>
    <w:rsid w:val="005C28EB"/>
    <w:rsid w:val="005C646C"/>
    <w:rsid w:val="005D15CA"/>
    <w:rsid w:val="005F08DF"/>
    <w:rsid w:val="005F3066"/>
    <w:rsid w:val="005F3E61"/>
    <w:rsid w:val="005F5743"/>
    <w:rsid w:val="005F6C86"/>
    <w:rsid w:val="00604DDD"/>
    <w:rsid w:val="006115CC"/>
    <w:rsid w:val="00611FC4"/>
    <w:rsid w:val="00616F5F"/>
    <w:rsid w:val="006176FB"/>
    <w:rsid w:val="00630FCB"/>
    <w:rsid w:val="00640B26"/>
    <w:rsid w:val="0065085F"/>
    <w:rsid w:val="006535A8"/>
    <w:rsid w:val="0065492D"/>
    <w:rsid w:val="0065766B"/>
    <w:rsid w:val="00657ADD"/>
    <w:rsid w:val="00671A8C"/>
    <w:rsid w:val="006752E2"/>
    <w:rsid w:val="006770B2"/>
    <w:rsid w:val="00686A48"/>
    <w:rsid w:val="00687173"/>
    <w:rsid w:val="00687661"/>
    <w:rsid w:val="006940E1"/>
    <w:rsid w:val="00694FB2"/>
    <w:rsid w:val="006A1947"/>
    <w:rsid w:val="006A3C72"/>
    <w:rsid w:val="006A3C83"/>
    <w:rsid w:val="006A7392"/>
    <w:rsid w:val="006B03A1"/>
    <w:rsid w:val="006B667C"/>
    <w:rsid w:val="006B67D9"/>
    <w:rsid w:val="006C5535"/>
    <w:rsid w:val="006D0589"/>
    <w:rsid w:val="006D7C91"/>
    <w:rsid w:val="006E1803"/>
    <w:rsid w:val="006E564B"/>
    <w:rsid w:val="006E7154"/>
    <w:rsid w:val="006F0E42"/>
    <w:rsid w:val="006F499F"/>
    <w:rsid w:val="006F6DF2"/>
    <w:rsid w:val="006F7532"/>
    <w:rsid w:val="007003CD"/>
    <w:rsid w:val="007012FA"/>
    <w:rsid w:val="0070701E"/>
    <w:rsid w:val="00713BDB"/>
    <w:rsid w:val="00713CDA"/>
    <w:rsid w:val="00724889"/>
    <w:rsid w:val="0072632A"/>
    <w:rsid w:val="007358E8"/>
    <w:rsid w:val="00736ECE"/>
    <w:rsid w:val="0074533B"/>
    <w:rsid w:val="00753AE1"/>
    <w:rsid w:val="00753D52"/>
    <w:rsid w:val="007547D2"/>
    <w:rsid w:val="00754FCE"/>
    <w:rsid w:val="0075642E"/>
    <w:rsid w:val="00756671"/>
    <w:rsid w:val="00763B3D"/>
    <w:rsid w:val="007643BC"/>
    <w:rsid w:val="00770549"/>
    <w:rsid w:val="00771718"/>
    <w:rsid w:val="007727B8"/>
    <w:rsid w:val="00780C68"/>
    <w:rsid w:val="00782B9C"/>
    <w:rsid w:val="007835C4"/>
    <w:rsid w:val="00790172"/>
    <w:rsid w:val="007959FE"/>
    <w:rsid w:val="007A04CD"/>
    <w:rsid w:val="007A0CF1"/>
    <w:rsid w:val="007B4CFE"/>
    <w:rsid w:val="007B6BA5"/>
    <w:rsid w:val="007B7DCB"/>
    <w:rsid w:val="007C3390"/>
    <w:rsid w:val="007C396F"/>
    <w:rsid w:val="007C42D8"/>
    <w:rsid w:val="007C4F4B"/>
    <w:rsid w:val="007D42DB"/>
    <w:rsid w:val="007D7362"/>
    <w:rsid w:val="007E5555"/>
    <w:rsid w:val="007F5CE2"/>
    <w:rsid w:val="007F6611"/>
    <w:rsid w:val="00800D04"/>
    <w:rsid w:val="0080558A"/>
    <w:rsid w:val="00806E1A"/>
    <w:rsid w:val="0080748A"/>
    <w:rsid w:val="00810BAC"/>
    <w:rsid w:val="00813EEF"/>
    <w:rsid w:val="008161DE"/>
    <w:rsid w:val="008171DD"/>
    <w:rsid w:val="008175E9"/>
    <w:rsid w:val="008206FF"/>
    <w:rsid w:val="008242D7"/>
    <w:rsid w:val="00824BEB"/>
    <w:rsid w:val="0082577B"/>
    <w:rsid w:val="008331E9"/>
    <w:rsid w:val="008437F3"/>
    <w:rsid w:val="00845193"/>
    <w:rsid w:val="008515CD"/>
    <w:rsid w:val="00866893"/>
    <w:rsid w:val="00866F02"/>
    <w:rsid w:val="0086743F"/>
    <w:rsid w:val="00867D18"/>
    <w:rsid w:val="00871F9A"/>
    <w:rsid w:val="00871FD5"/>
    <w:rsid w:val="00877AF0"/>
    <w:rsid w:val="0088172E"/>
    <w:rsid w:val="00881EFA"/>
    <w:rsid w:val="008879CB"/>
    <w:rsid w:val="008951EC"/>
    <w:rsid w:val="008979B1"/>
    <w:rsid w:val="008A0C0D"/>
    <w:rsid w:val="008A4419"/>
    <w:rsid w:val="008A6B25"/>
    <w:rsid w:val="008A6C4F"/>
    <w:rsid w:val="008A6E3C"/>
    <w:rsid w:val="008B1207"/>
    <w:rsid w:val="008B389E"/>
    <w:rsid w:val="008B4037"/>
    <w:rsid w:val="008D045E"/>
    <w:rsid w:val="008D15C2"/>
    <w:rsid w:val="008D15D2"/>
    <w:rsid w:val="008D3F25"/>
    <w:rsid w:val="008D4D82"/>
    <w:rsid w:val="008E0E46"/>
    <w:rsid w:val="008E4757"/>
    <w:rsid w:val="008E641B"/>
    <w:rsid w:val="008E7116"/>
    <w:rsid w:val="008F143B"/>
    <w:rsid w:val="008F3882"/>
    <w:rsid w:val="008F4B7C"/>
    <w:rsid w:val="009008FB"/>
    <w:rsid w:val="009011A2"/>
    <w:rsid w:val="00910813"/>
    <w:rsid w:val="00926E47"/>
    <w:rsid w:val="009439EA"/>
    <w:rsid w:val="00947162"/>
    <w:rsid w:val="00953450"/>
    <w:rsid w:val="00956EEA"/>
    <w:rsid w:val="009610D0"/>
    <w:rsid w:val="00961E29"/>
    <w:rsid w:val="0096375C"/>
    <w:rsid w:val="009662E6"/>
    <w:rsid w:val="0097095E"/>
    <w:rsid w:val="0098592B"/>
    <w:rsid w:val="00985FC4"/>
    <w:rsid w:val="00987A30"/>
    <w:rsid w:val="00990766"/>
    <w:rsid w:val="00991261"/>
    <w:rsid w:val="00993F05"/>
    <w:rsid w:val="00995F43"/>
    <w:rsid w:val="009964C4"/>
    <w:rsid w:val="009A3F0C"/>
    <w:rsid w:val="009A7B81"/>
    <w:rsid w:val="009B214E"/>
    <w:rsid w:val="009D01C0"/>
    <w:rsid w:val="009D3D09"/>
    <w:rsid w:val="009D5CE8"/>
    <w:rsid w:val="009D6A08"/>
    <w:rsid w:val="009E0A16"/>
    <w:rsid w:val="009E37B7"/>
    <w:rsid w:val="009E575D"/>
    <w:rsid w:val="009E6CB7"/>
    <w:rsid w:val="009E7970"/>
    <w:rsid w:val="009F2EAC"/>
    <w:rsid w:val="009F57E3"/>
    <w:rsid w:val="00A00796"/>
    <w:rsid w:val="00A06D4E"/>
    <w:rsid w:val="00A06EA9"/>
    <w:rsid w:val="00A10F4F"/>
    <w:rsid w:val="00A11067"/>
    <w:rsid w:val="00A1704A"/>
    <w:rsid w:val="00A425EB"/>
    <w:rsid w:val="00A42B64"/>
    <w:rsid w:val="00A43FD3"/>
    <w:rsid w:val="00A6020A"/>
    <w:rsid w:val="00A72F22"/>
    <w:rsid w:val="00A733BC"/>
    <w:rsid w:val="00A748A6"/>
    <w:rsid w:val="00A76237"/>
    <w:rsid w:val="00A76A69"/>
    <w:rsid w:val="00A879A4"/>
    <w:rsid w:val="00A954DF"/>
    <w:rsid w:val="00AA0FF8"/>
    <w:rsid w:val="00AA1CF3"/>
    <w:rsid w:val="00AB2494"/>
    <w:rsid w:val="00AC0F2C"/>
    <w:rsid w:val="00AC502A"/>
    <w:rsid w:val="00AD2506"/>
    <w:rsid w:val="00AE14FE"/>
    <w:rsid w:val="00AF1040"/>
    <w:rsid w:val="00AF58C1"/>
    <w:rsid w:val="00B03CD7"/>
    <w:rsid w:val="00B04A3F"/>
    <w:rsid w:val="00B06643"/>
    <w:rsid w:val="00B120E0"/>
    <w:rsid w:val="00B15055"/>
    <w:rsid w:val="00B30179"/>
    <w:rsid w:val="00B365DC"/>
    <w:rsid w:val="00B37B15"/>
    <w:rsid w:val="00B42DA3"/>
    <w:rsid w:val="00B45C02"/>
    <w:rsid w:val="00B51076"/>
    <w:rsid w:val="00B563B4"/>
    <w:rsid w:val="00B63DB8"/>
    <w:rsid w:val="00B70B63"/>
    <w:rsid w:val="00B72A1E"/>
    <w:rsid w:val="00B72ED2"/>
    <w:rsid w:val="00B81E12"/>
    <w:rsid w:val="00B87C58"/>
    <w:rsid w:val="00B948C1"/>
    <w:rsid w:val="00B955FA"/>
    <w:rsid w:val="00B962BB"/>
    <w:rsid w:val="00BA339B"/>
    <w:rsid w:val="00BC1E7E"/>
    <w:rsid w:val="00BC4AAC"/>
    <w:rsid w:val="00BC74E9"/>
    <w:rsid w:val="00BC7A1B"/>
    <w:rsid w:val="00BD5BBC"/>
    <w:rsid w:val="00BD7474"/>
    <w:rsid w:val="00BE36A9"/>
    <w:rsid w:val="00BE618E"/>
    <w:rsid w:val="00BE7BEC"/>
    <w:rsid w:val="00BF0A5A"/>
    <w:rsid w:val="00BF0E63"/>
    <w:rsid w:val="00BF12A3"/>
    <w:rsid w:val="00BF16D7"/>
    <w:rsid w:val="00BF2373"/>
    <w:rsid w:val="00C044E2"/>
    <w:rsid w:val="00C048CB"/>
    <w:rsid w:val="00C066F3"/>
    <w:rsid w:val="00C3474D"/>
    <w:rsid w:val="00C35804"/>
    <w:rsid w:val="00C4120B"/>
    <w:rsid w:val="00C44DC5"/>
    <w:rsid w:val="00C463DD"/>
    <w:rsid w:val="00C47E27"/>
    <w:rsid w:val="00C50847"/>
    <w:rsid w:val="00C50D86"/>
    <w:rsid w:val="00C547E5"/>
    <w:rsid w:val="00C576F9"/>
    <w:rsid w:val="00C66F2C"/>
    <w:rsid w:val="00C745C3"/>
    <w:rsid w:val="00C834D1"/>
    <w:rsid w:val="00C84F03"/>
    <w:rsid w:val="00C978F5"/>
    <w:rsid w:val="00CA24A4"/>
    <w:rsid w:val="00CA3BA7"/>
    <w:rsid w:val="00CB348D"/>
    <w:rsid w:val="00CB68E0"/>
    <w:rsid w:val="00CC1D6E"/>
    <w:rsid w:val="00CC7C59"/>
    <w:rsid w:val="00CD46F5"/>
    <w:rsid w:val="00CE0984"/>
    <w:rsid w:val="00CE3F4A"/>
    <w:rsid w:val="00CE442D"/>
    <w:rsid w:val="00CE4A8F"/>
    <w:rsid w:val="00CE54BB"/>
    <w:rsid w:val="00CE57CD"/>
    <w:rsid w:val="00CF071D"/>
    <w:rsid w:val="00CF76AF"/>
    <w:rsid w:val="00D0123D"/>
    <w:rsid w:val="00D15B04"/>
    <w:rsid w:val="00D15B50"/>
    <w:rsid w:val="00D16665"/>
    <w:rsid w:val="00D2031B"/>
    <w:rsid w:val="00D2333A"/>
    <w:rsid w:val="00D23DB7"/>
    <w:rsid w:val="00D25FE2"/>
    <w:rsid w:val="00D276E5"/>
    <w:rsid w:val="00D34B35"/>
    <w:rsid w:val="00D362E6"/>
    <w:rsid w:val="00D37DA9"/>
    <w:rsid w:val="00D406A7"/>
    <w:rsid w:val="00D43252"/>
    <w:rsid w:val="00D44845"/>
    <w:rsid w:val="00D44D86"/>
    <w:rsid w:val="00D45DEA"/>
    <w:rsid w:val="00D50B7D"/>
    <w:rsid w:val="00D50CEE"/>
    <w:rsid w:val="00D52012"/>
    <w:rsid w:val="00D546DF"/>
    <w:rsid w:val="00D57534"/>
    <w:rsid w:val="00D64FA9"/>
    <w:rsid w:val="00D704E5"/>
    <w:rsid w:val="00D72727"/>
    <w:rsid w:val="00D93FEA"/>
    <w:rsid w:val="00D9532F"/>
    <w:rsid w:val="00D978C6"/>
    <w:rsid w:val="00DA0956"/>
    <w:rsid w:val="00DA357F"/>
    <w:rsid w:val="00DA3757"/>
    <w:rsid w:val="00DA3E12"/>
    <w:rsid w:val="00DB10C9"/>
    <w:rsid w:val="00DB73F3"/>
    <w:rsid w:val="00DC0D35"/>
    <w:rsid w:val="00DC18AD"/>
    <w:rsid w:val="00DC5D95"/>
    <w:rsid w:val="00DD22DB"/>
    <w:rsid w:val="00DE57BB"/>
    <w:rsid w:val="00DF7CAE"/>
    <w:rsid w:val="00E06D47"/>
    <w:rsid w:val="00E174EE"/>
    <w:rsid w:val="00E228E7"/>
    <w:rsid w:val="00E249C7"/>
    <w:rsid w:val="00E27BA3"/>
    <w:rsid w:val="00E375C7"/>
    <w:rsid w:val="00E423C0"/>
    <w:rsid w:val="00E450A1"/>
    <w:rsid w:val="00E6414C"/>
    <w:rsid w:val="00E7260F"/>
    <w:rsid w:val="00E75AF7"/>
    <w:rsid w:val="00E767AD"/>
    <w:rsid w:val="00E83EFF"/>
    <w:rsid w:val="00E85795"/>
    <w:rsid w:val="00E86C60"/>
    <w:rsid w:val="00E8702D"/>
    <w:rsid w:val="00E905F4"/>
    <w:rsid w:val="00E916A9"/>
    <w:rsid w:val="00E916DE"/>
    <w:rsid w:val="00E925AD"/>
    <w:rsid w:val="00E96630"/>
    <w:rsid w:val="00EB0DF7"/>
    <w:rsid w:val="00EB42AB"/>
    <w:rsid w:val="00EC6092"/>
    <w:rsid w:val="00ED18DC"/>
    <w:rsid w:val="00ED4D26"/>
    <w:rsid w:val="00ED6201"/>
    <w:rsid w:val="00ED7A2A"/>
    <w:rsid w:val="00EF1D7F"/>
    <w:rsid w:val="00F0137E"/>
    <w:rsid w:val="00F0605F"/>
    <w:rsid w:val="00F13F73"/>
    <w:rsid w:val="00F21786"/>
    <w:rsid w:val="00F27047"/>
    <w:rsid w:val="00F27CEB"/>
    <w:rsid w:val="00F27EA0"/>
    <w:rsid w:val="00F370EA"/>
    <w:rsid w:val="00F3742B"/>
    <w:rsid w:val="00F41FDB"/>
    <w:rsid w:val="00F5294B"/>
    <w:rsid w:val="00F56D63"/>
    <w:rsid w:val="00F609A9"/>
    <w:rsid w:val="00F638BF"/>
    <w:rsid w:val="00F65796"/>
    <w:rsid w:val="00F80C99"/>
    <w:rsid w:val="00F867EC"/>
    <w:rsid w:val="00F91B2B"/>
    <w:rsid w:val="00F93D18"/>
    <w:rsid w:val="00F9635B"/>
    <w:rsid w:val="00FB2399"/>
    <w:rsid w:val="00FB2EDA"/>
    <w:rsid w:val="00FC03CD"/>
    <w:rsid w:val="00FC0646"/>
    <w:rsid w:val="00FC3A3C"/>
    <w:rsid w:val="00FC68B7"/>
    <w:rsid w:val="00FD3989"/>
    <w:rsid w:val="00FE6985"/>
    <w:rsid w:val="00FE74AE"/>
    <w:rsid w:val="00FF46AB"/>
    <w:rsid w:val="00FF5A16"/>
    <w:rsid w:val="00FF61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ECEC96"/>
  <w15:docId w15:val="{9ED8B761-C792-496A-ADD4-71D3DEB0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C68"/>
    <w:pPr>
      <w:suppressAutoHyphens/>
      <w:spacing w:line="240" w:lineRule="atLeast"/>
    </w:pPr>
    <w:rPr>
      <w:lang w:val="en-GB"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semiHidden/>
    <w:rsid w:val="00E925AD"/>
    <w:rPr>
      <w:color w:val="auto"/>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E925AD"/>
    <w:rPr>
      <w:color w:val="auto"/>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2D79CC"/>
    <w:pPr>
      <w:numPr>
        <w:numId w:val="19"/>
      </w:numPr>
      <w:kinsoku w:val="0"/>
      <w:overflowPunct w:val="0"/>
      <w:autoSpaceDE w:val="0"/>
      <w:autoSpaceDN w:val="0"/>
      <w:adjustRightInd w:val="0"/>
      <w:snapToGrid w:val="0"/>
    </w:pPr>
  </w:style>
  <w:style w:type="paragraph" w:styleId="NoSpacing">
    <w:name w:val="No Spacing"/>
    <w:uiPriority w:val="1"/>
    <w:semiHidden/>
    <w:qFormat/>
    <w:rsid w:val="00C547E5"/>
    <w:pPr>
      <w:suppressAutoHyphens/>
    </w:pPr>
    <w:rPr>
      <w:lang w:val="en-GB" w:eastAsia="en-US"/>
    </w:rPr>
  </w:style>
  <w:style w:type="paragraph" w:styleId="CommentText">
    <w:name w:val="annotation text"/>
    <w:basedOn w:val="Normal"/>
    <w:link w:val="CommentTextChar"/>
    <w:unhideWhenUsed/>
    <w:rsid w:val="00C547E5"/>
    <w:pPr>
      <w:spacing w:line="240" w:lineRule="auto"/>
    </w:pPr>
  </w:style>
  <w:style w:type="character" w:customStyle="1" w:styleId="CommentTextChar">
    <w:name w:val="Comment Text Char"/>
    <w:basedOn w:val="DefaultParagraphFont"/>
    <w:link w:val="CommentText"/>
    <w:rsid w:val="00C547E5"/>
    <w:rPr>
      <w:lang w:val="en-GB" w:eastAsia="en-US"/>
    </w:rPr>
  </w:style>
  <w:style w:type="paragraph" w:styleId="NormalWeb">
    <w:name w:val="Normal (Web)"/>
    <w:basedOn w:val="Normal"/>
    <w:uiPriority w:val="99"/>
    <w:semiHidden/>
    <w:unhideWhenUsed/>
    <w:rsid w:val="00C547E5"/>
    <w:rPr>
      <w:sz w:val="24"/>
      <w:szCs w:val="24"/>
    </w:rPr>
  </w:style>
  <w:style w:type="character" w:styleId="CommentReference">
    <w:name w:val="annotation reference"/>
    <w:basedOn w:val="DefaultParagraphFont"/>
    <w:semiHidden/>
    <w:unhideWhenUsed/>
    <w:rsid w:val="005361CF"/>
    <w:rPr>
      <w:sz w:val="16"/>
      <w:szCs w:val="16"/>
    </w:rPr>
  </w:style>
  <w:style w:type="paragraph" w:styleId="CommentSubject">
    <w:name w:val="annotation subject"/>
    <w:basedOn w:val="CommentText"/>
    <w:next w:val="CommentText"/>
    <w:link w:val="CommentSubjectChar"/>
    <w:semiHidden/>
    <w:unhideWhenUsed/>
    <w:rsid w:val="005361CF"/>
    <w:rPr>
      <w:b/>
      <w:bCs/>
    </w:rPr>
  </w:style>
  <w:style w:type="character" w:customStyle="1" w:styleId="CommentSubjectChar">
    <w:name w:val="Comment Subject Char"/>
    <w:basedOn w:val="CommentTextChar"/>
    <w:link w:val="CommentSubject"/>
    <w:semiHidden/>
    <w:rsid w:val="005361CF"/>
    <w:rPr>
      <w:b/>
      <w:bCs/>
      <w:lang w:val="en-GB" w:eastAsia="en-US"/>
    </w:rPr>
  </w:style>
  <w:style w:type="character" w:customStyle="1" w:styleId="SingleTxtGChar">
    <w:name w:val="_ Single Txt_G Char"/>
    <w:link w:val="SingleTxtG"/>
    <w:rsid w:val="00551131"/>
    <w:rPr>
      <w:lang w:val="en-GB" w:eastAsia="en-US"/>
    </w:rPr>
  </w:style>
  <w:style w:type="paragraph" w:styleId="ListParagraph">
    <w:name w:val="List Paragraph"/>
    <w:basedOn w:val="Normal"/>
    <w:uiPriority w:val="34"/>
    <w:qFormat/>
    <w:rsid w:val="00296C4C"/>
    <w:pPr>
      <w:suppressAutoHyphens w:val="0"/>
      <w:spacing w:line="240" w:lineRule="auto"/>
      <w:ind w:left="720"/>
      <w:contextualSpacing/>
    </w:pPr>
    <w:rPr>
      <w:sz w:val="24"/>
      <w:szCs w:val="24"/>
      <w:lang w:val="en-CA" w:eastAsia="en-CA"/>
    </w:rPr>
  </w:style>
  <w:style w:type="paragraph" w:styleId="Revision">
    <w:name w:val="Revision"/>
    <w:hidden/>
    <w:uiPriority w:val="99"/>
    <w:semiHidden/>
    <w:rsid w:val="006A1947"/>
    <w:rPr>
      <w:lang w:val="en-GB" w:eastAsia="en-US"/>
    </w:rPr>
  </w:style>
  <w:style w:type="character" w:customStyle="1" w:styleId="FootnoteTextChar2">
    <w:name w:val="Footnote Text Char2"/>
    <w:aliases w:val="5_G Char2,Footnote Text Char Char Char Char Char Char2,Footnote Text Char Char Char Char Char5,Footnote reference Char2,FA Fu Char2,Footnote Text Char Char Char Char1, Char Char,Footnote Reference1 Char1"/>
    <w:locked/>
    <w:rsid w:val="005C234A"/>
    <w:rPr>
      <w:sz w:val="18"/>
      <w:lang w:val="en-GB"/>
    </w:rPr>
  </w:style>
  <w:style w:type="paragraph" w:customStyle="1" w:styleId="Default">
    <w:name w:val="Default"/>
    <w:rsid w:val="005323D3"/>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3651">
      <w:bodyDiv w:val="1"/>
      <w:marLeft w:val="0"/>
      <w:marRight w:val="0"/>
      <w:marTop w:val="0"/>
      <w:marBottom w:val="0"/>
      <w:divBdr>
        <w:top w:val="none" w:sz="0" w:space="0" w:color="auto"/>
        <w:left w:val="none" w:sz="0" w:space="0" w:color="auto"/>
        <w:bottom w:val="none" w:sz="0" w:space="0" w:color="auto"/>
        <w:right w:val="none" w:sz="0" w:space="0" w:color="auto"/>
      </w:divBdr>
    </w:div>
    <w:div w:id="173038641">
      <w:bodyDiv w:val="1"/>
      <w:marLeft w:val="0"/>
      <w:marRight w:val="0"/>
      <w:marTop w:val="0"/>
      <w:marBottom w:val="0"/>
      <w:divBdr>
        <w:top w:val="none" w:sz="0" w:space="0" w:color="auto"/>
        <w:left w:val="none" w:sz="0" w:space="0" w:color="auto"/>
        <w:bottom w:val="none" w:sz="0" w:space="0" w:color="auto"/>
        <w:right w:val="none" w:sz="0" w:space="0" w:color="auto"/>
      </w:divBdr>
      <w:divsChild>
        <w:div w:id="1529442118">
          <w:marLeft w:val="0"/>
          <w:marRight w:val="0"/>
          <w:marTop w:val="0"/>
          <w:marBottom w:val="0"/>
          <w:divBdr>
            <w:top w:val="none" w:sz="0" w:space="0" w:color="auto"/>
            <w:left w:val="none" w:sz="0" w:space="0" w:color="auto"/>
            <w:bottom w:val="none" w:sz="0" w:space="0" w:color="auto"/>
            <w:right w:val="none" w:sz="0" w:space="0" w:color="auto"/>
          </w:divBdr>
          <w:divsChild>
            <w:div w:id="149568135">
              <w:marLeft w:val="0"/>
              <w:marRight w:val="0"/>
              <w:marTop w:val="0"/>
              <w:marBottom w:val="0"/>
              <w:divBdr>
                <w:top w:val="none" w:sz="0" w:space="0" w:color="auto"/>
                <w:left w:val="none" w:sz="0" w:space="0" w:color="auto"/>
                <w:bottom w:val="none" w:sz="0" w:space="0" w:color="auto"/>
                <w:right w:val="none" w:sz="0" w:space="0" w:color="auto"/>
              </w:divBdr>
              <w:divsChild>
                <w:div w:id="12812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0690">
      <w:bodyDiv w:val="1"/>
      <w:marLeft w:val="0"/>
      <w:marRight w:val="0"/>
      <w:marTop w:val="0"/>
      <w:marBottom w:val="0"/>
      <w:divBdr>
        <w:top w:val="none" w:sz="0" w:space="0" w:color="auto"/>
        <w:left w:val="none" w:sz="0" w:space="0" w:color="auto"/>
        <w:bottom w:val="none" w:sz="0" w:space="0" w:color="auto"/>
        <w:right w:val="none" w:sz="0" w:space="0" w:color="auto"/>
      </w:divBdr>
    </w:div>
    <w:div w:id="480117955">
      <w:bodyDiv w:val="1"/>
      <w:marLeft w:val="0"/>
      <w:marRight w:val="0"/>
      <w:marTop w:val="0"/>
      <w:marBottom w:val="0"/>
      <w:divBdr>
        <w:top w:val="none" w:sz="0" w:space="0" w:color="auto"/>
        <w:left w:val="none" w:sz="0" w:space="0" w:color="auto"/>
        <w:bottom w:val="none" w:sz="0" w:space="0" w:color="auto"/>
        <w:right w:val="none" w:sz="0" w:space="0" w:color="auto"/>
      </w:divBdr>
    </w:div>
    <w:div w:id="764619402">
      <w:bodyDiv w:val="1"/>
      <w:marLeft w:val="0"/>
      <w:marRight w:val="0"/>
      <w:marTop w:val="0"/>
      <w:marBottom w:val="0"/>
      <w:divBdr>
        <w:top w:val="none" w:sz="0" w:space="0" w:color="auto"/>
        <w:left w:val="none" w:sz="0" w:space="0" w:color="auto"/>
        <w:bottom w:val="none" w:sz="0" w:space="0" w:color="auto"/>
        <w:right w:val="none" w:sz="0" w:space="0" w:color="auto"/>
      </w:divBdr>
    </w:div>
    <w:div w:id="1402481394">
      <w:bodyDiv w:val="1"/>
      <w:marLeft w:val="0"/>
      <w:marRight w:val="0"/>
      <w:marTop w:val="0"/>
      <w:marBottom w:val="0"/>
      <w:divBdr>
        <w:top w:val="none" w:sz="0" w:space="0" w:color="auto"/>
        <w:left w:val="none" w:sz="0" w:space="0" w:color="auto"/>
        <w:bottom w:val="none" w:sz="0" w:space="0" w:color="auto"/>
        <w:right w:val="none" w:sz="0" w:space="0" w:color="auto"/>
      </w:divBdr>
    </w:div>
    <w:div w:id="19666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E\E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A2E5C7-3C76-426E-B23F-6D5E6621142A}">
  <ds:schemaRefs>
    <ds:schemaRef ds:uri="http://schemas.openxmlformats.org/officeDocument/2006/bibliography"/>
  </ds:schemaRefs>
</ds:datastoreItem>
</file>

<file path=customXml/itemProps2.xml><?xml version="1.0" encoding="utf-8"?>
<ds:datastoreItem xmlns:ds="http://schemas.openxmlformats.org/officeDocument/2006/customXml" ds:itemID="{E9DBF1CC-7CA1-44B9-8283-E2BD9A9D3316}"/>
</file>

<file path=customXml/itemProps3.xml><?xml version="1.0" encoding="utf-8"?>
<ds:datastoreItem xmlns:ds="http://schemas.openxmlformats.org/officeDocument/2006/customXml" ds:itemID="{A2DBAC76-3C7A-439D-809C-28E79709BE7F}"/>
</file>

<file path=customXml/itemProps4.xml><?xml version="1.0" encoding="utf-8"?>
<ds:datastoreItem xmlns:ds="http://schemas.openxmlformats.org/officeDocument/2006/customXml" ds:itemID="{F5D9F4FE-D412-4D85-B127-5653070FA65B}"/>
</file>

<file path=docProps/app.xml><?xml version="1.0" encoding="utf-8"?>
<Properties xmlns="http://schemas.openxmlformats.org/officeDocument/2006/extended-properties" xmlns:vt="http://schemas.openxmlformats.org/officeDocument/2006/docPropsVTypes">
  <Template>E_E.dotm</Template>
  <TotalTime>2</TotalTime>
  <Pages>15</Pages>
  <Words>7168</Words>
  <Characters>40863</Characters>
  <Application>Microsoft Office Word</Application>
  <DocSecurity>0</DocSecurity>
  <Lines>340</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A/HRC/43/XX</vt:lpstr>
      <vt:lpstr>A/HRC/43/XX</vt:lpstr>
    </vt:vector>
  </TitlesOfParts>
  <Company>CSD</Company>
  <LinksUpToDate>false</LinksUpToDate>
  <CharactersWithSpaces>47936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A/HRC/43/XX</dc:title>
  <dc:creator>LANEL Ian</dc:creator>
  <cp:lastModifiedBy>LANZ Veronique</cp:lastModifiedBy>
  <cp:revision>3</cp:revision>
  <cp:lastPrinted>2020-02-18T13:26:00Z</cp:lastPrinted>
  <dcterms:created xsi:type="dcterms:W3CDTF">2020-02-25T07:11:00Z</dcterms:created>
  <dcterms:modified xsi:type="dcterms:W3CDTF">2020-02-25T07:12:00Z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