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3E1C30" w14:paraId="48719CCA" w14:textId="77777777" w:rsidTr="0040017C">
        <w:trPr>
          <w:trHeight w:val="851"/>
        </w:trPr>
        <w:tc>
          <w:tcPr>
            <w:tcW w:w="1259" w:type="dxa"/>
            <w:tcBorders>
              <w:top w:val="nil"/>
              <w:left w:val="nil"/>
              <w:bottom w:val="single" w:sz="4" w:space="0" w:color="auto"/>
              <w:right w:val="nil"/>
            </w:tcBorders>
          </w:tcPr>
          <w:p w14:paraId="6D53FA69" w14:textId="77777777" w:rsidR="00E52109" w:rsidRPr="003E1C30" w:rsidRDefault="00E52109" w:rsidP="0040017C">
            <w:pPr>
              <w:pStyle w:val="HMG"/>
            </w:pPr>
          </w:p>
        </w:tc>
        <w:tc>
          <w:tcPr>
            <w:tcW w:w="2236" w:type="dxa"/>
            <w:tcBorders>
              <w:top w:val="nil"/>
              <w:left w:val="nil"/>
              <w:bottom w:val="single" w:sz="4" w:space="0" w:color="auto"/>
              <w:right w:val="nil"/>
            </w:tcBorders>
            <w:vAlign w:val="bottom"/>
          </w:tcPr>
          <w:p w14:paraId="49BA87FA" w14:textId="1F422C70" w:rsidR="00E52109" w:rsidRPr="003E1C30"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3FF6926" w14:textId="77777777" w:rsidR="00E52109" w:rsidRPr="003E1C30" w:rsidRDefault="009219F8" w:rsidP="001E77C8">
            <w:pPr>
              <w:suppressAutoHyphens w:val="0"/>
              <w:spacing w:after="20"/>
              <w:jc w:val="right"/>
            </w:pPr>
            <w:r w:rsidRPr="003E1C30">
              <w:rPr>
                <w:sz w:val="40"/>
              </w:rPr>
              <w:t>A</w:t>
            </w:r>
            <w:r w:rsidRPr="003E1C30">
              <w:t>/HRC/4</w:t>
            </w:r>
            <w:r w:rsidR="001E77C8">
              <w:t>3/</w:t>
            </w:r>
            <w:r w:rsidR="00CF291E">
              <w:t>4</w:t>
            </w:r>
            <w:r w:rsidRPr="003E1C30">
              <w:t>8</w:t>
            </w:r>
          </w:p>
        </w:tc>
      </w:tr>
      <w:tr w:rsidR="00E52109" w:rsidRPr="003E1C30" w14:paraId="49996940" w14:textId="77777777" w:rsidTr="0040017C">
        <w:trPr>
          <w:trHeight w:val="2835"/>
        </w:trPr>
        <w:tc>
          <w:tcPr>
            <w:tcW w:w="1259" w:type="dxa"/>
            <w:tcBorders>
              <w:top w:val="single" w:sz="4" w:space="0" w:color="auto"/>
              <w:left w:val="nil"/>
              <w:bottom w:val="single" w:sz="12" w:space="0" w:color="auto"/>
              <w:right w:val="nil"/>
            </w:tcBorders>
          </w:tcPr>
          <w:p w14:paraId="4998BDE2" w14:textId="37954A2E" w:rsidR="00E52109" w:rsidRPr="003E1C30"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3B97267" w14:textId="74DF029D" w:rsidR="00E52109" w:rsidRPr="003E1C30" w:rsidRDefault="005C003F" w:rsidP="0040017C">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7C669116" w14:textId="77777777" w:rsidR="00E52109" w:rsidRPr="003E1C30" w:rsidRDefault="009219F8" w:rsidP="009219F8">
            <w:pPr>
              <w:spacing w:before="240"/>
            </w:pPr>
            <w:r w:rsidRPr="003E1C30">
              <w:t>Distr.: General</w:t>
            </w:r>
          </w:p>
          <w:p w14:paraId="05D8F7A0" w14:textId="26A43F11" w:rsidR="009219F8" w:rsidRPr="003E1C30" w:rsidRDefault="00F275D3" w:rsidP="009219F8">
            <w:pPr>
              <w:suppressAutoHyphens w:val="0"/>
            </w:pPr>
            <w:r>
              <w:t>2</w:t>
            </w:r>
            <w:r w:rsidR="005C2C95">
              <w:t>7</w:t>
            </w:r>
            <w:r w:rsidR="00CF291E">
              <w:t xml:space="preserve"> </w:t>
            </w:r>
            <w:r>
              <w:t>February</w:t>
            </w:r>
            <w:r w:rsidR="00CF291E">
              <w:t xml:space="preserve"> 2020</w:t>
            </w:r>
          </w:p>
          <w:p w14:paraId="6FA067B3" w14:textId="77777777" w:rsidR="009219F8" w:rsidRPr="003E1C30" w:rsidRDefault="009219F8" w:rsidP="009219F8">
            <w:pPr>
              <w:suppressAutoHyphens w:val="0"/>
            </w:pPr>
          </w:p>
          <w:p w14:paraId="77B72F2A" w14:textId="77777777" w:rsidR="009219F8" w:rsidRPr="003E1C30" w:rsidRDefault="009219F8" w:rsidP="009219F8">
            <w:pPr>
              <w:suppressAutoHyphens w:val="0"/>
            </w:pPr>
            <w:r w:rsidRPr="003E1C30">
              <w:t>Original: English</w:t>
            </w:r>
          </w:p>
        </w:tc>
      </w:tr>
    </w:tbl>
    <w:p w14:paraId="1D6793FE" w14:textId="77777777" w:rsidR="00763E98" w:rsidRPr="003E1C30" w:rsidRDefault="00763E98" w:rsidP="00763E98">
      <w:pPr>
        <w:spacing w:before="120"/>
        <w:rPr>
          <w:b/>
          <w:sz w:val="24"/>
          <w:szCs w:val="24"/>
        </w:rPr>
      </w:pPr>
      <w:r w:rsidRPr="003E1C30">
        <w:rPr>
          <w:b/>
          <w:sz w:val="24"/>
          <w:szCs w:val="24"/>
        </w:rPr>
        <w:t>Human Rights Council</w:t>
      </w:r>
    </w:p>
    <w:p w14:paraId="29A545A6" w14:textId="77777777" w:rsidR="00763E98" w:rsidRPr="00425059" w:rsidRDefault="00763E98" w:rsidP="00763E98">
      <w:pPr>
        <w:outlineLvl w:val="0"/>
        <w:rPr>
          <w:b/>
          <w:bCs/>
        </w:rPr>
      </w:pPr>
      <w:r w:rsidRPr="00425059">
        <w:rPr>
          <w:b/>
          <w:bCs/>
        </w:rPr>
        <w:t>Fort</w:t>
      </w:r>
      <w:r w:rsidR="00CF291E" w:rsidRPr="00425059">
        <w:rPr>
          <w:b/>
          <w:bCs/>
        </w:rPr>
        <w:t>y-third s</w:t>
      </w:r>
      <w:r w:rsidRPr="00425059">
        <w:rPr>
          <w:b/>
          <w:bCs/>
        </w:rPr>
        <w:t>ession</w:t>
      </w:r>
    </w:p>
    <w:p w14:paraId="446DCAFE" w14:textId="77777777" w:rsidR="00763E98" w:rsidRPr="00425059" w:rsidRDefault="00763E98" w:rsidP="00763E98">
      <w:pPr>
        <w:outlineLvl w:val="0"/>
      </w:pPr>
      <w:r w:rsidRPr="00425059">
        <w:t>2</w:t>
      </w:r>
      <w:r w:rsidR="00CF291E" w:rsidRPr="00425059">
        <w:t>4</w:t>
      </w:r>
      <w:r w:rsidRPr="00425059">
        <w:t xml:space="preserve"> February–2</w:t>
      </w:r>
      <w:r w:rsidR="00CF291E" w:rsidRPr="00425059">
        <w:t>0</w:t>
      </w:r>
      <w:r w:rsidRPr="00425059">
        <w:t xml:space="preserve"> March 20</w:t>
      </w:r>
      <w:r w:rsidR="00CF291E" w:rsidRPr="00425059">
        <w:t>20</w:t>
      </w:r>
    </w:p>
    <w:p w14:paraId="43115C5F" w14:textId="77777777" w:rsidR="00763E98" w:rsidRPr="00425059" w:rsidRDefault="00763E98" w:rsidP="00763E98">
      <w:r w:rsidRPr="00425059">
        <w:t>Agenda item 3</w:t>
      </w:r>
    </w:p>
    <w:p w14:paraId="0C118A26" w14:textId="77777777" w:rsidR="00763E98" w:rsidRPr="00425059" w:rsidRDefault="00763E98" w:rsidP="00763E98">
      <w:pPr>
        <w:pStyle w:val="Default"/>
        <w:rPr>
          <w:b/>
          <w:bCs/>
          <w:color w:val="auto"/>
          <w:sz w:val="20"/>
          <w:szCs w:val="20"/>
        </w:rPr>
      </w:pPr>
      <w:r w:rsidRPr="00425059">
        <w:rPr>
          <w:b/>
          <w:bCs/>
          <w:color w:val="auto"/>
          <w:sz w:val="20"/>
          <w:szCs w:val="20"/>
        </w:rPr>
        <w:t xml:space="preserve">Promotion and protection of all human rights, civil, </w:t>
      </w:r>
      <w:r w:rsidRPr="00425059">
        <w:rPr>
          <w:b/>
          <w:bCs/>
          <w:color w:val="auto"/>
          <w:sz w:val="20"/>
          <w:szCs w:val="20"/>
        </w:rPr>
        <w:br/>
        <w:t xml:space="preserve">political, economic, social and cultural rights, </w:t>
      </w:r>
      <w:r w:rsidRPr="00425059">
        <w:rPr>
          <w:b/>
          <w:bCs/>
          <w:color w:val="auto"/>
          <w:sz w:val="20"/>
          <w:szCs w:val="20"/>
        </w:rPr>
        <w:br/>
        <w:t xml:space="preserve">including the right to development </w:t>
      </w:r>
    </w:p>
    <w:p w14:paraId="17ED7AEC" w14:textId="589714DE" w:rsidR="00763E98" w:rsidRPr="00425059" w:rsidRDefault="00763E98" w:rsidP="00BC120E">
      <w:pPr>
        <w:pStyle w:val="HChG"/>
      </w:pPr>
      <w:r w:rsidRPr="00425059">
        <w:tab/>
      </w:r>
      <w:r w:rsidRPr="00425059">
        <w:tab/>
      </w:r>
      <w:r w:rsidR="005C2C95">
        <w:t>Freedom of religion or belief</w:t>
      </w:r>
    </w:p>
    <w:p w14:paraId="0C915C2C" w14:textId="6C80D851" w:rsidR="00763E98" w:rsidRPr="00425059" w:rsidRDefault="00763E98" w:rsidP="00BC120E">
      <w:pPr>
        <w:pStyle w:val="H1G"/>
      </w:pPr>
      <w:r w:rsidRPr="00425059">
        <w:tab/>
      </w:r>
      <w:r w:rsidRPr="00425059">
        <w:tab/>
        <w:t>Report of the Special Rapporteur on freedom of religion or belief</w:t>
      </w:r>
      <w:r w:rsidRPr="00425059">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5E71C4" w:rsidRPr="00425059" w14:paraId="1FA96E8D" w14:textId="77777777" w:rsidTr="00CF291E">
        <w:trPr>
          <w:jc w:val="center"/>
        </w:trPr>
        <w:tc>
          <w:tcPr>
            <w:tcW w:w="9629" w:type="dxa"/>
            <w:tcBorders>
              <w:bottom w:val="nil"/>
            </w:tcBorders>
          </w:tcPr>
          <w:p w14:paraId="3F89AC72" w14:textId="77777777" w:rsidR="005E71C4" w:rsidRPr="00425059" w:rsidRDefault="005E71C4" w:rsidP="005E71C4">
            <w:pPr>
              <w:tabs>
                <w:tab w:val="left" w:pos="255"/>
              </w:tabs>
              <w:suppressAutoHyphens w:val="0"/>
              <w:spacing w:before="240" w:after="120"/>
              <w:rPr>
                <w:sz w:val="24"/>
                <w:lang w:val="en-GB"/>
              </w:rPr>
            </w:pPr>
            <w:r w:rsidRPr="00425059">
              <w:rPr>
                <w:lang w:val="en-GB"/>
              </w:rPr>
              <w:tab/>
            </w:r>
            <w:r w:rsidRPr="00425059">
              <w:rPr>
                <w:i/>
                <w:sz w:val="24"/>
                <w:lang w:val="en-GB"/>
              </w:rPr>
              <w:t>Summary</w:t>
            </w:r>
          </w:p>
        </w:tc>
      </w:tr>
      <w:tr w:rsidR="005E71C4" w:rsidRPr="00425059" w14:paraId="53F7E4CA" w14:textId="77777777" w:rsidTr="00CF291E">
        <w:trPr>
          <w:jc w:val="center"/>
        </w:trPr>
        <w:tc>
          <w:tcPr>
            <w:tcW w:w="9629" w:type="dxa"/>
            <w:tcBorders>
              <w:top w:val="nil"/>
              <w:bottom w:val="nil"/>
            </w:tcBorders>
            <w:shd w:val="clear" w:color="auto" w:fill="auto"/>
          </w:tcPr>
          <w:p w14:paraId="04A1F31A" w14:textId="5C6096D0" w:rsidR="005E71C4" w:rsidRPr="00425059" w:rsidRDefault="008A4672" w:rsidP="005C2C95">
            <w:pPr>
              <w:spacing w:after="120"/>
              <w:ind w:left="1134" w:right="1134" w:firstLine="567"/>
              <w:jc w:val="both"/>
              <w:rPr>
                <w:rFonts w:eastAsia="Times New Roman"/>
                <w:lang w:val="en-GB"/>
              </w:rPr>
            </w:pPr>
            <w:r w:rsidRPr="00425059">
              <w:rPr>
                <w:lang w:val="en-GB"/>
              </w:rPr>
              <w:tab/>
            </w:r>
            <w:r w:rsidR="00915A4D" w:rsidRPr="00425059">
              <w:t>In this report, the Special Rapporteur </w:t>
            </w:r>
            <w:r w:rsidR="00915A4D" w:rsidRPr="00F216A1">
              <w:t>address</w:t>
            </w:r>
            <w:r w:rsidR="005F2FF7" w:rsidRPr="00F216A1">
              <w:t>es</w:t>
            </w:r>
            <w:r w:rsidR="00915A4D" w:rsidRPr="00F216A1">
              <w:t xml:space="preserve"> gender</w:t>
            </w:r>
            <w:r w:rsidR="00915A4D" w:rsidRPr="00425059">
              <w:t>-based violence and discrimination in the name of religion or belief. In a number of States worldwide religious precepts underlie laws and state-sanctioned practices that constitute violations of the right to non-discrimination of women, girls and</w:t>
            </w:r>
            <w:r w:rsidR="0061509D" w:rsidRPr="00425059">
              <w:t xml:space="preserve"> lesbian, gay</w:t>
            </w:r>
            <w:r w:rsidR="00C77E2F" w:rsidRPr="00425059">
              <w:t>,</w:t>
            </w:r>
            <w:r w:rsidR="0061509D" w:rsidRPr="00425059">
              <w:t xml:space="preserve"> bisexual and transgender (LGBT+) persons</w:t>
            </w:r>
            <w:r w:rsidR="00C77E2F" w:rsidRPr="00425059">
              <w:t>.</w:t>
            </w:r>
            <w:r w:rsidR="0061509D" w:rsidRPr="00425059">
              <w:t xml:space="preserve"> </w:t>
            </w:r>
            <w:r w:rsidR="00915A4D" w:rsidRPr="00425059">
              <w:t> In other States, claims of religious freedom are being used to rollback and seek exemptions to laws that protect against gender-based violence and discrimination. The Special Rapporteur provides emblematic cases of both phenomena and their impact on gender equality and freedom of religion or belief worldwide. He explores freedom of religion or belief and non-discrimination as two and mutually reinforcing rights and clarifies the existing international legal framework that governs their intersection. He concludes by emphasizing the responsibility of States to creating enabling environments to advance the non-discrimination and freedom of religion of belief rights of women</w:t>
            </w:r>
            <w:r w:rsidR="00C77E2F" w:rsidRPr="00425059">
              <w:t>, girls</w:t>
            </w:r>
            <w:r w:rsidR="00915A4D" w:rsidRPr="00425059">
              <w:t xml:space="preserve"> and LGBT+ persons.</w:t>
            </w:r>
          </w:p>
        </w:tc>
      </w:tr>
      <w:tr w:rsidR="008A4672" w:rsidRPr="00425059" w14:paraId="70B97C10" w14:textId="77777777" w:rsidTr="00CF291E">
        <w:trPr>
          <w:jc w:val="center"/>
        </w:trPr>
        <w:tc>
          <w:tcPr>
            <w:tcW w:w="9629" w:type="dxa"/>
            <w:tcBorders>
              <w:top w:val="nil"/>
            </w:tcBorders>
          </w:tcPr>
          <w:p w14:paraId="681109FF" w14:textId="77777777" w:rsidR="008A4672" w:rsidRPr="00425059" w:rsidRDefault="008A4672" w:rsidP="005E71C4">
            <w:pPr>
              <w:suppressAutoHyphens w:val="0"/>
              <w:rPr>
                <w:lang w:val="en-GB"/>
              </w:rPr>
            </w:pPr>
          </w:p>
        </w:tc>
      </w:tr>
    </w:tbl>
    <w:p w14:paraId="2B20C16E" w14:textId="4B0A0CC2" w:rsidR="00763E98" w:rsidRPr="00425059" w:rsidRDefault="00763E98" w:rsidP="005C2C95">
      <w:pPr>
        <w:pStyle w:val="HChG"/>
      </w:pPr>
      <w:r w:rsidRPr="00425059">
        <w:br w:type="page"/>
      </w:r>
    </w:p>
    <w:p w14:paraId="22A96F48" w14:textId="77777777" w:rsidR="00763E98" w:rsidRPr="00425059" w:rsidRDefault="00763E98" w:rsidP="007E54CA">
      <w:pPr>
        <w:pStyle w:val="HChG"/>
      </w:pPr>
      <w:r w:rsidRPr="00425059">
        <w:tab/>
        <w:t>I.</w:t>
      </w:r>
      <w:r w:rsidRPr="00425059">
        <w:tab/>
      </w:r>
      <w:r w:rsidR="009D0C33" w:rsidRPr="00425059">
        <w:tab/>
        <w:t>Activities of the Special Rapporteur</w:t>
      </w:r>
    </w:p>
    <w:p w14:paraId="591EDA39" w14:textId="77777777" w:rsidR="009D0C33" w:rsidRPr="00425059" w:rsidRDefault="009D0C33" w:rsidP="009D0C33">
      <w:pPr>
        <w:pStyle w:val="SingleTxtG"/>
        <w:numPr>
          <w:ilvl w:val="0"/>
          <w:numId w:val="13"/>
        </w:numPr>
        <w:ind w:left="1134" w:firstLine="0"/>
      </w:pPr>
      <w:r w:rsidRPr="00425059">
        <w:t xml:space="preserve">In its resolution </w:t>
      </w:r>
      <w:r w:rsidRPr="00425059">
        <w:rPr>
          <w:color w:val="0000FF"/>
        </w:rPr>
        <w:t>40/10</w:t>
      </w:r>
      <w:r w:rsidRPr="00425059">
        <w:t>, adopted on 21 March 2019, the Human Rights Council extended the mandate of the Special Rapporteur on freedom of religion or belief for a period of three years. The current mandate holder, Ahmed Shaheed, assumed his mandate on 1 November 2016, following his appointment by the Council during its thirty-second session.</w:t>
      </w:r>
    </w:p>
    <w:p w14:paraId="0FA697F9" w14:textId="4810A34C" w:rsidR="009D0C33" w:rsidRPr="00425059" w:rsidRDefault="009D0C33" w:rsidP="009D0C33">
      <w:pPr>
        <w:pStyle w:val="SingleTxtG"/>
        <w:numPr>
          <w:ilvl w:val="0"/>
          <w:numId w:val="13"/>
        </w:numPr>
        <w:ind w:left="1134" w:firstLine="0"/>
      </w:pPr>
      <w:r w:rsidRPr="00425059">
        <w:t xml:space="preserve">An overview of the activities of the mandate holder between 1 March 2019 and 31 July 2019 is provided in the report presented to the United Nations General Assembly at its seventy-fourth </w:t>
      </w:r>
      <w:r w:rsidRPr="00F216A1">
        <w:t xml:space="preserve">session (A/74/358). The Special Rapporteur participated in the 7th Meeting of the Istanbul Process held in </w:t>
      </w:r>
      <w:r w:rsidR="005F2FF7" w:rsidRPr="00F216A1">
        <w:t>t</w:t>
      </w:r>
      <w:r w:rsidRPr="00F216A1">
        <w:t xml:space="preserve">he Hague from 18-19 November 2019 and took part in the </w:t>
      </w:r>
      <w:r w:rsidR="006218A2" w:rsidRPr="00F216A1">
        <w:t xml:space="preserve">validating </w:t>
      </w:r>
      <w:r w:rsidRPr="00F216A1">
        <w:t xml:space="preserve">meeting of the </w:t>
      </w:r>
      <w:r w:rsidR="006218A2" w:rsidRPr="00F216A1">
        <w:t>#Faith4Rights toolkit</w:t>
      </w:r>
      <w:r w:rsidR="006218A2" w:rsidRPr="00F216A1">
        <w:rPr>
          <w:rStyle w:val="FootnoteReference"/>
          <w:color w:val="000000" w:themeColor="text1"/>
          <w:szCs w:val="18"/>
        </w:rPr>
        <w:footnoteReference w:id="3"/>
      </w:r>
      <w:r w:rsidR="006218A2" w:rsidRPr="00F216A1">
        <w:rPr>
          <w:rStyle w:val="FootnoteReference"/>
          <w:color w:val="000000" w:themeColor="text1"/>
          <w:szCs w:val="18"/>
        </w:rPr>
        <w:t xml:space="preserve"> </w:t>
      </w:r>
      <w:r w:rsidRPr="00F216A1">
        <w:t xml:space="preserve"> in Coll</w:t>
      </w:r>
      <w:r w:rsidR="006218A2" w:rsidRPr="00F216A1">
        <w:t>o</w:t>
      </w:r>
      <w:r w:rsidRPr="00F216A1">
        <w:t xml:space="preserve">nges, France from 18-19 December 2019. He undertook a number of activities to advance the recommendations in his report to the General Assembly on combating antisemitism, including participation in a workshop in Geneva from 16-17 December on the role of education and gave evidence at a hearing on antisemitism organised by the United States Commission of International Religious Freedom on 8 January 2020, </w:t>
      </w:r>
      <w:r w:rsidR="005F2FF7" w:rsidRPr="00F216A1">
        <w:t xml:space="preserve">in </w:t>
      </w:r>
      <w:r w:rsidRPr="00F216A1">
        <w:t>Washington, DC. The Special Rapporteur also took part in the meeting of the International Contact Group on Freedom of Religion or Belief, in the Hague on 20 November</w:t>
      </w:r>
      <w:r w:rsidR="005F2FF7" w:rsidRPr="00F216A1">
        <w:t xml:space="preserve"> 2019</w:t>
      </w:r>
      <w:r w:rsidRPr="00F216A1">
        <w:t xml:space="preserve">; and in </w:t>
      </w:r>
      <w:r w:rsidR="006218A2" w:rsidRPr="00F216A1">
        <w:t>the</w:t>
      </w:r>
      <w:r w:rsidRPr="00F216A1">
        <w:t xml:space="preserve"> wrap-up meeting in New York on 22 November</w:t>
      </w:r>
      <w:r w:rsidR="005F2FF7" w:rsidRPr="00F216A1">
        <w:t xml:space="preserve"> 2019</w:t>
      </w:r>
      <w:r w:rsidRPr="00F216A1">
        <w:t xml:space="preserve"> of </w:t>
      </w:r>
      <w:r w:rsidR="006218A2" w:rsidRPr="00F216A1">
        <w:t xml:space="preserve">the </w:t>
      </w:r>
      <w:r w:rsidR="006218A2" w:rsidRPr="00F216A1">
        <w:rPr>
          <w:i/>
          <w:iCs/>
        </w:rPr>
        <w:t>Expert Consultation Process on Freedom of Religion or Belief, Gender Equality and the SDGs</w:t>
      </w:r>
      <w:r w:rsidR="00915A4D" w:rsidRPr="00F216A1">
        <w:rPr>
          <w:i/>
          <w:iCs/>
        </w:rPr>
        <w:t>,</w:t>
      </w:r>
      <w:r w:rsidR="00915A4D" w:rsidRPr="00F216A1">
        <w:t xml:space="preserve"> co-organised by Danish Institute for Human Rights and the Stefanus Alliance International, in co-operation with the Special Rapporteur and the UN Interagency</w:t>
      </w:r>
      <w:r w:rsidR="00915A4D" w:rsidRPr="00425059">
        <w:t xml:space="preserve"> Taskforce on Religion and Development. </w:t>
      </w:r>
    </w:p>
    <w:p w14:paraId="0520E814" w14:textId="77777777" w:rsidR="009D0C33" w:rsidRPr="00425059" w:rsidRDefault="009D0C33" w:rsidP="009D0C33">
      <w:pPr>
        <w:pStyle w:val="SingleTxtG"/>
        <w:numPr>
          <w:ilvl w:val="0"/>
          <w:numId w:val="13"/>
        </w:numPr>
        <w:ind w:left="1134" w:firstLine="0"/>
      </w:pPr>
      <w:r w:rsidRPr="00425059">
        <w:t xml:space="preserve">The details of the consultations that he conducted for the present report are listed in paragraph </w:t>
      </w:r>
      <w:r w:rsidR="006218A2" w:rsidRPr="00425059">
        <w:t xml:space="preserve">10 </w:t>
      </w:r>
      <w:r w:rsidRPr="00425059">
        <w:t xml:space="preserve">below. </w:t>
      </w:r>
    </w:p>
    <w:p w14:paraId="5A73F8B8" w14:textId="77777777" w:rsidR="009D0C33" w:rsidRPr="00425059" w:rsidRDefault="009D0C33" w:rsidP="009D0C33">
      <w:pPr>
        <w:pStyle w:val="HChG"/>
      </w:pPr>
      <w:r w:rsidRPr="00425059">
        <w:tab/>
        <w:t>II.</w:t>
      </w:r>
      <w:r w:rsidRPr="00425059">
        <w:tab/>
        <w:t>Introduction</w:t>
      </w:r>
    </w:p>
    <w:p w14:paraId="2E198030" w14:textId="15D9806D" w:rsidR="009D0C33" w:rsidRPr="00425059" w:rsidRDefault="009D0C33" w:rsidP="009D0C33">
      <w:pPr>
        <w:pStyle w:val="SingleTxtG"/>
        <w:numPr>
          <w:ilvl w:val="0"/>
          <w:numId w:val="13"/>
        </w:numPr>
        <w:ind w:left="1134" w:firstLine="0"/>
      </w:pPr>
      <w:r w:rsidRPr="00425059">
        <w:t xml:space="preserve">This year, 2020, marks the 25th anniversary of the adoption of the Beijing Declaration and Platform of Action, a pivotal document affirming women’s rights and equality, and five years since 193 countries signed on to the most ambitious development agenda in history, the Sustainable Development Goals (SDGs), which included a pledge to achieve gender equality and leave no one behind. In this regard, this past decade has witnessed strident advances in protections for the human rights of women, girls, </w:t>
      </w:r>
      <w:r w:rsidR="00F26AA6" w:rsidRPr="00425059">
        <w:t>and lesbian, gay</w:t>
      </w:r>
      <w:r w:rsidR="00F216A1" w:rsidRPr="00425059">
        <w:t>, bisexual</w:t>
      </w:r>
      <w:r w:rsidR="00F26AA6" w:rsidRPr="00425059">
        <w:t xml:space="preserve"> and transgender (LGBT+) persons </w:t>
      </w:r>
      <w:r w:rsidRPr="00425059">
        <w:t xml:space="preserve">accompanied by a worldwide escalation in challenges to these efforts. </w:t>
      </w:r>
    </w:p>
    <w:p w14:paraId="23578702" w14:textId="77777777" w:rsidR="009D0C33" w:rsidRPr="00425059" w:rsidRDefault="009D0C33" w:rsidP="005A0F06">
      <w:pPr>
        <w:pStyle w:val="SingleTxtG"/>
        <w:numPr>
          <w:ilvl w:val="0"/>
          <w:numId w:val="13"/>
        </w:numPr>
        <w:ind w:left="1134" w:firstLine="0"/>
        <w:rPr>
          <w:rStyle w:val="FootnoteReference"/>
          <w:sz w:val="20"/>
          <w:vertAlign w:val="baseline"/>
        </w:rPr>
      </w:pPr>
      <w:r w:rsidRPr="00425059">
        <w:t>The UN Secretary General recently reported that although there has been a significant global decline in the practices of female genital mutilation (FGM) and early/forced marriage, in the past decade, at least 200 million girls and women have been subjected to FGM, and some 30% of women aged 20 to 24 years were married before the age of 18.</w:t>
      </w:r>
      <w:r w:rsidRPr="00425059">
        <w:rPr>
          <w:rStyle w:val="FootnoteReference"/>
          <w:color w:val="000000" w:themeColor="text1"/>
          <w:szCs w:val="18"/>
        </w:rPr>
        <w:footnoteReference w:id="4"/>
      </w:r>
      <w:r w:rsidRPr="00425059">
        <w:rPr>
          <w:rStyle w:val="FootnoteReference"/>
          <w:color w:val="000000" w:themeColor="text1"/>
          <w:szCs w:val="18"/>
        </w:rPr>
        <w:t xml:space="preserve"> </w:t>
      </w:r>
      <w:r w:rsidRPr="00425059">
        <w:t>An estimated 295,000 women died of causes related to pregnancy or childbirth in 2017, most of which were preventable</w:t>
      </w:r>
      <w:r w:rsidRPr="00425059">
        <w:rPr>
          <w:rStyle w:val="FootnoteReference"/>
          <w:sz w:val="20"/>
          <w:vertAlign w:val="baseline"/>
        </w:rPr>
        <w:t>;</w:t>
      </w:r>
      <w:r w:rsidRPr="00425059">
        <w:rPr>
          <w:rStyle w:val="FootnoteReference"/>
          <w:color w:val="000000" w:themeColor="text1"/>
          <w:szCs w:val="18"/>
        </w:rPr>
        <w:footnoteReference w:id="5"/>
      </w:r>
      <w:r w:rsidRPr="00425059">
        <w:rPr>
          <w:rStyle w:val="FootnoteReference"/>
          <w:sz w:val="20"/>
          <w:vertAlign w:val="baseline"/>
        </w:rPr>
        <w:t xml:space="preserve"> </w:t>
      </w:r>
      <w:r w:rsidRPr="00425059">
        <w:t>globally women parliamentarians risk  harassment and violence for their work</w:t>
      </w:r>
      <w:r w:rsidRPr="00425059">
        <w:rPr>
          <w:rStyle w:val="FootnoteReference"/>
          <w:color w:val="000000" w:themeColor="text1"/>
          <w:szCs w:val="18"/>
        </w:rPr>
        <w:footnoteReference w:id="6"/>
      </w:r>
      <w:r w:rsidRPr="00425059">
        <w:rPr>
          <w:rStyle w:val="FootnoteReference"/>
          <w:sz w:val="20"/>
          <w:vertAlign w:val="baseline"/>
        </w:rPr>
        <w:t>;</w:t>
      </w:r>
      <w:r w:rsidRPr="00425059">
        <w:t xml:space="preserve"> a typical economy this past decade gave women only three-fourths of the legal rights as men.</w:t>
      </w:r>
      <w:r w:rsidRPr="00425059">
        <w:rPr>
          <w:rStyle w:val="FootnoteReference"/>
          <w:color w:val="000000" w:themeColor="text1"/>
          <w:szCs w:val="18"/>
        </w:rPr>
        <w:footnoteReference w:id="7"/>
      </w:r>
      <w:r w:rsidRPr="00425059">
        <w:rPr>
          <w:rStyle w:val="FootnoteReference"/>
          <w:color w:val="000000" w:themeColor="text1"/>
          <w:szCs w:val="18"/>
        </w:rPr>
        <w:t xml:space="preserve"> </w:t>
      </w:r>
      <w:r w:rsidRPr="00425059">
        <w:t xml:space="preserve">Seventy-two countries worldwide criminalize same-sex relationships; up to 11 </w:t>
      </w:r>
      <w:r w:rsidRPr="00425059">
        <w:lastRenderedPageBreak/>
        <w:t>States impose the death penalty for homosexual acts. Only 10% of nations have laws that protect against discrimination based on gender identity</w:t>
      </w:r>
      <w:r w:rsidRPr="00425059">
        <w:rPr>
          <w:rStyle w:val="FootnoteReference"/>
          <w:sz w:val="20"/>
          <w:vertAlign w:val="baseline"/>
        </w:rPr>
        <w:t>.</w:t>
      </w:r>
      <w:r w:rsidRPr="00425059">
        <w:rPr>
          <w:rStyle w:val="FootnoteReference"/>
        </w:rPr>
        <w:footnoteReference w:id="8"/>
      </w:r>
    </w:p>
    <w:p w14:paraId="6FE31BD5" w14:textId="77777777" w:rsidR="009D0C33" w:rsidRPr="00425059" w:rsidRDefault="009D0C33" w:rsidP="009D0C33">
      <w:pPr>
        <w:pStyle w:val="SingleTxtG"/>
        <w:numPr>
          <w:ilvl w:val="0"/>
          <w:numId w:val="13"/>
        </w:numPr>
        <w:ind w:left="1134" w:firstLine="0"/>
      </w:pPr>
      <w:r w:rsidRPr="00425059">
        <w:t>Fundamental to these challenges, the Secretary General notes, is “insufficient progress on structural issues at the root of gender inequality, such as legal discrimination, unfair social norms and attitudes, decision-making on sexual and reproductive issues and low levels of political participation”.</w:t>
      </w:r>
      <w:r w:rsidRPr="00425059">
        <w:rPr>
          <w:rStyle w:val="FootnoteReference"/>
          <w:color w:val="000000" w:themeColor="text1"/>
          <w:szCs w:val="18"/>
        </w:rPr>
        <w:footnoteReference w:id="9"/>
      </w:r>
      <w:r w:rsidRPr="00425059">
        <w:rPr>
          <w:rStyle w:val="FootnoteReference"/>
          <w:color w:val="000000" w:themeColor="text1"/>
          <w:szCs w:val="18"/>
        </w:rPr>
        <w:t xml:space="preserve"> </w:t>
      </w:r>
      <w:r w:rsidRPr="00425059">
        <w:t xml:space="preserve"> At risk are the crucial international goals of combatting gender-based discrimination and violence, in addition to the longstanding, critical objectives tethered to these aspirations. </w:t>
      </w:r>
    </w:p>
    <w:p w14:paraId="76AFBED9" w14:textId="0B74B273" w:rsidR="009D0C33" w:rsidRPr="00425059" w:rsidRDefault="009D0C33" w:rsidP="009D0C33">
      <w:pPr>
        <w:pStyle w:val="SingleTxtG"/>
        <w:numPr>
          <w:ilvl w:val="0"/>
          <w:numId w:val="13"/>
        </w:numPr>
        <w:ind w:left="1134" w:firstLine="0"/>
      </w:pPr>
      <w:r w:rsidRPr="00425059">
        <w:t>States seeking to confront these challenges have adopted a variety of approaches to uphold the</w:t>
      </w:r>
      <w:r w:rsidR="003062CD" w:rsidRPr="00425059">
        <w:t>ir</w:t>
      </w:r>
      <w:r w:rsidRPr="00425059">
        <w:t xml:space="preserve"> obligation to ensure the freedom to manifest religion or belief</w:t>
      </w:r>
      <w:r w:rsidR="003062CD" w:rsidRPr="00425059">
        <w:t>,</w:t>
      </w:r>
      <w:r w:rsidRPr="00425059">
        <w:t xml:space="preserve"> while simultaneously protecting</w:t>
      </w:r>
      <w:r w:rsidRPr="00425059" w:rsidDel="00327A78">
        <w:t xml:space="preserve"> </w:t>
      </w:r>
      <w:r w:rsidRPr="00425059">
        <w:t xml:space="preserve">the rights to equality and non-discrimination of all people. Some States have taken important measures aimed at creating conditions in which all members of society are able to exercise their rights on equal footing. Other States have made less effort, instead aligning official laws and policies with religious actors. The Special Rapporteur has also identified situations in which States have restricted gender-discriminatory </w:t>
      </w:r>
      <w:r w:rsidR="00DA5F83" w:rsidRPr="00425059">
        <w:t xml:space="preserve">practices but have done so in </w:t>
      </w:r>
      <w:r w:rsidRPr="00425059">
        <w:t>such a way as to render the very individuals on whose behalf they purported to act unable to fully enjoy their right to manifest their freedom of religion or belief, alone or in community with others.</w:t>
      </w:r>
    </w:p>
    <w:p w14:paraId="4F39906E" w14:textId="411EFA6F" w:rsidR="009D0C33" w:rsidRPr="00425059" w:rsidRDefault="009D0C33" w:rsidP="009D0C33">
      <w:pPr>
        <w:pStyle w:val="SingleTxtG"/>
        <w:numPr>
          <w:ilvl w:val="0"/>
          <w:numId w:val="13"/>
        </w:numPr>
        <w:ind w:left="1134" w:firstLine="0"/>
      </w:pPr>
      <w:r w:rsidRPr="00425059">
        <w:t xml:space="preserve">Of particular concern is the considerable evidence that in all regions of the world, actors citing religious justifications for their actions have advocated </w:t>
      </w:r>
      <w:r w:rsidR="003062CD" w:rsidRPr="00425059">
        <w:t>to</w:t>
      </w:r>
      <w:r w:rsidRPr="00425059">
        <w:t xml:space="preserve"> government</w:t>
      </w:r>
      <w:r w:rsidR="003062CD" w:rsidRPr="00425059">
        <w:t xml:space="preserve">s </w:t>
      </w:r>
      <w:r w:rsidRPr="00425059">
        <w:t xml:space="preserve">and </w:t>
      </w:r>
      <w:r w:rsidR="003062CD" w:rsidRPr="00425059">
        <w:t xml:space="preserve">to </w:t>
      </w:r>
      <w:r w:rsidRPr="00425059">
        <w:t>the broader public for the preservation or imposition of laws and policies that directly or indirectly discriminate against women, girls and</w:t>
      </w:r>
      <w:r w:rsidR="00F26AA6" w:rsidRPr="00425059">
        <w:t xml:space="preserve"> LGBT+ persons. </w:t>
      </w:r>
      <w:r w:rsidRPr="00425059">
        <w:t>In every region of the world, the Special Rapporteur has identified laws enacted with the aim of mandating standards of conduct purportedly demanded by a particular religion that effectively deny women and other individuals the right to equality and non-discrimination on the basis of their sex, sexual orientation or gender identity. Further, laws identified as intended to protect the right of all individuals to manifest their religion or belief have been applied in a manner that has resulted in discrimination in practice on the same bases. Governments in all regions of the world have also failed to uphold their obligation to protect people from gender-based violence and discrimination perpetrated against them by private individuals or entities claiming a religious justification for their actions and to sanction the perpetrators of such acts. Gender-based violence and discrimination is being perpetuated both in the public sphere and by and within religious communities and entities.</w:t>
      </w:r>
    </w:p>
    <w:p w14:paraId="6E66A0B4" w14:textId="1716C64A" w:rsidR="009D0C33" w:rsidRPr="00425059" w:rsidRDefault="009D0C33" w:rsidP="009D0C33">
      <w:pPr>
        <w:pStyle w:val="SingleTxtG"/>
        <w:numPr>
          <w:ilvl w:val="0"/>
          <w:numId w:val="13"/>
        </w:numPr>
        <w:ind w:left="1134" w:firstLine="0"/>
        <w:rPr>
          <w:sz w:val="21"/>
          <w:szCs w:val="21"/>
          <w:lang w:val="en-IE"/>
        </w:rPr>
      </w:pPr>
      <w:r w:rsidRPr="00425059">
        <w:t>In</w:t>
      </w:r>
      <w:r w:rsidRPr="00425059">
        <w:rPr>
          <w:sz w:val="21"/>
          <w:szCs w:val="21"/>
        </w:rPr>
        <w:t xml:space="preserve"> its </w:t>
      </w:r>
      <w:r w:rsidRPr="00425059">
        <w:t xml:space="preserve">establishment of this mandate the Council has encouraged the Special Rapporteur “to apply a gender </w:t>
      </w:r>
      <w:r w:rsidRPr="00F216A1">
        <w:t xml:space="preserve">perspective” </w:t>
      </w:r>
      <w:r w:rsidR="005F2FF7" w:rsidRPr="00F216A1">
        <w:t xml:space="preserve">in </w:t>
      </w:r>
      <w:r w:rsidRPr="00F216A1">
        <w:t>carrying</w:t>
      </w:r>
      <w:r w:rsidRPr="00425059">
        <w:t xml:space="preserve"> out its work, and to continue to do so, “inter alia, through the identification of gender-specific abuses, including in information collection and in recommendations.” Accordingly, several of the Special Rapporteur’s predecessors devoted attention to the issue of gender-specific human rights abuses with a relationship to the exercise of religious or other beliefs.</w:t>
      </w:r>
      <w:r w:rsidRPr="00425059">
        <w:rPr>
          <w:rStyle w:val="FootnoteReference"/>
          <w:color w:val="000000" w:themeColor="text1"/>
          <w:szCs w:val="18"/>
        </w:rPr>
        <w:footnoteReference w:id="10"/>
      </w:r>
      <w:r w:rsidRPr="00425059">
        <w:rPr>
          <w:rStyle w:val="FootnoteReference"/>
          <w:color w:val="000000" w:themeColor="text1"/>
          <w:szCs w:val="18"/>
        </w:rPr>
        <w:t xml:space="preserve"> </w:t>
      </w:r>
      <w:r w:rsidRPr="00425059">
        <w:t>This report draws attention to different situations in which gender-based violence and discrimination grounded in religious justifications persists, whether resulting directly from official laws and policies or carried out by private actors with the explicit or tacit encouragement from State officials. He discusses the legal standards that should inform States’ responses to these issues and identifies initiatives to ensure that exercise of the right to manifest religion or belief does not impede enjoyment of the rights to equality and non-discrimination and makes recommendations.</w:t>
      </w:r>
      <w:r w:rsidRPr="00425059">
        <w:rPr>
          <w:b/>
          <w:sz w:val="21"/>
          <w:szCs w:val="21"/>
        </w:rPr>
        <w:t xml:space="preserve"> </w:t>
      </w:r>
    </w:p>
    <w:p w14:paraId="723003F0" w14:textId="77777777" w:rsidR="00763E98" w:rsidRPr="00425059" w:rsidRDefault="00763E98" w:rsidP="00BC120E">
      <w:pPr>
        <w:pStyle w:val="HChG"/>
      </w:pPr>
      <w:r w:rsidRPr="00425059">
        <w:rPr>
          <w:color w:val="FF0000"/>
        </w:rPr>
        <w:tab/>
      </w:r>
      <w:r w:rsidRPr="00425059">
        <w:t>I</w:t>
      </w:r>
      <w:r w:rsidR="00117175" w:rsidRPr="00425059">
        <w:t>I</w:t>
      </w:r>
      <w:r w:rsidRPr="00425059">
        <w:t>I.</w:t>
      </w:r>
      <w:r w:rsidRPr="00425059">
        <w:tab/>
      </w:r>
      <w:r w:rsidR="00117175" w:rsidRPr="00425059">
        <w:t>Methodology</w:t>
      </w:r>
    </w:p>
    <w:p w14:paraId="3713F36B" w14:textId="77777777" w:rsidR="006B0230" w:rsidRPr="00425059" w:rsidRDefault="006B0230" w:rsidP="006B0230">
      <w:pPr>
        <w:pStyle w:val="SingleTxtG"/>
        <w:numPr>
          <w:ilvl w:val="0"/>
          <w:numId w:val="13"/>
        </w:numPr>
        <w:ind w:left="1134" w:firstLine="0"/>
      </w:pPr>
      <w:r w:rsidRPr="00425059">
        <w:t xml:space="preserve">This report identifies a number of situations recently addressed by United Nations human rights experts in which laws enacted with reference to religious beliefs or private actors citing religious ‘justifications’ for their actions have given rise to gender-based violence or discrimination. </w:t>
      </w:r>
    </w:p>
    <w:p w14:paraId="136E12A3" w14:textId="77777777" w:rsidR="006B0230" w:rsidRPr="00425059" w:rsidRDefault="006B0230" w:rsidP="006B0230">
      <w:pPr>
        <w:pStyle w:val="SingleTxtG"/>
        <w:numPr>
          <w:ilvl w:val="0"/>
          <w:numId w:val="13"/>
        </w:numPr>
        <w:ind w:left="1134" w:firstLine="0"/>
      </w:pPr>
      <w:r w:rsidRPr="00425059">
        <w:t xml:space="preserve">The Special Rapporteur also gathered information for this report directly from survivors of human rights violations resulting from the implementation of laws or perpetrated by private actors as described above, as well as rights monitors, advocates, academics, legal experts, faith or belief-based actors, and government officials working and living in forty-two countries; including eleven countries in the Americas, eleven countries in South and Southeast Asia, nineteen countries in Africa and one Eastern European country –– during 2-3-day consultations that were organized from May – December 2019 in Buenos Aires, Argentina; Warsaw, Poland; Johannesburg, South Africa; Colombo, Sri Lanka; Geneva, Switzerland; Bangkok, Thailand; Tunis; Tunisia; New York, United States; and  Montevideo, Uruguay. </w:t>
      </w:r>
    </w:p>
    <w:p w14:paraId="00CDA4A0" w14:textId="54877CE8" w:rsidR="006B0230" w:rsidRPr="00425059" w:rsidRDefault="006B0230" w:rsidP="006B0230">
      <w:pPr>
        <w:pStyle w:val="SingleTxtG"/>
        <w:numPr>
          <w:ilvl w:val="0"/>
          <w:numId w:val="13"/>
        </w:numPr>
        <w:ind w:left="1134" w:firstLine="0"/>
      </w:pPr>
      <w:r w:rsidRPr="00425059">
        <w:t>Participants in these meetings also included members of UN Treaty Bodies &amp; Special Procedures mandate-holders, representatives of the Office of the High Commissioner for Human Rights (</w:t>
      </w:r>
      <w:r w:rsidRPr="00F216A1">
        <w:t>OHCHR) in Geneva and OHCHR Tunisia</w:t>
      </w:r>
      <w:r w:rsidR="002278AB" w:rsidRPr="00F216A1">
        <w:t xml:space="preserve">; </w:t>
      </w:r>
      <w:r w:rsidRPr="00F216A1">
        <w:t>Officers of several UN agencies</w:t>
      </w:r>
      <w:r w:rsidR="00F216A1">
        <w:t xml:space="preserve"> i</w:t>
      </w:r>
      <w:r w:rsidRPr="00F216A1">
        <w:t>ncluding UN AIDS, UNFPA, UNWOMEN and the WHO.  The Special Rapporteur is grateful to those who participated in the consultation</w:t>
      </w:r>
      <w:r w:rsidR="002278AB" w:rsidRPr="00F216A1">
        <w:t>s</w:t>
      </w:r>
      <w:r w:rsidRPr="00F216A1">
        <w:t xml:space="preserve"> for taking</w:t>
      </w:r>
      <w:r w:rsidRPr="00425059">
        <w:t xml:space="preserve"> the time to travel great distances –– at times at peril to their security –– in order to engage with him. </w:t>
      </w:r>
    </w:p>
    <w:p w14:paraId="6C314472" w14:textId="59B9A294" w:rsidR="006B0230" w:rsidRPr="00425059" w:rsidRDefault="006B0230" w:rsidP="006B0230">
      <w:pPr>
        <w:pStyle w:val="SingleTxtG"/>
        <w:numPr>
          <w:ilvl w:val="0"/>
          <w:numId w:val="13"/>
        </w:numPr>
        <w:ind w:left="1134" w:firstLine="0"/>
      </w:pPr>
      <w:r w:rsidRPr="00425059">
        <w:t>The Special Rapporteur also invited civil society, faith-or-belief-based actors and other stakeholders to submit information about laws, policies and activities affecting the right to freedom of religion or belief for women, girls and</w:t>
      </w:r>
      <w:r w:rsidR="00F26AA6" w:rsidRPr="00425059">
        <w:t xml:space="preserve"> LGBT+ persons</w:t>
      </w:r>
      <w:r w:rsidRPr="00425059">
        <w:t>, as well as information about the intersection of freedom of religion or belief and other rights. Dozens of reports and studies were submitted by monitors, researchers, and rights organizations.</w:t>
      </w:r>
    </w:p>
    <w:p w14:paraId="391BBDB4" w14:textId="77777777" w:rsidR="00493ED5" w:rsidRPr="00425059" w:rsidRDefault="00493ED5" w:rsidP="00493ED5">
      <w:pPr>
        <w:pStyle w:val="HChG"/>
      </w:pPr>
      <w:r w:rsidRPr="00425059">
        <w:rPr>
          <w:color w:val="FF0000"/>
        </w:rPr>
        <w:tab/>
      </w:r>
      <w:r w:rsidRPr="00425059">
        <w:t>IV.</w:t>
      </w:r>
      <w:r w:rsidRPr="00425059">
        <w:tab/>
        <w:t>Key findings</w:t>
      </w:r>
    </w:p>
    <w:p w14:paraId="7849842B" w14:textId="072DA9E4" w:rsidR="00493ED5" w:rsidRPr="00425059" w:rsidRDefault="00493ED5" w:rsidP="00493ED5">
      <w:pPr>
        <w:pStyle w:val="SingleTxtG"/>
        <w:numPr>
          <w:ilvl w:val="0"/>
          <w:numId w:val="13"/>
        </w:numPr>
        <w:ind w:left="1134" w:firstLine="0"/>
      </w:pPr>
      <w:r w:rsidRPr="00425059">
        <w:t xml:space="preserve">The Special Rapporteur has received a great deal of information alleging that women, girls and </w:t>
      </w:r>
      <w:r w:rsidR="00F26AA6" w:rsidRPr="00425059">
        <w:t xml:space="preserve">LGBT+ persons </w:t>
      </w:r>
      <w:r w:rsidRPr="00425059">
        <w:t xml:space="preserve"> have experienced gender-specific violence and discrimination that impedes their ability to fully enjoy their human rights – including the right to freedom of religion or belief – by State and non-state actors relying on religious ‘justifications’ for their actions. Additionally, civil society and faith-based actors engaged in a series of consultations for this report highlighted the varied ways in which women, girls and </w:t>
      </w:r>
      <w:r w:rsidR="00F26AA6" w:rsidRPr="00425059">
        <w:t>LGBT+ persons</w:t>
      </w:r>
      <w:r w:rsidRPr="00425059">
        <w:t xml:space="preserve"> are denied equal personhood in both the private and public sphere in States where interpretations of religious doctrine that promote gender-based violence and discrimination are enforced through law and policy. </w:t>
      </w:r>
    </w:p>
    <w:p w14:paraId="37606766" w14:textId="0DA8221A" w:rsidR="00493ED5" w:rsidRPr="00F216A1" w:rsidRDefault="00493ED5" w:rsidP="00493ED5">
      <w:pPr>
        <w:pStyle w:val="SingleTxtG"/>
        <w:numPr>
          <w:ilvl w:val="0"/>
          <w:numId w:val="13"/>
        </w:numPr>
        <w:ind w:left="1134" w:firstLine="0"/>
      </w:pPr>
      <w:r w:rsidRPr="00425059">
        <w:t>To date, much attention regarding gender-based discrimination in the name of religion</w:t>
      </w:r>
      <w:r w:rsidR="002278AB">
        <w:t xml:space="preserve"> </w:t>
      </w:r>
      <w:r w:rsidR="002278AB" w:rsidRPr="00F216A1">
        <w:t>or belief</w:t>
      </w:r>
      <w:r w:rsidRPr="00F216A1">
        <w:t xml:space="preserve"> has focused on practices such as FGM, marital rape, early and forced marriage and polyg</w:t>
      </w:r>
      <w:r w:rsidR="00DA5F83" w:rsidRPr="00F216A1">
        <w:t>am</w:t>
      </w:r>
      <w:r w:rsidRPr="00F216A1">
        <w:t>y, all of which are rightly condemned as ‘harmful traditional practices’ by the human rights community. At the same time, consultation participants, across four regions, also noted the increasing use of religion or belief to deny reproductive health and sexual rights; criminalize protected conduct and deny the equal personhood of</w:t>
      </w:r>
      <w:r w:rsidR="00F26AA6" w:rsidRPr="00F216A1">
        <w:t xml:space="preserve"> LGBT+ persons; </w:t>
      </w:r>
      <w:r w:rsidRPr="00F216A1">
        <w:t xml:space="preserve">or to undermine the right to freedom of religion or belief to women, girls and </w:t>
      </w:r>
      <w:r w:rsidR="00F26AA6" w:rsidRPr="00F216A1">
        <w:t xml:space="preserve">LGBT+ persons. </w:t>
      </w:r>
    </w:p>
    <w:p w14:paraId="086B7E9D" w14:textId="629373C3" w:rsidR="00493ED5" w:rsidRPr="00425059" w:rsidRDefault="00493ED5" w:rsidP="00493ED5">
      <w:pPr>
        <w:pStyle w:val="SingleTxtG"/>
        <w:numPr>
          <w:ilvl w:val="0"/>
          <w:numId w:val="13"/>
        </w:numPr>
        <w:ind w:left="1134" w:firstLine="0"/>
      </w:pPr>
      <w:r w:rsidRPr="00F216A1">
        <w:t>The Special Rapporteur shares the concern expressed by other UN human rights mechanisms at legislation in force in many countries that impose standards of conduct allegedly prescribed by a religio</w:t>
      </w:r>
      <w:r w:rsidR="002278AB" w:rsidRPr="00F216A1">
        <w:t xml:space="preserve">n or </w:t>
      </w:r>
      <w:r w:rsidRPr="00F216A1">
        <w:t>belief on the entire</w:t>
      </w:r>
      <w:r w:rsidRPr="00425059">
        <w:t xml:space="preserve"> society and that have the effect of discriminating against women, girls and </w:t>
      </w:r>
      <w:r w:rsidR="00A52D89" w:rsidRPr="00425059">
        <w:t xml:space="preserve">LGBT+ persons. </w:t>
      </w:r>
      <w:r w:rsidRPr="00425059">
        <w:t>The consultations held in preparing this report identified a number of additional such cases and also drew the Special Rapporteur’s attention to the significant role of religious actors and groups in mobilizing governments to adopt such legislation.</w:t>
      </w:r>
    </w:p>
    <w:p w14:paraId="1EE4F640" w14:textId="77777777" w:rsidR="00171987" w:rsidRPr="00425059" w:rsidRDefault="00171987" w:rsidP="00171987">
      <w:pPr>
        <w:pStyle w:val="H1G"/>
      </w:pPr>
      <w:r w:rsidRPr="00425059">
        <w:tab/>
        <w:t>A.</w:t>
      </w:r>
      <w:r w:rsidRPr="00425059">
        <w:tab/>
        <w:t xml:space="preserve">Gender-based violence and discrimination resulting from state laws and policies that are grounded in religious ‘justifications’ </w:t>
      </w:r>
    </w:p>
    <w:p w14:paraId="50C7A4FB" w14:textId="77777777" w:rsidR="00AC2074" w:rsidRPr="00425059" w:rsidRDefault="00812CED" w:rsidP="00812CED">
      <w:pPr>
        <w:pStyle w:val="H23G"/>
      </w:pPr>
      <w:r w:rsidRPr="00425059">
        <w:rPr>
          <w:color w:val="FF0000"/>
        </w:rPr>
        <w:tab/>
      </w:r>
      <w:r w:rsidRPr="00425059">
        <w:t>1.</w:t>
      </w:r>
      <w:r w:rsidRPr="00425059">
        <w:tab/>
      </w:r>
      <w:r w:rsidR="00AC2074" w:rsidRPr="00425059">
        <w:t>Re</w:t>
      </w:r>
      <w:r w:rsidR="00171987" w:rsidRPr="00425059">
        <w:t>servations</w:t>
      </w:r>
    </w:p>
    <w:p w14:paraId="1610FFB6" w14:textId="77777777" w:rsidR="00171987" w:rsidRPr="00425059" w:rsidRDefault="00171987" w:rsidP="00C36972">
      <w:pPr>
        <w:pStyle w:val="SingleTxtG"/>
        <w:numPr>
          <w:ilvl w:val="0"/>
          <w:numId w:val="13"/>
        </w:numPr>
        <w:ind w:left="1134" w:firstLine="0"/>
      </w:pPr>
      <w:r w:rsidRPr="00425059">
        <w:t xml:space="preserve"> Many States have submitted reservations to provisions of international human rights treaties that protect rights that advance gender equality, often asserting that in the event of a conflict between national laws which are informed by religious teachings and obligations under the human rights treaty, the legally pro</w:t>
      </w:r>
      <w:r w:rsidR="00DA5F83" w:rsidRPr="00425059">
        <w:t>tected religious norms prevail.</w:t>
      </w:r>
      <w:r w:rsidRPr="00425059">
        <w:rPr>
          <w:rStyle w:val="FootnoteReference"/>
          <w:szCs w:val="18"/>
        </w:rPr>
        <w:footnoteReference w:id="11"/>
      </w:r>
      <w:r w:rsidRPr="00425059">
        <w:rPr>
          <w:rStyle w:val="FootnoteReference"/>
          <w:szCs w:val="18"/>
        </w:rPr>
        <w:t xml:space="preserve"> </w:t>
      </w:r>
      <w:r w:rsidRPr="00425059">
        <w:t>A significant number of such religiously grounded reservations are contrary to the object and purpose of the relevant treaties and invalid under international law. Among States that have adopted such reservations, many also impose significant restrictions on freedom of religion or belief and often discriminate against persons belonging to religious minorities, converts or apostates and non-believers as well as women, girls and LGBT+ persons.</w:t>
      </w:r>
    </w:p>
    <w:p w14:paraId="252EAA62" w14:textId="77777777" w:rsidR="00171987" w:rsidRPr="00425059" w:rsidRDefault="00171987" w:rsidP="00171987">
      <w:pPr>
        <w:pStyle w:val="H23G"/>
        <w:ind w:left="360" w:firstLine="0"/>
      </w:pPr>
      <w:r w:rsidRPr="00425059">
        <w:tab/>
        <w:t>2.</w:t>
      </w:r>
      <w:r w:rsidRPr="00425059">
        <w:tab/>
        <w:t>Personal status and family laws</w:t>
      </w:r>
    </w:p>
    <w:p w14:paraId="0A4B2D19" w14:textId="02FDBAFF" w:rsidR="00D6612F" w:rsidRPr="00425059" w:rsidRDefault="00D6612F" w:rsidP="00D6612F">
      <w:pPr>
        <w:pStyle w:val="SingleTxtG"/>
        <w:numPr>
          <w:ilvl w:val="0"/>
          <w:numId w:val="13"/>
        </w:numPr>
        <w:ind w:left="1134" w:firstLine="0"/>
      </w:pPr>
      <w:r w:rsidRPr="00425059">
        <w:t>The Special Rapporteur draws particular attention to discriminatory legal provisions in personal status and family laws that are informed by interpretations of religious traditions.  As  recently noted by the Secretary General, discrimination in personal status and family laws can prevent women from leaving violent relationships and have a significant bearing on their safety and well-being,</w:t>
      </w:r>
      <w:r w:rsidRPr="00425059">
        <w:rPr>
          <w:rStyle w:val="FootnoteReference"/>
          <w:szCs w:val="18"/>
        </w:rPr>
        <w:footnoteReference w:id="12"/>
      </w:r>
      <w:r w:rsidRPr="00425059">
        <w:t xml:space="preserve"> as well as numerous other rights.  Participants in consultations for this study, across regions, highlighted examples wherein governments either enforce religious principles that promote gender-based violence and/or discrimination against women and girls through personal status or family law, or delegate authority in administrating personal status rights and affairs regulated by family law to religious communities. </w:t>
      </w:r>
      <w:r w:rsidR="006124FC" w:rsidRPr="00425059">
        <w:t xml:space="preserve">Despite recent reforms </w:t>
      </w:r>
      <w:r w:rsidR="0001602B" w:rsidRPr="00425059">
        <w:t xml:space="preserve">to the ‘guardianship system’ women and girls in Saudi Arabia </w:t>
      </w:r>
      <w:r w:rsidR="00CC1259" w:rsidRPr="00425059">
        <w:t xml:space="preserve">continue to </w:t>
      </w:r>
      <w:r w:rsidR="0001602B" w:rsidRPr="00425059">
        <w:t>face s</w:t>
      </w:r>
      <w:r w:rsidR="00CC1259" w:rsidRPr="00425059">
        <w:t>ystematic discrimination in law and in practice in several areas and are inadequately protected against gender-based violence</w:t>
      </w:r>
      <w:r w:rsidR="0001602B" w:rsidRPr="00425059">
        <w:t>.</w:t>
      </w:r>
      <w:r w:rsidR="00CC1259" w:rsidRPr="00425059">
        <w:rPr>
          <w:rStyle w:val="FootnoteReference"/>
        </w:rPr>
        <w:footnoteReference w:id="13"/>
      </w:r>
      <w:r w:rsidR="0001602B" w:rsidRPr="00425059">
        <w:t xml:space="preserve"> </w:t>
      </w:r>
      <w:r w:rsidRPr="00425059">
        <w:t xml:space="preserve">Denominational family law in Israel, to which there is no civil alternative, permits divorce only with the consent of the husband, which reportedly can coerce women to forfeit property or  custody of </w:t>
      </w:r>
      <w:r w:rsidRPr="00F216A1">
        <w:t>children</w:t>
      </w:r>
      <w:r w:rsidR="002278AB" w:rsidRPr="00F216A1">
        <w:t>.</w:t>
      </w:r>
      <w:r w:rsidRPr="00F216A1">
        <w:rPr>
          <w:rStyle w:val="FootnoteReference"/>
          <w:szCs w:val="18"/>
        </w:rPr>
        <w:footnoteReference w:id="14"/>
      </w:r>
      <w:r w:rsidRPr="00F216A1">
        <w:t xml:space="preserve"> Although</w:t>
      </w:r>
      <w:r w:rsidRPr="00425059">
        <w:t xml:space="preserve"> Tunisia stands out in the Middle East and North Africa (MENA) region for many of its  protections for the human rights of women and girls, the Personal Status Code of 1956, rooted in an interpretation of Islam, requires further amendment to guarantee gender equality in inheritance rights.</w:t>
      </w:r>
      <w:r w:rsidRPr="00425059">
        <w:rPr>
          <w:rStyle w:val="FootnoteReference"/>
          <w:szCs w:val="18"/>
        </w:rPr>
        <w:footnoteReference w:id="15"/>
      </w:r>
      <w:r w:rsidRPr="00425059">
        <w:rPr>
          <w:rStyle w:val="FootnoteReference"/>
          <w:szCs w:val="18"/>
        </w:rPr>
        <w:t xml:space="preserve"> </w:t>
      </w:r>
    </w:p>
    <w:p w14:paraId="010DD41B" w14:textId="77777777" w:rsidR="00D6612F" w:rsidRPr="00425059" w:rsidRDefault="00D6612F" w:rsidP="00D6612F">
      <w:pPr>
        <w:pStyle w:val="SingleTxtG"/>
        <w:numPr>
          <w:ilvl w:val="0"/>
          <w:numId w:val="13"/>
        </w:numPr>
        <w:ind w:left="1134" w:firstLine="0"/>
      </w:pPr>
      <w:r w:rsidRPr="00425059">
        <w:t xml:space="preserve">Participants at the Special Rapporteur’s consultation on South and Southeast Asia reported that in many countries governments have advanced efforts to combat gender-based violence and discrimination, such as by criminalizing marital rape, mandating written consent for marriage from all parties and by specifying a minimum age for marriage. Some States, however, delegate legal authority to minority religious communities to respect pluralism and </w:t>
      </w:r>
      <w:r w:rsidR="00DA5F83" w:rsidRPr="00425059">
        <w:t xml:space="preserve">multiculturalism; but do so in </w:t>
      </w:r>
      <w:r w:rsidRPr="00425059">
        <w:t>ways that dilute gender equality norms. For example, Sri Lanka’s Muslim Marriage and Divorce Act which, unlike national legal provisions for non-Muslim women, does not identify a minimum age requirement or require a woman to consent to marriage; leaving Muslim women and girls unprotected by national provisions.</w:t>
      </w:r>
      <w:r w:rsidRPr="00425059">
        <w:rPr>
          <w:rStyle w:val="FootnoteReference"/>
          <w:szCs w:val="18"/>
        </w:rPr>
        <w:footnoteReference w:id="16"/>
      </w:r>
      <w:r w:rsidRPr="00425059">
        <w:rPr>
          <w:rStyle w:val="FootnoteReference"/>
          <w:szCs w:val="18"/>
        </w:rPr>
        <w:t xml:space="preserve"> </w:t>
      </w:r>
      <w:r w:rsidRPr="00425059">
        <w:t>Such arrangements, they emphasized, mean that people are accorded different degrees of protection, depending on their religious identity, and many women and girls are left at risk of sexual and gender-based violence within their religious communities without any legal remedy. The Special Rapporteur and his predecessors have repeatedly called on States to eliminate in law and practice, including in plural legal systems, all forms of marriage that restrict and/or deny women and girls’ rights, well-being, and dignity, including early and forced marriage.</w:t>
      </w:r>
      <w:r w:rsidRPr="00425059">
        <w:rPr>
          <w:rStyle w:val="FootnoteReference"/>
          <w:szCs w:val="18"/>
        </w:rPr>
        <w:footnoteReference w:id="17"/>
      </w:r>
    </w:p>
    <w:p w14:paraId="0A8EAFE2" w14:textId="4F42B3E8" w:rsidR="00D6612F" w:rsidRPr="00425059" w:rsidRDefault="00D6612F" w:rsidP="00D6612F">
      <w:pPr>
        <w:pStyle w:val="H23G"/>
      </w:pPr>
      <w:r w:rsidRPr="00425059">
        <w:tab/>
        <w:t>3.</w:t>
      </w:r>
      <w:r w:rsidRPr="00425059">
        <w:tab/>
        <w:t xml:space="preserve">Laws and policies enacted with reference to religious beliefs that criminalize </w:t>
      </w:r>
      <w:r w:rsidR="00F514B0" w:rsidRPr="00425059">
        <w:t xml:space="preserve">conduct </w:t>
      </w:r>
      <w:r w:rsidRPr="00425059">
        <w:t xml:space="preserve">protected </w:t>
      </w:r>
      <w:r w:rsidR="00F514B0" w:rsidRPr="00425059">
        <w:t>under international human right</w:t>
      </w:r>
      <w:r w:rsidR="00021BAF" w:rsidRPr="00425059">
        <w:t>s</w:t>
      </w:r>
      <w:r w:rsidR="00F514B0" w:rsidRPr="00425059">
        <w:t xml:space="preserve"> law</w:t>
      </w:r>
    </w:p>
    <w:p w14:paraId="1EFE1AB1" w14:textId="5812C920" w:rsidR="00D6612F" w:rsidRPr="00F216A1" w:rsidRDefault="00A07E11" w:rsidP="00D6612F">
      <w:pPr>
        <w:pStyle w:val="SingleTxtG"/>
        <w:numPr>
          <w:ilvl w:val="0"/>
          <w:numId w:val="13"/>
        </w:numPr>
        <w:ind w:left="1134" w:firstLine="0"/>
      </w:pPr>
      <w:r w:rsidRPr="00425059">
        <w:t>H</w:t>
      </w:r>
      <w:r w:rsidR="00D6612F" w:rsidRPr="00425059">
        <w:t>uman rights treaty bodies and Special Procedures have expressed concern about laws in several countries that criminalize consensual relations between adults of the same sex, thereby discriminating against persons on grounds of their sexual orientation and gender identity.</w:t>
      </w:r>
      <w:r w:rsidR="00D6612F" w:rsidRPr="00425059">
        <w:rPr>
          <w:rStyle w:val="FootnoteReference"/>
          <w:szCs w:val="18"/>
        </w:rPr>
        <w:footnoteReference w:id="18"/>
      </w:r>
      <w:r w:rsidR="00D6612F" w:rsidRPr="00425059">
        <w:t xml:space="preserve">  The Special Rapporteur notes that States that maintain laws criminalizing consensual same-sex relations have occasionally referred to </w:t>
      </w:r>
      <w:r w:rsidR="00D6612F" w:rsidRPr="00F216A1">
        <w:t xml:space="preserve">religious </w:t>
      </w:r>
      <w:r w:rsidR="002278AB" w:rsidRPr="00F216A1">
        <w:t>‘</w:t>
      </w:r>
      <w:r w:rsidR="00D6612F" w:rsidRPr="00F216A1">
        <w:t>justifications</w:t>
      </w:r>
      <w:r w:rsidR="002278AB" w:rsidRPr="00F216A1">
        <w:t>’</w:t>
      </w:r>
      <w:r w:rsidR="00D6612F" w:rsidRPr="00F216A1">
        <w:t xml:space="preserve"> for maintaining them. Officials in several countries in the MENA, South and South Asian and Sub-Saharan African regions, for example, have ‘justified’ the maintenance of the country’s legal prohibition of homosexuality on the grounds that it upholds the tenets of Islam or Christianity. </w:t>
      </w:r>
    </w:p>
    <w:p w14:paraId="1552B003" w14:textId="524EBB9B" w:rsidR="00D6612F" w:rsidRPr="00F216A1" w:rsidRDefault="00D6612F" w:rsidP="00D6612F">
      <w:pPr>
        <w:pStyle w:val="SingleTxtG"/>
        <w:numPr>
          <w:ilvl w:val="0"/>
          <w:numId w:val="13"/>
        </w:numPr>
        <w:ind w:left="1134" w:firstLine="0"/>
      </w:pPr>
      <w:r w:rsidRPr="00F216A1">
        <w:t xml:space="preserve">Consultation participants reported that discriminatory mores on gender and sexuality rooted in religious orthodoxy are often translated into national law as secular restrictions. The criminalization of homosexual acts, they note, is frequently justified on grounds of ‘public </w:t>
      </w:r>
      <w:r w:rsidR="00021BAF" w:rsidRPr="00F216A1">
        <w:t>morals’</w:t>
      </w:r>
      <w:r w:rsidR="00F514B0" w:rsidRPr="00F216A1">
        <w:t xml:space="preserve"> </w:t>
      </w:r>
      <w:r w:rsidR="00EF666C" w:rsidRPr="00F216A1">
        <w:t>associated with the tenets</w:t>
      </w:r>
      <w:r w:rsidR="00F514B0" w:rsidRPr="00F216A1">
        <w:t xml:space="preserve"> </w:t>
      </w:r>
      <w:r w:rsidR="00021BAF" w:rsidRPr="00F216A1">
        <w:t xml:space="preserve">of </w:t>
      </w:r>
      <w:r w:rsidR="00F514B0" w:rsidRPr="00F216A1">
        <w:t>a hegemonic religio</w:t>
      </w:r>
      <w:r w:rsidR="00EF666C" w:rsidRPr="00F216A1">
        <w:t>us</w:t>
      </w:r>
      <w:r w:rsidR="00F514B0" w:rsidRPr="00F216A1">
        <w:t xml:space="preserve"> tradition</w:t>
      </w:r>
      <w:r w:rsidRPr="00F216A1">
        <w:t>.</w:t>
      </w:r>
      <w:r w:rsidR="00EF666C" w:rsidRPr="00F216A1">
        <w:rPr>
          <w:rStyle w:val="FootnoteReference"/>
        </w:rPr>
        <w:footnoteReference w:id="19"/>
      </w:r>
      <w:r w:rsidRPr="00F216A1">
        <w:t xml:space="preserve"> Similarly, undefined morality laws are used to target transgender populations in public spaces.</w:t>
      </w:r>
      <w:r w:rsidRPr="00F216A1">
        <w:rPr>
          <w:rStyle w:val="FootnoteReference"/>
          <w:szCs w:val="18"/>
        </w:rPr>
        <w:footnoteReference w:id="20"/>
      </w:r>
      <w:r w:rsidRPr="00F216A1">
        <w:rPr>
          <w:rStyle w:val="FootnoteReference"/>
          <w:szCs w:val="18"/>
        </w:rPr>
        <w:t xml:space="preserve"> </w:t>
      </w:r>
      <w:r w:rsidRPr="00F216A1">
        <w:t>Civil society noted that state-sanctioned laws and practices which promote gender-based discrimination create a permissive environment for non-state actors to commit violence against</w:t>
      </w:r>
      <w:r w:rsidR="00E42F45" w:rsidRPr="00F216A1">
        <w:t xml:space="preserve"> LGBT+ persons,</w:t>
      </w:r>
      <w:r w:rsidRPr="00F216A1">
        <w:t xml:space="preserve">  and that the multi-layered negative impact of gender discriminatory laws on access to health, education and employment can be stark.</w:t>
      </w:r>
      <w:r w:rsidRPr="00F216A1">
        <w:rPr>
          <w:rStyle w:val="FootnoteReference"/>
          <w:szCs w:val="18"/>
        </w:rPr>
        <w:footnoteReference w:id="21"/>
      </w:r>
    </w:p>
    <w:p w14:paraId="20372BA9" w14:textId="5101643F" w:rsidR="00D6612F" w:rsidRPr="00F216A1" w:rsidRDefault="00D6612F" w:rsidP="00D6612F">
      <w:pPr>
        <w:pStyle w:val="SingleTxtG"/>
        <w:numPr>
          <w:ilvl w:val="0"/>
          <w:numId w:val="13"/>
        </w:numPr>
        <w:ind w:left="1134" w:firstLine="0"/>
      </w:pPr>
      <w:r w:rsidRPr="00F216A1">
        <w:t xml:space="preserve">Participants in consultations held in the Americas further noted that many countries in their region are leaders in the protection of rights for </w:t>
      </w:r>
      <w:r w:rsidR="00E42F45" w:rsidRPr="00F216A1">
        <w:t xml:space="preserve">LGBT+ persons, </w:t>
      </w:r>
      <w:r w:rsidRPr="00F216A1">
        <w:t xml:space="preserve"> including in advancing respect for the self-determination rights of transgender persons; combatting discrimination against </w:t>
      </w:r>
      <w:r w:rsidR="00E42F45" w:rsidRPr="00F216A1">
        <w:t xml:space="preserve">LGBT+ persons </w:t>
      </w:r>
      <w:r w:rsidRPr="00F216A1">
        <w:t>in the health system (Argentina); and adopting provis</w:t>
      </w:r>
      <w:r w:rsidR="00F61CF2" w:rsidRPr="00F216A1">
        <w:t xml:space="preserve">ions for equal marriage rights </w:t>
      </w:r>
      <w:r w:rsidRPr="00F216A1">
        <w:t xml:space="preserve">(Argentina, Uruguay, Colombia, Brazil and parts of Mexico). However, they noted that many governments maintain legal provisions that discriminate against </w:t>
      </w:r>
      <w:r w:rsidR="001740F0" w:rsidRPr="00F216A1">
        <w:t>LGBT+ persons</w:t>
      </w:r>
      <w:r w:rsidRPr="00F216A1">
        <w:t xml:space="preserve">, including in healthcare, housing, social security, employment, marriage and parental rights, often on religious grounds. </w:t>
      </w:r>
    </w:p>
    <w:p w14:paraId="7F92B5F0" w14:textId="3A388206" w:rsidR="00D6612F" w:rsidRPr="00F216A1" w:rsidRDefault="00D6612F" w:rsidP="00D6612F">
      <w:pPr>
        <w:pStyle w:val="SingleTxtG"/>
        <w:numPr>
          <w:ilvl w:val="0"/>
          <w:numId w:val="13"/>
        </w:numPr>
        <w:ind w:left="1134" w:firstLine="0"/>
      </w:pPr>
      <w:r w:rsidRPr="00F216A1">
        <w:t>Participants in the consultations focused on Sub-Saharan African states reported that despite the decriminalization of homosexuality by several states, including Botswana, Mozambique and Angola, legal rights are reportedly diminishing for</w:t>
      </w:r>
      <w:r w:rsidR="001740F0" w:rsidRPr="00F216A1">
        <w:t xml:space="preserve"> LGBT+ persons</w:t>
      </w:r>
      <w:r w:rsidRPr="00F216A1">
        <w:t xml:space="preserve"> in the region. Thirty-two countries continue to criminalize and are increasing the penalties for same-sex relationships, and States have been reportedly shrinking the space for human rights advocates working to promote respect for the human rights of </w:t>
      </w:r>
      <w:r w:rsidR="001E754C" w:rsidRPr="00F216A1">
        <w:t>LGBT+ persons</w:t>
      </w:r>
      <w:r w:rsidRPr="00F216A1">
        <w:t xml:space="preserve">. In 2014, one country in the region introduced a 14 years’ jail sentence for same-sex cohabitation and any </w:t>
      </w:r>
      <w:r w:rsidR="00763DF1" w:rsidRPr="00F216A1">
        <w:t>‘</w:t>
      </w:r>
      <w:r w:rsidRPr="00F216A1">
        <w:t>public show of same-sex relationship.</w:t>
      </w:r>
      <w:r w:rsidR="00763DF1" w:rsidRPr="00F216A1">
        <w:t>’</w:t>
      </w:r>
      <w:r w:rsidRPr="00F216A1">
        <w:t xml:space="preserve"> </w:t>
      </w:r>
    </w:p>
    <w:p w14:paraId="3A5AC1F2" w14:textId="77777777" w:rsidR="00D6612F" w:rsidRPr="00425059" w:rsidRDefault="00D6612F" w:rsidP="00D6612F">
      <w:pPr>
        <w:pStyle w:val="SingleTxtG"/>
        <w:numPr>
          <w:ilvl w:val="0"/>
          <w:numId w:val="13"/>
        </w:numPr>
        <w:ind w:left="1134" w:firstLine="0"/>
      </w:pPr>
      <w:r w:rsidRPr="00F216A1">
        <w:t>The Special Rapporteur welcomes the 2018 decision by the</w:t>
      </w:r>
      <w:r w:rsidRPr="00425059">
        <w:t xml:space="preserve"> Indian Supreme Court which struck down the colonial era criminal law against homosexuality, recognizing the importance of individual autonomy, non-discrimination and privacy for LGBT+ persons. However, elsewhere in South Asia, similar colonial-era laws prohibiting same-sex relations are found in the penal codes of Pakistan, Sri Lanka, and Bangladesh. Participants in the consultations noted that attempts to push for regulations that safeguard the existence of LGBT+ individuals in Afghanistan, Maldives and Pakistan struggle against tenets of Islamic law.</w:t>
      </w:r>
    </w:p>
    <w:p w14:paraId="46CF25A0" w14:textId="77777777" w:rsidR="00D6612F" w:rsidRPr="00425059" w:rsidRDefault="00D6612F" w:rsidP="00D6612F">
      <w:pPr>
        <w:pStyle w:val="SingleTxtG"/>
        <w:numPr>
          <w:ilvl w:val="0"/>
          <w:numId w:val="13"/>
        </w:numPr>
        <w:ind w:left="1134" w:firstLine="0"/>
      </w:pPr>
      <w:r w:rsidRPr="00425059">
        <w:t xml:space="preserve">Participants also reported that laws criminalizing adultery are often rooted in patriarchal interpretations of religious doctrine and have a disparate impact on women. The Working Group on Discrimination against Women in Law and Practice has noted that in countries where Islamic law governs personal laws, adultery is severely punished and may even result in a sentence of death by stoning. </w:t>
      </w:r>
      <w:r w:rsidRPr="00425059">
        <w:rPr>
          <w:rStyle w:val="FootnoteReference"/>
          <w:szCs w:val="18"/>
        </w:rPr>
        <w:footnoteReference w:id="22"/>
      </w:r>
      <w:r w:rsidRPr="00425059">
        <w:rPr>
          <w:rStyle w:val="FootnoteReference"/>
          <w:szCs w:val="18"/>
        </w:rPr>
        <w:t xml:space="preserve"> </w:t>
      </w:r>
      <w:r w:rsidRPr="00425059">
        <w:t>The sanctions are generally imposed on the women rather than the men. Additionally, sexual assault and rape often go unreported because women fear they will be charged with adultery; and there may be impunity for marital rape.</w:t>
      </w:r>
    </w:p>
    <w:p w14:paraId="13E33442" w14:textId="77777777" w:rsidR="005F4969" w:rsidRPr="00425059" w:rsidRDefault="005F4969" w:rsidP="005F4969">
      <w:pPr>
        <w:pStyle w:val="H23G"/>
      </w:pPr>
      <w:r w:rsidRPr="00425059">
        <w:tab/>
      </w:r>
      <w:r w:rsidR="00BA36F5" w:rsidRPr="00425059">
        <w:t>4</w:t>
      </w:r>
      <w:r w:rsidRPr="00425059">
        <w:t>.</w:t>
      </w:r>
      <w:r w:rsidRPr="00425059">
        <w:tab/>
      </w:r>
      <w:r w:rsidR="00C36972" w:rsidRPr="00425059">
        <w:t>Discrimination on the basis of gender and religious identity</w:t>
      </w:r>
    </w:p>
    <w:p w14:paraId="0E58863F" w14:textId="77777777" w:rsidR="00C36972" w:rsidRPr="00425059" w:rsidRDefault="00C36972" w:rsidP="00C36972">
      <w:pPr>
        <w:pStyle w:val="SingleTxtG"/>
        <w:numPr>
          <w:ilvl w:val="0"/>
          <w:numId w:val="13"/>
        </w:numPr>
        <w:ind w:left="1134" w:firstLine="0"/>
      </w:pPr>
      <w:r w:rsidRPr="00425059">
        <w:t>Participants in consultations focused on  the South and Southeast Asian region reported that women and girls from religious minority communities are often at particular risk of violence, including violence associated with forced conversions and forced marriage, and that 'counter-extremism' measures adopted by States have targeted women from Muslim minority communities with rape, forced sterilization, and forced abortion.</w:t>
      </w:r>
      <w:r w:rsidRPr="00425059">
        <w:rPr>
          <w:rStyle w:val="FootnoteReference"/>
          <w:szCs w:val="18"/>
        </w:rPr>
        <w:footnoteReference w:id="23"/>
      </w:r>
    </w:p>
    <w:p w14:paraId="7522D030" w14:textId="77777777" w:rsidR="00C36972" w:rsidRPr="00425059" w:rsidRDefault="00C36972" w:rsidP="00C36972">
      <w:pPr>
        <w:pStyle w:val="SingleTxtG"/>
        <w:numPr>
          <w:ilvl w:val="0"/>
          <w:numId w:val="13"/>
        </w:numPr>
        <w:ind w:left="1134" w:firstLine="0"/>
      </w:pPr>
      <w:r w:rsidRPr="00425059">
        <w:t>The Special Rapporteur and other Special Procedures mandate-holders have also expressed concern about the imposition of restrictive garments or “modest” dress codes by law inspired by religious beliefs and the impact of such measures on women’s and girl’s ability to enjoy their human rights. In a 2019 communication to the government of the Islamic Republic of Iran, the Special Rappo</w:t>
      </w:r>
      <w:r w:rsidR="00F61CF2" w:rsidRPr="00425059">
        <w:t xml:space="preserve">rteur raised concern about the </w:t>
      </w:r>
      <w:r w:rsidRPr="00425059">
        <w:t>Government’s compulsory veil legislation and the reported arrest, enforced disappearance, and arbitrary detention of women’s human rights defenders who protested against it.</w:t>
      </w:r>
      <w:r w:rsidRPr="00425059">
        <w:rPr>
          <w:rStyle w:val="FootnoteReference"/>
          <w:szCs w:val="18"/>
        </w:rPr>
        <w:footnoteReference w:id="24"/>
      </w:r>
      <w:r w:rsidRPr="00425059">
        <w:rPr>
          <w:rStyle w:val="FootnoteReference"/>
          <w:szCs w:val="18"/>
        </w:rPr>
        <w:t xml:space="preserve"> </w:t>
      </w:r>
      <w:r w:rsidRPr="00425059">
        <w:t>In that communication, the Special Procedure mandate-holders recalled a recent recommendation to the government to reject any cultural or religious practice that violates human rights and the principle of equality or prevents the establishment of an egalitarian society free of gender-based discrimination.</w:t>
      </w:r>
    </w:p>
    <w:p w14:paraId="5399AF35" w14:textId="77777777" w:rsidR="00C36972" w:rsidRPr="00425059" w:rsidRDefault="00C36972" w:rsidP="00C36972">
      <w:pPr>
        <w:pStyle w:val="SingleTxtG"/>
        <w:numPr>
          <w:ilvl w:val="0"/>
          <w:numId w:val="13"/>
        </w:numPr>
        <w:ind w:left="1134" w:firstLine="0"/>
      </w:pPr>
      <w:r w:rsidRPr="00425059">
        <w:t>In other instances, consultation participants noted, that some States have opted to limit religious practices such as publicly wearing headscarves or full-face veils – attire predominantly worn by Muslim women - in their efforts to combat gender-based discrimination, but without sufficient attention to the self-understanding and agency of women.</w:t>
      </w:r>
      <w:r w:rsidRPr="00425059">
        <w:rPr>
          <w:rStyle w:val="FootnoteReference"/>
          <w:szCs w:val="18"/>
        </w:rPr>
        <w:footnoteReference w:id="25"/>
      </w:r>
      <w:r w:rsidRPr="00425059">
        <w:rPr>
          <w:rStyle w:val="FootnoteReference"/>
          <w:szCs w:val="18"/>
        </w:rPr>
        <w:t xml:space="preserve"> </w:t>
      </w:r>
      <w:r w:rsidRPr="00425059">
        <w:t xml:space="preserve">Critics of such policies have noted the danger that such policies pose to the right to freedom of religion or belief, along with myriad other rights, noting that efforts to combat gender-based discrimination often fail to incorporate freedom of religion or belief and force individuals to choose between their faith and national protections for human rights. </w:t>
      </w:r>
    </w:p>
    <w:p w14:paraId="49E36224" w14:textId="29ACDD7D" w:rsidR="00BA36F5" w:rsidRPr="00425059" w:rsidRDefault="00BA36F5" w:rsidP="00BA36F5">
      <w:pPr>
        <w:pStyle w:val="H23G"/>
      </w:pPr>
      <w:r w:rsidRPr="00425059">
        <w:tab/>
        <w:t>5.</w:t>
      </w:r>
      <w:r w:rsidRPr="00425059">
        <w:tab/>
      </w:r>
      <w:r w:rsidR="005A2759" w:rsidRPr="00425059">
        <w:t>State r</w:t>
      </w:r>
      <w:r w:rsidRPr="00425059">
        <w:t xml:space="preserve">estrictions on access to sexual and reproductive rights </w:t>
      </w:r>
    </w:p>
    <w:p w14:paraId="3338C968" w14:textId="2BC389F4" w:rsidR="00BA36F5" w:rsidRPr="00F216A1" w:rsidRDefault="00BA36F5" w:rsidP="00BA36F5">
      <w:pPr>
        <w:pStyle w:val="SingleTxtG"/>
        <w:numPr>
          <w:ilvl w:val="0"/>
          <w:numId w:val="13"/>
        </w:numPr>
        <w:ind w:left="1134" w:firstLine="0"/>
      </w:pPr>
      <w:r w:rsidRPr="00425059">
        <w:t xml:space="preserve">The Special Rapporteur notes that in a number of countries around the world, </w:t>
      </w:r>
      <w:r w:rsidR="00763DF1" w:rsidRPr="00F216A1">
        <w:t>governments</w:t>
      </w:r>
      <w:r w:rsidRPr="00F216A1">
        <w:t xml:space="preserve"> continue to maintain partial or total bans on access to abortion, and religious figures have both encouraged these measures and advocated against efforts to reform the laws. At the consultations held in Latin America, it was asserted that discriminatory religious edicts inform laws and policies that restrict sexual and reproductive rights in the region, including, but not limited to, partial or total bans on access to abortion and contraception, prohibitions on assisted reproductive technologies and gender reassignment surgery, and limits on the provision of evidence-based sexuality education.   </w:t>
      </w:r>
    </w:p>
    <w:p w14:paraId="24937BD1" w14:textId="3DDCBD00" w:rsidR="00BA36F5" w:rsidRPr="00425059" w:rsidRDefault="00BA36F5" w:rsidP="00BA36F5">
      <w:pPr>
        <w:pStyle w:val="SingleTxtG"/>
        <w:numPr>
          <w:ilvl w:val="0"/>
          <w:numId w:val="13"/>
        </w:numPr>
        <w:ind w:left="1134" w:firstLine="0"/>
      </w:pPr>
      <w:r w:rsidRPr="00F216A1">
        <w:t xml:space="preserve">It was noted that four States in the region enforced complete bans on abortion, in two </w:t>
      </w:r>
      <w:r w:rsidR="00763DF1" w:rsidRPr="00F216A1">
        <w:t>S</w:t>
      </w:r>
      <w:r w:rsidRPr="00F216A1">
        <w:t>tates women and girls</w:t>
      </w:r>
      <w:r w:rsidRPr="00425059">
        <w:t xml:space="preserve"> can be prosecuted for miscarrying their pregnancies,</w:t>
      </w:r>
      <w:r w:rsidRPr="00425059">
        <w:rPr>
          <w:rStyle w:val="FootnoteReference"/>
          <w:szCs w:val="18"/>
        </w:rPr>
        <w:footnoteReference w:id="26"/>
      </w:r>
      <w:r w:rsidRPr="00425059">
        <w:rPr>
          <w:rStyle w:val="FootnoteReference"/>
          <w:szCs w:val="18"/>
        </w:rPr>
        <w:t xml:space="preserve"> </w:t>
      </w:r>
      <w:r w:rsidRPr="00425059">
        <w:t xml:space="preserve"> and that limitations in other countries had seriously limited women’s access to abortion in circumstances in which denying it caused serious suffering. Three-quarters of total abortions in the region are reportedly unsafe due to legal impediments to safe access, resulting in high rates of preventable maternal mortality in Argentina, Venezuela, Brazil, Paraguay, Peru and Bolivia.</w:t>
      </w:r>
      <w:r w:rsidRPr="00425059">
        <w:rPr>
          <w:rStyle w:val="FootnoteReference"/>
          <w:szCs w:val="18"/>
        </w:rPr>
        <w:footnoteReference w:id="27"/>
      </w:r>
    </w:p>
    <w:p w14:paraId="4901BD05" w14:textId="77777777" w:rsidR="00BA36F5" w:rsidRPr="00425059" w:rsidRDefault="00BA36F5" w:rsidP="00BA36F5">
      <w:pPr>
        <w:pStyle w:val="SingleTxtG"/>
        <w:numPr>
          <w:ilvl w:val="0"/>
          <w:numId w:val="13"/>
        </w:numPr>
        <w:ind w:left="1134" w:firstLine="0"/>
      </w:pPr>
      <w:r w:rsidRPr="00425059">
        <w:t>Consultation participants also reported that restrictive laws on access to abortion and contraception in sub-Saharan Africa were mostly inherited from pre-independence colonial laws, but are maintained, in part, owing to pressure from certain religious groups.  Approximately 13.2% of maternal deaths in the region ‘can be attributed to unsafe abortion.’</w:t>
      </w:r>
      <w:r w:rsidRPr="00425059">
        <w:rPr>
          <w:rStyle w:val="FootnoteReference"/>
          <w:szCs w:val="18"/>
        </w:rPr>
        <w:footnoteReference w:id="28"/>
      </w:r>
    </w:p>
    <w:p w14:paraId="62BD3637" w14:textId="77777777" w:rsidR="00BA36F5" w:rsidRPr="00425059" w:rsidRDefault="00BA36F5" w:rsidP="00BA36F5">
      <w:pPr>
        <w:pStyle w:val="SingleTxtG"/>
        <w:numPr>
          <w:ilvl w:val="0"/>
          <w:numId w:val="13"/>
        </w:numPr>
        <w:ind w:left="1134" w:firstLine="0"/>
      </w:pPr>
      <w:r w:rsidRPr="00425059">
        <w:t xml:space="preserve">Participants in the South and Southeast Asia consultation reported that in the Philippines the criminalization of abortion and lack of access to contraception, is often justified by reference to religious postulates. The CEDAW Committee also concluded that religion was the basis for sexual and reproductive health policies, including at the level of local government units, given that, the Constitution requires the State to ‘equally protect the life of the mother and the life of the unborn from [the time of] contraception.’ </w:t>
      </w:r>
      <w:r w:rsidRPr="00425059">
        <w:rPr>
          <w:rStyle w:val="FootnoteReference"/>
          <w:szCs w:val="18"/>
        </w:rPr>
        <w:footnoteReference w:id="29"/>
      </w:r>
      <w:r w:rsidRPr="00425059">
        <w:t xml:space="preserve">   </w:t>
      </w:r>
    </w:p>
    <w:p w14:paraId="0FD5CE2D" w14:textId="77777777" w:rsidR="004E125E" w:rsidRPr="00425059" w:rsidRDefault="004E125E" w:rsidP="004E125E">
      <w:pPr>
        <w:pStyle w:val="H1G"/>
        <w:rPr>
          <w:rFonts w:eastAsia="Times New Roman"/>
          <w:i/>
        </w:rPr>
      </w:pPr>
      <w:r w:rsidRPr="00425059">
        <w:tab/>
        <w:t>B.</w:t>
      </w:r>
      <w:r w:rsidRPr="00425059">
        <w:tab/>
        <w:t>Gender-based violence and discrimination by private actors with religious motivations</w:t>
      </w:r>
    </w:p>
    <w:p w14:paraId="185340EF" w14:textId="4B081292" w:rsidR="004E125E" w:rsidRPr="00F216A1" w:rsidRDefault="004E125E" w:rsidP="004E125E">
      <w:pPr>
        <w:pStyle w:val="SingleTxtG"/>
        <w:numPr>
          <w:ilvl w:val="0"/>
          <w:numId w:val="13"/>
        </w:numPr>
        <w:ind w:left="1134" w:firstLine="0"/>
      </w:pPr>
      <w:r w:rsidRPr="00425059">
        <w:t xml:space="preserve">In </w:t>
      </w:r>
      <w:r w:rsidRPr="00F216A1">
        <w:t xml:space="preserve">many </w:t>
      </w:r>
      <w:r w:rsidR="00763DF1" w:rsidRPr="00F216A1">
        <w:t>S</w:t>
      </w:r>
      <w:r w:rsidRPr="00F216A1">
        <w:t xml:space="preserve">tates, religious communities and institutions are assuming an increasingly important role in the social, political and economic affairs of </w:t>
      </w:r>
      <w:r w:rsidR="00763DF1" w:rsidRPr="00F216A1">
        <w:t xml:space="preserve">these countries; </w:t>
      </w:r>
      <w:r w:rsidRPr="00F216A1">
        <w:t>some are playing a critical part in the promotion and realization of human rights–– including the right to freedom religion or belief –– while others are advancing protections for their religious commitments at the expense of the human rights of others both within and outside their communities. Critically in some societies, some religious institutions are promoting and perpetuating interpretations of religious tenets to promote gender-based violence and discrimination against women, girls and</w:t>
      </w:r>
      <w:r w:rsidR="00012F80" w:rsidRPr="00F216A1">
        <w:t xml:space="preserve"> LGBT+ persons; </w:t>
      </w:r>
      <w:r w:rsidRPr="00F216A1">
        <w:t xml:space="preserve"> including physical, sexual and psychological harm.</w:t>
      </w:r>
    </w:p>
    <w:p w14:paraId="4CEEC739" w14:textId="656F6010" w:rsidR="004E125E" w:rsidRPr="00F216A1" w:rsidRDefault="004E125E" w:rsidP="004E125E">
      <w:pPr>
        <w:pStyle w:val="SingleTxtG"/>
        <w:numPr>
          <w:ilvl w:val="0"/>
          <w:numId w:val="13"/>
        </w:numPr>
        <w:ind w:left="1134" w:firstLine="0"/>
      </w:pPr>
      <w:r w:rsidRPr="00F216A1">
        <w:t xml:space="preserve">The Special Rapporteur is deeply concerned at numerous reports he has received, and at information provided to other United Nations human rights mechanisms, alleging that religious interest groups are engaged in campaigns characterizing rights advocates working to combat gender-based discrimination as </w:t>
      </w:r>
      <w:r w:rsidR="00763DF1" w:rsidRPr="00F216A1">
        <w:t>‘</w:t>
      </w:r>
      <w:r w:rsidRPr="00F216A1">
        <w:t>immoral</w:t>
      </w:r>
      <w:r w:rsidR="00763DF1" w:rsidRPr="00F216A1">
        <w:t>’</w:t>
      </w:r>
      <w:r w:rsidRPr="00F216A1">
        <w:t xml:space="preserve"> actor</w:t>
      </w:r>
      <w:r w:rsidR="00763DF1" w:rsidRPr="00F216A1">
        <w:t>s</w:t>
      </w:r>
      <w:r w:rsidRPr="00F216A1">
        <w:t>, seeking to undermine society by espousing ‘a gender ideology’ that is harmful to children, families, tradition and religion. Invoking religious tenets as well as pseudoscience, such actors argue for the defence of traditional values rooted in interpretations of religious teachings about the social roles for men and women in accordance with their alleged naturally different physical and mental capacities; often calling on governments to enact discriminatory policies. Other UN Special Procedures</w:t>
      </w:r>
      <w:r w:rsidRPr="00F216A1">
        <w:rPr>
          <w:rStyle w:val="FootnoteReference"/>
          <w:szCs w:val="18"/>
        </w:rPr>
        <w:footnoteReference w:id="30"/>
      </w:r>
      <w:r w:rsidRPr="00F216A1">
        <w:t xml:space="preserve"> and participants in consultations across regions have also documented the activities of increasingly well-coordinated groups that are reportedly misusing freedom of religion or belief across continents in the media, through litigation and political campaigns to counter human rights in the name of religion</w:t>
      </w:r>
      <w:r w:rsidR="004E25E5" w:rsidRPr="00F216A1">
        <w:t xml:space="preserve"> or belief.</w:t>
      </w:r>
      <w:r w:rsidRPr="00F216A1">
        <w:t xml:space="preserve"> </w:t>
      </w:r>
    </w:p>
    <w:p w14:paraId="7F5DAA99" w14:textId="5676BAD1" w:rsidR="004E125E" w:rsidRPr="00F216A1" w:rsidRDefault="004E125E" w:rsidP="004E125E">
      <w:pPr>
        <w:pStyle w:val="SingleTxtG"/>
        <w:numPr>
          <w:ilvl w:val="0"/>
          <w:numId w:val="13"/>
        </w:numPr>
        <w:ind w:left="1134" w:firstLine="0"/>
      </w:pPr>
      <w:r w:rsidRPr="00F216A1">
        <w:t>Consultations in Europe highlighted a campaign by interest groups in Poland against ‘gender ideology’ that has characterized advocates for gender equality as ‘anti-family’ and intimidated and stigmatized women human rights defenders. In three States, religious interest groups have attempted to change the constitution to define ‘the family’ according to religiously grounded heterosexual norms. Interest groups are also reportedly misusing freedom of religion or belief to oppose self-determination rights for gender diverse persons.</w:t>
      </w:r>
      <w:r w:rsidR="0061763C" w:rsidRPr="00F216A1">
        <w:rPr>
          <w:rStyle w:val="FootnoteReference"/>
        </w:rPr>
        <w:footnoteReference w:id="31"/>
      </w:r>
      <w:r w:rsidRPr="00F216A1">
        <w:t xml:space="preserve"> </w:t>
      </w:r>
    </w:p>
    <w:p w14:paraId="4766A811" w14:textId="512B0214" w:rsidR="004E125E" w:rsidRPr="00425059" w:rsidRDefault="004E125E" w:rsidP="004E125E">
      <w:pPr>
        <w:pStyle w:val="SingleTxtG"/>
        <w:numPr>
          <w:ilvl w:val="0"/>
          <w:numId w:val="13"/>
        </w:numPr>
        <w:ind w:left="1134" w:firstLine="0"/>
      </w:pPr>
      <w:r w:rsidRPr="00F216A1">
        <w:t xml:space="preserve">Participants at consultations in Latin America reported that reproductive and sexual health education programmes had been curtailed in Brazil, Chile, Colombo, Ecuador and Paraguay, following pressure from religious groups. Another such example is a campaign by </w:t>
      </w:r>
      <w:r w:rsidR="004E25E5" w:rsidRPr="00F216A1">
        <w:t xml:space="preserve">religious groups </w:t>
      </w:r>
      <w:r w:rsidRPr="00F216A1">
        <w:t>against the Inter-American Court’s Advisory Opinion</w:t>
      </w:r>
      <w:r w:rsidRPr="00F216A1">
        <w:rPr>
          <w:rStyle w:val="FootnoteReference"/>
          <w:szCs w:val="18"/>
        </w:rPr>
        <w:footnoteReference w:id="32"/>
      </w:r>
      <w:r w:rsidRPr="00F216A1">
        <w:rPr>
          <w:rStyle w:val="FootnoteReference"/>
          <w:szCs w:val="18"/>
        </w:rPr>
        <w:t xml:space="preserve"> </w:t>
      </w:r>
      <w:r w:rsidRPr="00F216A1">
        <w:t>on Gender Identity, Equality and Non-Discrimination characterizing ‘gender ideology’ as</w:t>
      </w:r>
      <w:r w:rsidRPr="00425059">
        <w:t xml:space="preserve"> ‘against human </w:t>
      </w:r>
      <w:r w:rsidR="00B22FCB" w:rsidRPr="00425059">
        <w:t>nature’ and</w:t>
      </w:r>
      <w:r w:rsidRPr="00425059">
        <w:t xml:space="preserve"> explicitly encouraging discrimination against LGBT+ individuals.</w:t>
      </w:r>
      <w:r w:rsidRPr="00425059">
        <w:rPr>
          <w:rStyle w:val="FootnoteReference"/>
          <w:szCs w:val="18"/>
        </w:rPr>
        <w:footnoteReference w:id="33"/>
      </w:r>
      <w:r w:rsidRPr="00425059">
        <w:rPr>
          <w:rStyle w:val="FootnoteReference"/>
          <w:szCs w:val="18"/>
        </w:rPr>
        <w:t xml:space="preserve"> </w:t>
      </w:r>
      <w:r w:rsidRPr="00425059">
        <w:t xml:space="preserve"> </w:t>
      </w:r>
    </w:p>
    <w:p w14:paraId="484A7103" w14:textId="3D584551" w:rsidR="004E125E" w:rsidRPr="00425059" w:rsidRDefault="004E125E" w:rsidP="004E125E">
      <w:pPr>
        <w:pStyle w:val="SingleTxtG"/>
        <w:numPr>
          <w:ilvl w:val="0"/>
          <w:numId w:val="13"/>
        </w:numPr>
        <w:ind w:left="1134" w:firstLine="0"/>
      </w:pPr>
      <w:r w:rsidRPr="00425059">
        <w:t>At the Africa-based consultations, participants provided information about the role of religious groups based in the United States in providing training and funding to Ugandan religious leaders who successfully mobilized communities to support adoption by the government of the Anti-Homosexuality Act in 2014.</w:t>
      </w:r>
      <w:r w:rsidRPr="00425059">
        <w:rPr>
          <w:rStyle w:val="FootnoteReference"/>
          <w:szCs w:val="18"/>
        </w:rPr>
        <w:footnoteReference w:id="34"/>
      </w:r>
      <w:r w:rsidRPr="00425059">
        <w:t xml:space="preserve">  In countries that do not criminalize homosexuality some religious groups have successfully campaigned against the introduction of schoolbooks on sex education by arguing that the books promoted homosexuality. Regionally, some States are advocating for hegemonic interpretations of ‘African Values’ within the African Charter on Human and Peoples’ Rights, in order to exclude LGBT</w:t>
      </w:r>
      <w:r w:rsidR="00B22FCB" w:rsidRPr="00425059">
        <w:t>+ and</w:t>
      </w:r>
      <w:r w:rsidRPr="00425059">
        <w:t xml:space="preserve"> abortion rights. </w:t>
      </w:r>
    </w:p>
    <w:p w14:paraId="6ADE5BF3" w14:textId="0FA6E990" w:rsidR="004E125E" w:rsidRPr="00425059" w:rsidRDefault="004E125E" w:rsidP="004E125E">
      <w:pPr>
        <w:pStyle w:val="SingleTxtG"/>
        <w:numPr>
          <w:ilvl w:val="0"/>
          <w:numId w:val="13"/>
        </w:numPr>
        <w:ind w:left="1134" w:firstLine="0"/>
      </w:pPr>
      <w:r w:rsidRPr="00425059">
        <w:t>At the Tunis consultation, participants noted that the</w:t>
      </w:r>
      <w:r w:rsidR="004E25E5" w:rsidRPr="00F216A1">
        <w:t xml:space="preserve"> faith-based </w:t>
      </w:r>
      <w:r w:rsidR="00EC57C2" w:rsidRPr="00F216A1">
        <w:t>groups</w:t>
      </w:r>
      <w:r w:rsidRPr="00425059">
        <w:t xml:space="preserve"> had opposed legislative changes that would have decriminalized homosexuality and repealed discriminatory laws on the grounds that these changes would contradict religious teachings. LGBT+ rights defenders stressed that they faced harassment and threats of violence from religious actors in response to their activities.</w:t>
      </w:r>
    </w:p>
    <w:p w14:paraId="6F7A6DA3" w14:textId="36C87029" w:rsidR="004E125E" w:rsidRPr="00425059" w:rsidRDefault="004E125E" w:rsidP="004E125E">
      <w:pPr>
        <w:pStyle w:val="SingleTxtG"/>
        <w:numPr>
          <w:ilvl w:val="0"/>
          <w:numId w:val="13"/>
        </w:numPr>
        <w:ind w:left="1134" w:firstLine="0"/>
      </w:pPr>
      <w:r w:rsidRPr="00425059">
        <w:t>The Special Rapporteur notes, however, that the role of religious groups in perpetuating norms that promote gender inequitable attitudes is complex because religious communities themselves are not monolithic. A multitude of voices exist within religious groups and institutions, including faith-based actors who campaign for the rights of women, girls and</w:t>
      </w:r>
      <w:r w:rsidR="00D57EC6" w:rsidRPr="00425059">
        <w:t xml:space="preserve"> LGBT+ persons</w:t>
      </w:r>
      <w:r w:rsidRPr="00425059">
        <w:t xml:space="preserve"> and work to promote gender equality within their faith. Advocates within religions, across multiple traditions, have long sought to challenge norms and expectations that undermine the human rights of women, girls and </w:t>
      </w:r>
      <w:r w:rsidR="00D57EC6" w:rsidRPr="00425059">
        <w:t xml:space="preserve">LGBT+ persons; </w:t>
      </w:r>
      <w:r w:rsidRPr="00425059">
        <w:t xml:space="preserve">many have expanded religious leadership and </w:t>
      </w:r>
      <w:r w:rsidR="00F61CF2" w:rsidRPr="00425059">
        <w:t xml:space="preserve">influencer roles for women and </w:t>
      </w:r>
      <w:r w:rsidRPr="00425059">
        <w:t>challenged interpretations of religious texts that are used to ‘justify’ discrimination and other harmful practices against women, girls and</w:t>
      </w:r>
      <w:r w:rsidR="00D57EC6" w:rsidRPr="00425059">
        <w:t xml:space="preserve"> LGBT+ persons. </w:t>
      </w:r>
      <w:r w:rsidRPr="00425059">
        <w:t xml:space="preserve"> </w:t>
      </w:r>
    </w:p>
    <w:p w14:paraId="46CD09DD" w14:textId="515D2DC3" w:rsidR="004E125E" w:rsidRPr="00425059" w:rsidRDefault="004E125E" w:rsidP="004E125E">
      <w:pPr>
        <w:pStyle w:val="SingleTxtG"/>
        <w:numPr>
          <w:ilvl w:val="0"/>
          <w:numId w:val="13"/>
        </w:numPr>
        <w:ind w:left="1134" w:firstLine="0"/>
      </w:pPr>
      <w:r w:rsidRPr="00425059">
        <w:t xml:space="preserve">Their work makes clear that religions are not necessarily the source of gender-based discrimination and violence, but that rather, interpretations of those beliefs, which are not protected, per se, and which are not necessarily held by all members of a religious community, are often the source of gender-based violence and discrimination. In fact, this report emphasizes that freedom of religion or belief can be an important tool to empower women and </w:t>
      </w:r>
      <w:r w:rsidR="001E754C" w:rsidRPr="00425059">
        <w:t>LGBT+ persons</w:t>
      </w:r>
      <w:r w:rsidRPr="00425059">
        <w:t xml:space="preserve"> of faith in their struggles for equality, and that respect for the freedom of religion or belief of women and </w:t>
      </w:r>
      <w:r w:rsidR="001E754C" w:rsidRPr="00425059">
        <w:t>LGBT+ persons</w:t>
      </w:r>
      <w:r w:rsidRPr="00425059">
        <w:t>, as well as other human rights which underwrite this freedom should be promoted and protected.</w:t>
      </w:r>
      <w:r w:rsidR="005117EC" w:rsidRPr="00425059">
        <w:rPr>
          <w:rStyle w:val="FootnoteReference"/>
        </w:rPr>
        <w:footnoteReference w:id="35"/>
      </w:r>
    </w:p>
    <w:p w14:paraId="430042AB" w14:textId="77777777" w:rsidR="00B65F9C" w:rsidRPr="00425059" w:rsidRDefault="00B65F9C" w:rsidP="00B65F9C">
      <w:pPr>
        <w:pStyle w:val="H23G"/>
      </w:pPr>
      <w:r w:rsidRPr="00425059">
        <w:tab/>
        <w:t>1.</w:t>
      </w:r>
      <w:r w:rsidRPr="00425059">
        <w:tab/>
        <w:t>Gender-based violence by non-state actors</w:t>
      </w:r>
    </w:p>
    <w:p w14:paraId="7C0A7CB9" w14:textId="76858F00" w:rsidR="00B65F9C" w:rsidRPr="00425059" w:rsidRDefault="00B65F9C" w:rsidP="00B65F9C">
      <w:pPr>
        <w:pStyle w:val="SingleTxtG"/>
        <w:numPr>
          <w:ilvl w:val="0"/>
          <w:numId w:val="13"/>
        </w:numPr>
        <w:ind w:left="1134" w:firstLine="0"/>
      </w:pPr>
      <w:r w:rsidRPr="00425059">
        <w:t xml:space="preserve">Women, girls and </w:t>
      </w:r>
      <w:r w:rsidR="00D57EC6" w:rsidRPr="00425059">
        <w:t xml:space="preserve"> LGBT+ persons </w:t>
      </w:r>
      <w:r w:rsidRPr="00425059">
        <w:t>endure myriad forms of violence perpetrated by non-state actors, which are often implicitly or explicitly sanctioned by influential religious laws and discourse.</w:t>
      </w:r>
      <w:r w:rsidRPr="00425059">
        <w:rPr>
          <w:rStyle w:val="FootnoteReference"/>
          <w:szCs w:val="18"/>
        </w:rPr>
        <w:footnoteReference w:id="36"/>
      </w:r>
      <w:r w:rsidRPr="00425059">
        <w:t xml:space="preserve"> The Special Rapporteur is alarmed at the persistence of harmful practices and that those who engage in them ‘justify’ such acts on the grounds that they are permitted or required by religious beliefs, including female genital mutilation, dowry killings, rape, polygyny, early and enforced marriage, beatings, coercive gender re-assignment surgery, and so called ‘honour’ crimes.</w:t>
      </w:r>
      <w:r w:rsidRPr="00425059">
        <w:rPr>
          <w:rStyle w:val="FootnoteReference"/>
          <w:szCs w:val="18"/>
        </w:rPr>
        <w:footnoteReference w:id="37"/>
      </w:r>
      <w:r w:rsidRPr="00425059">
        <w:rPr>
          <w:rStyle w:val="FootnoteReference"/>
          <w:szCs w:val="18"/>
        </w:rPr>
        <w:t xml:space="preserve"> </w:t>
      </w:r>
      <w:r w:rsidRPr="00425059">
        <w:t>Governments have an obligation to prohibit such practices in law and to ensure that perpetrators of gender-based violence, including violence perpetrated by individuals claiming a religious ‘justification’ for their actions, are held accountable and their victims provided with redress.  Participants in the Tunis consultations, for example, identified practices that are ‘directly or indirectly rooted in religion’ and often defended by reference to religion including “forced virginity tests, child and forced marriage, ‘honour’ killings, domestic violence and female genital mutilation.”</w:t>
      </w:r>
    </w:p>
    <w:p w14:paraId="395FC6E9" w14:textId="6CE33CE5" w:rsidR="00B65F9C" w:rsidRPr="00425059" w:rsidRDefault="00B65F9C" w:rsidP="00B65F9C">
      <w:pPr>
        <w:pStyle w:val="SingleTxtG"/>
        <w:numPr>
          <w:ilvl w:val="0"/>
          <w:numId w:val="13"/>
        </w:numPr>
        <w:ind w:left="1134" w:firstLine="0"/>
      </w:pPr>
      <w:r w:rsidRPr="00425059">
        <w:t>Various human rights mechanisms, including the Human Rights Committee and the Committee against Torture, have also noted with concern that deadly attacks on</w:t>
      </w:r>
      <w:r w:rsidR="00D57EC6" w:rsidRPr="00425059">
        <w:t xml:space="preserve"> LGBT+ persons </w:t>
      </w:r>
      <w:r w:rsidRPr="00425059">
        <w:t xml:space="preserve">are taking place in States where laws adopted with reference to religion have criminalized same-sex sexual conduct, </w:t>
      </w:r>
      <w:r w:rsidR="00F61CF2" w:rsidRPr="00425059">
        <w:t>and religious</w:t>
      </w:r>
      <w:r w:rsidRPr="00425059">
        <w:t xml:space="preserve"> leaders were actively engaged in hate speech against individuals on the basis of their sexual orientation.</w:t>
      </w:r>
      <w:r w:rsidRPr="00425059">
        <w:rPr>
          <w:rStyle w:val="FootnoteReference"/>
          <w:szCs w:val="18"/>
        </w:rPr>
        <w:footnoteReference w:id="38"/>
      </w:r>
      <w:r w:rsidRPr="00425059">
        <w:rPr>
          <w:rStyle w:val="FootnoteReference"/>
          <w:szCs w:val="18"/>
        </w:rPr>
        <w:t xml:space="preserve"> </w:t>
      </w:r>
      <w:r w:rsidRPr="00425059">
        <w:t xml:space="preserve"> The Independent Expert on Protection Against Violence and Discrimination based on Sexual Orientation and Gender Identity Minorities notes that in the United States alone, some 698,000 lesbian, gay, bisexual, trans or gender nonconforming persons have received ‘conversion’ therapy at some point in their lives, and over half of them reportedly when they were adolescents.</w:t>
      </w:r>
      <w:r w:rsidRPr="00425059">
        <w:rPr>
          <w:rStyle w:val="FootnoteReference"/>
          <w:szCs w:val="18"/>
        </w:rPr>
        <w:footnoteReference w:id="39"/>
      </w:r>
      <w:r w:rsidRPr="00425059">
        <w:t xml:space="preserve"> The Special Rapporteur is similarly alarmed by ongoing reports of State </w:t>
      </w:r>
      <w:r w:rsidR="00F61CF2" w:rsidRPr="00425059">
        <w:t>authorities’ failure</w:t>
      </w:r>
      <w:r w:rsidRPr="00425059">
        <w:t xml:space="preserve"> to effectively investigate incidents of such violence or hold perpetrators accountable.</w:t>
      </w:r>
    </w:p>
    <w:p w14:paraId="2A5E9C4E" w14:textId="3E105DC5" w:rsidR="00B65F9C" w:rsidRPr="00425059" w:rsidRDefault="00B65F9C" w:rsidP="00B65F9C">
      <w:pPr>
        <w:pStyle w:val="SingleTxtG"/>
        <w:numPr>
          <w:ilvl w:val="0"/>
          <w:numId w:val="13"/>
        </w:numPr>
        <w:ind w:left="1134" w:firstLine="0"/>
      </w:pPr>
      <w:r w:rsidRPr="00425059">
        <w:t xml:space="preserve">Moreover, according to some sources, the rising number of hate crimes based on sexual orientation and gender identity worldwide correlates with a steep rise </w:t>
      </w:r>
      <w:r w:rsidRPr="00F216A1">
        <w:t xml:space="preserve">in </w:t>
      </w:r>
      <w:r w:rsidR="00306B94" w:rsidRPr="00F216A1">
        <w:t xml:space="preserve">faith-based </w:t>
      </w:r>
      <w:r w:rsidRPr="00F216A1">
        <w:t>groups using interpretations of religious teachings that promote gender-based violence and</w:t>
      </w:r>
      <w:r w:rsidRPr="00425059">
        <w:t xml:space="preserve"> discrimination  to violate the human rights of </w:t>
      </w:r>
      <w:r w:rsidR="00D57EC6" w:rsidRPr="00425059">
        <w:t xml:space="preserve"> LGBT+ persons</w:t>
      </w:r>
      <w:r w:rsidRPr="00425059">
        <w:t>, including, inter alia,  their right to life and freedom from torture.</w:t>
      </w:r>
      <w:r w:rsidRPr="00425059">
        <w:rPr>
          <w:rStyle w:val="FootnoteReference"/>
          <w:szCs w:val="18"/>
        </w:rPr>
        <w:footnoteReference w:id="40"/>
      </w:r>
      <w:r w:rsidRPr="00425059">
        <w:rPr>
          <w:rStyle w:val="FootnoteReference"/>
          <w:szCs w:val="18"/>
        </w:rPr>
        <w:t xml:space="preserve"> </w:t>
      </w:r>
      <w:r w:rsidRPr="00425059">
        <w:t>The Special Rapporteur confirms that these accounts are emblematic of allegations he has received and that have been raised by UN human rights experts with the governments of States including the Philippines;</w:t>
      </w:r>
      <w:r w:rsidRPr="00425059">
        <w:rPr>
          <w:rStyle w:val="FootnoteReference"/>
          <w:szCs w:val="18"/>
        </w:rPr>
        <w:footnoteReference w:id="41"/>
      </w:r>
      <w:r w:rsidRPr="00425059">
        <w:rPr>
          <w:rStyle w:val="FootnoteReference"/>
          <w:szCs w:val="18"/>
        </w:rPr>
        <w:t xml:space="preserve"> </w:t>
      </w:r>
      <w:r w:rsidRPr="00425059">
        <w:t>Georgia;</w:t>
      </w:r>
      <w:r w:rsidRPr="00425059">
        <w:rPr>
          <w:rStyle w:val="FootnoteReference"/>
          <w:szCs w:val="18"/>
        </w:rPr>
        <w:footnoteReference w:id="42"/>
      </w:r>
      <w:r w:rsidRPr="00425059">
        <w:t xml:space="preserve"> Indonesia;</w:t>
      </w:r>
      <w:r w:rsidRPr="00425059">
        <w:rPr>
          <w:rStyle w:val="FootnoteReference"/>
          <w:szCs w:val="18"/>
        </w:rPr>
        <w:footnoteReference w:id="43"/>
      </w:r>
      <w:r w:rsidRPr="00425059">
        <w:rPr>
          <w:rStyle w:val="FootnoteReference"/>
          <w:szCs w:val="18"/>
        </w:rPr>
        <w:t xml:space="preserve"> </w:t>
      </w:r>
      <w:r w:rsidRPr="00425059">
        <w:t>the Republic of Korea,</w:t>
      </w:r>
      <w:r w:rsidRPr="00425059">
        <w:rPr>
          <w:rStyle w:val="FootnoteReference"/>
          <w:szCs w:val="18"/>
        </w:rPr>
        <w:footnoteReference w:id="44"/>
      </w:r>
      <w:r w:rsidRPr="00425059">
        <w:rPr>
          <w:rStyle w:val="FootnoteReference"/>
          <w:szCs w:val="18"/>
        </w:rPr>
        <w:t xml:space="preserve"> </w:t>
      </w:r>
      <w:r w:rsidRPr="00425059">
        <w:t>and Egypt.</w:t>
      </w:r>
      <w:r w:rsidRPr="00425059">
        <w:rPr>
          <w:rStyle w:val="FootnoteReference"/>
          <w:szCs w:val="18"/>
        </w:rPr>
        <w:footnoteReference w:id="45"/>
      </w:r>
    </w:p>
    <w:p w14:paraId="0A9F3701" w14:textId="77777777" w:rsidR="00050AD8" w:rsidRPr="00425059" w:rsidRDefault="00050AD8" w:rsidP="00050AD8">
      <w:pPr>
        <w:pStyle w:val="H23G"/>
      </w:pPr>
      <w:r w:rsidRPr="00425059">
        <w:tab/>
        <w:t>2.</w:t>
      </w:r>
      <w:r w:rsidRPr="00425059">
        <w:tab/>
        <w:t>Accommodations on the basis of religious belief</w:t>
      </w:r>
      <w:r w:rsidRPr="00425059">
        <w:rPr>
          <w:rFonts w:eastAsia="Times New Roman"/>
        </w:rPr>
        <w:t xml:space="preserve"> </w:t>
      </w:r>
    </w:p>
    <w:p w14:paraId="190DCC9A" w14:textId="4DFFE62D" w:rsidR="00050AD8" w:rsidRPr="00425059" w:rsidRDefault="00050AD8" w:rsidP="00050AD8">
      <w:pPr>
        <w:pStyle w:val="SingleTxtG"/>
        <w:numPr>
          <w:ilvl w:val="0"/>
          <w:numId w:val="13"/>
        </w:numPr>
        <w:ind w:left="1134" w:firstLine="0"/>
      </w:pPr>
      <w:r w:rsidRPr="00425059">
        <w:t xml:space="preserve">One area of particular concern regarding accommodations to national law for religious </w:t>
      </w:r>
      <w:r w:rsidR="00F61CF2" w:rsidRPr="00425059">
        <w:t>beliefs is</w:t>
      </w:r>
      <w:r w:rsidRPr="00425059">
        <w:t xml:space="preserve"> the use of conscientious objection by healthcare providers </w:t>
      </w:r>
      <w:r w:rsidR="002D7DCD" w:rsidRPr="00425059">
        <w:t xml:space="preserve">and institutions </w:t>
      </w:r>
      <w:r w:rsidRPr="00425059">
        <w:t>unwilling to perform abortions or provide access to contraception on religious grounds. In Uruguay, for example, women can elect to have an abortion, but in certain regions up to 87% of medical providers refuse to perform abortions.  Participants in the Special Rapporteur’s consultation</w:t>
      </w:r>
      <w:r w:rsidR="002D7DCD" w:rsidRPr="00425059">
        <w:t>s</w:t>
      </w:r>
      <w:r w:rsidRPr="00425059">
        <w:t xml:space="preserve"> </w:t>
      </w:r>
      <w:r w:rsidR="002D7DCD" w:rsidRPr="00425059">
        <w:t>from countries such as</w:t>
      </w:r>
      <w:r w:rsidRPr="00425059">
        <w:t xml:space="preserve"> Poland</w:t>
      </w:r>
      <w:r w:rsidR="002D7DCD" w:rsidRPr="00425059">
        <w:t>, the USA and Kenya</w:t>
      </w:r>
      <w:r w:rsidRPr="00425059">
        <w:t xml:space="preserve"> noted that the invocation of  ‘conscience clause</w:t>
      </w:r>
      <w:r w:rsidR="002D7DCD" w:rsidRPr="00425059">
        <w:t>s</w:t>
      </w:r>
      <w:r w:rsidRPr="00425059">
        <w:t>’ provided in law had made access to legal abortion effectively unavailable to women in  significant part</w:t>
      </w:r>
      <w:r w:rsidR="002D7DCD" w:rsidRPr="00425059">
        <w:t>s</w:t>
      </w:r>
      <w:r w:rsidRPr="00425059">
        <w:t xml:space="preserve"> of the country.</w:t>
      </w:r>
      <w:r w:rsidRPr="00425059" w:rsidDel="00CD43B8">
        <w:t xml:space="preserve"> </w:t>
      </w:r>
      <w:r w:rsidRPr="00425059">
        <w:t>The Special Rapporteur notes that the Human Rights Committee has expressed concern about this phenomenon, in addition to the absence of effective referral mechanisms for accessing legal abortion medical services as a result of the exercise of conscientious objection.</w:t>
      </w:r>
      <w:r w:rsidRPr="00425059">
        <w:rPr>
          <w:rStyle w:val="FootnoteReference"/>
          <w:szCs w:val="18"/>
        </w:rPr>
        <w:footnoteReference w:id="46"/>
      </w:r>
      <w:r w:rsidRPr="00425059">
        <w:t xml:space="preserve"> The Special Rapporteur recalls that the Human Rights Committee has called on States to ensure that women have access to legal abortion notwithstanding conscientious objection by medical practitioners, which it has referred to as a ‘barrier’ to access,</w:t>
      </w:r>
      <w:r w:rsidRPr="00425059">
        <w:rPr>
          <w:rStyle w:val="FootnoteReference"/>
          <w:szCs w:val="18"/>
        </w:rPr>
        <w:footnoteReference w:id="47"/>
      </w:r>
      <w:r w:rsidRPr="00425059">
        <w:t xml:space="preserve"> and has suggested that conscientious objection should only be permitted, if at all, for individual</w:t>
      </w:r>
      <w:r w:rsidR="00F27775" w:rsidRPr="00425059">
        <w:t xml:space="preserve"> medical providers</w:t>
      </w:r>
      <w:r w:rsidRPr="00425059">
        <w:t>.</w:t>
      </w:r>
      <w:r w:rsidRPr="00425059">
        <w:rPr>
          <w:rStyle w:val="FootnoteReference"/>
          <w:szCs w:val="18"/>
        </w:rPr>
        <w:footnoteReference w:id="48"/>
      </w:r>
      <w:r w:rsidRPr="00425059">
        <w:rPr>
          <w:rStyle w:val="FootnoteReference"/>
          <w:szCs w:val="18"/>
        </w:rPr>
        <w:t xml:space="preserve"> </w:t>
      </w:r>
      <w:r w:rsidRPr="00425059">
        <w:t xml:space="preserve"> The Special Rapporteur was presented with additional information about gender-based discrimination by private persons refusing to provide medical or other services to women, girls and</w:t>
      </w:r>
      <w:r w:rsidR="00D57EC6" w:rsidRPr="00425059">
        <w:t xml:space="preserve"> LGBT+ persons </w:t>
      </w:r>
      <w:r w:rsidRPr="00425059">
        <w:t xml:space="preserve"> and who cited religious objections for doing so. At the U.S. consultation, for example, it was noted that individuals have refused to provide services to </w:t>
      </w:r>
      <w:r w:rsidR="00D57EC6" w:rsidRPr="00425059">
        <w:t xml:space="preserve">LGBT+ persons </w:t>
      </w:r>
      <w:r w:rsidRPr="00425059">
        <w:t>including in the areas of family planning and pre-natal care, infertility treatment, adoption, housing,</w:t>
      </w:r>
      <w:r w:rsidR="0061763C" w:rsidRPr="00425059">
        <w:rPr>
          <w:rStyle w:val="FootnoteReference"/>
        </w:rPr>
        <w:footnoteReference w:id="49"/>
      </w:r>
      <w:r w:rsidRPr="00425059">
        <w:t xml:space="preserve"> lodging, employment, and the provision of commercial services. South Africa has seen a significant increase in state sanctioned ‘conscience</w:t>
      </w:r>
      <w:r w:rsidR="006C7C70" w:rsidRPr="00425059">
        <w:t>-</w:t>
      </w:r>
      <w:r w:rsidRPr="00425059">
        <w:t>based refusals’ in the provision of legal abortion and same-sex marriage</w:t>
      </w:r>
      <w:r w:rsidR="00F27775" w:rsidRPr="00425059">
        <w:t>.</w:t>
      </w:r>
      <w:r w:rsidRPr="00425059">
        <w:rPr>
          <w:rStyle w:val="FootnoteReference"/>
          <w:szCs w:val="18"/>
        </w:rPr>
        <w:footnoteReference w:id="50"/>
      </w:r>
    </w:p>
    <w:p w14:paraId="416EDC01" w14:textId="1CCCA483" w:rsidR="00050AD8" w:rsidRPr="00425059" w:rsidRDefault="00050AD8" w:rsidP="00050AD8">
      <w:pPr>
        <w:pStyle w:val="SingleTxtG"/>
        <w:numPr>
          <w:ilvl w:val="0"/>
          <w:numId w:val="13"/>
        </w:numPr>
        <w:ind w:left="1134" w:firstLine="0"/>
      </w:pPr>
      <w:r w:rsidRPr="00425059">
        <w:t xml:space="preserve">Moreover, participants in all consultations reported that legal exemptions to anti-discrimination measures on the grounds of religious commitments are being increasingly accommodated.  Participants in the Americas consultations noted for example, that these outcomes have resulted in the termination of pregnant employees for being unmarried; denial of insurance coverage for legal reproductive health services; refusals to discharge prescriptions for contraception and to impede the </w:t>
      </w:r>
      <w:r w:rsidR="00F61CF2" w:rsidRPr="00425059">
        <w:t>ability to</w:t>
      </w:r>
      <w:r w:rsidRPr="00425059">
        <w:t xml:space="preserve"> obtain legal abortion services and the denial of health services/treatment to</w:t>
      </w:r>
      <w:r w:rsidR="00D57EC6" w:rsidRPr="00425059">
        <w:t xml:space="preserve"> LGBT+ persons. </w:t>
      </w:r>
      <w:r w:rsidRPr="00425059">
        <w:t xml:space="preserve"> </w:t>
      </w:r>
    </w:p>
    <w:p w14:paraId="54FAE4B5" w14:textId="77777777" w:rsidR="00C03FFE" w:rsidRPr="00425059" w:rsidRDefault="00C03FFE" w:rsidP="00C03FFE">
      <w:pPr>
        <w:pStyle w:val="H23G"/>
        <w:rPr>
          <w:color w:val="000000" w:themeColor="text1"/>
          <w:shd w:val="clear" w:color="auto" w:fill="FFFFFF"/>
        </w:rPr>
      </w:pPr>
      <w:r w:rsidRPr="00425059">
        <w:tab/>
        <w:t>3.</w:t>
      </w:r>
      <w:r w:rsidRPr="00425059">
        <w:tab/>
        <w:t>Gender-based discrimination within religious institutions and communities</w:t>
      </w:r>
    </w:p>
    <w:p w14:paraId="3824E57F" w14:textId="50209AAF" w:rsidR="00C03FFE" w:rsidRPr="00425059" w:rsidRDefault="00C03FFE" w:rsidP="00C03FFE">
      <w:pPr>
        <w:pStyle w:val="SingleTxtG"/>
        <w:numPr>
          <w:ilvl w:val="0"/>
          <w:numId w:val="13"/>
        </w:numPr>
        <w:ind w:left="1134" w:firstLine="0"/>
      </w:pPr>
      <w:r w:rsidRPr="00425059">
        <w:t>Consultations addressed the phenomenon of pervasive gender-based discrimination against women, girls and</w:t>
      </w:r>
      <w:r w:rsidR="00FC4371" w:rsidRPr="00425059">
        <w:t xml:space="preserve"> LGBT+ persons </w:t>
      </w:r>
      <w:r w:rsidRPr="00425059">
        <w:t>within religious communities around the world, particularly against women who openly contest predominant gender stereotypes. Sometimes, even in situations where States have intervened, the leaders of faith-based communities maintain discriminatory practices. In 2005, the Nepalese Supreme Court declared illegal the practice of exiling women from their homes to bare-bones huts during menstruation, yet religious leaders and faith healers continue to enforce the practice, often with deadly consequences. Similarly, despite India’s Supreme Court ruling that declared the prohibition on women entering places of worship to be unconstitutional, Hindu leaders continue to ban women ‘of menstruating age’ from entering temples.</w:t>
      </w:r>
    </w:p>
    <w:p w14:paraId="7A8508A2" w14:textId="2C24EDF5" w:rsidR="00C03FFE" w:rsidRPr="00425059" w:rsidRDefault="00C03FFE" w:rsidP="00C03FFE">
      <w:pPr>
        <w:pStyle w:val="SingleTxtG"/>
        <w:numPr>
          <w:ilvl w:val="0"/>
          <w:numId w:val="13"/>
        </w:numPr>
        <w:ind w:left="1134" w:firstLine="0"/>
      </w:pPr>
      <w:r w:rsidRPr="00425059">
        <w:t xml:space="preserve">In every region, the Special Rapporteur heard </w:t>
      </w:r>
      <w:r w:rsidRPr="00F216A1">
        <w:t>from women</w:t>
      </w:r>
      <w:r w:rsidR="001E754C" w:rsidRPr="00F216A1">
        <w:t xml:space="preserve"> and</w:t>
      </w:r>
      <w:r w:rsidR="00FC4371" w:rsidRPr="00F216A1">
        <w:t xml:space="preserve"> LGBT+ persons </w:t>
      </w:r>
      <w:r w:rsidRPr="00F216A1">
        <w:t xml:space="preserve"> who are limited in their opportunit</w:t>
      </w:r>
      <w:r w:rsidR="001E754C" w:rsidRPr="00F216A1">
        <w:t>ies</w:t>
      </w:r>
      <w:r w:rsidRPr="00F216A1">
        <w:t xml:space="preserve"> to contribute to the content of their religion</w:t>
      </w:r>
      <w:r w:rsidR="00306B94" w:rsidRPr="00F216A1">
        <w:t xml:space="preserve"> or belief</w:t>
      </w:r>
      <w:r w:rsidRPr="00F216A1">
        <w:t xml:space="preserve">. In addition to being denied the right to manifest their beliefs through gender equal interpretations of their </w:t>
      </w:r>
      <w:r w:rsidR="00306B94" w:rsidRPr="00F216A1">
        <w:t>faith</w:t>
      </w:r>
      <w:r w:rsidRPr="00F216A1">
        <w:t xml:space="preserve">, advocates or individuals working to combat gender-based violence and discrimination may be punished or stigmatized for attempts to do so. For many, their only option is to accept the discriminatory beliefs, rules and internal workings of a religion or </w:t>
      </w:r>
      <w:r w:rsidR="00306B94" w:rsidRPr="00F216A1">
        <w:t xml:space="preserve">belief or </w:t>
      </w:r>
      <w:r w:rsidRPr="00F216A1">
        <w:t xml:space="preserve">leave. Thus, the disenfranchisement of women and </w:t>
      </w:r>
      <w:r w:rsidR="001E754C" w:rsidRPr="00F216A1">
        <w:t xml:space="preserve">LGBT+ </w:t>
      </w:r>
      <w:r w:rsidR="003062CD" w:rsidRPr="00F216A1">
        <w:t>persons</w:t>
      </w:r>
      <w:r w:rsidRPr="00F216A1">
        <w:t xml:space="preserve"> in religious communities presents serious challenges for global advancement</w:t>
      </w:r>
      <w:r w:rsidRPr="00425059">
        <w:t xml:space="preserve"> of equality. </w:t>
      </w:r>
    </w:p>
    <w:p w14:paraId="5CA92456" w14:textId="77777777" w:rsidR="00C03FFE" w:rsidRPr="00425059" w:rsidRDefault="00C03FFE" w:rsidP="00C03FFE">
      <w:pPr>
        <w:pStyle w:val="SingleTxtG"/>
        <w:numPr>
          <w:ilvl w:val="0"/>
          <w:numId w:val="13"/>
        </w:numPr>
        <w:ind w:left="1134" w:firstLine="0"/>
      </w:pPr>
      <w:r w:rsidRPr="00425059">
        <w:t>The Special Rapporteur notes that while religious organizations are entitled to autonomy in the administration of their affairs, such deference should be extended within a holistic conception of human rights grounded in the universality, indivisibility, interdependence and inalienability of all human rights. For example, the Committee on Economic, Social and Cultural Rights has called on States to ensure that church-run institutions are not permitted to discriminate against non-ecclesiastical employees on grounds of religious belief, sexual orientation or gender identity.</w:t>
      </w:r>
      <w:r w:rsidRPr="00425059">
        <w:rPr>
          <w:rStyle w:val="FootnoteReference"/>
          <w:szCs w:val="18"/>
        </w:rPr>
        <w:footnoteReference w:id="51"/>
      </w:r>
      <w:r w:rsidRPr="00425059">
        <w:rPr>
          <w:rStyle w:val="FootnoteReference"/>
          <w:szCs w:val="18"/>
        </w:rPr>
        <w:t xml:space="preserve"> </w:t>
      </w:r>
    </w:p>
    <w:p w14:paraId="5FE3F040" w14:textId="139A36C5" w:rsidR="00C03FFE" w:rsidRPr="00425059" w:rsidRDefault="00C03FFE" w:rsidP="00C03FFE">
      <w:pPr>
        <w:pStyle w:val="SingleTxtG"/>
        <w:numPr>
          <w:ilvl w:val="0"/>
          <w:numId w:val="13"/>
        </w:numPr>
        <w:ind w:left="1134" w:firstLine="0"/>
      </w:pPr>
      <w:r w:rsidRPr="00425059">
        <w:t xml:space="preserve">The Special Rapporteur reiterates that the right to freedom of religion or belief belongs to individuals, not religions and he emphasizes that in </w:t>
      </w:r>
      <w:r w:rsidRPr="00F216A1">
        <w:t xml:space="preserve">general, </w:t>
      </w:r>
      <w:r w:rsidR="00306B94" w:rsidRPr="00F216A1">
        <w:t>S</w:t>
      </w:r>
      <w:r w:rsidRPr="00F216A1">
        <w:t>tates should not interfere with a community’s communal practices</w:t>
      </w:r>
      <w:r w:rsidR="001E754C" w:rsidRPr="00F216A1">
        <w:t xml:space="preserve"> or</w:t>
      </w:r>
      <w:r w:rsidR="00726EA9" w:rsidRPr="00F216A1">
        <w:t xml:space="preserve"> internal </w:t>
      </w:r>
      <w:r w:rsidRPr="00F216A1">
        <w:t>organization</w:t>
      </w:r>
      <w:r w:rsidR="00726EA9" w:rsidRPr="00F216A1">
        <w:t>.</w:t>
      </w:r>
      <w:r w:rsidRPr="00F216A1">
        <w:t xml:space="preserve"> He further stresses that States are prohibited from imposing beliefs on individuals and communities and</w:t>
      </w:r>
      <w:r w:rsidRPr="00425059">
        <w:t xml:space="preserve"> that religious actors can and should, in upholding their institutional autonomy, be exempted from complying with government regulations where doing so would not inordinately discriminate against others on the basis of gender.  He notes, however, that the principle of institutional autonomy does not extend to State deference to harmful discriminatory gender norms. Nor does it oblige States to defer from intervening to prevent harmful practices because said practices are informed by ‘religious ethos’; including discriminatory acts that have as their purpose or effect the nullification or impairment of the recognition, enjoyment or exercise of human rights and fundamental freedoms on an equal basis.</w:t>
      </w:r>
      <w:r w:rsidRPr="00425059">
        <w:rPr>
          <w:rStyle w:val="FootnoteReference"/>
          <w:szCs w:val="18"/>
        </w:rPr>
        <w:footnoteReference w:id="52"/>
      </w:r>
      <w:r w:rsidRPr="00425059">
        <w:t xml:space="preserve"> This is particularly important with regards to internal dissidents who may be targeted with violence as a result of their advocacy for gender equal teachings.</w:t>
      </w:r>
      <w:r w:rsidRPr="00425059">
        <w:rPr>
          <w:rStyle w:val="FootnoteReference"/>
          <w:szCs w:val="18"/>
        </w:rPr>
        <w:footnoteReference w:id="53"/>
      </w:r>
      <w:r w:rsidRPr="00425059">
        <w:rPr>
          <w:rStyle w:val="FootnoteReference"/>
          <w:szCs w:val="18"/>
        </w:rPr>
        <w:t xml:space="preserve"> </w:t>
      </w:r>
    </w:p>
    <w:p w14:paraId="4684AE80" w14:textId="4BF6D894" w:rsidR="00C03FFE" w:rsidRPr="00425059" w:rsidRDefault="00C03FFE" w:rsidP="00C03FFE">
      <w:pPr>
        <w:pStyle w:val="SingleTxtG"/>
        <w:numPr>
          <w:ilvl w:val="0"/>
          <w:numId w:val="13"/>
        </w:numPr>
        <w:ind w:left="1134" w:firstLine="0"/>
      </w:pPr>
      <w:r w:rsidRPr="00425059">
        <w:t>Many feminist and human rights scholars argue that such deference of the autonomy and traditions of religious institutions is problematic for a number of reasons. Firstly, they contend that rules regulating the status of men and women, including in the appointment of clergy or in institutional structures that enforce anti-LGBT+ bias, may be ‘religious’ in nature but they are also political; norms and practices which promote stereotypical masculinities and femininities about roles and about sexuality have profound impacts on the polity.</w:t>
      </w:r>
      <w:r w:rsidRPr="00425059">
        <w:rPr>
          <w:rStyle w:val="FootnoteReference"/>
          <w:szCs w:val="18"/>
        </w:rPr>
        <w:footnoteReference w:id="54"/>
      </w:r>
      <w:r w:rsidRPr="00425059">
        <w:rPr>
          <w:rStyle w:val="FootnoteReference"/>
          <w:szCs w:val="18"/>
        </w:rPr>
        <w:t xml:space="preserve"> </w:t>
      </w:r>
      <w:r w:rsidRPr="00425059">
        <w:t xml:space="preserve">Feminists argue that limiting the roles of persons within their religious communities and institutions cannot be said to solely involve the private relationship between clergy and congregation, and that commitments which consider women and girls </w:t>
      </w:r>
      <w:r w:rsidRPr="00F216A1">
        <w:t xml:space="preserve">subordinate </w:t>
      </w:r>
      <w:r w:rsidR="005C7FB0" w:rsidRPr="00F216A1">
        <w:t>and</w:t>
      </w:r>
      <w:r w:rsidR="005C7FB0">
        <w:t xml:space="preserve"> </w:t>
      </w:r>
      <w:r w:rsidR="00FC4371" w:rsidRPr="00425059">
        <w:t xml:space="preserve">LGBT+ persons </w:t>
      </w:r>
      <w:r w:rsidRPr="00425059">
        <w:t xml:space="preserve">unequal in their personhood, implicate much more than the ‘self-administration’ of a religious community. Feminists and human rights scholars observe that norms which oppress women, girls and </w:t>
      </w:r>
      <w:r w:rsidR="001E754C" w:rsidRPr="00425059">
        <w:t>LGBT+ persons</w:t>
      </w:r>
      <w:r w:rsidRPr="00425059">
        <w:t>, regardless of their foundation in religious convictions or expression in communal practices, are a concern for the State and international human rights law. Secondly, feminists argue that the State cannot address the religious commitments of a community as fixed monoliths.</w:t>
      </w:r>
      <w:r w:rsidRPr="00425059">
        <w:rPr>
          <w:rStyle w:val="FootnoteReference"/>
          <w:szCs w:val="18"/>
        </w:rPr>
        <w:footnoteReference w:id="55"/>
      </w:r>
      <w:r w:rsidRPr="00425059">
        <w:rPr>
          <w:rStyle w:val="FootnoteReference"/>
          <w:szCs w:val="18"/>
        </w:rPr>
        <w:t xml:space="preserve"> </w:t>
      </w:r>
      <w:r w:rsidRPr="00425059">
        <w:t>In many instances, deference to institutional traditions on the grounds that these traditions are shared by, and integral to, the existence of the community, contradicts the reality that religious communities are far from homogenous, and instead consist of individuals with diverse beliefs</w:t>
      </w:r>
      <w:r w:rsidR="007E34C7" w:rsidRPr="00425059">
        <w:t>.</w:t>
      </w:r>
    </w:p>
    <w:p w14:paraId="6B2749E0" w14:textId="10CC365C" w:rsidR="00C03FFE" w:rsidRPr="00425059" w:rsidRDefault="00C03FFE" w:rsidP="00C03FFE">
      <w:pPr>
        <w:pStyle w:val="SingleTxtG"/>
        <w:numPr>
          <w:ilvl w:val="0"/>
          <w:numId w:val="13"/>
        </w:numPr>
        <w:ind w:left="1134" w:firstLine="0"/>
      </w:pPr>
      <w:r w:rsidRPr="00425059">
        <w:t xml:space="preserve">Consultation participants working within religious communities noted that the ability of women, girls and </w:t>
      </w:r>
      <w:r w:rsidR="001E754C" w:rsidRPr="00425059">
        <w:t>LGBT+ persons</w:t>
      </w:r>
      <w:r w:rsidRPr="00425059">
        <w:t xml:space="preserve"> to belong to a faith of their choice, or, more often, a faith into which they were born that comprises their social and cultural connections, without being discriminated against, is vital to realizing myriad human rights, including the right to freedom of religion or belief. As such, many individuals within religions, across traditions, they reported, are increasingly rejecting patriarchal interpretations of religious doctrine and demanding equal rights within their religious traditions.  They further asserted that religion should not be ‘all or nothing’– either you choose to take part in a religion and must accept its inequalities, or you must cease to belong to that religion. However, </w:t>
      </w:r>
      <w:r w:rsidR="001E754C" w:rsidRPr="00425059">
        <w:t>as</w:t>
      </w:r>
      <w:r w:rsidRPr="00425059">
        <w:t xml:space="preserve"> consultation participants across regions attested, </w:t>
      </w:r>
      <w:r w:rsidR="001E754C" w:rsidRPr="00425059">
        <w:t xml:space="preserve">women and LGBT+ persons </w:t>
      </w:r>
      <w:r w:rsidRPr="00425059">
        <w:t xml:space="preserve">often have little influence over the rules of the community in which they live. They noted that those who pursue gender equality, including gender equal beliefs, can risk violence, shunning and stigma from their religious communities. </w:t>
      </w:r>
    </w:p>
    <w:p w14:paraId="5D4A0D5C" w14:textId="399D7976" w:rsidR="00C03FFE" w:rsidRPr="00425059" w:rsidRDefault="00C03FFE" w:rsidP="00C03FFE">
      <w:pPr>
        <w:pStyle w:val="SingleTxtG"/>
        <w:numPr>
          <w:ilvl w:val="0"/>
          <w:numId w:val="13"/>
        </w:numPr>
        <w:ind w:left="1134" w:firstLine="0"/>
      </w:pPr>
      <w:r w:rsidRPr="00425059">
        <w:t>These consequences are particularly stark for those who often cannot leave, or do not want to leave, their religious community due to economic reasons. Furthermore, the response, that one has the ‘option to leave’, they asserted, can fail to appreciate that many individuals are born into a religion and their religious community, and that membership</w:t>
      </w:r>
      <w:r w:rsidR="001E754C" w:rsidRPr="00425059">
        <w:t xml:space="preserve"> of</w:t>
      </w:r>
      <w:r w:rsidRPr="00425059">
        <w:t xml:space="preserve"> a religious community </w:t>
      </w:r>
      <w:r w:rsidR="001E754C" w:rsidRPr="00425059">
        <w:t xml:space="preserve">can </w:t>
      </w:r>
      <w:r w:rsidRPr="00425059">
        <w:t>become part of one’s identity, family, social and economic structure before choice in beliefs is introduced and developed.</w:t>
      </w:r>
      <w:r w:rsidR="00582DFC" w:rsidRPr="00425059">
        <w:t xml:space="preserve"> </w:t>
      </w:r>
      <w:r w:rsidR="001E754C" w:rsidRPr="00425059">
        <w:t>Individuals</w:t>
      </w:r>
      <w:r w:rsidRPr="00425059">
        <w:t xml:space="preserve"> further noted that the unequal treatment and social status of women and girls in many societies, including in education and assigned gender roles, mean that women are routinely less able than men to exercise their independence and exit their groups of origin. As such, leaving a faith community in many cases is impractical or impossible; particularly where a person, especially a woman, has little or no social, economic or personal independence from a religious group, or where they risk custody of their children</w:t>
      </w:r>
      <w:r w:rsidR="00C328DE" w:rsidRPr="00425059">
        <w:rPr>
          <w:sz w:val="21"/>
          <w:szCs w:val="21"/>
        </w:rPr>
        <w:t xml:space="preserve"> or face other forms of coercion. </w:t>
      </w:r>
      <w:r w:rsidR="00C328DE" w:rsidRPr="00425059">
        <w:rPr>
          <w:color w:val="000000"/>
          <w:sz w:val="21"/>
          <w:szCs w:val="21"/>
          <w:shd w:val="clear" w:color="auto" w:fill="FFFFFF"/>
        </w:rPr>
        <w:t>An effective right to exit is contingent on a form of unfettered autonomy and freedom from external control</w:t>
      </w:r>
      <w:r w:rsidR="00C328DE" w:rsidRPr="00425059">
        <w:rPr>
          <w:rStyle w:val="FootnoteReference"/>
          <w:color w:val="000000"/>
          <w:sz w:val="21"/>
          <w:szCs w:val="21"/>
          <w:shd w:val="clear" w:color="auto" w:fill="FFFFFF"/>
        </w:rPr>
        <w:footnoteReference w:id="56"/>
      </w:r>
      <w:r w:rsidR="00C328DE" w:rsidRPr="00425059">
        <w:rPr>
          <w:color w:val="000000"/>
          <w:sz w:val="21"/>
          <w:szCs w:val="21"/>
          <w:shd w:val="clear" w:color="auto" w:fill="FFFFFF"/>
        </w:rPr>
        <w:t xml:space="preserve"> that rarely exist in such cases.</w:t>
      </w:r>
    </w:p>
    <w:p w14:paraId="7CEF6D57" w14:textId="1E4A5F7D" w:rsidR="00C03FFE" w:rsidRPr="00425059" w:rsidRDefault="00C03FFE" w:rsidP="00C03FFE">
      <w:pPr>
        <w:pStyle w:val="SingleTxtG"/>
        <w:numPr>
          <w:ilvl w:val="0"/>
          <w:numId w:val="13"/>
        </w:numPr>
        <w:ind w:left="1134" w:firstLine="0"/>
      </w:pPr>
      <w:r w:rsidRPr="00425059">
        <w:t xml:space="preserve"> The Special Rapporteur asserts that this overlap between freedom of religion or belief and </w:t>
      </w:r>
      <w:r w:rsidR="00FC4371" w:rsidRPr="00425059">
        <w:t xml:space="preserve">the right to </w:t>
      </w:r>
      <w:r w:rsidRPr="00425059">
        <w:t xml:space="preserve">non-discrimination needs to be addressed not by trade-offs or a hierarchy, </w:t>
      </w:r>
      <w:r w:rsidR="00C328DE" w:rsidRPr="00425059">
        <w:rPr>
          <w:color w:val="000000" w:themeColor="text1"/>
          <w:sz w:val="21"/>
          <w:szCs w:val="21"/>
          <w:shd w:val="clear" w:color="auto" w:fill="FFFFFF"/>
        </w:rPr>
        <w:t>but</w:t>
      </w:r>
      <w:r w:rsidR="00C328DE" w:rsidRPr="00425059">
        <w:t xml:space="preserve"> </w:t>
      </w:r>
      <w:r w:rsidR="00C328DE" w:rsidRPr="00425059">
        <w:rPr>
          <w:rFonts w:eastAsia="Times New Roman"/>
          <w:color w:val="000000" w:themeColor="text1"/>
          <w:sz w:val="21"/>
          <w:szCs w:val="21"/>
          <w:lang w:val="en-IE" w:eastAsia="en-GB"/>
        </w:rPr>
        <w:t>by</w:t>
      </w:r>
      <w:r w:rsidR="00C328DE" w:rsidRPr="00425059">
        <w:rPr>
          <w:color w:val="000000" w:themeColor="text1"/>
          <w:sz w:val="21"/>
          <w:szCs w:val="21"/>
          <w:shd w:val="clear" w:color="auto" w:fill="FFFFFF"/>
        </w:rPr>
        <w:t xml:space="preserve"> producing ‘practical concordance’ of all human rights involved, to the maximum degree possible,</w:t>
      </w:r>
      <w:r w:rsidR="00C328DE" w:rsidRPr="00425059">
        <w:rPr>
          <w:rStyle w:val="FootnoteReference"/>
          <w:color w:val="000000" w:themeColor="text1"/>
          <w:sz w:val="21"/>
          <w:szCs w:val="21"/>
          <w:shd w:val="clear" w:color="auto" w:fill="FFFFFF"/>
        </w:rPr>
        <w:footnoteReference w:id="57"/>
      </w:r>
      <w:r w:rsidR="00C328DE" w:rsidRPr="00425059">
        <w:rPr>
          <w:color w:val="000000" w:themeColor="text1"/>
          <w:sz w:val="21"/>
          <w:szCs w:val="21"/>
          <w:shd w:val="clear" w:color="auto" w:fill="FFFFFF"/>
        </w:rPr>
        <w:t xml:space="preserve"> </w:t>
      </w:r>
      <w:r w:rsidRPr="00425059">
        <w:t>based on reasons accessible to all. As duty-bearers, states must become more clear-eyed about the root causes of gender inequality and intentional about the multilevel, transformational approaches that are necessary to ‘solve’ such a complex problem. Anchoring freedom of religion or belief in a principle that demands non-discrimination requires legal protection of the equality of opportunity in the enjoyment by all of this right, as well as all the other rights on which freedom of religion or belief depends. This means that the rights of individuals should be protected even within groups, by creating an enabling environment where dissenters are protected against incitement to violence, and are able to assert their agency through the exercise of their fundamental human rights, including freedom of expression, right to information, freedom of religion or belief, the right to education,</w:t>
      </w:r>
      <w:r w:rsidR="00F61CF2" w:rsidRPr="00425059">
        <w:t> the</w:t>
      </w:r>
      <w:r w:rsidRPr="00425059">
        <w:t xml:space="preserve"> right work, </w:t>
      </w:r>
      <w:r w:rsidR="00C328DE" w:rsidRPr="00425059">
        <w:t xml:space="preserve">freedom from coercion </w:t>
      </w:r>
      <w:r w:rsidRPr="00425059">
        <w:t>and equality before the law, among others. Equal liberties and protections in society, such as the right to equality and non-discrimination or the right to physical integrity, can only be maintained if individuals are never deemed as having waived said rights and liberties, even by voluntarily joining an organization.</w:t>
      </w:r>
    </w:p>
    <w:p w14:paraId="0842AA87" w14:textId="77777777" w:rsidR="00D34D52" w:rsidRPr="00425059" w:rsidRDefault="00D34D52" w:rsidP="00D34D52">
      <w:pPr>
        <w:pStyle w:val="H1G"/>
      </w:pPr>
      <w:r w:rsidRPr="00425059">
        <w:tab/>
        <w:t>C.</w:t>
      </w:r>
      <w:r w:rsidRPr="00425059">
        <w:tab/>
        <w:t>Initiatives to promote respect and protect the right to equality and non-discrimination while upholding freedom of religion or belief</w:t>
      </w:r>
    </w:p>
    <w:p w14:paraId="0094C3B4" w14:textId="77777777" w:rsidR="00D34D52" w:rsidRPr="00425059" w:rsidRDefault="00D34D52" w:rsidP="00D34D52">
      <w:pPr>
        <w:pStyle w:val="SingleTxtG"/>
        <w:numPr>
          <w:ilvl w:val="0"/>
          <w:numId w:val="13"/>
        </w:numPr>
        <w:ind w:left="1134" w:firstLine="0"/>
      </w:pPr>
      <w:r w:rsidRPr="00425059">
        <w:t xml:space="preserve">While the information presented to the Special Rapporteur concerning the extent of gender-based violence and discrimination caused by laws or actors citing religious justification worldwide is alarming, the Special Rapporteur is also encouraged by a number of ongoing initiatives being advanced by State and non-state actors aimed at enlisting religious actors and communities in efforts to eliminate barriers to equality both in society and within religious communities. </w:t>
      </w:r>
    </w:p>
    <w:p w14:paraId="66248EE1" w14:textId="77777777" w:rsidR="00D34D52" w:rsidRPr="00425059" w:rsidRDefault="00D34D52" w:rsidP="00D34D52">
      <w:pPr>
        <w:pStyle w:val="SingleTxtG"/>
        <w:numPr>
          <w:ilvl w:val="0"/>
          <w:numId w:val="13"/>
        </w:numPr>
        <w:ind w:left="1134" w:firstLine="0"/>
      </w:pPr>
      <w:r w:rsidRPr="00425059">
        <w:t xml:space="preserve">In the United States, the Religious Coalition for Reproductive Choice, a national interfaith movement, promotes women’s right to make reproductive decisions based on their own conscience. At the Latin America consultation, the Seguimos Unidos Hasta el Final campaign in El Salvador was presented as a campaign aimed at provoking greater compassion towards women whose lives are jeopardized by the country’s complete ban on abortion. </w:t>
      </w:r>
    </w:p>
    <w:p w14:paraId="238A3A50" w14:textId="77777777" w:rsidR="00D34D52" w:rsidRPr="00425059" w:rsidRDefault="00D34D52" w:rsidP="00D34D52">
      <w:pPr>
        <w:pStyle w:val="SingleTxtG"/>
        <w:numPr>
          <w:ilvl w:val="0"/>
          <w:numId w:val="13"/>
        </w:numPr>
        <w:ind w:left="1134" w:firstLine="0"/>
      </w:pPr>
      <w:r w:rsidRPr="00425059">
        <w:t xml:space="preserve">The Africa consultation highlighted the grassroots religious campaign ‘ImamsForShe’ in Burundi, which runs educational workshops for religious leaders, sports camps for girls and a weekly radio show to discuss how the Qur’an supports women’s human rights including the rights to education, healthcare, and equal work opportunities. The Global Interfaith Network leads pilgrimages for religious leaders across the continent to affirm scriptures in the Bible in support of LGBT+ rights. In Poland, communication campaigns like the #jestemLGBT (#IamLGBT) campaign on social media are challenging intolerance of LGBT+ persons and NGO-sponsored “Rainbow Friday” initiatives have been encouraging regular discussion of LGBT+ rights in schools. </w:t>
      </w:r>
    </w:p>
    <w:p w14:paraId="08EBD593" w14:textId="69497217" w:rsidR="00D34D52" w:rsidRPr="00425059" w:rsidRDefault="00D34D52" w:rsidP="00D34D52">
      <w:pPr>
        <w:pStyle w:val="SingleTxtG"/>
        <w:numPr>
          <w:ilvl w:val="0"/>
          <w:numId w:val="13"/>
        </w:numPr>
        <w:ind w:left="1134" w:firstLine="0"/>
      </w:pPr>
      <w:r w:rsidRPr="00425059">
        <w:t>At the South and Southeast Asia consultation, information was provided about school instruction about gender-based violence; in Myanmar, a national level youth policy contains education about sexual orientation and gender identity. In Pakistan, an initiative to include political actors in workshop discussions reportedly helped advance changes with regard to the legal status of transgender persons; similarly, dialogues with judges in Indonesia have explored religious texts and their relationship to gender discrimination. In Nepal human rights defenders often invoke religious texts' references to gender diversity to advocate for the equality and non</w:t>
      </w:r>
      <w:r w:rsidR="00F61CF2" w:rsidRPr="00425059">
        <w:t>-</w:t>
      </w:r>
      <w:r w:rsidRPr="00425059">
        <w:t xml:space="preserve">discrimination of </w:t>
      </w:r>
      <w:r w:rsidR="001E754C" w:rsidRPr="00425059">
        <w:t xml:space="preserve">LGBT+ </w:t>
      </w:r>
      <w:r w:rsidR="003062CD" w:rsidRPr="00425059">
        <w:t>persons</w:t>
      </w:r>
      <w:r w:rsidRPr="00425059">
        <w:t>. In 2007, LGBT+ advocates used this strategy to successfully petition against the government in a landmark Supreme Court case, </w:t>
      </w:r>
      <w:r w:rsidRPr="00425059">
        <w:rPr>
          <w:i/>
        </w:rPr>
        <w:t>Sunil Babu Pant and Others v. Government of Nepal and Others</w:t>
      </w:r>
      <w:r w:rsidRPr="00425059">
        <w:t xml:space="preserve">, calling on the government to recognize a third gender category. </w:t>
      </w:r>
    </w:p>
    <w:p w14:paraId="5A6D18F4" w14:textId="77777777" w:rsidR="00D34D52" w:rsidRPr="00425059" w:rsidRDefault="00D34D52" w:rsidP="00D34D52">
      <w:pPr>
        <w:pStyle w:val="SingleTxtG"/>
        <w:numPr>
          <w:ilvl w:val="0"/>
          <w:numId w:val="13"/>
        </w:numPr>
        <w:ind w:left="1134" w:firstLine="0"/>
      </w:pPr>
      <w:r w:rsidRPr="00425059">
        <w:t>The Special Rapporteur also draws attention to</w:t>
      </w:r>
      <w:r w:rsidR="005211F2" w:rsidRPr="00425059">
        <w:t xml:space="preserve"> recent</w:t>
      </w:r>
      <w:r w:rsidRPr="00425059">
        <w:t xml:space="preserve"> initiatives at the United Nations that engage </w:t>
      </w:r>
      <w:r w:rsidR="00F61CF2" w:rsidRPr="00425059">
        <w:t>religious</w:t>
      </w:r>
      <w:r w:rsidRPr="00425059">
        <w:t xml:space="preserve"> or belief actors in the promotion of gender equality. The </w:t>
      </w:r>
      <w:r w:rsidR="005211F2" w:rsidRPr="00425059">
        <w:t>“</w:t>
      </w:r>
      <w:r w:rsidRPr="00425059">
        <w:t>Faith for Rights</w:t>
      </w:r>
      <w:r w:rsidR="005211F2" w:rsidRPr="00425059">
        <w:t>” I</w:t>
      </w:r>
      <w:r w:rsidRPr="00425059">
        <w:t xml:space="preserve">nitiative, led by the OHCHR, has </w:t>
      </w:r>
      <w:r w:rsidR="005211F2" w:rsidRPr="00425059">
        <w:t>launched in January 2020</w:t>
      </w:r>
      <w:r w:rsidRPr="00425059">
        <w:t xml:space="preserve"> a</w:t>
      </w:r>
      <w:r w:rsidR="005211F2" w:rsidRPr="00425059">
        <w:t xml:space="preserve"> peer-to-peer learning</w:t>
      </w:r>
      <w:r w:rsidRPr="00425059">
        <w:t xml:space="preserve"> toolkit for faith</w:t>
      </w:r>
      <w:r w:rsidR="005211F2" w:rsidRPr="00425059">
        <w:t xml:space="preserve"> actors</w:t>
      </w:r>
      <w:r w:rsidRPr="00425059">
        <w:t xml:space="preserve"> to assist</w:t>
      </w:r>
      <w:r w:rsidR="005211F2" w:rsidRPr="00425059">
        <w:t xml:space="preserve"> in </w:t>
      </w:r>
      <w:r w:rsidRPr="00425059">
        <w:t>revisit</w:t>
      </w:r>
      <w:r w:rsidR="005211F2" w:rsidRPr="00425059">
        <w:t>ing</w:t>
      </w:r>
      <w:r w:rsidRPr="00425059">
        <w:t xml:space="preserve"> religious interpretations that perpetuate gender inequality and harmful stereotypes or condone gender-based violence.</w:t>
      </w:r>
      <w:r w:rsidR="005211F2" w:rsidRPr="00425059">
        <w:rPr>
          <w:rStyle w:val="FootnoteReference"/>
        </w:rPr>
        <w:footnoteReference w:id="58"/>
      </w:r>
      <w:r w:rsidRPr="00425059">
        <w:t xml:space="preserve"> The Fez Plan of Action, developed by the UN Office on Genocide Prevention</w:t>
      </w:r>
      <w:r w:rsidR="005211F2" w:rsidRPr="00425059">
        <w:t>,</w:t>
      </w:r>
      <w:r w:rsidRPr="00425059">
        <w:t xml:space="preserve"> recognizes the need to</w:t>
      </w:r>
      <w:r w:rsidR="005211F2" w:rsidRPr="00425059">
        <w:t xml:space="preserve"> </w:t>
      </w:r>
      <w:r w:rsidR="005211F2" w:rsidRPr="00425059">
        <w:rPr>
          <w:color w:val="000000" w:themeColor="text1"/>
          <w:sz w:val="21"/>
          <w:szCs w:val="21"/>
        </w:rPr>
        <w:t>prevent incitement to gender-based violence and support</w:t>
      </w:r>
      <w:r w:rsidRPr="00425059">
        <w:t xml:space="preserve"> of religious </w:t>
      </w:r>
      <w:r w:rsidR="005211F2" w:rsidRPr="00425059">
        <w:t>leaders</w:t>
      </w:r>
      <w:r w:rsidRPr="00425059">
        <w:t xml:space="preserve"> in changing discriminatory</w:t>
      </w:r>
      <w:r w:rsidR="005211F2" w:rsidRPr="00425059">
        <w:t xml:space="preserve"> social</w:t>
      </w:r>
      <w:r w:rsidRPr="00425059">
        <w:t xml:space="preserve"> norms </w:t>
      </w:r>
      <w:r w:rsidR="005211F2" w:rsidRPr="00425059">
        <w:t xml:space="preserve">and ideas </w:t>
      </w:r>
      <w:r w:rsidRPr="00425059">
        <w:t>relating to women, girls and sexual minorities.</w:t>
      </w:r>
      <w:r w:rsidR="005211F2" w:rsidRPr="00425059">
        <w:rPr>
          <w:rStyle w:val="FootnoteReference"/>
        </w:rPr>
        <w:footnoteReference w:id="59"/>
      </w:r>
    </w:p>
    <w:p w14:paraId="26633D75" w14:textId="77777777" w:rsidR="00D34D52" w:rsidRPr="00425059" w:rsidRDefault="00D34D52" w:rsidP="00D34D52">
      <w:pPr>
        <w:pStyle w:val="SingleTxtG"/>
        <w:numPr>
          <w:ilvl w:val="0"/>
          <w:numId w:val="13"/>
        </w:numPr>
        <w:ind w:left="1134" w:firstLine="0"/>
      </w:pPr>
      <w:r w:rsidRPr="00425059">
        <w:t>Finally, the Special Rapporteur notes in this regard that an essential prerequisite for these initiatives’ exercise of these strategies is action by the State to create and ensure the conditions in which all individuals can exercise the right to freedom of expression free from fear of harassment and violence, or official sanction. At the South and Southeast Asia consultation, participants noted that while laws prohibiting blasphemy and related offences may be facially gender-neutral, they have the effect of silencing dissent and criticism of laws enshrining gender-discriminatory practices that have been justified on the basis of religious beliefs. Similarly, at the Poland consultation similar concerns were raised about Article 196 of the Criminal Code criminalizing ‘offense to religious feelings.’ These laws impermissibly restrict the right to freedom of expression and pose serious obstacles to those who seek to confront and promote reform of the discriminatory laws and policies identified above.</w:t>
      </w:r>
    </w:p>
    <w:p w14:paraId="48396BCC" w14:textId="77777777" w:rsidR="00BA6798" w:rsidRPr="00425059" w:rsidRDefault="00BA6798" w:rsidP="00BA6798">
      <w:pPr>
        <w:pStyle w:val="HChG"/>
      </w:pPr>
      <w:r w:rsidRPr="00425059">
        <w:tab/>
        <w:t>V.</w:t>
      </w:r>
      <w:r w:rsidRPr="00425059">
        <w:tab/>
        <w:t>International Legal Framework</w:t>
      </w:r>
    </w:p>
    <w:p w14:paraId="5DE95716" w14:textId="77777777" w:rsidR="00BA6798" w:rsidRPr="00425059" w:rsidRDefault="00BA6798" w:rsidP="00BA6798">
      <w:pPr>
        <w:pStyle w:val="SingleTxtG"/>
        <w:numPr>
          <w:ilvl w:val="0"/>
          <w:numId w:val="13"/>
        </w:numPr>
        <w:ind w:left="1134" w:firstLine="0"/>
      </w:pPr>
      <w:r w:rsidRPr="00425059">
        <w:t>The right freedom of thought, conscience and religion or belief includes: (1) the right to hold or to change one’s theistic, non-theistic, atheistic or non-religious beliefs; and (2) the right to manifest those beliefs individually or in community with others. These two aspects of the right are interdependent; both protecting people in their ability to think independently and to develop identity, while shaping religious and non-religious convictions and commitments.</w:t>
      </w:r>
      <w:r w:rsidRPr="00425059">
        <w:rPr>
          <w:rStyle w:val="FootnoteReference"/>
          <w:szCs w:val="18"/>
        </w:rPr>
        <w:footnoteReference w:id="60"/>
      </w:r>
      <w:r w:rsidRPr="00425059">
        <w:t xml:space="preserve"> The components are, however, distinguishable; an individual’s right to form, develop, adopt, </w:t>
      </w:r>
      <w:r w:rsidR="00F61CF2" w:rsidRPr="00425059">
        <w:t>and maintain</w:t>
      </w:r>
      <w:r w:rsidRPr="00425059">
        <w:t xml:space="preserve"> a religious or non-religious belief of their choice is absolute. The freedom to manifest a religion or belief can be restricted, however, </w:t>
      </w:r>
      <w:r w:rsidR="005211F2" w:rsidRPr="00425059">
        <w:t xml:space="preserve">only </w:t>
      </w:r>
      <w:r w:rsidRPr="00425059">
        <w:t xml:space="preserve">if the limitations are prescribed by law and are necessary to protect public safety, order, health or morals, or the fundamental rights and freedoms of others.  </w:t>
      </w:r>
    </w:p>
    <w:p w14:paraId="5BBEC8FF" w14:textId="77777777" w:rsidR="00BA6798" w:rsidRPr="00425059" w:rsidRDefault="00BA6798" w:rsidP="00BA6798">
      <w:pPr>
        <w:pStyle w:val="SingleTxtG"/>
        <w:numPr>
          <w:ilvl w:val="0"/>
          <w:numId w:val="13"/>
        </w:numPr>
        <w:ind w:left="1134" w:firstLine="0"/>
      </w:pPr>
      <w:r w:rsidRPr="00425059">
        <w:t>The legally instituted limits on manifesting freedom of religion or belief reflect the fact that an essential part of the right to freedom of religion or belief is that freedom of religion or belief must not be used for ends that are inconsistent with the United Nations Charter or relevant human rights instruments. Both Article 30 of the UDHR and Article 5 of the ICCPR further clarify that no human right may be invoked to destroy another human right. The key findings of this report evidence the overlap between the right to freedom of religion or belief and the right to non-discrimination in the context of gender.</w:t>
      </w:r>
      <w:r w:rsidRPr="00425059">
        <w:rPr>
          <w:rStyle w:val="FootnoteReference"/>
          <w:szCs w:val="18"/>
        </w:rPr>
        <w:footnoteReference w:id="61"/>
      </w:r>
      <w:r w:rsidRPr="00425059">
        <w:rPr>
          <w:rStyle w:val="FootnoteReference"/>
          <w:szCs w:val="18"/>
        </w:rPr>
        <w:t xml:space="preserve"> </w:t>
      </w:r>
      <w:r w:rsidRPr="00425059">
        <w:t xml:space="preserve">In this regard, the Special Rapporteur outlines below relevant international human rights norms.  </w:t>
      </w:r>
    </w:p>
    <w:p w14:paraId="4131CEF4" w14:textId="77777777" w:rsidR="00BA6798" w:rsidRPr="00425059" w:rsidRDefault="00BA6798" w:rsidP="00BA6798">
      <w:pPr>
        <w:pStyle w:val="SingleTxtG"/>
        <w:numPr>
          <w:ilvl w:val="0"/>
          <w:numId w:val="13"/>
        </w:numPr>
        <w:ind w:left="1134" w:firstLine="0"/>
      </w:pPr>
      <w:r w:rsidRPr="00425059">
        <w:t xml:space="preserve">Gender-based discrimination is prohibited by international law via numerous provisions. Article 26 of the ICCPR provides a freestanding right to equality before the law for all persons. Article 2 of the ICCPR establishes the prohibition against discrimination, proscribing distinctions of any kind, including race, </w:t>
      </w:r>
      <w:r w:rsidR="00F61CF2" w:rsidRPr="00425059">
        <w:t>colour</w:t>
      </w:r>
      <w:r w:rsidRPr="00425059">
        <w:t>, sex, language, religion, political or other opinion, national or social origin, property, birth or other status in the exercise of any rights promulgated by the Covenant. Further, Article 3 asserts that men and women have equal right to the enjoyment of all the rights enshrined in the Covenant.</w:t>
      </w:r>
      <w:r w:rsidRPr="00425059">
        <w:rPr>
          <w:rStyle w:val="FootnoteReference"/>
          <w:szCs w:val="18"/>
        </w:rPr>
        <w:footnoteReference w:id="62"/>
      </w:r>
    </w:p>
    <w:p w14:paraId="2EDD4B32" w14:textId="50BFC3EF" w:rsidR="00BA6798" w:rsidRPr="00425059" w:rsidRDefault="00BA6798" w:rsidP="00BA6798">
      <w:pPr>
        <w:pStyle w:val="SingleTxtG"/>
        <w:numPr>
          <w:ilvl w:val="0"/>
          <w:numId w:val="13"/>
        </w:numPr>
        <w:ind w:left="1134" w:firstLine="0"/>
      </w:pPr>
      <w:r w:rsidRPr="00425059">
        <w:t>Similar accessory provisions against discrimination can be found in most other human rights instruments, including the ICESCR, CRC, the IMWC, the ICRPD</w:t>
      </w:r>
      <w:r w:rsidR="008426CA" w:rsidRPr="00425059">
        <w:t>, the</w:t>
      </w:r>
      <w:r w:rsidRPr="00425059">
        <w:t xml:space="preserve"> UN  Declaration on the Elimination of All Forms of Intolerance and of Discrimination Based on Religion or Belief,  and the UN Declaration on the Rights of Indigenous Peoples.</w:t>
      </w:r>
      <w:r w:rsidRPr="00425059">
        <w:rPr>
          <w:rStyle w:val="FootnoteReference"/>
          <w:szCs w:val="18"/>
        </w:rPr>
        <w:footnoteReference w:id="63"/>
      </w:r>
      <w:r w:rsidRPr="00425059">
        <w:t xml:space="preserve"> Under Article 2 of CEDAW, states are obligated to modify or abolish existing laws and policies which constitute discrimination against women. Both the UNCRPD and CEDAW contain express obligations on States to eliminate harmful gender stereotypes as part of the States obligations to ensure equality.</w:t>
      </w:r>
      <w:r w:rsidRPr="00425059">
        <w:rPr>
          <w:rStyle w:val="FootnoteReference"/>
          <w:szCs w:val="18"/>
        </w:rPr>
        <w:footnoteReference w:id="64"/>
      </w:r>
      <w:r w:rsidRPr="00425059">
        <w:rPr>
          <w:rStyle w:val="FootnoteReference"/>
          <w:szCs w:val="18"/>
        </w:rPr>
        <w:t xml:space="preserve"> </w:t>
      </w:r>
      <w:r w:rsidRPr="00425059">
        <w:t>Additionally, gender-based violence – ‘physical, sexual and psychological harm (including intimidation, suffering, coercion, and/or deprivation of liberty within the family, or within the general community)’</w:t>
      </w:r>
      <w:r w:rsidRPr="00425059">
        <w:rPr>
          <w:rStyle w:val="FootnoteReference"/>
          <w:szCs w:val="18"/>
        </w:rPr>
        <w:footnoteReference w:id="65"/>
      </w:r>
      <w:r w:rsidRPr="00425059">
        <w:t xml:space="preserve"> directed against heterosexual women or </w:t>
      </w:r>
      <w:r w:rsidR="001E754C" w:rsidRPr="00425059">
        <w:t>LGBT+ persons</w:t>
      </w:r>
      <w:r w:rsidR="00F61CF2" w:rsidRPr="00425059">
        <w:t xml:space="preserve"> is</w:t>
      </w:r>
      <w:r w:rsidRPr="00425059">
        <w:t xml:space="preserve"> recognized as a prohibited form of discrimination in international law.</w:t>
      </w:r>
      <w:r w:rsidRPr="00425059">
        <w:rPr>
          <w:rStyle w:val="FootnoteReference"/>
          <w:szCs w:val="18"/>
        </w:rPr>
        <w:footnoteReference w:id="66"/>
      </w:r>
      <w:r w:rsidRPr="00425059">
        <w:t xml:space="preserve"> </w:t>
      </w:r>
    </w:p>
    <w:p w14:paraId="7A9A8DDC" w14:textId="77777777" w:rsidR="00BA6798" w:rsidRPr="00425059" w:rsidRDefault="00BA6798" w:rsidP="003C6D85">
      <w:pPr>
        <w:pStyle w:val="SingleTxtG"/>
        <w:numPr>
          <w:ilvl w:val="0"/>
          <w:numId w:val="13"/>
        </w:numPr>
        <w:ind w:left="1134" w:firstLine="0"/>
        <w:rPr>
          <w:rStyle w:val="FootnoteReference"/>
          <w:sz w:val="20"/>
          <w:vertAlign w:val="baseline"/>
        </w:rPr>
      </w:pPr>
      <w:r w:rsidRPr="00425059">
        <w:t>International law has further evolved beyond narrowly focused, physiologically based interpretations and applications of the right to non-discrimination on the grounds of ‘sex’. The Human Rights Committee,</w:t>
      </w:r>
      <w:r w:rsidRPr="00425059">
        <w:rPr>
          <w:rStyle w:val="FootnoteReference"/>
          <w:szCs w:val="18"/>
        </w:rPr>
        <w:footnoteReference w:id="67"/>
      </w:r>
      <w:r w:rsidRPr="00425059">
        <w:rPr>
          <w:rStyle w:val="FootnoteReference"/>
          <w:szCs w:val="18"/>
        </w:rPr>
        <w:t xml:space="preserve"> </w:t>
      </w:r>
      <w:r w:rsidRPr="00425059">
        <w:t>the CEDAW Committee,</w:t>
      </w:r>
      <w:r w:rsidRPr="00425059">
        <w:rPr>
          <w:rStyle w:val="FootnoteReference"/>
          <w:szCs w:val="18"/>
        </w:rPr>
        <w:footnoteReference w:id="68"/>
      </w:r>
      <w:r w:rsidRPr="00425059">
        <w:rPr>
          <w:rStyle w:val="FootnoteReference"/>
          <w:szCs w:val="18"/>
        </w:rPr>
        <w:t xml:space="preserve"> </w:t>
      </w:r>
      <w:r w:rsidRPr="00425059">
        <w:t>the CERD Committee,</w:t>
      </w:r>
      <w:r w:rsidRPr="00425059">
        <w:rPr>
          <w:rStyle w:val="FootnoteReference"/>
          <w:szCs w:val="18"/>
        </w:rPr>
        <w:footnoteReference w:id="69"/>
      </w:r>
      <w:r w:rsidRPr="00425059">
        <w:t xml:space="preserve"> the CAT Committee,</w:t>
      </w:r>
      <w:r w:rsidRPr="00425059">
        <w:rPr>
          <w:rStyle w:val="FootnoteReference"/>
          <w:szCs w:val="18"/>
        </w:rPr>
        <w:footnoteReference w:id="70"/>
      </w:r>
      <w:r w:rsidRPr="00425059">
        <w:rPr>
          <w:rStyle w:val="FootnoteReference"/>
          <w:szCs w:val="18"/>
        </w:rPr>
        <w:t xml:space="preserve"> </w:t>
      </w:r>
      <w:r w:rsidRPr="00425059">
        <w:t>numerous Special Procedures mandates</w:t>
      </w:r>
      <w:r w:rsidRPr="00425059">
        <w:rPr>
          <w:rStyle w:val="FootnoteReference"/>
          <w:szCs w:val="18"/>
        </w:rPr>
        <w:footnoteReference w:id="71"/>
      </w:r>
      <w:r w:rsidRPr="00425059">
        <w:rPr>
          <w:rStyle w:val="FootnoteReference"/>
          <w:szCs w:val="18"/>
        </w:rPr>
        <w:t xml:space="preserve"> a</w:t>
      </w:r>
      <w:r w:rsidRPr="00425059">
        <w:t>nd regional human rights systems</w:t>
      </w:r>
      <w:r w:rsidRPr="00425059">
        <w:rPr>
          <w:rStyle w:val="FootnoteReference"/>
          <w:szCs w:val="18"/>
        </w:rPr>
        <w:footnoteReference w:id="72"/>
      </w:r>
      <w:r w:rsidRPr="00425059">
        <w:rPr>
          <w:rStyle w:val="FootnoteReference"/>
          <w:sz w:val="20"/>
          <w:vertAlign w:val="baseline"/>
        </w:rPr>
        <w:t xml:space="preserve"> </w:t>
      </w:r>
      <w:r w:rsidRPr="00425059">
        <w:t>all recognize that sex-based discrimination amounts to gender-based discrimination, which is understood in international law as discrimination arising from the socially constructed roles, behaviours, activities and attributes that a given society considers appropriate for the different sexes.</w:t>
      </w:r>
      <w:r w:rsidRPr="00425059">
        <w:rPr>
          <w:rStyle w:val="FootnoteReference"/>
          <w:szCs w:val="18"/>
        </w:rPr>
        <w:footnoteReference w:id="73"/>
      </w:r>
      <w:r w:rsidRPr="00425059">
        <w:rPr>
          <w:rStyle w:val="FootnoteReference"/>
          <w:szCs w:val="18"/>
        </w:rPr>
        <w:t xml:space="preserve"> </w:t>
      </w:r>
      <w:r w:rsidRPr="00425059">
        <w:t>The Human Rights Committee recognizes that ‘sex’ in Articles 2(2) and 26 of the ICCPR includes sexual orientation</w:t>
      </w:r>
      <w:r w:rsidRPr="00425059">
        <w:rPr>
          <w:rStyle w:val="FootnoteReference"/>
          <w:szCs w:val="18"/>
        </w:rPr>
        <w:footnoteReference w:id="74"/>
      </w:r>
      <w:r w:rsidRPr="00425059">
        <w:rPr>
          <w:rStyle w:val="FootnoteReference"/>
          <w:szCs w:val="18"/>
        </w:rPr>
        <w:t xml:space="preserve"> </w:t>
      </w:r>
      <w:r w:rsidRPr="00425059">
        <w:t>and that Article 26 of the ICCPR encompasses discrimination on the basis of gender identity, including trans status.</w:t>
      </w:r>
      <w:r w:rsidRPr="00425059">
        <w:rPr>
          <w:rStyle w:val="FootnoteReference"/>
          <w:szCs w:val="18"/>
        </w:rPr>
        <w:footnoteReference w:id="75"/>
      </w:r>
      <w:r w:rsidRPr="00425059">
        <w:rPr>
          <w:rStyle w:val="FootnoteReference"/>
          <w:szCs w:val="18"/>
        </w:rPr>
        <w:t xml:space="preserve"> </w:t>
      </w:r>
      <w:r w:rsidRPr="00425059">
        <w:t>The CESCR Committee has also made clear that sexual orientation and gender identity based discrimination is covered by Articles 2(2) and 3 of the Convention.</w:t>
      </w:r>
      <w:r w:rsidRPr="00425059">
        <w:rPr>
          <w:rStyle w:val="FootnoteReference"/>
          <w:szCs w:val="18"/>
        </w:rPr>
        <w:footnoteReference w:id="76"/>
      </w:r>
      <w:r w:rsidRPr="00425059">
        <w:rPr>
          <w:rStyle w:val="FootnoteReference"/>
          <w:szCs w:val="18"/>
        </w:rPr>
        <w:t xml:space="preserve"> </w:t>
      </w:r>
      <w:r w:rsidRPr="00425059">
        <w:t>The CEDAW Committee recognizes that discrimination against women is ‘inextricably linked to other factors that [affect] their lives’, including having a trans history</w:t>
      </w:r>
      <w:r w:rsidR="003C6D85" w:rsidRPr="00425059">
        <w:t>.</w:t>
      </w:r>
      <w:r w:rsidR="003C6D85" w:rsidRPr="00425059">
        <w:rPr>
          <w:rStyle w:val="FootnoteReference"/>
        </w:rPr>
        <w:t xml:space="preserve"> </w:t>
      </w:r>
      <w:r w:rsidRPr="00425059">
        <w:rPr>
          <w:rStyle w:val="FootnoteReference"/>
        </w:rPr>
        <w:footnoteReference w:id="77"/>
      </w:r>
      <w:r w:rsidR="00F96BD1" w:rsidRPr="00425059">
        <w:t xml:space="preserve"> </w:t>
      </w:r>
      <w:r w:rsidR="00450599" w:rsidRPr="00425059">
        <w:rPr>
          <w:lang w:val="en-IE"/>
        </w:rPr>
        <w:t xml:space="preserve">Twenty-four UN </w:t>
      </w:r>
      <w:r w:rsidR="00A06C1E" w:rsidRPr="00425059">
        <w:rPr>
          <w:lang w:val="en-IE"/>
        </w:rPr>
        <w:t>s</w:t>
      </w:r>
      <w:r w:rsidR="00450599" w:rsidRPr="00425059">
        <w:rPr>
          <w:lang w:val="en-IE"/>
        </w:rPr>
        <w:t xml:space="preserve">pecial </w:t>
      </w:r>
      <w:r w:rsidR="00A06C1E" w:rsidRPr="00425059">
        <w:rPr>
          <w:lang w:val="en-IE"/>
        </w:rPr>
        <w:t>p</w:t>
      </w:r>
      <w:r w:rsidR="00450599" w:rsidRPr="00425059">
        <w:rPr>
          <w:lang w:val="en-IE"/>
        </w:rPr>
        <w:t>rocedures mandate-holders have jointly affirmed</w:t>
      </w:r>
      <w:r w:rsidR="00450599" w:rsidRPr="00425059">
        <w:t xml:space="preserve"> ‘the wide recognition of gender as a social construct that permeates the context in which human rights abuses take place’. </w:t>
      </w:r>
      <w:r w:rsidR="00450599" w:rsidRPr="00425059">
        <w:rPr>
          <w:vertAlign w:val="superscript"/>
        </w:rPr>
        <w:footnoteReference w:id="78"/>
      </w:r>
    </w:p>
    <w:p w14:paraId="164122D1" w14:textId="77777777" w:rsidR="00BA6798" w:rsidRPr="00425059" w:rsidRDefault="00BA6798" w:rsidP="00BA6798">
      <w:pPr>
        <w:pStyle w:val="SingleTxtG"/>
        <w:numPr>
          <w:ilvl w:val="0"/>
          <w:numId w:val="13"/>
        </w:numPr>
        <w:ind w:left="1134" w:firstLine="0"/>
      </w:pPr>
      <w:r w:rsidRPr="00425059">
        <w:t xml:space="preserve">Non-discrimination is not an unqualified right, as in some, albeit very limited, circumstances ‘objective and reasonable criteria’ may be invoked to justify exemptions from general laws and standards for combatting discrimination. Equally relevant for the experiences represented in this report is the prohibition against religious-based discrimination in international law, which includes: (a) treating a person </w:t>
      </w:r>
      <w:r w:rsidR="00F61CF2" w:rsidRPr="00425059">
        <w:t>unfavourably</w:t>
      </w:r>
      <w:r w:rsidRPr="00425059">
        <w:t xml:space="preserve"> because of his or her faith or belief; (b) imposing undue restrictions on an individual’s right to manifest their religion or belief; and (c) exerting limits on an individual’s enjoyment of other fundamental rights in the name of, or on the basis of, an individual’s religion or belief.</w:t>
      </w:r>
      <w:r w:rsidRPr="00425059">
        <w:rPr>
          <w:rStyle w:val="FootnoteReference"/>
          <w:szCs w:val="18"/>
        </w:rPr>
        <w:footnoteReference w:id="79"/>
      </w:r>
      <w:r w:rsidRPr="00425059">
        <w:rPr>
          <w:rStyle w:val="FootnoteReference"/>
          <w:szCs w:val="18"/>
        </w:rPr>
        <w:t xml:space="preserve"> </w:t>
      </w:r>
      <w:r w:rsidRPr="00425059">
        <w:t xml:space="preserve"> Additionally, the right of members of religious minorities to practise their religion with other members of their religious group is protected by Article 27 of the ICCPR.</w:t>
      </w:r>
    </w:p>
    <w:p w14:paraId="5BE162FF" w14:textId="77777777" w:rsidR="00BA6798" w:rsidRPr="00425059" w:rsidRDefault="00BA6798" w:rsidP="00BA6798">
      <w:pPr>
        <w:pStyle w:val="SingleTxtG"/>
        <w:numPr>
          <w:ilvl w:val="0"/>
          <w:numId w:val="13"/>
        </w:numPr>
        <w:ind w:left="1134" w:firstLine="0"/>
      </w:pPr>
      <w:r w:rsidRPr="00425059">
        <w:t>The UN Special Procedure mandate on freedom of religion or belief has illustrated that reasonable accommodation for the manifestation of religion or belief can be an important part of combating indirect discrimination based on religion or belief, and should be provided by States and private employers in situations where such measures would not amount to “a disproportionate or undue burden.”</w:t>
      </w:r>
      <w:r w:rsidRPr="00425059">
        <w:rPr>
          <w:rStyle w:val="FootnoteReference"/>
          <w:szCs w:val="18"/>
        </w:rPr>
        <w:footnoteReference w:id="80"/>
      </w:r>
      <w:r w:rsidRPr="00425059">
        <w:rPr>
          <w:rStyle w:val="FootnoteReference"/>
          <w:szCs w:val="18"/>
        </w:rPr>
        <w:t xml:space="preserve"> </w:t>
      </w:r>
      <w:r w:rsidRPr="00425059">
        <w:t>The jurisprudence of the European Court of Human Rights also treats the doctrine of reasonable accommodation as part of anti-discrimination law, but is clear that accommodations may be denied when third-party rights or public safety are affected.</w:t>
      </w:r>
      <w:r w:rsidRPr="00425059">
        <w:rPr>
          <w:rStyle w:val="FootnoteReference"/>
          <w:szCs w:val="18"/>
        </w:rPr>
        <w:footnoteReference w:id="81"/>
      </w:r>
      <w:r w:rsidRPr="00425059">
        <w:rPr>
          <w:rStyle w:val="FootnoteReference"/>
          <w:szCs w:val="18"/>
        </w:rPr>
        <w:t xml:space="preserve"> </w:t>
      </w:r>
      <w:r w:rsidRPr="00425059">
        <w:t xml:space="preserve"> The Human Rights Committee held that while some neutral laws may have a discriminatory impact, national laws based on objective and reasonable grounds do not constitute religious discrimination.</w:t>
      </w:r>
      <w:r w:rsidRPr="00425059">
        <w:rPr>
          <w:rStyle w:val="FootnoteReference"/>
          <w:szCs w:val="18"/>
        </w:rPr>
        <w:footnoteReference w:id="82"/>
      </w:r>
      <w:r w:rsidRPr="00425059">
        <w:t xml:space="preserve"> In Canada, accommodations on the manifestation of religion or belief must comply with other human rights standards, in particular concerns to gender equality and the principle of religious neutrality of the State.</w:t>
      </w:r>
    </w:p>
    <w:p w14:paraId="3B445A7F" w14:textId="0B2627AA" w:rsidR="00BA6798" w:rsidRPr="00425059" w:rsidRDefault="00BA6798" w:rsidP="008426CA">
      <w:pPr>
        <w:pStyle w:val="SingleTxtG"/>
        <w:numPr>
          <w:ilvl w:val="0"/>
          <w:numId w:val="13"/>
        </w:numPr>
        <w:ind w:left="1134" w:firstLine="0"/>
      </w:pPr>
      <w:r w:rsidRPr="00425059">
        <w:t>Freedom of religion or belief includes the right to maintain the internal institutional affairs of religious community life without State intervention.</w:t>
      </w:r>
      <w:r w:rsidRPr="00425059">
        <w:rPr>
          <w:rStyle w:val="FootnoteReference"/>
          <w:szCs w:val="18"/>
        </w:rPr>
        <w:footnoteReference w:id="83"/>
      </w:r>
      <w:r w:rsidRPr="00425059">
        <w:rPr>
          <w:rStyle w:val="FootnoteReference"/>
          <w:szCs w:val="18"/>
        </w:rPr>
        <w:t xml:space="preserve"> </w:t>
      </w:r>
      <w:r w:rsidRPr="00425059">
        <w:t>As outlined by the Special Rapporteur’s predecessor, the autonomy to determine the rules for appointing religious leaders or for governing ‘monastic life’, for example, allows religious communities to adhere to the self-understanding of the respective group and their traditions.</w:t>
      </w:r>
      <w:r w:rsidRPr="00425059">
        <w:rPr>
          <w:rStyle w:val="FootnoteReference"/>
          <w:szCs w:val="18"/>
        </w:rPr>
        <w:footnoteReference w:id="84"/>
      </w:r>
      <w:r w:rsidRPr="00425059">
        <w:t xml:space="preserve"> It must also be noted, however, that the autonomy of religious institutions falls within the </w:t>
      </w:r>
      <w:r w:rsidRPr="00425059">
        <w:rPr>
          <w:i/>
        </w:rPr>
        <w:t>forum externum</w:t>
      </w:r>
      <w:r w:rsidRPr="00425059">
        <w:t xml:space="preserve"> dimension of the right freedom of religion or belief which, if the need arises, can be restricted in conformity with the criteria spelled out in article 18(3) of the ICCPR.</w:t>
      </w:r>
      <w:r w:rsidRPr="00425059">
        <w:rPr>
          <w:rStyle w:val="FootnoteReference"/>
          <w:szCs w:val="18"/>
        </w:rPr>
        <w:footnoteReference w:id="85"/>
      </w:r>
    </w:p>
    <w:p w14:paraId="48509A6B" w14:textId="77777777" w:rsidR="00FF271A" w:rsidRPr="00425059" w:rsidRDefault="00763E98" w:rsidP="00BC120E">
      <w:pPr>
        <w:pStyle w:val="HChG"/>
      </w:pPr>
      <w:r w:rsidRPr="00425059">
        <w:rPr>
          <w:color w:val="FF0000"/>
        </w:rPr>
        <w:tab/>
      </w:r>
      <w:r w:rsidRPr="00425059">
        <w:t>V</w:t>
      </w:r>
      <w:r w:rsidR="00FF271A" w:rsidRPr="00425059">
        <w:t>I</w:t>
      </w:r>
      <w:r w:rsidRPr="00425059">
        <w:t>.</w:t>
      </w:r>
      <w:r w:rsidRPr="00425059">
        <w:tab/>
        <w:t>Conclusions</w:t>
      </w:r>
    </w:p>
    <w:p w14:paraId="5740E45E" w14:textId="77777777" w:rsidR="00FF271A" w:rsidRPr="00425059" w:rsidRDefault="00FF271A" w:rsidP="00FF271A">
      <w:pPr>
        <w:pStyle w:val="SingleTxtG"/>
        <w:numPr>
          <w:ilvl w:val="0"/>
          <w:numId w:val="13"/>
        </w:numPr>
        <w:ind w:left="1134" w:firstLine="0"/>
      </w:pPr>
      <w:r w:rsidRPr="00425059">
        <w:t xml:space="preserve">On the occasion of the 25th Anniversary of the Beijing Declaration and Platform for Action, the Special Rapporteur notes with concern that serious obstacles to the realization of gender equality persist in every region of the world. It is of deep concern that discriminatory laws and gender-based violence should remain so pervasive; and it is deeply alarming that efforts to achieve gender equality have experienced setbacks in some regions in recent years, rather than advancing. </w:t>
      </w:r>
    </w:p>
    <w:p w14:paraId="6F85E0C2" w14:textId="40AEB34B" w:rsidR="00FF271A" w:rsidRPr="00425059" w:rsidRDefault="00FF271A" w:rsidP="00FF271A">
      <w:pPr>
        <w:pStyle w:val="SingleTxtG"/>
        <w:numPr>
          <w:ilvl w:val="0"/>
          <w:numId w:val="13"/>
        </w:numPr>
        <w:ind w:left="1134" w:firstLine="0"/>
      </w:pPr>
      <w:r w:rsidRPr="00425059">
        <w:t>In 20</w:t>
      </w:r>
      <w:r w:rsidR="00487306" w:rsidRPr="00425059">
        <w:t>10</w:t>
      </w:r>
      <w:r w:rsidRPr="00425059">
        <w:t>, the</w:t>
      </w:r>
      <w:r w:rsidR="00EF7F90" w:rsidRPr="00425059">
        <w:t xml:space="preserve"> late </w:t>
      </w:r>
      <w:r w:rsidRPr="00425059">
        <w:t>Special Rapporteur Asma Jahangir wrote in her final repor</w:t>
      </w:r>
      <w:r w:rsidR="00EF7F90" w:rsidRPr="00425059">
        <w:t>t to the General Assembly that “</w:t>
      </w:r>
      <w:r w:rsidRPr="00425059">
        <w:t>the mandate needs to continue highlighting discriminatory practices that women have had to suffer over centuries and continue to do so, sometimes in the name of religion or within their religious community. It can no longer be taboo to demand that women’s rights take priority over intolerant beliefs used to</w:t>
      </w:r>
      <w:r w:rsidR="00EF7F90" w:rsidRPr="00425059">
        <w:t xml:space="preserve"> justify gender discrimination.”</w:t>
      </w:r>
      <w:r w:rsidRPr="00425059">
        <w:rPr>
          <w:rStyle w:val="FootnoteReference"/>
          <w:szCs w:val="18"/>
        </w:rPr>
        <w:footnoteReference w:id="86"/>
      </w:r>
      <w:r w:rsidRPr="00425059">
        <w:rPr>
          <w:rStyle w:val="FootnoteReference"/>
          <w:szCs w:val="18"/>
        </w:rPr>
        <w:t xml:space="preserve"> </w:t>
      </w:r>
      <w:r w:rsidRPr="00425059">
        <w:t>Her successor, Heiner Bielef</w:t>
      </w:r>
      <w:r w:rsidR="00F61CF2" w:rsidRPr="00425059">
        <w:t>eldt, similarly concurred that “</w:t>
      </w:r>
      <w:r w:rsidRPr="00425059">
        <w:t>freedom of religion or belief can never serve as a justification for violations of the human rights of women and girl</w:t>
      </w:r>
      <w:r w:rsidR="00F61CF2" w:rsidRPr="00425059">
        <w:t>s”.</w:t>
      </w:r>
      <w:r w:rsidRPr="00425059">
        <w:rPr>
          <w:rStyle w:val="FootnoteReference"/>
          <w:szCs w:val="18"/>
        </w:rPr>
        <w:footnoteReference w:id="87"/>
      </w:r>
      <w:r w:rsidRPr="00425059">
        <w:rPr>
          <w:rStyle w:val="FootnoteReference"/>
          <w:szCs w:val="18"/>
        </w:rPr>
        <w:t xml:space="preserve"> </w:t>
      </w:r>
      <w:r w:rsidRPr="00425059">
        <w:t>The Special Rapporteur fully affirms these views, and further stresses that the universal right to equality is unqualified in a way that the obligation to promote the right to manifest religion or belief, which can be subject to limitation where necessary to protect the rights of others, is not. However, acknowledging and rebuking practices rooted in claims to religion or belief that perpetuate harmful stereotypes, attitudes and practices does not mean tacitly accepting an inherent incompatibility between the right to f</w:t>
      </w:r>
      <w:r w:rsidR="00EF7F90" w:rsidRPr="00425059">
        <w:t xml:space="preserve">reedom of religion or belief, </w:t>
      </w:r>
      <w:r w:rsidRPr="00425059">
        <w:t>gender equality</w:t>
      </w:r>
      <w:r w:rsidR="00425059" w:rsidRPr="00425059">
        <w:t xml:space="preserve"> </w:t>
      </w:r>
      <w:r w:rsidRPr="00425059">
        <w:t xml:space="preserve">and the human rights of women and </w:t>
      </w:r>
      <w:r w:rsidR="0061763C" w:rsidRPr="00425059">
        <w:t>LGBT+ persons</w:t>
      </w:r>
      <w:r w:rsidRPr="00425059">
        <w:t>.</w:t>
      </w:r>
      <w:r w:rsidRPr="00425059">
        <w:rPr>
          <w:rStyle w:val="FootnoteReference"/>
          <w:szCs w:val="18"/>
        </w:rPr>
        <w:footnoteReference w:id="88"/>
      </w:r>
    </w:p>
    <w:p w14:paraId="7E0C60EB" w14:textId="7F16605D" w:rsidR="00FF271A" w:rsidRPr="00425059" w:rsidRDefault="00FF271A" w:rsidP="00FF271A">
      <w:pPr>
        <w:pStyle w:val="SingleTxtG"/>
        <w:numPr>
          <w:ilvl w:val="0"/>
          <w:numId w:val="13"/>
        </w:numPr>
        <w:ind w:left="1134" w:firstLine="0"/>
      </w:pPr>
      <w:r w:rsidRPr="00425059">
        <w:t>The Special Rapporteur rejects any claim that religious beliefs can be invoked as a legitimate ‘justification’ for violence or discrimination against women and girls or against people on the basis of their sexual orientation or gender identity. International law is clear that the manifestation of religion or belief may be limited by States</w:t>
      </w:r>
      <w:r w:rsidR="00D05FE7" w:rsidRPr="00425059">
        <w:t>, in full conformity with the criteria outlined in Article 18(3)</w:t>
      </w:r>
      <w:r w:rsidR="00821AD2" w:rsidRPr="00425059">
        <w:t xml:space="preserve"> ICCPR</w:t>
      </w:r>
      <w:r w:rsidR="00D05FE7" w:rsidRPr="00425059">
        <w:t xml:space="preserve">, </w:t>
      </w:r>
      <w:r w:rsidRPr="00425059">
        <w:t>to protect the fundamental rights of others,</w:t>
      </w:r>
      <w:r w:rsidR="001A7919" w:rsidRPr="00425059">
        <w:t xml:space="preserve"> </w:t>
      </w:r>
      <w:r w:rsidRPr="00425059">
        <w:t>including the right to non-discrimination and equality, a principle upon which all human rights, including the right to freedom of religion or belief</w:t>
      </w:r>
      <w:r w:rsidRPr="00425059" w:rsidDel="00DF20D2">
        <w:t xml:space="preserve"> </w:t>
      </w:r>
      <w:r w:rsidRPr="00425059">
        <w:t>depends.</w:t>
      </w:r>
      <w:r w:rsidRPr="00425059">
        <w:rPr>
          <w:rStyle w:val="FootnoteReference"/>
          <w:szCs w:val="18"/>
        </w:rPr>
        <w:footnoteReference w:id="89"/>
      </w:r>
      <w:r w:rsidRPr="00425059">
        <w:t xml:space="preserve"> </w:t>
      </w:r>
    </w:p>
    <w:p w14:paraId="3BEF0DAF" w14:textId="77777777" w:rsidR="00FF271A" w:rsidRPr="00425059" w:rsidRDefault="00FF271A" w:rsidP="00FF271A">
      <w:pPr>
        <w:pStyle w:val="SingleTxtG"/>
        <w:numPr>
          <w:ilvl w:val="0"/>
          <w:numId w:val="13"/>
        </w:numPr>
        <w:ind w:left="1134" w:firstLine="0"/>
      </w:pPr>
      <w:r w:rsidRPr="00425059">
        <w:t xml:space="preserve">States have an affirmative duty to create the conditions in which all members of society can exercise their rights, including the right to hold a religion or belief. States have an obligation to ensure that where they act to protect individuals’ rights to manifest their religion or belief, this does not have the effect of impairing the enjoyment of the rights to equality and non-discrimination of any member of society.  </w:t>
      </w:r>
    </w:p>
    <w:p w14:paraId="5CECC538" w14:textId="77777777" w:rsidR="00FF271A" w:rsidRPr="00425059" w:rsidRDefault="00FF271A" w:rsidP="00FF271A">
      <w:pPr>
        <w:pStyle w:val="SingleTxtG"/>
        <w:numPr>
          <w:ilvl w:val="0"/>
          <w:numId w:val="13"/>
        </w:numPr>
        <w:ind w:left="1134" w:firstLine="0"/>
      </w:pPr>
      <w:r w:rsidRPr="00425059">
        <w:t>The principle of ‘reasonable accommodation’ for religious persons or institutions can be a pragmatic tool for States to promote pluralism and overcoming intolerance and discrimination based on religion or belief.</w:t>
      </w:r>
      <w:r w:rsidRPr="00425059">
        <w:rPr>
          <w:rStyle w:val="FootnoteReference"/>
          <w:szCs w:val="18"/>
        </w:rPr>
        <w:footnoteReference w:id="90"/>
      </w:r>
      <w:r w:rsidRPr="00425059">
        <w:rPr>
          <w:rStyle w:val="FootnoteReference"/>
          <w:szCs w:val="18"/>
        </w:rPr>
        <w:t xml:space="preserve"> </w:t>
      </w:r>
      <w:r w:rsidRPr="00425059">
        <w:t>In fact, exemptions from general laws may be essential to ensure that religious minorities are not indirectly discriminated against by facially neutral laws. However, it is difficult to justify accommodation of religious beliefs when the consequences are discriminatory and impose harm on others, especially on groups that may have long faced discrimination and marginalization. When claims based on freedom of religion or belief and of non-discrimination collide, a careful analysis of all the relevant information should be made to maximize the protection of both sets of rights through a proportionality analysis rather than a</w:t>
      </w:r>
      <w:r w:rsidR="00487306" w:rsidRPr="00425059">
        <w:t>n abstract</w:t>
      </w:r>
      <w:r w:rsidRPr="00425059">
        <w:t xml:space="preserve"> hierarchy of rights.</w:t>
      </w:r>
      <w:r w:rsidRPr="00425059">
        <w:rPr>
          <w:rStyle w:val="FootnoteReference"/>
          <w:szCs w:val="18"/>
        </w:rPr>
        <w:footnoteReference w:id="91"/>
      </w:r>
      <w:r w:rsidRPr="00425059">
        <w:t xml:space="preserve"> </w:t>
      </w:r>
    </w:p>
    <w:p w14:paraId="0256DC99" w14:textId="77777777" w:rsidR="00FF271A" w:rsidRPr="00425059" w:rsidRDefault="00FF271A" w:rsidP="00FF271A">
      <w:pPr>
        <w:pStyle w:val="SingleTxtG"/>
        <w:numPr>
          <w:ilvl w:val="0"/>
          <w:numId w:val="13"/>
        </w:numPr>
        <w:ind w:left="1134" w:firstLine="0"/>
      </w:pPr>
      <w:r w:rsidRPr="00425059">
        <w:t xml:space="preserve">It is essential that States  exercise due diligence to ensure that all individuals are able to effectively enjoy their human rights, taking effective action to combat gender-based violence and discrimination, including where perpetrators of such acts seek to ‘justify’ their actions on the basis of their religion or belief.  Moreover, the obligation to ensure gender equality extends beyond the public realm and into areas of religious life, where discriminatory practices impair the ability of women, girls and sexual or gender identity minorities to enjoy their human rights on an equal footing. </w:t>
      </w:r>
    </w:p>
    <w:p w14:paraId="59599898" w14:textId="77777777" w:rsidR="00FF271A" w:rsidRPr="00425059" w:rsidRDefault="00FF271A" w:rsidP="00FF271A">
      <w:pPr>
        <w:pStyle w:val="SingleTxtG"/>
        <w:numPr>
          <w:ilvl w:val="0"/>
          <w:numId w:val="13"/>
        </w:numPr>
        <w:ind w:left="1134" w:firstLine="0"/>
      </w:pPr>
      <w:r w:rsidRPr="00425059">
        <w:t>For women and LGBT+ individuals, realizing religious freedom is often about realizing their agency and equality within religion.  The Special Rapporteur submits that the ability of women, girls and sexual orientation and gender identity minorities to belong to a faith of their choice without being discriminated against, is vital to realizing their right to freedom of religion or belief, as well as their right to be free from gender discrimination. International law protects the right of persons to exit a religious or belief community, but it may also recognize the right of those persons to take part on an equal basis in the process of defining that community.</w:t>
      </w:r>
      <w:r w:rsidRPr="00425059">
        <w:rPr>
          <w:rStyle w:val="FootnoteReference"/>
          <w:szCs w:val="18"/>
        </w:rPr>
        <w:footnoteReference w:id="92"/>
      </w:r>
    </w:p>
    <w:p w14:paraId="5D3FF635" w14:textId="316C4133" w:rsidR="00FF271A" w:rsidRPr="00425059" w:rsidRDefault="00FF271A" w:rsidP="00FF271A">
      <w:pPr>
        <w:pStyle w:val="SingleTxtG"/>
        <w:numPr>
          <w:ilvl w:val="0"/>
          <w:numId w:val="13"/>
        </w:numPr>
        <w:ind w:left="1134" w:firstLine="0"/>
      </w:pPr>
      <w:r w:rsidRPr="00425059">
        <w:t xml:space="preserve">However, </w:t>
      </w:r>
      <w:r w:rsidR="00487306" w:rsidRPr="00425059">
        <w:t xml:space="preserve">as noted above, freedom of religion or belief includes the right to maintain the internal institutional affairs of religious community life without State intervention. Such autonomy, however, falls within the </w:t>
      </w:r>
      <w:r w:rsidR="00487306" w:rsidRPr="00425059">
        <w:rPr>
          <w:i/>
        </w:rPr>
        <w:t>forum externum</w:t>
      </w:r>
      <w:r w:rsidR="00487306" w:rsidRPr="00425059">
        <w:t xml:space="preserve"> dimension of the right freedom of religion or belief and therefore may be restricted </w:t>
      </w:r>
      <w:r w:rsidR="0015508B" w:rsidRPr="00425059">
        <w:t>but in strict compliance with</w:t>
      </w:r>
      <w:r w:rsidR="00487306" w:rsidRPr="00425059">
        <w:t xml:space="preserve"> Article 18(3) of the ICCPR.</w:t>
      </w:r>
      <w:r w:rsidR="0061763C" w:rsidRPr="00425059">
        <w:rPr>
          <w:rStyle w:val="FootnoteReference"/>
        </w:rPr>
        <w:footnoteReference w:id="93"/>
      </w:r>
      <w:r w:rsidR="00487306" w:rsidRPr="00425059">
        <w:t xml:space="preserve"> Moreover,</w:t>
      </w:r>
      <w:r w:rsidR="00487306" w:rsidRPr="00425059">
        <w:rPr>
          <w:color w:val="000000" w:themeColor="text1"/>
          <w:sz w:val="21"/>
          <w:szCs w:val="21"/>
        </w:rPr>
        <w:t xml:space="preserve"> </w:t>
      </w:r>
      <w:r w:rsidRPr="00425059">
        <w:t>religious communities are not monolithic and in many religions a plurality of self-understandings exist, some of which may be more committed than others to advancing gender equality and non-discrimination. </w:t>
      </w:r>
      <w:r w:rsidR="00612F89" w:rsidRPr="00425059">
        <w:t>T</w:t>
      </w:r>
      <w:r w:rsidRPr="00425059">
        <w:t>he State has an obligation to guarantee to everyone, including women, girls and</w:t>
      </w:r>
      <w:r w:rsidR="0015508B" w:rsidRPr="00425059">
        <w:t xml:space="preserve"> LGBT+ persons</w:t>
      </w:r>
      <w:r w:rsidR="00F216A1" w:rsidRPr="00425059">
        <w:t>, an</w:t>
      </w:r>
      <w:r w:rsidRPr="00425059">
        <w:t xml:space="preserve"> equal right to freedom of religion or belief, including by creating an enabling environment for pluralist and progressive self-understandings to be manifested. Moreover, not all claims for institutional autonomy may warrant an exemption from general laws against discrimination and nor can religious beliefs be privileged over non-religious beliefs.</w:t>
      </w:r>
    </w:p>
    <w:p w14:paraId="79D52AD0" w14:textId="77777777" w:rsidR="00FF271A" w:rsidRPr="00425059" w:rsidRDefault="00FF271A" w:rsidP="00FF271A">
      <w:pPr>
        <w:pStyle w:val="SingleTxtG"/>
        <w:numPr>
          <w:ilvl w:val="0"/>
          <w:numId w:val="13"/>
        </w:numPr>
        <w:ind w:left="1134" w:firstLine="0"/>
      </w:pPr>
      <w:r w:rsidRPr="00425059">
        <w:t>The Special Rapporteur agrees with the Secretary-General’s conclusion that further progress in implementing the Platform for Action and achieving gender equality will require ‘transformational policies, systemic change, multilateral cooperation and a commitment to achieving gender equality and full respect for the human rights of women, including sexual and reproductive health and rights.’</w:t>
      </w:r>
      <w:r w:rsidRPr="00425059">
        <w:rPr>
          <w:rStyle w:val="FootnoteReference"/>
          <w:szCs w:val="18"/>
        </w:rPr>
        <w:footnoteReference w:id="94"/>
      </w:r>
      <w:r w:rsidRPr="00425059">
        <w:rPr>
          <w:rStyle w:val="FootnoteReference"/>
          <w:szCs w:val="18"/>
        </w:rPr>
        <w:t xml:space="preserve"> </w:t>
      </w:r>
      <w:r w:rsidRPr="00425059">
        <w:t>As promoters and defenders of human rights, the human rights community must become more clear-eyed about the root causes of gender equality and intentional about the multilevel, transformational approaches that are necessary to ‘solve’ such a complex problem. The international human rights, security and development goals including the Beijing Declaration and Platform for Action and the SDG agenda, requires that States consider a more extensive, and proportional conception of its duties to promote and protect the human rights.</w:t>
      </w:r>
    </w:p>
    <w:p w14:paraId="01D86C6C" w14:textId="77777777" w:rsidR="00763E98" w:rsidRPr="00425059" w:rsidRDefault="00DC1E00" w:rsidP="00BC120E">
      <w:pPr>
        <w:pStyle w:val="HChG"/>
      </w:pPr>
      <w:r w:rsidRPr="00425059">
        <w:rPr>
          <w:color w:val="FF0000"/>
        </w:rPr>
        <w:tab/>
      </w:r>
      <w:r w:rsidRPr="00425059">
        <w:t>VII.</w:t>
      </w:r>
      <w:r w:rsidRPr="00425059">
        <w:tab/>
        <w:t>R</w:t>
      </w:r>
      <w:r w:rsidR="00763E98" w:rsidRPr="00425059">
        <w:t>ecommendations</w:t>
      </w:r>
    </w:p>
    <w:p w14:paraId="66C40C47" w14:textId="60CBA9D7" w:rsidR="00002C76" w:rsidRPr="00425059" w:rsidRDefault="003062CD" w:rsidP="00D7513B">
      <w:pPr>
        <w:pStyle w:val="SingleTxtG"/>
        <w:numPr>
          <w:ilvl w:val="0"/>
          <w:numId w:val="13"/>
        </w:numPr>
        <w:ind w:left="1134" w:firstLine="0"/>
      </w:pPr>
      <w:r w:rsidRPr="00425059">
        <w:rPr>
          <w:b/>
        </w:rPr>
        <w:t xml:space="preserve">The </w:t>
      </w:r>
      <w:r w:rsidR="00002C76" w:rsidRPr="00425059">
        <w:rPr>
          <w:b/>
        </w:rPr>
        <w:t>Special Rapporteur recommends that</w:t>
      </w:r>
      <w:r w:rsidR="00002C76" w:rsidRPr="00425059">
        <w:t>:</w:t>
      </w:r>
    </w:p>
    <w:p w14:paraId="0A17DD9C" w14:textId="7EF5AE78" w:rsidR="00DC1E00" w:rsidRPr="00425059" w:rsidRDefault="00295862" w:rsidP="005C2C95">
      <w:pPr>
        <w:pStyle w:val="H23G"/>
        <w:ind w:left="1701" w:hanging="1701"/>
      </w:pPr>
      <w:r w:rsidRPr="00425059">
        <w:tab/>
      </w:r>
      <w:r w:rsidRPr="00425059">
        <w:tab/>
      </w:r>
      <w:r w:rsidRPr="00425059">
        <w:tab/>
      </w:r>
      <w:r w:rsidRPr="00896774">
        <w:rPr>
          <w:b w:val="0"/>
        </w:rPr>
        <w:tab/>
      </w:r>
      <w:r w:rsidR="005C2C95" w:rsidRPr="00896774">
        <w:rPr>
          <w:b w:val="0"/>
        </w:rPr>
        <w:t>(</w:t>
      </w:r>
      <w:r w:rsidRPr="00896774">
        <w:rPr>
          <w:b w:val="0"/>
        </w:rPr>
        <w:t>a)</w:t>
      </w:r>
      <w:r w:rsidRPr="00425059">
        <w:tab/>
      </w:r>
      <w:r w:rsidR="00DC1E00" w:rsidRPr="00425059">
        <w:t>States</w:t>
      </w:r>
    </w:p>
    <w:p w14:paraId="509D5DAC" w14:textId="0AF5AAB6" w:rsidR="00DC1E00" w:rsidRPr="00425059" w:rsidRDefault="00DC1E00" w:rsidP="00DC1E00">
      <w:pPr>
        <w:pStyle w:val="SingleTxtG"/>
        <w:ind w:left="2268" w:hanging="567"/>
        <w:rPr>
          <w:b/>
        </w:rPr>
      </w:pPr>
      <w:r w:rsidRPr="00896774">
        <w:tab/>
      </w:r>
      <w:r w:rsidR="005C2C95" w:rsidRPr="00896774">
        <w:t>(</w:t>
      </w:r>
      <w:r w:rsidRPr="00896774">
        <w:t>i)</w:t>
      </w:r>
      <w:r w:rsidRPr="00425059">
        <w:rPr>
          <w:b/>
        </w:rPr>
        <w:tab/>
        <w:t>Reaffirm</w:t>
      </w:r>
      <w:r w:rsidR="00C77E2F" w:rsidRPr="00425059">
        <w:rPr>
          <w:b/>
        </w:rPr>
        <w:t xml:space="preserve"> that traditional, historical, religious or cultural attitudes must not be used to justify violation of human rights;</w:t>
      </w:r>
      <w:r w:rsidR="00C77E2F" w:rsidRPr="00425059">
        <w:rPr>
          <w:rStyle w:val="FootnoteReference"/>
          <w:b/>
        </w:rPr>
        <w:footnoteReference w:id="95"/>
      </w:r>
    </w:p>
    <w:p w14:paraId="401F6B92" w14:textId="2D96B1A3" w:rsidR="00DC1E00" w:rsidRPr="00425059" w:rsidRDefault="00DC1E00" w:rsidP="00DC1E00">
      <w:pPr>
        <w:pStyle w:val="SingleTxtG"/>
        <w:ind w:left="2268" w:hanging="567"/>
        <w:rPr>
          <w:b/>
        </w:rPr>
      </w:pPr>
      <w:r w:rsidRPr="00425059">
        <w:rPr>
          <w:b/>
        </w:rPr>
        <w:tab/>
      </w:r>
      <w:r w:rsidR="005C2C95" w:rsidRPr="00896774">
        <w:t>(</w:t>
      </w:r>
      <w:r w:rsidR="000451C5" w:rsidRPr="00896774">
        <w:t>i</w:t>
      </w:r>
      <w:r w:rsidRPr="00896774">
        <w:t>i)</w:t>
      </w:r>
      <w:r w:rsidRPr="00425059">
        <w:rPr>
          <w:b/>
        </w:rPr>
        <w:tab/>
        <w:t>Review their laws and practices and ensure that all uphold the principles of universality of human rights and respect the right to equality and non-discrimination and do not create, perpetrate, or reinforce gender-based violence, discrimination or inequalities;</w:t>
      </w:r>
    </w:p>
    <w:p w14:paraId="106EA2F3" w14:textId="52764EC0" w:rsidR="00DC1E00" w:rsidRPr="00425059" w:rsidRDefault="00DC1E00" w:rsidP="00DC1E00">
      <w:pPr>
        <w:pStyle w:val="SingleTxtG"/>
        <w:ind w:left="2268" w:hanging="567"/>
        <w:rPr>
          <w:b/>
        </w:rPr>
      </w:pPr>
      <w:r w:rsidRPr="00425059">
        <w:rPr>
          <w:b/>
        </w:rPr>
        <w:tab/>
      </w:r>
      <w:r w:rsidR="005C2C95" w:rsidRPr="00896774">
        <w:t>(</w:t>
      </w:r>
      <w:r w:rsidR="000451C5" w:rsidRPr="00896774">
        <w:t>ii</w:t>
      </w:r>
      <w:r w:rsidRPr="00896774">
        <w:t>i)</w:t>
      </w:r>
      <w:r w:rsidRPr="00425059">
        <w:rPr>
          <w:b/>
        </w:rPr>
        <w:tab/>
        <w:t>Withdraw reservations to core human rights treaties citing religious considerations;</w:t>
      </w:r>
    </w:p>
    <w:p w14:paraId="7F6DEEC2" w14:textId="43A2A299" w:rsidR="00DC1E00" w:rsidRPr="00425059" w:rsidRDefault="00DC1E00" w:rsidP="00DC1E00">
      <w:pPr>
        <w:pStyle w:val="SingleTxtG"/>
        <w:ind w:left="2268" w:hanging="567"/>
        <w:rPr>
          <w:b/>
        </w:rPr>
      </w:pPr>
      <w:r w:rsidRPr="00896774">
        <w:tab/>
      </w:r>
      <w:r w:rsidR="005C2C95" w:rsidRPr="00896774">
        <w:t>(iv</w:t>
      </w:r>
      <w:r w:rsidRPr="00896774">
        <w:t>)</w:t>
      </w:r>
      <w:r w:rsidRPr="00425059">
        <w:rPr>
          <w:b/>
        </w:rPr>
        <w:tab/>
        <w:t xml:space="preserve">Combat all forms of violence and coercion perpetrated against women, girls and </w:t>
      </w:r>
      <w:r w:rsidR="001E754C" w:rsidRPr="00425059">
        <w:rPr>
          <w:b/>
        </w:rPr>
        <w:t>LGBT+ persons</w:t>
      </w:r>
      <w:r w:rsidRPr="00425059">
        <w:rPr>
          <w:b/>
        </w:rPr>
        <w:t xml:space="preserve"> justified with reference to religious practice or belief, ensure their personal safety and liberty, and hold accountable perpetrators of such violence and ensure victims obtain redress;</w:t>
      </w:r>
    </w:p>
    <w:p w14:paraId="376D884E" w14:textId="3AF8873F" w:rsidR="00DC1E00" w:rsidRPr="00425059" w:rsidRDefault="00DC1E00" w:rsidP="00DC1E00">
      <w:pPr>
        <w:pStyle w:val="SingleTxtG"/>
        <w:ind w:left="2268" w:hanging="567"/>
        <w:rPr>
          <w:b/>
        </w:rPr>
      </w:pPr>
      <w:r w:rsidRPr="00896774">
        <w:tab/>
      </w:r>
      <w:r w:rsidR="005C2C95" w:rsidRPr="00896774">
        <w:t>(</w:t>
      </w:r>
      <w:r w:rsidR="000451C5" w:rsidRPr="00896774">
        <w:t>v</w:t>
      </w:r>
      <w:r w:rsidRPr="00896774">
        <w:t>)</w:t>
      </w:r>
      <w:r w:rsidRPr="00425059">
        <w:rPr>
          <w:b/>
        </w:rPr>
        <w:tab/>
        <w:t>Repeal discriminatory laws</w:t>
      </w:r>
      <w:r w:rsidR="00612F89" w:rsidRPr="00425059">
        <w:rPr>
          <w:b/>
        </w:rPr>
        <w:t xml:space="preserve">, including </w:t>
      </w:r>
      <w:r w:rsidR="0015508B" w:rsidRPr="00425059">
        <w:rPr>
          <w:b/>
        </w:rPr>
        <w:t>those</w:t>
      </w:r>
      <w:r w:rsidRPr="00425059">
        <w:rPr>
          <w:b/>
        </w:rPr>
        <w:t xml:space="preserve"> enacted with reference to religious considerations</w:t>
      </w:r>
      <w:r w:rsidR="00612F89" w:rsidRPr="00425059">
        <w:rPr>
          <w:b/>
        </w:rPr>
        <w:t>,</w:t>
      </w:r>
      <w:r w:rsidRPr="00425059">
        <w:rPr>
          <w:b/>
        </w:rPr>
        <w:t xml:space="preserve"> that criminalize adultery, criminalize persons on the basis of their actual or perceived sexual orientation or gender identity or expression, that criminalize abortion in all cases, or that facilitate religious practices that violate human rights;</w:t>
      </w:r>
    </w:p>
    <w:p w14:paraId="0012EDAF" w14:textId="6A3B6489" w:rsidR="00DC1E00" w:rsidRPr="00425059" w:rsidRDefault="00DC1E00" w:rsidP="00DC1E00">
      <w:pPr>
        <w:pStyle w:val="SingleTxtG"/>
        <w:ind w:left="2268" w:hanging="567"/>
        <w:rPr>
          <w:b/>
        </w:rPr>
      </w:pPr>
      <w:r w:rsidRPr="00425059">
        <w:rPr>
          <w:b/>
        </w:rPr>
        <w:tab/>
      </w:r>
      <w:r w:rsidR="005C2C95" w:rsidRPr="00896774">
        <w:t>(</w:t>
      </w:r>
      <w:r w:rsidR="000451C5" w:rsidRPr="00896774">
        <w:t>v</w:t>
      </w:r>
      <w:r w:rsidRPr="00896774">
        <w:t>i)</w:t>
      </w:r>
      <w:r w:rsidRPr="00425059">
        <w:rPr>
          <w:b/>
        </w:rPr>
        <w:tab/>
        <w:t>Ensure that legal protections for individuals to manifest their religion or belief, such as in healthcare settings, do not have the effect of denying women, girls or sexual orientation or gender identity minorities the right to non-discrimination or other rights; in all cases, States should ensure the right to physical and mental integrity as well as their right to health, including reproductive health, for women, adolescents and LGBT+ persons and effective access to reproductive health services and comprehensive sexuality education, in line with international standards;</w:t>
      </w:r>
    </w:p>
    <w:p w14:paraId="713501C7" w14:textId="3E1E50AE" w:rsidR="00DC1E00" w:rsidRPr="00425059" w:rsidRDefault="00DC1E00" w:rsidP="00DC1E00">
      <w:pPr>
        <w:pStyle w:val="SingleTxtG"/>
        <w:ind w:left="2268" w:hanging="567"/>
        <w:rPr>
          <w:b/>
        </w:rPr>
      </w:pPr>
      <w:r w:rsidRPr="00896774">
        <w:tab/>
      </w:r>
      <w:r w:rsidR="005C2C95" w:rsidRPr="00896774">
        <w:t>(</w:t>
      </w:r>
      <w:r w:rsidR="000451C5" w:rsidRPr="00896774">
        <w:t>vi</w:t>
      </w:r>
      <w:r w:rsidRPr="00896774">
        <w:t>i)</w:t>
      </w:r>
      <w:r w:rsidRPr="00896774">
        <w:tab/>
      </w:r>
      <w:r w:rsidRPr="00425059">
        <w:rPr>
          <w:b/>
        </w:rPr>
        <w:t xml:space="preserve">Publicly condemn expressions of hostility against, and the perpetuation of harmful gender stereotypes of women, girls, </w:t>
      </w:r>
      <w:r w:rsidR="001E754C" w:rsidRPr="00425059">
        <w:rPr>
          <w:b/>
        </w:rPr>
        <w:t>LGBT+ persons</w:t>
      </w:r>
      <w:r w:rsidRPr="00425059">
        <w:rPr>
          <w:b/>
        </w:rPr>
        <w:t>, and human rights defenders promoting gender equality, including by religious figures or ‘justified’ with reference to religious belief; and instead express active support for gender equality;</w:t>
      </w:r>
    </w:p>
    <w:p w14:paraId="199219C5" w14:textId="7AB97BBB" w:rsidR="00DC1E00" w:rsidRPr="00425059" w:rsidRDefault="00DC1E00" w:rsidP="00DC1E00">
      <w:pPr>
        <w:pStyle w:val="SingleTxtG"/>
        <w:ind w:left="2268" w:hanging="567"/>
        <w:rPr>
          <w:b/>
        </w:rPr>
      </w:pPr>
      <w:r w:rsidRPr="00896774">
        <w:tab/>
      </w:r>
      <w:r w:rsidR="005C2C95" w:rsidRPr="00896774">
        <w:t>(</w:t>
      </w:r>
      <w:r w:rsidR="000451C5" w:rsidRPr="00896774">
        <w:t>vii</w:t>
      </w:r>
      <w:r w:rsidRPr="00896774">
        <w:t>i)</w:t>
      </w:r>
      <w:r w:rsidRPr="00425059">
        <w:rPr>
          <w:b/>
        </w:rPr>
        <w:tab/>
        <w:t xml:space="preserve"> Create a safe and enabling environment in which women, girls, </w:t>
      </w:r>
      <w:r w:rsidR="00672F79" w:rsidRPr="00425059">
        <w:rPr>
          <w:b/>
        </w:rPr>
        <w:t>LGBT+ persons</w:t>
      </w:r>
      <w:r w:rsidRPr="00425059">
        <w:rPr>
          <w:b/>
        </w:rPr>
        <w:t>, human rights defenders and all other are able to exercise the right to freedom of expression in defen</w:t>
      </w:r>
      <w:r w:rsidR="00612F89" w:rsidRPr="00425059">
        <w:rPr>
          <w:b/>
        </w:rPr>
        <w:t>c</w:t>
      </w:r>
      <w:r w:rsidRPr="00425059">
        <w:rPr>
          <w:b/>
        </w:rPr>
        <w:t>e of human rights, to manifest their religion or belief; and repeal laws criminalizing offen</w:t>
      </w:r>
      <w:r w:rsidR="00612F89" w:rsidRPr="00425059">
        <w:rPr>
          <w:b/>
        </w:rPr>
        <w:t>c</w:t>
      </w:r>
      <w:r w:rsidRPr="00425059">
        <w:rPr>
          <w:b/>
        </w:rPr>
        <w:t>es such as blasphemy or “offen</w:t>
      </w:r>
      <w:r w:rsidR="00612F89" w:rsidRPr="00425059">
        <w:rPr>
          <w:b/>
        </w:rPr>
        <w:t>c</w:t>
      </w:r>
      <w:r w:rsidRPr="00425059">
        <w:rPr>
          <w:b/>
        </w:rPr>
        <w:t>e to religious feelings”;</w:t>
      </w:r>
    </w:p>
    <w:p w14:paraId="14F36007" w14:textId="73F85B1A" w:rsidR="00DC1E00" w:rsidRPr="00425059" w:rsidRDefault="00DC1E00" w:rsidP="00DC1E00">
      <w:pPr>
        <w:pStyle w:val="SingleTxtG"/>
        <w:ind w:left="2268" w:hanging="567"/>
        <w:rPr>
          <w:b/>
        </w:rPr>
      </w:pPr>
      <w:r w:rsidRPr="00425059">
        <w:rPr>
          <w:b/>
        </w:rPr>
        <w:tab/>
      </w:r>
      <w:r w:rsidR="005C2C95" w:rsidRPr="00896774">
        <w:t>(</w:t>
      </w:r>
      <w:r w:rsidRPr="00896774">
        <w:t>i</w:t>
      </w:r>
      <w:r w:rsidR="000451C5" w:rsidRPr="00896774">
        <w:t>x</w:t>
      </w:r>
      <w:r w:rsidRPr="00896774">
        <w:t>)</w:t>
      </w:r>
      <w:r w:rsidRPr="00425059">
        <w:rPr>
          <w:b/>
        </w:rPr>
        <w:tab/>
        <w:t xml:space="preserve">Establish and maintain educational programmes and public policies that promote gender equality and non-discrimination, developed in cooperation with women, girls and </w:t>
      </w:r>
      <w:r w:rsidR="00672F79" w:rsidRPr="00425059">
        <w:rPr>
          <w:b/>
        </w:rPr>
        <w:t>LGBT+ persons</w:t>
      </w:r>
      <w:r w:rsidRPr="00425059">
        <w:rPr>
          <w:b/>
        </w:rPr>
        <w:t>, and make appropriate financial resources available;</w:t>
      </w:r>
    </w:p>
    <w:p w14:paraId="57B7AEA1" w14:textId="69CC7473" w:rsidR="000451C5" w:rsidRPr="00425059" w:rsidRDefault="000451C5" w:rsidP="00DC1E00">
      <w:pPr>
        <w:pStyle w:val="SingleTxtG"/>
        <w:ind w:left="2268" w:hanging="567"/>
        <w:rPr>
          <w:b/>
        </w:rPr>
      </w:pPr>
      <w:r w:rsidRPr="00425059">
        <w:rPr>
          <w:b/>
        </w:rPr>
        <w:tab/>
      </w:r>
      <w:r w:rsidR="00896774" w:rsidRPr="00896774">
        <w:t>(</w:t>
      </w:r>
      <w:r w:rsidRPr="00896774">
        <w:t>x</w:t>
      </w:r>
      <w:r w:rsidR="00896774" w:rsidRPr="00896774">
        <w:t>)</w:t>
      </w:r>
      <w:r w:rsidRPr="00425059">
        <w:rPr>
          <w:b/>
        </w:rPr>
        <w:tab/>
        <w:t>Empower advocates for equality and non-discrimination through access to education, including equality training for teachers;</w:t>
      </w:r>
    </w:p>
    <w:p w14:paraId="3CB33845" w14:textId="3B4345A0" w:rsidR="00DC1E00" w:rsidRPr="00425059" w:rsidRDefault="00DC1E00" w:rsidP="00DC1E00">
      <w:pPr>
        <w:pStyle w:val="SingleTxtG"/>
        <w:ind w:left="2268" w:hanging="567"/>
        <w:rPr>
          <w:b/>
        </w:rPr>
      </w:pPr>
      <w:r w:rsidRPr="00425059">
        <w:rPr>
          <w:b/>
        </w:rPr>
        <w:tab/>
      </w:r>
      <w:r w:rsidR="00896774" w:rsidRPr="00896774">
        <w:t>(</w:t>
      </w:r>
      <w:r w:rsidR="000451C5" w:rsidRPr="00896774">
        <w:t>xi</w:t>
      </w:r>
      <w:r w:rsidRPr="00896774">
        <w:t>)</w:t>
      </w:r>
      <w:r w:rsidRPr="00425059">
        <w:rPr>
          <w:b/>
        </w:rPr>
        <w:tab/>
      </w:r>
      <w:r w:rsidRPr="00425059">
        <w:rPr>
          <w:b/>
          <w:color w:val="201F1E"/>
          <w:shd w:val="clear" w:color="auto" w:fill="FFFFFF"/>
        </w:rPr>
        <w:t xml:space="preserve">Develop human rights education and training for religious leaders; </w:t>
      </w:r>
      <w:r w:rsidRPr="00425059">
        <w:rPr>
          <w:b/>
          <w:color w:val="000000"/>
        </w:rPr>
        <w:t xml:space="preserve">in this connection, the Special Rapporteur welcomes the </w:t>
      </w:r>
      <w:r w:rsidR="008E2896" w:rsidRPr="00425059">
        <w:rPr>
          <w:b/>
          <w:color w:val="000000"/>
        </w:rPr>
        <w:t>#</w:t>
      </w:r>
      <w:r w:rsidRPr="00425059">
        <w:rPr>
          <w:b/>
          <w:color w:val="000000"/>
        </w:rPr>
        <w:t xml:space="preserve">Faith4Rights toolkit </w:t>
      </w:r>
      <w:r w:rsidR="008E2896" w:rsidRPr="00425059">
        <w:rPr>
          <w:b/>
          <w:color w:val="000000"/>
        </w:rPr>
        <w:t>recently launched by</w:t>
      </w:r>
      <w:r w:rsidRPr="00425059">
        <w:rPr>
          <w:b/>
          <w:color w:val="000000"/>
        </w:rPr>
        <w:t xml:space="preserve"> the Office of the High Commissioner for Human Rights;</w:t>
      </w:r>
    </w:p>
    <w:p w14:paraId="42828A7B" w14:textId="4D5B6A4D" w:rsidR="00DC1E00" w:rsidRPr="00425059" w:rsidRDefault="000451C5" w:rsidP="00295862">
      <w:pPr>
        <w:pStyle w:val="SingleTxtG"/>
        <w:ind w:left="2268" w:hanging="567"/>
        <w:rPr>
          <w:b/>
        </w:rPr>
      </w:pPr>
      <w:r w:rsidRPr="00896774">
        <w:tab/>
      </w:r>
      <w:r w:rsidR="00896774" w:rsidRPr="00896774">
        <w:t>(</w:t>
      </w:r>
      <w:r w:rsidRPr="00896774">
        <w:t>xii)</w:t>
      </w:r>
      <w:r w:rsidRPr="00425059">
        <w:rPr>
          <w:b/>
        </w:rPr>
        <w:tab/>
      </w:r>
      <w:r w:rsidR="00DC1E00" w:rsidRPr="00425059">
        <w:rPr>
          <w:rFonts w:eastAsia="Calibri"/>
          <w:b/>
          <w:color w:val="000000"/>
        </w:rPr>
        <w:t>Encourage private actors, both from human rights organizations and religious groups, to facilitate the realization of women’s agency within religions. By allowing all women to have a voice, including to dissent, exercising freedom of thought and conscience, individuals can achieve not only respect for one another’s human rights, but also greater understanding of where and how religious practices can diminish and curtail rights.</w:t>
      </w:r>
    </w:p>
    <w:p w14:paraId="25075B3D" w14:textId="6598B09C" w:rsidR="00DC1E00" w:rsidRPr="00425059" w:rsidRDefault="000451C5" w:rsidP="00DC1E00">
      <w:pPr>
        <w:pStyle w:val="SingleTxtG"/>
        <w:ind w:left="2268" w:hanging="567"/>
        <w:rPr>
          <w:b/>
        </w:rPr>
      </w:pPr>
      <w:r w:rsidRPr="00896774">
        <w:tab/>
      </w:r>
      <w:r w:rsidR="00896774" w:rsidRPr="00896774">
        <w:t>(</w:t>
      </w:r>
      <w:r w:rsidRPr="00896774">
        <w:t>xiii)</w:t>
      </w:r>
      <w:r w:rsidRPr="00425059">
        <w:rPr>
          <w:b/>
        </w:rPr>
        <w:tab/>
      </w:r>
      <w:r w:rsidR="00DC1E00" w:rsidRPr="00425059">
        <w:rPr>
          <w:rFonts w:eastAsia="Calibri"/>
          <w:b/>
          <w:color w:val="000000"/>
        </w:rPr>
        <w:t xml:space="preserve">Promote education about religions and freedom of religion or belief within communities of women, girls and </w:t>
      </w:r>
      <w:r w:rsidR="00672F79" w:rsidRPr="00425059">
        <w:rPr>
          <w:rFonts w:eastAsia="Calibri"/>
          <w:b/>
          <w:color w:val="000000"/>
        </w:rPr>
        <w:t>LGBT+ persons</w:t>
      </w:r>
      <w:r w:rsidR="00DC1E00" w:rsidRPr="00425059">
        <w:rPr>
          <w:rFonts w:eastAsia="Calibri"/>
          <w:b/>
          <w:color w:val="000000"/>
        </w:rPr>
        <w:t>;</w:t>
      </w:r>
    </w:p>
    <w:p w14:paraId="264402BC" w14:textId="05B78815" w:rsidR="00DC1E00" w:rsidRPr="00425059" w:rsidRDefault="000451C5" w:rsidP="00DC1E00">
      <w:pPr>
        <w:pStyle w:val="SingleTxtG"/>
        <w:ind w:left="2268" w:hanging="567"/>
        <w:rPr>
          <w:b/>
        </w:rPr>
      </w:pPr>
      <w:r w:rsidRPr="00425059">
        <w:rPr>
          <w:b/>
        </w:rPr>
        <w:tab/>
      </w:r>
      <w:r w:rsidR="00896774" w:rsidRPr="00896774">
        <w:t>(</w:t>
      </w:r>
      <w:r w:rsidRPr="00896774">
        <w:t>xiv)</w:t>
      </w:r>
      <w:r w:rsidRPr="00425059">
        <w:rPr>
          <w:b/>
        </w:rPr>
        <w:tab/>
      </w:r>
      <w:r w:rsidR="00DC1E00" w:rsidRPr="00425059">
        <w:rPr>
          <w:b/>
        </w:rPr>
        <w:t xml:space="preserve">Extend invitations to UN human rights mechanisms including the Working Group on Discrimination against Women in Law and Practice </w:t>
      </w:r>
      <w:r w:rsidR="00DC1E00" w:rsidRPr="00425059">
        <w:rPr>
          <w:b/>
          <w:color w:val="000000"/>
          <w:shd w:val="clear" w:color="auto" w:fill="FFFFFF"/>
        </w:rPr>
        <w:t>Independent Expert on the Protection against Violence and Discrimination based on Sexual Orientation and Gender Identity</w:t>
      </w:r>
      <w:r w:rsidR="00DC1E00" w:rsidRPr="00425059">
        <w:rPr>
          <w:b/>
        </w:rPr>
        <w:t>;</w:t>
      </w:r>
    </w:p>
    <w:p w14:paraId="1A29BC64" w14:textId="2601490E" w:rsidR="00295862" w:rsidRPr="00425059" w:rsidRDefault="00295862" w:rsidP="00896774">
      <w:pPr>
        <w:pStyle w:val="H23G"/>
        <w:ind w:left="1701" w:hanging="1701"/>
      </w:pPr>
      <w:r w:rsidRPr="00425059">
        <w:tab/>
      </w:r>
      <w:r w:rsidRPr="00425059">
        <w:tab/>
      </w:r>
      <w:r w:rsidRPr="00425059">
        <w:tab/>
      </w:r>
      <w:r w:rsidRPr="00896774">
        <w:rPr>
          <w:b w:val="0"/>
        </w:rPr>
        <w:tab/>
      </w:r>
      <w:r w:rsidR="00896774" w:rsidRPr="00896774">
        <w:rPr>
          <w:b w:val="0"/>
        </w:rPr>
        <w:t>(</w:t>
      </w:r>
      <w:r w:rsidRPr="00896774">
        <w:rPr>
          <w:b w:val="0"/>
        </w:rPr>
        <w:t>b)</w:t>
      </w:r>
      <w:r w:rsidRPr="00425059">
        <w:tab/>
        <w:t>Faith Leaders/Civil Society Organisations</w:t>
      </w:r>
    </w:p>
    <w:p w14:paraId="4E2D16DA" w14:textId="66A35C21" w:rsidR="00295862" w:rsidRPr="00425059" w:rsidRDefault="00295862" w:rsidP="00295862">
      <w:pPr>
        <w:pStyle w:val="SingleTxtG"/>
        <w:ind w:left="2268" w:hanging="567"/>
        <w:rPr>
          <w:b/>
        </w:rPr>
      </w:pPr>
      <w:r w:rsidRPr="00425059">
        <w:tab/>
      </w:r>
      <w:r w:rsidR="00896774" w:rsidRPr="00896774">
        <w:t>(</w:t>
      </w:r>
      <w:r w:rsidRPr="00896774">
        <w:t>i)</w:t>
      </w:r>
      <w:r w:rsidRPr="00896774">
        <w:tab/>
      </w:r>
      <w:r w:rsidRPr="00425059">
        <w:rPr>
          <w:b/>
        </w:rPr>
        <w:t>Faith leaders to publicly oppose expressions of hostility against, and negative stereotypes of</w:t>
      </w:r>
      <w:r w:rsidR="008E2896" w:rsidRPr="00425059">
        <w:rPr>
          <w:b/>
        </w:rPr>
        <w:t>,</w:t>
      </w:r>
      <w:r w:rsidRPr="00425059">
        <w:rPr>
          <w:b/>
        </w:rPr>
        <w:t xml:space="preserve"> women, girls, </w:t>
      </w:r>
      <w:r w:rsidR="00672F79" w:rsidRPr="00425059">
        <w:rPr>
          <w:b/>
        </w:rPr>
        <w:t xml:space="preserve"> LGBT+ persons, </w:t>
      </w:r>
      <w:r w:rsidRPr="00425059">
        <w:rPr>
          <w:b/>
        </w:rPr>
        <w:t xml:space="preserve">  and human rights defenders promoting gender equality, including by faith leaders; and express solidarity with and support for women, girls and</w:t>
      </w:r>
      <w:r w:rsidR="00672F79" w:rsidRPr="00425059">
        <w:rPr>
          <w:b/>
        </w:rPr>
        <w:t xml:space="preserve"> LGBT+ persons;</w:t>
      </w:r>
      <w:r w:rsidRPr="00425059">
        <w:rPr>
          <w:b/>
        </w:rPr>
        <w:t xml:space="preserve"> </w:t>
      </w:r>
    </w:p>
    <w:p w14:paraId="32D290D3" w14:textId="33E87DDE" w:rsidR="00295862" w:rsidRPr="00425059" w:rsidRDefault="00295862" w:rsidP="00295862">
      <w:pPr>
        <w:pStyle w:val="SingleTxtG"/>
        <w:ind w:left="2268" w:hanging="567"/>
        <w:rPr>
          <w:b/>
        </w:rPr>
      </w:pPr>
      <w:r w:rsidRPr="00425059">
        <w:rPr>
          <w:b/>
        </w:rPr>
        <w:tab/>
      </w:r>
      <w:r w:rsidR="00896774" w:rsidRPr="00896774">
        <w:t>(</w:t>
      </w:r>
      <w:r w:rsidR="00D7513B" w:rsidRPr="00896774">
        <w:t>i</w:t>
      </w:r>
      <w:r w:rsidRPr="00896774">
        <w:t>i)</w:t>
      </w:r>
      <w:r w:rsidRPr="00425059">
        <w:rPr>
          <w:b/>
        </w:rPr>
        <w:tab/>
        <w:t>Civil society organizations</w:t>
      </w:r>
      <w:r w:rsidR="008C2A40" w:rsidRPr="00425059">
        <w:rPr>
          <w:b/>
        </w:rPr>
        <w:t xml:space="preserve"> and faith leaders</w:t>
      </w:r>
      <w:r w:rsidRPr="00425059">
        <w:rPr>
          <w:b/>
        </w:rPr>
        <w:t xml:space="preserve"> to </w:t>
      </w:r>
      <w:r w:rsidR="00FC4B65" w:rsidRPr="00425059">
        <w:rPr>
          <w:b/>
        </w:rPr>
        <w:t>promote</w:t>
      </w:r>
      <w:r w:rsidRPr="00425059">
        <w:rPr>
          <w:b/>
        </w:rPr>
        <w:t xml:space="preserve"> holistic and inclusive discussions on how practices ‘justified’ with reference </w:t>
      </w:r>
      <w:r w:rsidR="00F61CF2" w:rsidRPr="00425059">
        <w:rPr>
          <w:b/>
        </w:rPr>
        <w:t xml:space="preserve">to </w:t>
      </w:r>
      <w:r w:rsidRPr="00425059">
        <w:rPr>
          <w:b/>
        </w:rPr>
        <w:t>religion or belief are causing discriminatory treatment, harmful practices and sometimes life-threatening abuses, and continue campaigns focused on combating these practices.</w:t>
      </w:r>
    </w:p>
    <w:p w14:paraId="530AAA25" w14:textId="0C79708B" w:rsidR="00D7513B" w:rsidRPr="00425059" w:rsidRDefault="00D7513B" w:rsidP="00896774">
      <w:pPr>
        <w:pStyle w:val="H23G"/>
        <w:ind w:left="1701" w:hanging="1701"/>
      </w:pPr>
      <w:r w:rsidRPr="00425059">
        <w:tab/>
      </w:r>
      <w:r w:rsidRPr="00425059">
        <w:tab/>
      </w:r>
      <w:r w:rsidRPr="00425059">
        <w:tab/>
      </w:r>
      <w:r w:rsidRPr="00425059">
        <w:tab/>
      </w:r>
      <w:r w:rsidR="00896774" w:rsidRPr="00896774">
        <w:rPr>
          <w:b w:val="0"/>
        </w:rPr>
        <w:t>(</w:t>
      </w:r>
      <w:r w:rsidRPr="00896774">
        <w:rPr>
          <w:b w:val="0"/>
        </w:rPr>
        <w:t>c)</w:t>
      </w:r>
      <w:r w:rsidRPr="00425059">
        <w:tab/>
        <w:t>The UN human rights system</w:t>
      </w:r>
    </w:p>
    <w:p w14:paraId="5B2E2FD2" w14:textId="77777777" w:rsidR="00D7513B" w:rsidRPr="00D7513B" w:rsidRDefault="00D7513B" w:rsidP="00D7513B">
      <w:pPr>
        <w:pStyle w:val="SingleTxtG"/>
        <w:ind w:left="2268" w:hanging="567"/>
        <w:rPr>
          <w:b/>
        </w:rPr>
      </w:pPr>
      <w:r w:rsidRPr="00425059">
        <w:rPr>
          <w:b/>
        </w:rPr>
        <w:tab/>
        <w:t>Continue to clarify international human rights law on the intersections of freedom of religion or belief and gender equality and urges the Human Rights Committee, in consultation with the CEDAW Committee and relevant UN Special Procedures, to produce a general comment on the intersections between the right to freedom of religion or belief and the right to equality and non-discrimination on the basis of gender, including in the context of private services.</w:t>
      </w:r>
    </w:p>
    <w:p w14:paraId="15ED7816" w14:textId="7E1950A4" w:rsidR="009219F8" w:rsidRPr="00D7513B" w:rsidRDefault="00763E98" w:rsidP="00763E98">
      <w:pPr>
        <w:pStyle w:val="SingleTxtG"/>
        <w:spacing w:before="240" w:after="0"/>
        <w:jc w:val="center"/>
        <w:rPr>
          <w:u w:val="single"/>
        </w:rPr>
      </w:pPr>
      <w:r w:rsidRPr="00D7513B">
        <w:rPr>
          <w:u w:val="single"/>
        </w:rPr>
        <w:tab/>
      </w:r>
      <w:r w:rsidRPr="00D7513B">
        <w:rPr>
          <w:u w:val="single"/>
        </w:rPr>
        <w:tab/>
      </w:r>
      <w:r w:rsidRPr="00D7513B">
        <w:rPr>
          <w:u w:val="single"/>
        </w:rPr>
        <w:tab/>
      </w:r>
      <w:r w:rsidR="005C2C95">
        <w:rPr>
          <w:u w:val="single"/>
        </w:rPr>
        <w:tab/>
      </w:r>
    </w:p>
    <w:sectPr w:rsidR="009219F8" w:rsidRPr="00D7513B" w:rsidSect="009D0C33">
      <w:headerReference w:type="even" r:id="rId8"/>
      <w:headerReference w:type="default" r:id="rId9"/>
      <w:footerReference w:type="even" r:id="rId10"/>
      <w:footerReference w:type="default" r:id="rId1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FED7" w14:textId="77777777" w:rsidR="00F80744" w:rsidRPr="00C47B2E" w:rsidRDefault="00F80744" w:rsidP="00C47B2E">
      <w:pPr>
        <w:pStyle w:val="Footer"/>
      </w:pPr>
    </w:p>
  </w:endnote>
  <w:endnote w:type="continuationSeparator" w:id="0">
    <w:p w14:paraId="37C1DC0B" w14:textId="77777777" w:rsidR="00F80744" w:rsidRPr="00C47B2E" w:rsidRDefault="00F80744" w:rsidP="00C47B2E">
      <w:pPr>
        <w:pStyle w:val="Footer"/>
      </w:pPr>
    </w:p>
  </w:endnote>
  <w:endnote w:type="continuationNotice" w:id="1">
    <w:p w14:paraId="1F1B175E" w14:textId="77777777" w:rsidR="00F80744" w:rsidRPr="00C47B2E" w:rsidRDefault="00F8074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AE11" w14:textId="484DE8FB" w:rsidR="006C7C70" w:rsidRDefault="006C7C70" w:rsidP="00BC120E">
    <w:pPr>
      <w:pStyle w:val="Footer"/>
      <w:tabs>
        <w:tab w:val="right" w:pos="9638"/>
      </w:tabs>
    </w:pPr>
    <w:r w:rsidRPr="009219F8">
      <w:rPr>
        <w:b/>
        <w:bCs/>
        <w:sz w:val="18"/>
      </w:rPr>
      <w:fldChar w:fldCharType="begin"/>
    </w:r>
    <w:r w:rsidRPr="009219F8">
      <w:rPr>
        <w:b/>
        <w:bCs/>
        <w:sz w:val="18"/>
      </w:rPr>
      <w:instrText xml:space="preserve"> PAGE  \* MERGEFORMAT </w:instrText>
    </w:r>
    <w:r w:rsidRPr="009219F8">
      <w:rPr>
        <w:b/>
        <w:bCs/>
        <w:sz w:val="18"/>
      </w:rPr>
      <w:fldChar w:fldCharType="separate"/>
    </w:r>
    <w:r w:rsidR="005C003F">
      <w:rPr>
        <w:b/>
        <w:bCs/>
        <w:noProof/>
        <w:sz w:val="18"/>
      </w:rPr>
      <w:t>2</w:t>
    </w:r>
    <w:r w:rsidRPr="009219F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3B64" w14:textId="1D58AFD9" w:rsidR="006C7C70" w:rsidRDefault="006C7C70" w:rsidP="009219F8">
    <w:pPr>
      <w:pStyle w:val="Footer"/>
      <w:tabs>
        <w:tab w:val="right" w:pos="9638"/>
      </w:tabs>
    </w:pPr>
    <w:r>
      <w:tab/>
    </w:r>
    <w:r w:rsidRPr="009219F8">
      <w:rPr>
        <w:b/>
        <w:bCs/>
        <w:sz w:val="18"/>
      </w:rPr>
      <w:fldChar w:fldCharType="begin"/>
    </w:r>
    <w:r w:rsidRPr="009219F8">
      <w:rPr>
        <w:b/>
        <w:bCs/>
        <w:sz w:val="18"/>
      </w:rPr>
      <w:instrText xml:space="preserve"> PAGE  \* MERGEFORMAT </w:instrText>
    </w:r>
    <w:r w:rsidRPr="009219F8">
      <w:rPr>
        <w:b/>
        <w:bCs/>
        <w:sz w:val="18"/>
      </w:rPr>
      <w:fldChar w:fldCharType="separate"/>
    </w:r>
    <w:r w:rsidR="005C003F">
      <w:rPr>
        <w:b/>
        <w:bCs/>
        <w:noProof/>
        <w:sz w:val="18"/>
      </w:rPr>
      <w:t>19</w:t>
    </w:r>
    <w:r w:rsidRPr="009219F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40A4" w14:textId="77777777" w:rsidR="00F80744" w:rsidRPr="00C47B2E" w:rsidRDefault="00F80744" w:rsidP="00C47B2E">
      <w:pPr>
        <w:tabs>
          <w:tab w:val="right" w:pos="2155"/>
        </w:tabs>
        <w:spacing w:after="80" w:line="240" w:lineRule="auto"/>
        <w:ind w:left="680"/>
      </w:pPr>
      <w:r>
        <w:rPr>
          <w:u w:val="single"/>
        </w:rPr>
        <w:tab/>
      </w:r>
    </w:p>
  </w:footnote>
  <w:footnote w:type="continuationSeparator" w:id="0">
    <w:p w14:paraId="70822DDA" w14:textId="77777777" w:rsidR="00F80744" w:rsidRPr="00C47B2E" w:rsidRDefault="00F80744" w:rsidP="005E716E">
      <w:pPr>
        <w:tabs>
          <w:tab w:val="right" w:pos="2155"/>
        </w:tabs>
        <w:spacing w:after="80" w:line="240" w:lineRule="auto"/>
        <w:ind w:left="680"/>
      </w:pPr>
      <w:r>
        <w:rPr>
          <w:u w:val="single"/>
        </w:rPr>
        <w:tab/>
      </w:r>
    </w:p>
  </w:footnote>
  <w:footnote w:type="continuationNotice" w:id="1">
    <w:p w14:paraId="4244FFB0" w14:textId="77777777" w:rsidR="00F80744" w:rsidRPr="00C47B2E" w:rsidRDefault="00F80744" w:rsidP="00C47B2E">
      <w:pPr>
        <w:pStyle w:val="Footer"/>
      </w:pPr>
    </w:p>
  </w:footnote>
  <w:footnote w:id="2">
    <w:p w14:paraId="7A560D80" w14:textId="3D459AC5" w:rsidR="006C7C70" w:rsidRPr="00425059" w:rsidRDefault="006C7C70" w:rsidP="005C2C95">
      <w:pPr>
        <w:pStyle w:val="FootnoteText"/>
      </w:pPr>
      <w:r>
        <w:rPr>
          <w:rStyle w:val="FootnoteReference"/>
        </w:rPr>
        <w:tab/>
      </w:r>
      <w:r w:rsidRPr="00BD1094">
        <w:rPr>
          <w:rStyle w:val="FootnoteReference"/>
          <w:sz w:val="20"/>
          <w:vertAlign w:val="baseline"/>
        </w:rPr>
        <w:t>*</w:t>
      </w:r>
      <w:r>
        <w:rPr>
          <w:rStyle w:val="FootnoteReference"/>
          <w:sz w:val="20"/>
          <w:vertAlign w:val="baseline"/>
        </w:rPr>
        <w:tab/>
      </w:r>
      <w:r w:rsidRPr="00425059">
        <w:t>The present report was submitted after the deadline s</w:t>
      </w:r>
      <w:r w:rsidR="005C2C95">
        <w:t>o as to include the most recent i</w:t>
      </w:r>
      <w:r w:rsidRPr="00425059">
        <w:t>nformation.</w:t>
      </w:r>
    </w:p>
  </w:footnote>
  <w:footnote w:id="3">
    <w:p w14:paraId="025A72CC" w14:textId="3688AD5B" w:rsidR="006C7C70" w:rsidRPr="00A65CD7" w:rsidRDefault="006C7C70" w:rsidP="006218A2">
      <w:pPr>
        <w:pStyle w:val="FootnoteText"/>
      </w:pPr>
      <w:r>
        <w:tab/>
      </w:r>
      <w:r w:rsidRPr="00A65CD7">
        <w:rPr>
          <w:rStyle w:val="FootnoteReference"/>
        </w:rPr>
        <w:footnoteRef/>
      </w:r>
      <w:r w:rsidRPr="00A65CD7">
        <w:t xml:space="preserve"> </w:t>
      </w:r>
      <w:r>
        <w:tab/>
      </w:r>
      <w:r>
        <w:tab/>
      </w:r>
      <w:r w:rsidRPr="00A65CD7">
        <w:t>https://www.ohchr.org/Documents/Press/faith4rights-toolkit.pdf</w:t>
      </w:r>
      <w:r w:rsidR="005C2C95">
        <w:t>.</w:t>
      </w:r>
    </w:p>
  </w:footnote>
  <w:footnote w:id="4">
    <w:p w14:paraId="62F2B31B" w14:textId="69F69C7D" w:rsidR="006C7C70" w:rsidRPr="00E873F8" w:rsidRDefault="006C7C70" w:rsidP="00BE6E42">
      <w:pPr>
        <w:pStyle w:val="FootnoteText"/>
        <w:rPr>
          <w:color w:val="000000" w:themeColor="text1"/>
          <w:szCs w:val="18"/>
        </w:rPr>
      </w:pPr>
      <w:r>
        <w:tab/>
      </w:r>
      <w:r w:rsidRPr="00E873F8">
        <w:rPr>
          <w:rStyle w:val="FootnoteReference"/>
          <w:color w:val="000000" w:themeColor="text1"/>
          <w:szCs w:val="18"/>
        </w:rPr>
        <w:footnoteRef/>
      </w:r>
      <w:r>
        <w:tab/>
      </w:r>
      <w:hyperlink r:id="rId1" w:history="1">
        <w:r w:rsidRPr="00BE6E42">
          <w:rPr>
            <w:rStyle w:val="Hyperlink"/>
            <w:color w:val="000000" w:themeColor="text1"/>
            <w:sz w:val="16"/>
            <w:szCs w:val="18"/>
          </w:rPr>
          <w:t>https://sustainabledevelopment.un.org/content/documents/24978Report_of_the_SG_on_SDG_Progress_2019.pdf</w:t>
        </w:r>
      </w:hyperlink>
      <w:r w:rsidR="005C2C95">
        <w:rPr>
          <w:rStyle w:val="Hyperlink"/>
          <w:color w:val="000000" w:themeColor="text1"/>
          <w:sz w:val="16"/>
          <w:szCs w:val="18"/>
        </w:rPr>
        <w:t>.</w:t>
      </w:r>
      <w:r w:rsidRPr="00BE6E42">
        <w:rPr>
          <w:color w:val="000000" w:themeColor="text1"/>
          <w:sz w:val="20"/>
          <w:szCs w:val="18"/>
        </w:rPr>
        <w:t xml:space="preserve"> </w:t>
      </w:r>
    </w:p>
  </w:footnote>
  <w:footnote w:id="5">
    <w:p w14:paraId="13CDF917" w14:textId="6834CE0C" w:rsidR="006C7C70" w:rsidRPr="00E873F8" w:rsidRDefault="006C7C70" w:rsidP="00BE6E42">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BE6E42">
        <w:rPr>
          <w:rStyle w:val="FootnoteReference"/>
        </w:rPr>
        <w:t xml:space="preserve"> </w:t>
      </w:r>
      <w:r>
        <w:rPr>
          <w:color w:val="000000" w:themeColor="text1"/>
          <w:szCs w:val="18"/>
        </w:rPr>
        <w:tab/>
      </w:r>
      <w:hyperlink r:id="rId2" w:history="1">
        <w:r w:rsidRPr="00E873F8">
          <w:rPr>
            <w:rStyle w:val="Hyperlink"/>
            <w:color w:val="000000" w:themeColor="text1"/>
            <w:szCs w:val="18"/>
          </w:rPr>
          <w:t>https://www.unfpa.org/sites/default/files/pub-pdf/Maternal_mortality_report.pdf</w:t>
        </w:r>
      </w:hyperlink>
      <w:r w:rsidR="005C2C95">
        <w:rPr>
          <w:rStyle w:val="Hyperlink"/>
          <w:color w:val="000000" w:themeColor="text1"/>
          <w:szCs w:val="18"/>
        </w:rPr>
        <w:t>.</w:t>
      </w:r>
      <w:r w:rsidRPr="00E873F8">
        <w:rPr>
          <w:color w:val="000000" w:themeColor="text1"/>
          <w:szCs w:val="18"/>
        </w:rPr>
        <w:t xml:space="preserve"> </w:t>
      </w:r>
    </w:p>
  </w:footnote>
  <w:footnote w:id="6">
    <w:p w14:paraId="5FD9AF83" w14:textId="619002F0" w:rsidR="006C7C70" w:rsidRPr="00E873F8" w:rsidRDefault="006C7C70" w:rsidP="00BE6E42">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BE6E42">
        <w:rPr>
          <w:rStyle w:val="FootnoteReference"/>
        </w:rPr>
        <w:t xml:space="preserve"> </w:t>
      </w:r>
      <w:r>
        <w:rPr>
          <w:color w:val="000000" w:themeColor="text1"/>
          <w:szCs w:val="18"/>
        </w:rPr>
        <w:tab/>
      </w:r>
      <w:r w:rsidRPr="00E873F8">
        <w:rPr>
          <w:color w:val="000000" w:themeColor="text1"/>
          <w:szCs w:val="18"/>
        </w:rPr>
        <w:t>Inter-Parliamentary Union</w:t>
      </w:r>
      <w:r>
        <w:rPr>
          <w:color w:val="000000" w:themeColor="text1"/>
          <w:szCs w:val="18"/>
        </w:rPr>
        <w:t>,</w:t>
      </w:r>
      <w:r w:rsidRPr="00E873F8">
        <w:rPr>
          <w:color w:val="000000" w:themeColor="text1"/>
          <w:szCs w:val="18"/>
        </w:rPr>
        <w:t xml:space="preserve"> Sexism, harassment and violence against women in parliaments in Europe</w:t>
      </w:r>
      <w:r>
        <w:rPr>
          <w:color w:val="000000" w:themeColor="text1"/>
          <w:szCs w:val="18"/>
        </w:rPr>
        <w:t xml:space="preserve"> (</w:t>
      </w:r>
      <w:r w:rsidRPr="00E873F8">
        <w:rPr>
          <w:color w:val="000000" w:themeColor="text1"/>
          <w:szCs w:val="18"/>
        </w:rPr>
        <w:t>2016</w:t>
      </w:r>
      <w:r>
        <w:rPr>
          <w:color w:val="000000" w:themeColor="text1"/>
          <w:szCs w:val="18"/>
        </w:rPr>
        <w:t>)</w:t>
      </w:r>
      <w:r w:rsidR="005C2C95">
        <w:rPr>
          <w:color w:val="000000" w:themeColor="text1"/>
          <w:szCs w:val="18"/>
        </w:rPr>
        <w:t>.</w:t>
      </w:r>
    </w:p>
  </w:footnote>
  <w:footnote w:id="7">
    <w:p w14:paraId="3D2F0B5B" w14:textId="03D1B1AC" w:rsidR="006C7C70" w:rsidRPr="00E873F8" w:rsidRDefault="006C7C70" w:rsidP="00BE6E42">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BE6E42">
        <w:rPr>
          <w:rStyle w:val="FootnoteReference"/>
        </w:rPr>
        <w:t xml:space="preserve"> </w:t>
      </w:r>
      <w:r>
        <w:rPr>
          <w:color w:val="000000" w:themeColor="text1"/>
          <w:szCs w:val="18"/>
        </w:rPr>
        <w:tab/>
      </w:r>
      <w:hyperlink r:id="rId3" w:history="1">
        <w:r w:rsidRPr="00E873F8">
          <w:rPr>
            <w:rStyle w:val="Hyperlink"/>
            <w:color w:val="000000" w:themeColor="text1"/>
            <w:szCs w:val="18"/>
          </w:rPr>
          <w:t>https://openknowledge.worldbank.org/bitstream/handle/10986/31327/WBL2019.pdf</w:t>
        </w:r>
      </w:hyperlink>
      <w:r w:rsidR="005C2C95">
        <w:rPr>
          <w:rStyle w:val="Hyperlink"/>
          <w:color w:val="000000" w:themeColor="text1"/>
          <w:szCs w:val="18"/>
        </w:rPr>
        <w:t>.</w:t>
      </w:r>
      <w:r w:rsidRPr="00E873F8">
        <w:rPr>
          <w:color w:val="000000" w:themeColor="text1"/>
          <w:szCs w:val="18"/>
        </w:rPr>
        <w:t xml:space="preserve"> </w:t>
      </w:r>
    </w:p>
  </w:footnote>
  <w:footnote w:id="8">
    <w:p w14:paraId="50D388EF" w14:textId="2C4CFF6B" w:rsidR="006C7C70" w:rsidRPr="00E873F8" w:rsidRDefault="006C7C70" w:rsidP="00BE6E42">
      <w:pPr>
        <w:pStyle w:val="FootnoteText"/>
        <w:rPr>
          <w:color w:val="000000" w:themeColor="text1"/>
          <w:szCs w:val="18"/>
          <w:lang w:val="en-IE"/>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hyperlink r:id="rId4" w:history="1">
        <w:r w:rsidRPr="00BE6E42">
          <w:rPr>
            <w:rStyle w:val="Hyperlink"/>
            <w:color w:val="000000" w:themeColor="text1"/>
            <w:sz w:val="16"/>
            <w:szCs w:val="18"/>
            <w:lang w:val="en-IE"/>
          </w:rPr>
          <w:t>https://www.ohchr.org/en/NewsEvents/Pages/DisplayNews.aspx?NewsID=23092&amp;LangID=E</w:t>
        </w:r>
      </w:hyperlink>
      <w:r w:rsidR="005C2C95">
        <w:rPr>
          <w:rStyle w:val="Hyperlink"/>
          <w:color w:val="000000" w:themeColor="text1"/>
          <w:sz w:val="16"/>
          <w:szCs w:val="18"/>
          <w:lang w:val="en-IE"/>
        </w:rPr>
        <w:t>.</w:t>
      </w:r>
    </w:p>
  </w:footnote>
  <w:footnote w:id="9">
    <w:p w14:paraId="5E3921B9" w14:textId="28986CA3" w:rsidR="006C7C70" w:rsidRPr="00E873F8" w:rsidRDefault="006C7C70" w:rsidP="00BE6E42">
      <w:pPr>
        <w:pStyle w:val="FootnoteText"/>
        <w:rPr>
          <w:color w:val="000000" w:themeColor="text1"/>
          <w:szCs w:val="18"/>
        </w:rPr>
      </w:pPr>
      <w:r>
        <w:rPr>
          <w:sz w:val="16"/>
        </w:rPr>
        <w:tab/>
      </w:r>
      <w:r w:rsidRPr="00BE6E42">
        <w:rPr>
          <w:rStyle w:val="FootnoteReference"/>
          <w:color w:val="000000" w:themeColor="text1"/>
          <w:szCs w:val="18"/>
        </w:rPr>
        <w:footnoteRef/>
      </w:r>
      <w:r w:rsidRPr="00BE6E42">
        <w:rPr>
          <w:rStyle w:val="FootnoteReference"/>
          <w:color w:val="000000" w:themeColor="text1"/>
          <w:szCs w:val="18"/>
        </w:rPr>
        <w:tab/>
      </w:r>
      <w:hyperlink r:id="rId5" w:history="1">
        <w:r w:rsidR="005C2C95" w:rsidRPr="002C7A5B">
          <w:rPr>
            <w:rStyle w:val="Hyperlink"/>
            <w:szCs w:val="18"/>
          </w:rPr>
          <w:t>https://sustainabledevelopment.un.org/content/documents/24978Report_of_the_SG_on_SDG_</w:t>
        </w:r>
        <w:r w:rsidR="005C2C95" w:rsidRPr="002C7A5B">
          <w:rPr>
            <w:rStyle w:val="Hyperlink"/>
            <w:szCs w:val="18"/>
          </w:rPr>
          <w:br/>
          <w:t>Progress_2019.pdf</w:t>
        </w:r>
      </w:hyperlink>
      <w:r w:rsidR="005C2C95">
        <w:rPr>
          <w:rStyle w:val="Hyperlink"/>
          <w:color w:val="000000" w:themeColor="text1"/>
          <w:szCs w:val="18"/>
        </w:rPr>
        <w:t>.</w:t>
      </w:r>
    </w:p>
  </w:footnote>
  <w:footnote w:id="10">
    <w:p w14:paraId="50CF9B6F" w14:textId="6F55A5E5" w:rsidR="006C7C70" w:rsidRPr="00BE6E42" w:rsidRDefault="006C7C70" w:rsidP="00BE6E42">
      <w:pPr>
        <w:tabs>
          <w:tab w:val="right" w:pos="1021"/>
        </w:tabs>
        <w:spacing w:line="220" w:lineRule="exact"/>
        <w:ind w:left="1134" w:right="1134" w:hanging="1134"/>
        <w:rPr>
          <w:color w:val="000000" w:themeColor="text1"/>
          <w:sz w:val="18"/>
          <w:szCs w:val="18"/>
          <w:lang w:val="es-ES"/>
        </w:rPr>
      </w:pPr>
      <w:r>
        <w:rPr>
          <w:color w:val="000000" w:themeColor="text1"/>
          <w:szCs w:val="18"/>
        </w:rPr>
        <w:tab/>
      </w:r>
      <w:r w:rsidRPr="00E873F8">
        <w:rPr>
          <w:rStyle w:val="FootnoteReference"/>
          <w:color w:val="000000" w:themeColor="text1"/>
          <w:szCs w:val="18"/>
        </w:rPr>
        <w:footnoteRef/>
      </w:r>
      <w:r w:rsidRPr="00BE6E42">
        <w:rPr>
          <w:rStyle w:val="FootnoteReference"/>
          <w:color w:val="000000" w:themeColor="text1"/>
          <w:szCs w:val="18"/>
          <w:lang w:val="es-ES"/>
        </w:rPr>
        <w:t xml:space="preserve"> </w:t>
      </w:r>
      <w:r w:rsidRPr="00BE6E42">
        <w:rPr>
          <w:color w:val="000000" w:themeColor="text1"/>
          <w:szCs w:val="18"/>
          <w:lang w:val="es-ES"/>
        </w:rPr>
        <w:tab/>
      </w:r>
      <w:r w:rsidRPr="00BE6E42">
        <w:rPr>
          <w:rStyle w:val="FootnoteTextChar"/>
          <w:lang w:val="es-ES"/>
        </w:rPr>
        <w:t>A/HRC/RES/40/10</w:t>
      </w:r>
      <w:r w:rsidR="005C2C95">
        <w:rPr>
          <w:rStyle w:val="FootnoteTextChar"/>
          <w:lang w:val="es-ES"/>
        </w:rPr>
        <w:t>.</w:t>
      </w:r>
    </w:p>
  </w:footnote>
  <w:footnote w:id="11">
    <w:p w14:paraId="478ADA60" w14:textId="11A54DB2" w:rsidR="006C7C70" w:rsidRPr="00BE6E42" w:rsidRDefault="006C7C70" w:rsidP="00315F2B">
      <w:pPr>
        <w:pStyle w:val="FootnoteText"/>
        <w:rPr>
          <w:color w:val="000000" w:themeColor="text1"/>
          <w:szCs w:val="18"/>
          <w:lang w:val="es-ES"/>
        </w:rPr>
      </w:pPr>
      <w:r>
        <w:rPr>
          <w:color w:val="000000" w:themeColor="text1"/>
          <w:szCs w:val="18"/>
          <w:lang w:val="es-ES"/>
        </w:rPr>
        <w:tab/>
      </w:r>
      <w:r w:rsidRPr="00E873F8">
        <w:rPr>
          <w:rStyle w:val="FootnoteReference"/>
          <w:color w:val="000000" w:themeColor="text1"/>
          <w:szCs w:val="18"/>
        </w:rPr>
        <w:footnoteRef/>
      </w:r>
      <w:r w:rsidRPr="00BE6E42">
        <w:rPr>
          <w:color w:val="000000" w:themeColor="text1"/>
          <w:szCs w:val="18"/>
          <w:lang w:val="es-ES"/>
        </w:rPr>
        <w:t xml:space="preserve"> </w:t>
      </w:r>
      <w:r>
        <w:rPr>
          <w:color w:val="000000" w:themeColor="text1"/>
          <w:szCs w:val="18"/>
          <w:lang w:val="es-ES"/>
        </w:rPr>
        <w:tab/>
      </w:r>
      <w:r w:rsidRPr="00467FEB">
        <w:rPr>
          <w:i/>
          <w:iCs/>
          <w:color w:val="000000" w:themeColor="text1"/>
          <w:szCs w:val="18"/>
          <w:lang w:val="es-ES"/>
        </w:rPr>
        <w:t>See,</w:t>
      </w:r>
      <w:r w:rsidRPr="00BE6E42">
        <w:rPr>
          <w:color w:val="000000" w:themeColor="text1"/>
          <w:szCs w:val="18"/>
          <w:lang w:val="es-ES"/>
        </w:rPr>
        <w:t xml:space="preserve"> A/HRC/37/49, para 41; A/HRC/29/40</w:t>
      </w:r>
      <w:r w:rsidR="005C2C95">
        <w:rPr>
          <w:color w:val="000000" w:themeColor="text1"/>
          <w:szCs w:val="18"/>
          <w:lang w:val="es-ES"/>
        </w:rPr>
        <w:t>.</w:t>
      </w:r>
    </w:p>
  </w:footnote>
  <w:footnote w:id="12">
    <w:p w14:paraId="34E861AD" w14:textId="3BA628E1" w:rsidR="006C7C70" w:rsidRPr="00D6612F" w:rsidRDefault="006C7C70" w:rsidP="00315F2B">
      <w:pPr>
        <w:pStyle w:val="FootnoteText"/>
        <w:rPr>
          <w:color w:val="000000" w:themeColor="text1"/>
          <w:szCs w:val="18"/>
          <w:lang w:val="es-ES"/>
        </w:rPr>
      </w:pPr>
      <w:r>
        <w:rPr>
          <w:b/>
          <w:bCs/>
          <w:color w:val="000000" w:themeColor="text1"/>
          <w:szCs w:val="18"/>
          <w:lang w:val="es-ES"/>
        </w:rPr>
        <w:tab/>
      </w:r>
      <w:r w:rsidRPr="00E873F8">
        <w:rPr>
          <w:rStyle w:val="FootnoteReference"/>
          <w:color w:val="000000" w:themeColor="text1"/>
          <w:szCs w:val="18"/>
        </w:rPr>
        <w:footnoteRef/>
      </w:r>
      <w:r>
        <w:rPr>
          <w:b/>
          <w:bCs/>
          <w:color w:val="000000" w:themeColor="text1"/>
          <w:szCs w:val="18"/>
          <w:lang w:val="es-ES"/>
        </w:rPr>
        <w:tab/>
      </w:r>
      <w:hyperlink r:id="rId6" w:history="1">
        <w:r w:rsidRPr="003C6D85">
          <w:rPr>
            <w:bCs/>
            <w:lang w:val="es-ES"/>
          </w:rPr>
          <w:t>E/CN.6/2020/3</w:t>
        </w:r>
      </w:hyperlink>
      <w:r w:rsidRPr="00D6612F">
        <w:rPr>
          <w:color w:val="000000" w:themeColor="text1"/>
          <w:szCs w:val="18"/>
          <w:lang w:val="es-ES"/>
        </w:rPr>
        <w:t>, para 37, Box III.1</w:t>
      </w:r>
      <w:r w:rsidR="005C2C95">
        <w:rPr>
          <w:color w:val="000000" w:themeColor="text1"/>
          <w:szCs w:val="18"/>
          <w:lang w:val="es-ES"/>
        </w:rPr>
        <w:t>.</w:t>
      </w:r>
    </w:p>
  </w:footnote>
  <w:footnote w:id="13">
    <w:p w14:paraId="51F80AA7" w14:textId="0F08D34B" w:rsidR="006C7C70" w:rsidRPr="00947228" w:rsidRDefault="006C7C70">
      <w:pPr>
        <w:pStyle w:val="FootnoteText"/>
      </w:pPr>
      <w:r w:rsidRPr="00DA5F83">
        <w:rPr>
          <w:lang w:val="fr-FR"/>
        </w:rPr>
        <w:tab/>
      </w:r>
      <w:r>
        <w:rPr>
          <w:rStyle w:val="FootnoteReference"/>
        </w:rPr>
        <w:footnoteRef/>
      </w:r>
      <w:r w:rsidRPr="00947228">
        <w:tab/>
      </w:r>
      <w:hyperlink r:id="rId7" w:history="1">
        <w:r w:rsidRPr="00947228">
          <w:rPr>
            <w:rStyle w:val="Hyperlink"/>
          </w:rPr>
          <w:t>https://www.amnesty.org/en/countries/middle-east-and-north-africa/saudi-arabia/report-saudi-arabia/</w:t>
        </w:r>
      </w:hyperlink>
      <w:r w:rsidRPr="00947228">
        <w:t xml:space="preserve"> and </w:t>
      </w:r>
      <w:hyperlink r:id="rId8" w:history="1">
        <w:r w:rsidRPr="00947228">
          <w:rPr>
            <w:rStyle w:val="Hyperlink"/>
          </w:rPr>
          <w:t>https://www.ohchr.org/EN/NewsEvents/Pages/DisplayNews.aspx?NewsID=24879&amp;LangID=E</w:t>
        </w:r>
      </w:hyperlink>
      <w:r w:rsidR="005C2C95">
        <w:rPr>
          <w:rStyle w:val="Hyperlink"/>
        </w:rPr>
        <w:t>.</w:t>
      </w:r>
    </w:p>
  </w:footnote>
  <w:footnote w:id="14">
    <w:p w14:paraId="33BD9C95" w14:textId="7633D1A6" w:rsidR="006C7C70" w:rsidRPr="00F216A1" w:rsidRDefault="006C7C70" w:rsidP="00315F2B">
      <w:pPr>
        <w:pStyle w:val="FootnoteText"/>
        <w:rPr>
          <w:szCs w:val="18"/>
        </w:rPr>
      </w:pPr>
      <w:r w:rsidRPr="00947228">
        <w:rPr>
          <w:szCs w:val="18"/>
        </w:rPr>
        <w:tab/>
      </w:r>
      <w:r w:rsidRPr="00E873F8">
        <w:rPr>
          <w:rStyle w:val="FootnoteReference"/>
          <w:szCs w:val="18"/>
        </w:rPr>
        <w:footnoteRef/>
      </w:r>
      <w:r w:rsidRPr="00F216A1">
        <w:rPr>
          <w:szCs w:val="18"/>
        </w:rPr>
        <w:t xml:space="preserve"> </w:t>
      </w:r>
      <w:r w:rsidRPr="00F216A1">
        <w:rPr>
          <w:szCs w:val="18"/>
        </w:rPr>
        <w:tab/>
      </w:r>
      <w:hyperlink r:id="rId9" w:history="1">
        <w:r w:rsidRPr="00F216A1">
          <w:rPr>
            <w:rStyle w:val="Hyperlink"/>
            <w:sz w:val="16"/>
            <w:szCs w:val="18"/>
          </w:rPr>
          <w:t>https://www.ohchr.org/en/NewsEvents/Pages/DisplayNews.aspx?NewsID=22336&amp;LangID=E</w:t>
        </w:r>
      </w:hyperlink>
      <w:r w:rsidR="005C2C95">
        <w:rPr>
          <w:rStyle w:val="Hyperlink"/>
          <w:sz w:val="16"/>
          <w:szCs w:val="18"/>
        </w:rPr>
        <w:t>.</w:t>
      </w:r>
    </w:p>
  </w:footnote>
  <w:footnote w:id="15">
    <w:p w14:paraId="0C2CD9E6" w14:textId="03C24D36" w:rsidR="006C7C70" w:rsidRPr="00E873F8" w:rsidRDefault="006C7C70" w:rsidP="00315F2B">
      <w:pPr>
        <w:pStyle w:val="FootnoteText"/>
        <w:rPr>
          <w:color w:val="000000" w:themeColor="text1"/>
          <w:szCs w:val="18"/>
        </w:rPr>
      </w:pPr>
      <w:r w:rsidRPr="00F216A1">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sidRPr="003C6D85">
        <w:rPr>
          <w:i/>
          <w:color w:val="000000" w:themeColor="text1"/>
          <w:szCs w:val="18"/>
        </w:rPr>
        <w:t>See also</w:t>
      </w:r>
      <w:r w:rsidRPr="003C6D85">
        <w:rPr>
          <w:color w:val="000000" w:themeColor="text1"/>
          <w:szCs w:val="18"/>
        </w:rPr>
        <w:t>, A/HRC/40/58 (2018)</w:t>
      </w:r>
      <w:r w:rsidR="005C2C95">
        <w:rPr>
          <w:color w:val="000000" w:themeColor="text1"/>
          <w:szCs w:val="18"/>
        </w:rPr>
        <w:t>.</w:t>
      </w:r>
    </w:p>
  </w:footnote>
  <w:footnote w:id="16">
    <w:p w14:paraId="2FAFF0E5" w14:textId="60AC604B" w:rsidR="006C7C70" w:rsidRPr="00E873F8" w:rsidRDefault="006C7C70" w:rsidP="00315F2B">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hyperlink r:id="rId10" w:history="1">
        <w:r w:rsidRPr="00045844">
          <w:rPr>
            <w:rStyle w:val="Hyperlink"/>
            <w:sz w:val="16"/>
            <w:szCs w:val="18"/>
          </w:rPr>
          <w:t>http://connectblog.com/2019/09/challenging-divine-law-protecting-gender-rights-in-sri-lanka-and-beynd/</w:t>
        </w:r>
      </w:hyperlink>
      <w:r w:rsidR="005C2C95">
        <w:rPr>
          <w:rStyle w:val="Hyperlink"/>
          <w:sz w:val="16"/>
          <w:szCs w:val="18"/>
        </w:rPr>
        <w:t>.</w:t>
      </w:r>
    </w:p>
  </w:footnote>
  <w:footnote w:id="17">
    <w:p w14:paraId="0BB95EB5" w14:textId="392E219B" w:rsidR="006C7C70" w:rsidRPr="00E873F8" w:rsidRDefault="006C7C70" w:rsidP="00315F2B">
      <w:pPr>
        <w:pStyle w:val="FootnoteText"/>
        <w:rPr>
          <w:bCs/>
          <w:color w:val="000000" w:themeColor="text1"/>
          <w:szCs w:val="18"/>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sidRPr="00467FEB">
        <w:rPr>
          <w:i/>
          <w:iCs/>
          <w:color w:val="000000" w:themeColor="text1"/>
          <w:szCs w:val="18"/>
        </w:rPr>
        <w:t xml:space="preserve">See </w:t>
      </w:r>
      <w:r w:rsidRPr="003C6D85">
        <w:rPr>
          <w:color w:val="000000" w:themeColor="text1"/>
          <w:szCs w:val="18"/>
        </w:rPr>
        <w:t xml:space="preserve"> JUA </w:t>
      </w:r>
      <w:hyperlink r:id="rId11" w:tgtFrame="Com_23841" w:history="1">
        <w:r w:rsidRPr="003C6D85">
          <w:t>SDN 3/2018</w:t>
        </w:r>
      </w:hyperlink>
      <w:r w:rsidR="005C2C95">
        <w:t>.</w:t>
      </w:r>
    </w:p>
  </w:footnote>
  <w:footnote w:id="18">
    <w:p w14:paraId="6172ED3D" w14:textId="5FE3B72E" w:rsidR="006C7C70" w:rsidRPr="00E873F8" w:rsidRDefault="006C7C70" w:rsidP="0025490A">
      <w:pPr>
        <w:tabs>
          <w:tab w:val="right" w:pos="1021"/>
        </w:tabs>
        <w:spacing w:line="220" w:lineRule="exact"/>
        <w:ind w:left="1134" w:right="1134" w:hanging="1134"/>
        <w:contextualSpacing/>
        <w:rPr>
          <w:color w:val="000000" w:themeColor="text1"/>
          <w:sz w:val="18"/>
          <w:szCs w:val="18"/>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467FEB">
        <w:rPr>
          <w:i/>
          <w:iCs/>
          <w:color w:val="000000" w:themeColor="text1"/>
          <w:sz w:val="18"/>
          <w:szCs w:val="18"/>
        </w:rPr>
        <w:t>S</w:t>
      </w:r>
      <w:r w:rsidRPr="00467FEB">
        <w:rPr>
          <w:rStyle w:val="FootnoteTextChar"/>
          <w:i/>
          <w:iCs/>
        </w:rPr>
        <w:t>ee</w:t>
      </w:r>
      <w:r>
        <w:rPr>
          <w:rStyle w:val="FootnoteTextChar"/>
          <w:i/>
          <w:iCs/>
        </w:rPr>
        <w:t>,</w:t>
      </w:r>
      <w:r w:rsidRPr="00467FEB">
        <w:rPr>
          <w:rStyle w:val="FootnoteTextChar"/>
          <w:i/>
          <w:iCs/>
        </w:rPr>
        <w:t xml:space="preserve"> </w:t>
      </w:r>
      <w:r w:rsidRPr="0025490A">
        <w:rPr>
          <w:rStyle w:val="FootnoteTextChar"/>
        </w:rPr>
        <w:t xml:space="preserve"> JAL </w:t>
      </w:r>
      <w:hyperlink r:id="rId12" w:tgtFrame="Com_3324" w:history="1">
        <w:r w:rsidRPr="0025490A">
          <w:rPr>
            <w:rStyle w:val="FootnoteTextChar"/>
          </w:rPr>
          <w:t>UGA 6/2016</w:t>
        </w:r>
      </w:hyperlink>
      <w:r w:rsidRPr="0025490A">
        <w:rPr>
          <w:rStyle w:val="FootnoteTextChar"/>
        </w:rPr>
        <w:t>; JUA </w:t>
      </w:r>
      <w:hyperlink r:id="rId13" w:tgtFrame="_blank" w:history="1">
        <w:r w:rsidRPr="0025490A">
          <w:rPr>
            <w:rStyle w:val="FootnoteTextChar"/>
          </w:rPr>
          <w:t>EGY 17/2017</w:t>
        </w:r>
      </w:hyperlink>
      <w:r w:rsidR="005C2C95">
        <w:rPr>
          <w:rStyle w:val="FootnoteTextChar"/>
        </w:rPr>
        <w:t>.</w:t>
      </w:r>
    </w:p>
  </w:footnote>
  <w:footnote w:id="19">
    <w:p w14:paraId="59CA92F0" w14:textId="44F024B3" w:rsidR="006C7C70" w:rsidRDefault="006C7C70">
      <w:pPr>
        <w:pStyle w:val="FootnoteText"/>
      </w:pPr>
      <w:r>
        <w:tab/>
      </w:r>
      <w:r>
        <w:rPr>
          <w:rStyle w:val="FootnoteReference"/>
        </w:rPr>
        <w:footnoteRef/>
      </w:r>
      <w:r>
        <w:t xml:space="preserve"> </w:t>
      </w:r>
      <w:r>
        <w:tab/>
      </w:r>
      <w:r w:rsidRPr="00467FEB">
        <w:rPr>
          <w:i/>
          <w:iCs/>
        </w:rPr>
        <w:t>See</w:t>
      </w:r>
      <w:r>
        <w:rPr>
          <w:i/>
          <w:iCs/>
        </w:rPr>
        <w:t>,</w:t>
      </w:r>
      <w:r w:rsidRPr="00467FEB">
        <w:rPr>
          <w:i/>
          <w:iCs/>
        </w:rPr>
        <w:t xml:space="preserve"> </w:t>
      </w:r>
      <w:r>
        <w:t>HR Committee, General Comment 22, paras 8-9</w:t>
      </w:r>
      <w:r w:rsidR="005C2C95">
        <w:t>.</w:t>
      </w:r>
    </w:p>
  </w:footnote>
  <w:footnote w:id="20">
    <w:p w14:paraId="110432CD" w14:textId="4619F064" w:rsidR="006C7C70" w:rsidRPr="00E873F8" w:rsidRDefault="006C7C70" w:rsidP="0025490A">
      <w:pPr>
        <w:pStyle w:val="FootnoteText"/>
        <w:rPr>
          <w:color w:val="000000" w:themeColor="text1"/>
          <w:szCs w:val="18"/>
          <w:lang w:val="en-IE"/>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Pr>
          <w:color w:val="000000" w:themeColor="text1"/>
          <w:szCs w:val="18"/>
        </w:rPr>
        <w:tab/>
      </w:r>
      <w:r w:rsidRPr="0025490A">
        <w:rPr>
          <w:rStyle w:val="FootnoteTextChar"/>
        </w:rPr>
        <w:t xml:space="preserve">A/HRC/38/43/Add.1, paras. 55–63; and CCPR/C/KWT/CO/3, paras12 </w:t>
      </w:r>
      <w:r>
        <w:rPr>
          <w:rStyle w:val="FootnoteTextChar"/>
        </w:rPr>
        <w:t>-</w:t>
      </w:r>
      <w:r w:rsidRPr="0025490A">
        <w:rPr>
          <w:rStyle w:val="FootnoteTextChar"/>
        </w:rPr>
        <w:t>13</w:t>
      </w:r>
      <w:r w:rsidR="005C2C95">
        <w:rPr>
          <w:rStyle w:val="FootnoteTextChar"/>
        </w:rPr>
        <w:t>.</w:t>
      </w:r>
    </w:p>
  </w:footnote>
  <w:footnote w:id="21">
    <w:p w14:paraId="691D9CB1" w14:textId="17BD563D" w:rsidR="006C7C70" w:rsidRPr="00E873F8" w:rsidRDefault="006C7C70" w:rsidP="0025490A">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sidRPr="00467FEB">
        <w:rPr>
          <w:i/>
          <w:iCs/>
          <w:color w:val="000000" w:themeColor="text1"/>
          <w:szCs w:val="18"/>
        </w:rPr>
        <w:tab/>
        <w:t>See</w:t>
      </w:r>
      <w:r>
        <w:rPr>
          <w:i/>
          <w:iCs/>
          <w:color w:val="000000" w:themeColor="text1"/>
          <w:szCs w:val="18"/>
        </w:rPr>
        <w:t>,</w:t>
      </w:r>
      <w:hyperlink r:id="rId14" w:history="1">
        <w:r w:rsidRPr="00E873F8">
          <w:rPr>
            <w:rStyle w:val="Hyperlink"/>
            <w:color w:val="000000" w:themeColor="text1"/>
            <w:szCs w:val="18"/>
          </w:rPr>
          <w:t>https://www.hrw.org/report/2018/07/01/scared-public-and-now-no-privacy/human-rights-and-public-health-impacts-indonesias</w:t>
        </w:r>
      </w:hyperlink>
      <w:r w:rsidR="005C2C95">
        <w:rPr>
          <w:rStyle w:val="Hyperlink"/>
          <w:color w:val="000000" w:themeColor="text1"/>
          <w:szCs w:val="18"/>
        </w:rPr>
        <w:t>.</w:t>
      </w:r>
    </w:p>
  </w:footnote>
  <w:footnote w:id="22">
    <w:p w14:paraId="30111150" w14:textId="6594F045" w:rsidR="006C7C70" w:rsidRPr="00E873F8" w:rsidRDefault="006C7C70" w:rsidP="0025490A">
      <w:pPr>
        <w:tabs>
          <w:tab w:val="right" w:pos="1021"/>
        </w:tabs>
        <w:spacing w:line="220" w:lineRule="exact"/>
        <w:ind w:left="1134" w:right="1134" w:hanging="1134"/>
        <w:rPr>
          <w:sz w:val="18"/>
          <w:szCs w:val="18"/>
        </w:rPr>
      </w:pPr>
      <w:r>
        <w:rPr>
          <w:sz w:val="18"/>
          <w:szCs w:val="18"/>
        </w:rPr>
        <w:tab/>
      </w:r>
      <w:r w:rsidRPr="00E873F8">
        <w:rPr>
          <w:rStyle w:val="FootnoteReference"/>
          <w:szCs w:val="18"/>
        </w:rPr>
        <w:footnoteRef/>
      </w:r>
      <w:r w:rsidRPr="00E873F8">
        <w:rPr>
          <w:sz w:val="18"/>
          <w:szCs w:val="18"/>
        </w:rPr>
        <w:t xml:space="preserve"> </w:t>
      </w:r>
      <w:r>
        <w:rPr>
          <w:sz w:val="18"/>
          <w:szCs w:val="18"/>
        </w:rPr>
        <w:tab/>
      </w:r>
      <w:r w:rsidRPr="0025490A">
        <w:rPr>
          <w:rStyle w:val="FootnoteTextChar"/>
        </w:rPr>
        <w:t>A/HRC/29/40, para 49</w:t>
      </w:r>
      <w:r w:rsidR="005C2C95">
        <w:rPr>
          <w:rStyle w:val="FootnoteTextChar"/>
        </w:rPr>
        <w:t>.</w:t>
      </w:r>
    </w:p>
    <w:p w14:paraId="25043399" w14:textId="77777777" w:rsidR="006C7C70" w:rsidRPr="00E873F8" w:rsidRDefault="006C7C70" w:rsidP="00BE6E42">
      <w:pPr>
        <w:pStyle w:val="FootnoteText"/>
        <w:ind w:rightChars="1134" w:right="2268"/>
        <w:rPr>
          <w:szCs w:val="18"/>
          <w:lang w:val="en-IE"/>
        </w:rPr>
      </w:pPr>
    </w:p>
  </w:footnote>
  <w:footnote w:id="23">
    <w:p w14:paraId="2D3C364C" w14:textId="6B0DEC36" w:rsidR="006C7C70" w:rsidRPr="00E873F8" w:rsidRDefault="006C7C70" w:rsidP="00171C8B">
      <w:pPr>
        <w:tabs>
          <w:tab w:val="right" w:pos="1021"/>
        </w:tabs>
        <w:spacing w:line="220" w:lineRule="exact"/>
        <w:ind w:left="1134" w:right="1134" w:hanging="1134"/>
        <w:rPr>
          <w:sz w:val="18"/>
          <w:szCs w:val="18"/>
        </w:rPr>
      </w:pPr>
      <w:r>
        <w:rPr>
          <w:sz w:val="18"/>
          <w:szCs w:val="18"/>
        </w:rPr>
        <w:tab/>
      </w:r>
      <w:r w:rsidRPr="00E873F8">
        <w:rPr>
          <w:rStyle w:val="FootnoteReference"/>
          <w:szCs w:val="18"/>
        </w:rPr>
        <w:footnoteRef/>
      </w:r>
      <w:r w:rsidRPr="00E873F8">
        <w:rPr>
          <w:sz w:val="18"/>
          <w:szCs w:val="18"/>
        </w:rPr>
        <w:t xml:space="preserve"> </w:t>
      </w:r>
      <w:r>
        <w:rPr>
          <w:sz w:val="18"/>
          <w:szCs w:val="18"/>
        </w:rPr>
        <w:tab/>
      </w:r>
      <w:r w:rsidRPr="00E873F8">
        <w:rPr>
          <w:i/>
          <w:iCs/>
          <w:sz w:val="18"/>
          <w:szCs w:val="18"/>
        </w:rPr>
        <w:t>See</w:t>
      </w:r>
      <w:r>
        <w:rPr>
          <w:i/>
          <w:iCs/>
          <w:sz w:val="18"/>
          <w:szCs w:val="18"/>
        </w:rPr>
        <w:t xml:space="preserve">, </w:t>
      </w:r>
      <w:hyperlink r:id="rId15" w:history="1">
        <w:r w:rsidRPr="00E873F8">
          <w:rPr>
            <w:rStyle w:val="Hyperlink"/>
            <w:sz w:val="18"/>
            <w:szCs w:val="18"/>
          </w:rPr>
          <w:t>https://www.icj-cij.org/files/case-related/178/178-20200123-PRE-01-00-EN.pdf</w:t>
        </w:r>
      </w:hyperlink>
      <w:r w:rsidR="005C2C95">
        <w:rPr>
          <w:rStyle w:val="Hyperlink"/>
          <w:sz w:val="18"/>
          <w:szCs w:val="18"/>
        </w:rPr>
        <w:t>.</w:t>
      </w:r>
    </w:p>
  </w:footnote>
  <w:footnote w:id="24">
    <w:p w14:paraId="79FBC08C" w14:textId="2592D08A" w:rsidR="006C7C70" w:rsidRPr="00E873F8" w:rsidRDefault="006C7C70" w:rsidP="00171C8B">
      <w:pPr>
        <w:tabs>
          <w:tab w:val="right" w:pos="1021"/>
        </w:tabs>
        <w:spacing w:line="220" w:lineRule="exact"/>
        <w:ind w:left="1134" w:right="1134" w:hanging="1134"/>
        <w:contextualSpacing/>
        <w:rPr>
          <w:color w:val="000000" w:themeColor="text1"/>
          <w:sz w:val="18"/>
          <w:szCs w:val="18"/>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E873F8">
        <w:rPr>
          <w:color w:val="000000" w:themeColor="text1"/>
          <w:sz w:val="18"/>
          <w:szCs w:val="18"/>
          <w:bdr w:val="none" w:sz="0" w:space="0" w:color="auto" w:frame="1"/>
        </w:rPr>
        <w:t>JUA </w:t>
      </w:r>
      <w:hyperlink r:id="rId16" w:tgtFrame="_blank" w:history="1">
        <w:r w:rsidRPr="00E873F8">
          <w:rPr>
            <w:rStyle w:val="Hyperlink"/>
            <w:color w:val="000000" w:themeColor="text1"/>
            <w:sz w:val="18"/>
            <w:szCs w:val="18"/>
            <w:bdr w:val="none" w:sz="0" w:space="0" w:color="auto" w:frame="1"/>
          </w:rPr>
          <w:t>IRN 5/2019</w:t>
        </w:r>
      </w:hyperlink>
      <w:r w:rsidR="005C2C95">
        <w:rPr>
          <w:rStyle w:val="Hyperlink"/>
          <w:color w:val="000000" w:themeColor="text1"/>
          <w:sz w:val="18"/>
          <w:szCs w:val="18"/>
          <w:bdr w:val="none" w:sz="0" w:space="0" w:color="auto" w:frame="1"/>
        </w:rPr>
        <w:t>.</w:t>
      </w:r>
    </w:p>
  </w:footnote>
  <w:footnote w:id="25">
    <w:p w14:paraId="4A16AAE0" w14:textId="29360C95" w:rsidR="006C7C70" w:rsidRPr="00E873F8" w:rsidRDefault="006C7C70" w:rsidP="00171C8B">
      <w:pPr>
        <w:tabs>
          <w:tab w:val="right" w:pos="1021"/>
        </w:tabs>
        <w:spacing w:line="220" w:lineRule="exact"/>
        <w:ind w:left="1134" w:right="1134" w:hanging="1134"/>
        <w:rPr>
          <w:sz w:val="18"/>
          <w:szCs w:val="18"/>
        </w:rPr>
      </w:pPr>
      <w:r>
        <w:rPr>
          <w:sz w:val="18"/>
          <w:szCs w:val="18"/>
        </w:rPr>
        <w:tab/>
      </w:r>
      <w:r w:rsidRPr="00E873F8">
        <w:rPr>
          <w:rStyle w:val="FootnoteReference"/>
          <w:szCs w:val="18"/>
        </w:rPr>
        <w:footnoteRef/>
      </w:r>
      <w:r w:rsidRPr="00E873F8">
        <w:rPr>
          <w:sz w:val="18"/>
          <w:szCs w:val="18"/>
        </w:rPr>
        <w:t xml:space="preserve"> </w:t>
      </w:r>
      <w:r>
        <w:rPr>
          <w:sz w:val="18"/>
          <w:szCs w:val="18"/>
        </w:rPr>
        <w:tab/>
      </w:r>
      <w:r w:rsidRPr="00467FEB">
        <w:rPr>
          <w:i/>
          <w:iCs/>
          <w:sz w:val="18"/>
          <w:szCs w:val="18"/>
        </w:rPr>
        <w:t>See</w:t>
      </w:r>
      <w:r>
        <w:rPr>
          <w:i/>
          <w:iCs/>
          <w:sz w:val="18"/>
          <w:szCs w:val="18"/>
        </w:rPr>
        <w:t>,</w:t>
      </w:r>
      <w:r w:rsidRPr="00E873F8">
        <w:rPr>
          <w:sz w:val="18"/>
          <w:szCs w:val="18"/>
        </w:rPr>
        <w:t xml:space="preserve">  </w:t>
      </w:r>
      <w:hyperlink r:id="rId17" w:history="1">
        <w:r w:rsidRPr="00E873F8">
          <w:rPr>
            <w:rStyle w:val="Hyperlink"/>
            <w:sz w:val="18"/>
            <w:szCs w:val="18"/>
          </w:rPr>
          <w:t>https://www.ohchr.org/Documents/Issues/Women/WRGS/VeilinEuropereport.pdf</w:t>
        </w:r>
      </w:hyperlink>
      <w:r w:rsidR="005C2C95">
        <w:rPr>
          <w:rStyle w:val="Hyperlink"/>
          <w:sz w:val="18"/>
          <w:szCs w:val="18"/>
        </w:rPr>
        <w:t>.</w:t>
      </w:r>
    </w:p>
  </w:footnote>
  <w:footnote w:id="26">
    <w:p w14:paraId="62A6427E" w14:textId="46E83D13" w:rsidR="006C7C70" w:rsidRPr="00E873F8" w:rsidRDefault="006C7C70" w:rsidP="00171C8B">
      <w:pPr>
        <w:tabs>
          <w:tab w:val="right" w:pos="1021"/>
        </w:tabs>
        <w:spacing w:line="220" w:lineRule="exact"/>
        <w:ind w:left="1134" w:right="1134" w:hanging="1134"/>
        <w:rPr>
          <w:sz w:val="18"/>
          <w:szCs w:val="18"/>
        </w:rPr>
      </w:pPr>
      <w:r>
        <w:rPr>
          <w:sz w:val="18"/>
          <w:szCs w:val="18"/>
        </w:rPr>
        <w:tab/>
      </w:r>
      <w:r w:rsidRPr="00E873F8">
        <w:rPr>
          <w:rStyle w:val="FootnoteReference"/>
          <w:szCs w:val="18"/>
        </w:rPr>
        <w:footnoteRef/>
      </w:r>
      <w:r w:rsidRPr="00E873F8">
        <w:rPr>
          <w:sz w:val="18"/>
          <w:szCs w:val="18"/>
        </w:rPr>
        <w:t xml:space="preserve"> </w:t>
      </w:r>
      <w:r>
        <w:rPr>
          <w:sz w:val="18"/>
          <w:szCs w:val="18"/>
        </w:rPr>
        <w:tab/>
      </w:r>
      <w:r w:rsidRPr="00467FEB">
        <w:rPr>
          <w:i/>
          <w:iCs/>
          <w:sz w:val="18"/>
          <w:szCs w:val="18"/>
        </w:rPr>
        <w:t>See</w:t>
      </w:r>
      <w:r>
        <w:rPr>
          <w:i/>
          <w:iCs/>
          <w:sz w:val="18"/>
          <w:szCs w:val="18"/>
        </w:rPr>
        <w:t>,</w:t>
      </w:r>
      <w:r w:rsidRPr="00E873F8">
        <w:rPr>
          <w:sz w:val="18"/>
          <w:szCs w:val="18"/>
        </w:rPr>
        <w:t xml:space="preserve"> </w:t>
      </w:r>
      <w:hyperlink r:id="rId18" w:history="1">
        <w:r w:rsidRPr="00E873F8">
          <w:rPr>
            <w:rStyle w:val="Hyperlink"/>
            <w:sz w:val="18"/>
            <w:szCs w:val="18"/>
          </w:rPr>
          <w:t>https://www.guttmacher.org/fact-sheet/abortion-latin-america-and-caribbean</w:t>
        </w:r>
      </w:hyperlink>
      <w:r w:rsidR="005C2C95">
        <w:rPr>
          <w:rStyle w:val="Hyperlink"/>
          <w:sz w:val="18"/>
          <w:szCs w:val="18"/>
        </w:rPr>
        <w:t>.</w:t>
      </w:r>
    </w:p>
  </w:footnote>
  <w:footnote w:id="27">
    <w:p w14:paraId="1F51C3ED" w14:textId="26267067" w:rsidR="006C7C70" w:rsidRPr="00A853F9" w:rsidRDefault="006C7C70" w:rsidP="00171C8B">
      <w:pPr>
        <w:pStyle w:val="FootnoteText"/>
        <w:rPr>
          <w:lang w:val="en-IE"/>
        </w:rPr>
      </w:pPr>
      <w:r>
        <w:tab/>
      </w:r>
      <w:r>
        <w:rPr>
          <w:rStyle w:val="FootnoteReference"/>
        </w:rPr>
        <w:footnoteRef/>
      </w:r>
      <w:r>
        <w:tab/>
        <w:t xml:space="preserve"> </w:t>
      </w:r>
      <w:hyperlink r:id="rId19" w:history="1">
        <w:r w:rsidRPr="006F0018">
          <w:rPr>
            <w:rStyle w:val="Hyperlink"/>
            <w:lang w:val="en-IE"/>
          </w:rPr>
          <w:t>https://www.guttmacher.org/fact-sheet/abortion-latin-america-and-caribbean</w:t>
        </w:r>
      </w:hyperlink>
      <w:r w:rsidR="005C2C95">
        <w:rPr>
          <w:rStyle w:val="Hyperlink"/>
          <w:lang w:val="en-IE"/>
        </w:rPr>
        <w:t>.</w:t>
      </w:r>
    </w:p>
  </w:footnote>
  <w:footnote w:id="28">
    <w:p w14:paraId="1ED62102" w14:textId="096DAB2E" w:rsidR="006C7C70" w:rsidRPr="00E873F8" w:rsidRDefault="006C7C70" w:rsidP="00171C8B">
      <w:pPr>
        <w:tabs>
          <w:tab w:val="right" w:pos="1021"/>
        </w:tabs>
        <w:spacing w:line="220" w:lineRule="exact"/>
        <w:ind w:left="1134" w:right="1134" w:hanging="1134"/>
        <w:rPr>
          <w:sz w:val="18"/>
          <w:szCs w:val="18"/>
        </w:rPr>
      </w:pPr>
      <w:r>
        <w:rPr>
          <w:sz w:val="18"/>
          <w:szCs w:val="18"/>
        </w:rPr>
        <w:tab/>
      </w:r>
      <w:r w:rsidRPr="00E873F8">
        <w:rPr>
          <w:rStyle w:val="FootnoteReference"/>
          <w:szCs w:val="18"/>
        </w:rPr>
        <w:footnoteRef/>
      </w:r>
      <w:r w:rsidRPr="00E873F8">
        <w:rPr>
          <w:sz w:val="18"/>
          <w:szCs w:val="18"/>
        </w:rPr>
        <w:t xml:space="preserve"> </w:t>
      </w:r>
      <w:r>
        <w:rPr>
          <w:sz w:val="18"/>
          <w:szCs w:val="18"/>
        </w:rPr>
        <w:tab/>
      </w:r>
      <w:hyperlink r:id="rId20" w:history="1">
        <w:r w:rsidRPr="00E873F8">
          <w:rPr>
            <w:rStyle w:val="Hyperlink"/>
            <w:sz w:val="18"/>
            <w:szCs w:val="18"/>
          </w:rPr>
          <w:t>https://www.who.int/news-room/fact-sheets/detail/preventing-unsafe-abortion</w:t>
        </w:r>
      </w:hyperlink>
      <w:r w:rsidR="005C2C95">
        <w:rPr>
          <w:rStyle w:val="Hyperlink"/>
          <w:sz w:val="18"/>
          <w:szCs w:val="18"/>
        </w:rPr>
        <w:t>.</w:t>
      </w:r>
    </w:p>
  </w:footnote>
  <w:footnote w:id="29">
    <w:p w14:paraId="17BD0F43" w14:textId="41AC80A8" w:rsidR="006C7C70" w:rsidRPr="00E873F8" w:rsidRDefault="006C7C70" w:rsidP="00A401B1">
      <w:pPr>
        <w:pStyle w:val="FootnoteText"/>
        <w:rPr>
          <w:szCs w:val="18"/>
          <w:lang w:val="en-IE"/>
        </w:rPr>
      </w:pPr>
      <w:r>
        <w:rPr>
          <w:szCs w:val="18"/>
        </w:rPr>
        <w:tab/>
      </w:r>
      <w:r w:rsidRPr="00E873F8">
        <w:rPr>
          <w:rStyle w:val="FootnoteReference"/>
          <w:szCs w:val="18"/>
        </w:rPr>
        <w:footnoteRef/>
      </w:r>
      <w:r>
        <w:rPr>
          <w:szCs w:val="18"/>
        </w:rPr>
        <w:tab/>
      </w:r>
      <w:r w:rsidRPr="00467FEB">
        <w:rPr>
          <w:i/>
          <w:iCs/>
          <w:szCs w:val="18"/>
          <w:lang w:val="en-IE"/>
        </w:rPr>
        <w:t>See</w:t>
      </w:r>
      <w:r w:rsidRPr="00E873F8">
        <w:rPr>
          <w:szCs w:val="18"/>
          <w:lang w:val="en-IE"/>
        </w:rPr>
        <w:t>, CEDAW/C/OP.8/PHL/1</w:t>
      </w:r>
      <w:r w:rsidR="005C2C95">
        <w:rPr>
          <w:szCs w:val="18"/>
          <w:lang w:val="en-IE"/>
        </w:rPr>
        <w:t>.</w:t>
      </w:r>
    </w:p>
  </w:footnote>
  <w:footnote w:id="30">
    <w:p w14:paraId="4AFF4665" w14:textId="500B73DF" w:rsidR="006C7C70" w:rsidRPr="00E873F8" w:rsidRDefault="006C7C70" w:rsidP="00A401B1">
      <w:pPr>
        <w:tabs>
          <w:tab w:val="right" w:pos="1021"/>
        </w:tabs>
        <w:spacing w:line="220" w:lineRule="exact"/>
        <w:ind w:left="1134" w:right="1134" w:hanging="1134"/>
        <w:rPr>
          <w:sz w:val="18"/>
          <w:szCs w:val="18"/>
        </w:rPr>
      </w:pPr>
      <w:r>
        <w:rPr>
          <w:sz w:val="18"/>
          <w:szCs w:val="18"/>
        </w:rPr>
        <w:tab/>
      </w:r>
      <w:r w:rsidRPr="00E873F8">
        <w:rPr>
          <w:rStyle w:val="FootnoteReference"/>
          <w:szCs w:val="18"/>
        </w:rPr>
        <w:footnoteRef/>
      </w:r>
      <w:r w:rsidRPr="00A401B1">
        <w:rPr>
          <w:sz w:val="18"/>
          <w:szCs w:val="18"/>
          <w:lang w:val="es-ES"/>
        </w:rPr>
        <w:t xml:space="preserve"> </w:t>
      </w:r>
      <w:r>
        <w:rPr>
          <w:sz w:val="18"/>
          <w:szCs w:val="18"/>
          <w:lang w:val="es-ES"/>
        </w:rPr>
        <w:tab/>
      </w:r>
      <w:r>
        <w:rPr>
          <w:rStyle w:val="FootnoteTextChar"/>
          <w:lang w:val="es-ES"/>
        </w:rPr>
        <w:t>A/HRC/34/56</w:t>
      </w:r>
      <w:r w:rsidRPr="00A401B1">
        <w:rPr>
          <w:rStyle w:val="FootnoteTextChar"/>
          <w:lang w:val="es-ES"/>
        </w:rPr>
        <w:t>;</w:t>
      </w:r>
      <w:r>
        <w:rPr>
          <w:rStyle w:val="FootnoteTextChar"/>
          <w:lang w:val="es-ES"/>
        </w:rPr>
        <w:t xml:space="preserve"> </w:t>
      </w:r>
      <w:r w:rsidRPr="00A401B1">
        <w:rPr>
          <w:rStyle w:val="FootnoteTextChar"/>
          <w:lang w:val="es-ES"/>
        </w:rPr>
        <w:t>A/74/181, para 34-35; A/HRC/38/46, para</w:t>
      </w:r>
      <w:r>
        <w:rPr>
          <w:rStyle w:val="FootnoteTextChar"/>
          <w:lang w:val="es-ES"/>
        </w:rPr>
        <w:t>s</w:t>
      </w:r>
      <w:r w:rsidRPr="00A401B1">
        <w:rPr>
          <w:rStyle w:val="FootnoteTextChar"/>
          <w:lang w:val="es-ES"/>
        </w:rPr>
        <w:t xml:space="preserve"> 30 – 35; A/HRC/21/42, para </w:t>
      </w:r>
      <w:r w:rsidRPr="00A401B1">
        <w:rPr>
          <w:rStyle w:val="FootnoteTextChar"/>
        </w:rPr>
        <w:t>65</w:t>
      </w:r>
      <w:r w:rsidR="005C2C95">
        <w:rPr>
          <w:rStyle w:val="FootnoteTextChar"/>
        </w:rPr>
        <w:t>.</w:t>
      </w:r>
    </w:p>
  </w:footnote>
  <w:footnote w:id="31">
    <w:p w14:paraId="23E9C7F5" w14:textId="6BD09E18" w:rsidR="006C7C70" w:rsidRPr="00467FEB" w:rsidRDefault="006C7C70" w:rsidP="005C2C95">
      <w:pPr>
        <w:pStyle w:val="FootnoteText"/>
        <w:rPr>
          <w:lang w:val="en-US"/>
        </w:rPr>
      </w:pPr>
      <w:r>
        <w:tab/>
      </w:r>
      <w:r>
        <w:rPr>
          <w:rStyle w:val="FootnoteReference"/>
        </w:rPr>
        <w:footnoteRef/>
      </w:r>
      <w:r w:rsidR="005C2C95">
        <w:tab/>
      </w:r>
      <w:r w:rsidRPr="00467FEB">
        <w:rPr>
          <w:i/>
          <w:iCs/>
        </w:rPr>
        <w:t>See,</w:t>
      </w:r>
      <w:r>
        <w:t xml:space="preserve"> </w:t>
      </w:r>
      <w:r w:rsidRPr="00313A86">
        <w:t>A/73/152, para 21</w:t>
      </w:r>
      <w:r w:rsidR="005C2C95">
        <w:t>.</w:t>
      </w:r>
    </w:p>
  </w:footnote>
  <w:footnote w:id="32">
    <w:p w14:paraId="3E3C6E5A" w14:textId="5F9B3798" w:rsidR="006C7C70" w:rsidRPr="00E873F8" w:rsidRDefault="006C7C70" w:rsidP="00A401B1">
      <w:pPr>
        <w:pStyle w:val="FootnoteText"/>
        <w:rPr>
          <w:szCs w:val="18"/>
        </w:rPr>
      </w:pPr>
      <w:r>
        <w:rPr>
          <w:szCs w:val="18"/>
        </w:rPr>
        <w:tab/>
      </w:r>
      <w:r w:rsidRPr="00E873F8">
        <w:rPr>
          <w:rStyle w:val="FootnoteReference"/>
          <w:szCs w:val="18"/>
        </w:rPr>
        <w:footnoteRef/>
      </w:r>
      <w:r w:rsidRPr="00E873F8">
        <w:rPr>
          <w:szCs w:val="18"/>
        </w:rPr>
        <w:t xml:space="preserve"> </w:t>
      </w:r>
      <w:r>
        <w:rPr>
          <w:szCs w:val="18"/>
        </w:rPr>
        <w:tab/>
      </w:r>
      <w:r>
        <w:rPr>
          <w:szCs w:val="18"/>
        </w:rPr>
        <w:tab/>
      </w:r>
      <w:r w:rsidRPr="00E873F8">
        <w:rPr>
          <w:szCs w:val="18"/>
        </w:rPr>
        <w:t>Advisory Opinion OC-24/17, Inter-AM Ct. H.R (Ser. A) No</w:t>
      </w:r>
      <w:r>
        <w:rPr>
          <w:szCs w:val="18"/>
        </w:rPr>
        <w:t xml:space="preserve"> </w:t>
      </w:r>
      <w:r w:rsidRPr="00E873F8">
        <w:rPr>
          <w:szCs w:val="18"/>
        </w:rPr>
        <w:t>24</w:t>
      </w:r>
      <w:r w:rsidR="005C2C95">
        <w:rPr>
          <w:szCs w:val="18"/>
        </w:rPr>
        <w:t>.</w:t>
      </w:r>
      <w:r>
        <w:rPr>
          <w:szCs w:val="18"/>
        </w:rPr>
        <w:t xml:space="preserve"> </w:t>
      </w:r>
    </w:p>
  </w:footnote>
  <w:footnote w:id="33">
    <w:p w14:paraId="2F624E7C" w14:textId="7F648BA3" w:rsidR="006C7C70" w:rsidRPr="00E873F8" w:rsidRDefault="006C7C70" w:rsidP="00A401B1">
      <w:pPr>
        <w:pStyle w:val="FootnoteText"/>
        <w:rPr>
          <w:szCs w:val="18"/>
        </w:rPr>
      </w:pPr>
      <w:r>
        <w:rPr>
          <w:szCs w:val="18"/>
        </w:rPr>
        <w:tab/>
      </w:r>
      <w:r w:rsidRPr="00E873F8">
        <w:rPr>
          <w:rStyle w:val="FootnoteReference"/>
          <w:szCs w:val="18"/>
        </w:rPr>
        <w:footnoteRef/>
      </w:r>
      <w:r w:rsidRPr="00E873F8">
        <w:rPr>
          <w:szCs w:val="18"/>
        </w:rPr>
        <w:t xml:space="preserve"> </w:t>
      </w:r>
      <w:r>
        <w:rPr>
          <w:szCs w:val="18"/>
        </w:rPr>
        <w:tab/>
      </w:r>
      <w:hyperlink r:id="rId21" w:history="1">
        <w:r w:rsidRPr="00E873F8">
          <w:rPr>
            <w:rStyle w:val="Hyperlink"/>
            <w:szCs w:val="18"/>
          </w:rPr>
          <w:t>https://www.efe.com/efe/english/life/panamanian-church-leaders-unite-against-gay-marriage/50000263-3509097</w:t>
        </w:r>
      </w:hyperlink>
      <w:r w:rsidRPr="00E873F8">
        <w:rPr>
          <w:rStyle w:val="Hyperlink"/>
          <w:szCs w:val="18"/>
        </w:rPr>
        <w:t xml:space="preserve">; </w:t>
      </w:r>
      <w:r w:rsidRPr="00C77E2F">
        <w:rPr>
          <w:i/>
          <w:iCs/>
          <w:color w:val="000000" w:themeColor="text1"/>
          <w:szCs w:val="18"/>
        </w:rPr>
        <w:t>See also</w:t>
      </w:r>
      <w:r>
        <w:rPr>
          <w:i/>
          <w:iCs/>
          <w:color w:val="000000" w:themeColor="text1"/>
          <w:szCs w:val="18"/>
        </w:rPr>
        <w:t>,</w:t>
      </w:r>
      <w:r w:rsidRPr="00C77E2F">
        <w:rPr>
          <w:color w:val="000000" w:themeColor="text1"/>
          <w:szCs w:val="18"/>
        </w:rPr>
        <w:t xml:space="preserve"> </w:t>
      </w:r>
      <w:hyperlink r:id="rId22" w:history="1">
        <w:r w:rsidRPr="00E873F8">
          <w:rPr>
            <w:rStyle w:val="Hyperlink"/>
            <w:szCs w:val="18"/>
          </w:rPr>
          <w:t>https://www.hrw.org/news/2018/12/10/breaking-buzzword-fighting-gender-ideology-myth</w:t>
        </w:r>
      </w:hyperlink>
      <w:r w:rsidR="005C2C95">
        <w:rPr>
          <w:rStyle w:val="Hyperlink"/>
          <w:szCs w:val="18"/>
        </w:rPr>
        <w:t>.</w:t>
      </w:r>
    </w:p>
  </w:footnote>
  <w:footnote w:id="34">
    <w:p w14:paraId="6969B214" w14:textId="4DE7417E" w:rsidR="006C7C70" w:rsidRPr="00E873F8" w:rsidRDefault="006C7C70" w:rsidP="00A401B1">
      <w:pPr>
        <w:pStyle w:val="FootnoteText"/>
        <w:rPr>
          <w:szCs w:val="18"/>
        </w:rPr>
      </w:pPr>
      <w:r>
        <w:rPr>
          <w:szCs w:val="18"/>
        </w:rPr>
        <w:tab/>
      </w:r>
      <w:r w:rsidRPr="00E873F8">
        <w:rPr>
          <w:rStyle w:val="FootnoteReference"/>
          <w:szCs w:val="18"/>
        </w:rPr>
        <w:footnoteRef/>
      </w:r>
      <w:r>
        <w:rPr>
          <w:szCs w:val="18"/>
        </w:rPr>
        <w:tab/>
        <w:t xml:space="preserve"> </w:t>
      </w:r>
      <w:hyperlink r:id="rId23" w:history="1">
        <w:r w:rsidRPr="00E873F8">
          <w:rPr>
            <w:rStyle w:val="Hyperlink"/>
            <w:szCs w:val="18"/>
          </w:rPr>
          <w:t>https://www.awid.org/sites/default/files/atoms/files/feminists_on_the_frontline_-_christian_fundamentalisms_and_womens_rights_in_the_african_context.pdf</w:t>
        </w:r>
      </w:hyperlink>
      <w:r w:rsidR="005C2C95">
        <w:rPr>
          <w:szCs w:val="18"/>
        </w:rPr>
        <w:t>.</w:t>
      </w:r>
    </w:p>
  </w:footnote>
  <w:footnote w:id="35">
    <w:p w14:paraId="16E18A9A" w14:textId="0BBD7BB0" w:rsidR="006C7C70" w:rsidRDefault="006C7C70">
      <w:pPr>
        <w:pStyle w:val="FootnoteText"/>
      </w:pPr>
      <w:r>
        <w:tab/>
        <w:t xml:space="preserve">   </w:t>
      </w:r>
      <w:r>
        <w:rPr>
          <w:rStyle w:val="FootnoteReference"/>
        </w:rPr>
        <w:footnoteRef/>
      </w:r>
      <w:r>
        <w:t xml:space="preserve">  </w:t>
      </w:r>
      <w:r>
        <w:tab/>
      </w:r>
      <w:r w:rsidRPr="00467FEB">
        <w:rPr>
          <w:i/>
          <w:iCs/>
        </w:rPr>
        <w:t>See,</w:t>
      </w:r>
      <w:r>
        <w:t xml:space="preserve"> Nazila Ghanea, </w:t>
      </w:r>
      <w:r>
        <w:rPr>
          <w:lang w:val="en-IE"/>
        </w:rPr>
        <w:t xml:space="preserve"> </w:t>
      </w:r>
      <w:hyperlink r:id="rId24" w:history="1">
        <w:r w:rsidRPr="005117EC">
          <w:rPr>
            <w:rStyle w:val="Hyperlink"/>
            <w:lang w:val="en-IE"/>
          </w:rPr>
          <w:t>https://www.uscirf.gov/sites/default/files/WomenandReligiousFreedom.pdf</w:t>
        </w:r>
      </w:hyperlink>
      <w:r w:rsidR="005C2C95">
        <w:rPr>
          <w:rStyle w:val="Hyperlink"/>
          <w:lang w:val="en-IE"/>
        </w:rPr>
        <w:t>.</w:t>
      </w:r>
    </w:p>
  </w:footnote>
  <w:footnote w:id="36">
    <w:p w14:paraId="658EE78C" w14:textId="17BC9166" w:rsidR="006C7C70" w:rsidRPr="003C6D85" w:rsidRDefault="006C7C70" w:rsidP="00BC1D59">
      <w:pPr>
        <w:pStyle w:val="FootnoteText"/>
        <w:rPr>
          <w:szCs w:val="18"/>
          <w:lang w:val="es-ES"/>
        </w:rPr>
      </w:pPr>
      <w:r w:rsidRPr="003C6D85">
        <w:rPr>
          <w:szCs w:val="18"/>
        </w:rPr>
        <w:tab/>
      </w:r>
      <w:r w:rsidRPr="00E873F8">
        <w:rPr>
          <w:rStyle w:val="FootnoteReference"/>
          <w:szCs w:val="18"/>
        </w:rPr>
        <w:footnoteRef/>
      </w:r>
      <w:r w:rsidRPr="003C6D85">
        <w:rPr>
          <w:szCs w:val="18"/>
          <w:lang w:val="es-ES"/>
        </w:rPr>
        <w:tab/>
        <w:t>A/74/181 para 27; A/HRC/19/41 para 21</w:t>
      </w:r>
      <w:r w:rsidR="005C2C95">
        <w:rPr>
          <w:szCs w:val="18"/>
          <w:lang w:val="es-ES"/>
        </w:rPr>
        <w:t>.</w:t>
      </w:r>
    </w:p>
  </w:footnote>
  <w:footnote w:id="37">
    <w:p w14:paraId="3655C924" w14:textId="59BEF9D7" w:rsidR="006C7C70" w:rsidRPr="00E873F8" w:rsidRDefault="006C7C70" w:rsidP="00BC1D59">
      <w:pPr>
        <w:pStyle w:val="FootnoteText"/>
        <w:rPr>
          <w:szCs w:val="18"/>
        </w:rPr>
      </w:pPr>
      <w:r w:rsidRPr="003C6D85">
        <w:rPr>
          <w:szCs w:val="18"/>
          <w:lang w:val="es-ES"/>
        </w:rPr>
        <w:tab/>
      </w:r>
      <w:r w:rsidRPr="00E873F8">
        <w:rPr>
          <w:rStyle w:val="FootnoteReference"/>
          <w:szCs w:val="18"/>
        </w:rPr>
        <w:footnoteRef/>
      </w:r>
      <w:r w:rsidRPr="00E873F8">
        <w:rPr>
          <w:szCs w:val="18"/>
        </w:rPr>
        <w:t xml:space="preserve"> </w:t>
      </w:r>
      <w:r>
        <w:rPr>
          <w:szCs w:val="18"/>
        </w:rPr>
        <w:tab/>
      </w:r>
      <w:r w:rsidRPr="00467FEB">
        <w:rPr>
          <w:i/>
          <w:iCs/>
          <w:szCs w:val="18"/>
        </w:rPr>
        <w:t>See</w:t>
      </w:r>
      <w:r>
        <w:rPr>
          <w:szCs w:val="18"/>
        </w:rPr>
        <w:t>,</w:t>
      </w:r>
      <w:r w:rsidRPr="004806D6">
        <w:rPr>
          <w:szCs w:val="18"/>
        </w:rPr>
        <w:t xml:space="preserve"> </w:t>
      </w:r>
      <w:r w:rsidRPr="00E873F8">
        <w:rPr>
          <w:szCs w:val="18"/>
        </w:rPr>
        <w:t xml:space="preserve">e.g. Joint </w:t>
      </w:r>
      <w:r>
        <w:rPr>
          <w:szCs w:val="18"/>
        </w:rPr>
        <w:t>G</w:t>
      </w:r>
      <w:r w:rsidRPr="00E873F8">
        <w:rPr>
          <w:szCs w:val="18"/>
        </w:rPr>
        <w:t xml:space="preserve">eneral </w:t>
      </w:r>
      <w:r>
        <w:rPr>
          <w:szCs w:val="18"/>
        </w:rPr>
        <w:t>R</w:t>
      </w:r>
      <w:r w:rsidRPr="00E873F8">
        <w:rPr>
          <w:szCs w:val="18"/>
        </w:rPr>
        <w:t>ecommendation No 31 of the CEDAW and No 18 of the C</w:t>
      </w:r>
      <w:r>
        <w:rPr>
          <w:szCs w:val="18"/>
        </w:rPr>
        <w:t>RC</w:t>
      </w:r>
      <w:r w:rsidRPr="00E873F8">
        <w:rPr>
          <w:szCs w:val="18"/>
        </w:rPr>
        <w:t xml:space="preserve"> on harmful practices</w:t>
      </w:r>
      <w:r w:rsidR="005C2C95">
        <w:rPr>
          <w:szCs w:val="18"/>
        </w:rPr>
        <w:t>.</w:t>
      </w:r>
      <w:r w:rsidRPr="00E873F8">
        <w:rPr>
          <w:szCs w:val="18"/>
        </w:rPr>
        <w:t xml:space="preserve"> </w:t>
      </w:r>
    </w:p>
  </w:footnote>
  <w:footnote w:id="38">
    <w:p w14:paraId="14123768" w14:textId="748E1C18" w:rsidR="006C7C70" w:rsidRPr="006D4B54" w:rsidRDefault="006C7C70" w:rsidP="00BC1D59">
      <w:pPr>
        <w:pStyle w:val="FootnoteText"/>
        <w:rPr>
          <w:szCs w:val="18"/>
          <w:lang w:val="es-ES"/>
        </w:rPr>
      </w:pPr>
      <w:r>
        <w:rPr>
          <w:szCs w:val="18"/>
        </w:rPr>
        <w:tab/>
      </w:r>
      <w:r w:rsidRPr="00E873F8">
        <w:rPr>
          <w:rStyle w:val="FootnoteReference"/>
          <w:szCs w:val="18"/>
        </w:rPr>
        <w:footnoteRef/>
      </w:r>
      <w:r w:rsidRPr="00E873F8">
        <w:rPr>
          <w:szCs w:val="18"/>
        </w:rPr>
        <w:t xml:space="preserve"> </w:t>
      </w:r>
      <w:r>
        <w:rPr>
          <w:szCs w:val="18"/>
        </w:rPr>
        <w:tab/>
      </w:r>
      <w:r w:rsidRPr="00467FEB">
        <w:rPr>
          <w:i/>
          <w:iCs/>
          <w:szCs w:val="18"/>
        </w:rPr>
        <w:t>See,</w:t>
      </w:r>
      <w:r w:rsidRPr="00E873F8">
        <w:rPr>
          <w:szCs w:val="18"/>
        </w:rPr>
        <w:t xml:space="preserve"> e.g., CAT/C/RUS/CO/6, paras 32-33; </w:t>
      </w:r>
      <w:r w:rsidRPr="00467FEB">
        <w:rPr>
          <w:i/>
          <w:iCs/>
          <w:szCs w:val="18"/>
        </w:rPr>
        <w:t>See also</w:t>
      </w:r>
      <w:r>
        <w:rPr>
          <w:szCs w:val="18"/>
        </w:rPr>
        <w:t xml:space="preserve">, </w:t>
      </w:r>
      <w:r w:rsidRPr="00E873F8">
        <w:rPr>
          <w:szCs w:val="18"/>
        </w:rPr>
        <w:t xml:space="preserve"> </w:t>
      </w:r>
      <w:r w:rsidRPr="006D4B54">
        <w:rPr>
          <w:szCs w:val="18"/>
          <w:lang w:val="es-ES"/>
        </w:rPr>
        <w:t>E/C.12/UGA/CO/1</w:t>
      </w:r>
      <w:r w:rsidR="005C2C95">
        <w:rPr>
          <w:szCs w:val="18"/>
          <w:lang w:val="es-ES"/>
        </w:rPr>
        <w:t>.</w:t>
      </w:r>
      <w:r w:rsidRPr="006D4B54">
        <w:rPr>
          <w:szCs w:val="18"/>
          <w:lang w:val="es-ES"/>
        </w:rPr>
        <w:t xml:space="preserve"> </w:t>
      </w:r>
    </w:p>
  </w:footnote>
  <w:footnote w:id="39">
    <w:p w14:paraId="19E455A5" w14:textId="09EB43B4" w:rsidR="006C7C70" w:rsidRPr="001E77C8" w:rsidRDefault="006C7C70" w:rsidP="00E73687">
      <w:pPr>
        <w:pStyle w:val="FootnoteText"/>
        <w:rPr>
          <w:szCs w:val="18"/>
          <w:lang w:val="es-ES"/>
        </w:rPr>
      </w:pPr>
      <w:r>
        <w:rPr>
          <w:szCs w:val="18"/>
          <w:lang w:val="es-ES"/>
        </w:rPr>
        <w:tab/>
      </w:r>
      <w:r w:rsidRPr="00E873F8">
        <w:rPr>
          <w:rStyle w:val="FootnoteReference"/>
          <w:szCs w:val="18"/>
        </w:rPr>
        <w:footnoteRef/>
      </w:r>
      <w:r w:rsidRPr="001E77C8">
        <w:rPr>
          <w:szCs w:val="18"/>
          <w:lang w:val="es-ES"/>
        </w:rPr>
        <w:t xml:space="preserve"> </w:t>
      </w:r>
      <w:r w:rsidRPr="001E77C8">
        <w:rPr>
          <w:szCs w:val="18"/>
          <w:lang w:val="es-ES"/>
        </w:rPr>
        <w:tab/>
        <w:t xml:space="preserve">A/HRC/38/43, </w:t>
      </w:r>
      <w:r>
        <w:rPr>
          <w:szCs w:val="18"/>
          <w:lang w:val="es-ES"/>
        </w:rPr>
        <w:t xml:space="preserve">para </w:t>
      </w:r>
      <w:r w:rsidRPr="001E77C8">
        <w:rPr>
          <w:szCs w:val="18"/>
          <w:lang w:val="es-ES"/>
        </w:rPr>
        <w:t>47</w:t>
      </w:r>
      <w:r w:rsidR="005C2C95">
        <w:rPr>
          <w:szCs w:val="18"/>
          <w:lang w:val="es-ES"/>
        </w:rPr>
        <w:t>.</w:t>
      </w:r>
    </w:p>
  </w:footnote>
  <w:footnote w:id="40">
    <w:p w14:paraId="67B64BA5" w14:textId="648A3B9E" w:rsidR="006C7C70" w:rsidRPr="00DA5F83" w:rsidRDefault="006C7C70" w:rsidP="00E73687">
      <w:pPr>
        <w:pStyle w:val="FootnoteText"/>
        <w:rPr>
          <w:szCs w:val="18"/>
          <w:lang w:val="fr-FR"/>
        </w:rPr>
      </w:pPr>
      <w:r w:rsidRPr="001E77C8">
        <w:rPr>
          <w:szCs w:val="18"/>
          <w:lang w:val="es-ES"/>
        </w:rPr>
        <w:tab/>
      </w:r>
      <w:r w:rsidRPr="00E873F8">
        <w:rPr>
          <w:rStyle w:val="FootnoteReference"/>
          <w:szCs w:val="18"/>
        </w:rPr>
        <w:footnoteRef/>
      </w:r>
      <w:r w:rsidRPr="00DA5F83">
        <w:rPr>
          <w:szCs w:val="18"/>
          <w:lang w:val="fr-FR"/>
        </w:rPr>
        <w:t xml:space="preserve"> </w:t>
      </w:r>
      <w:r w:rsidRPr="00DA5F83">
        <w:rPr>
          <w:szCs w:val="18"/>
          <w:lang w:val="fr-FR"/>
        </w:rPr>
        <w:tab/>
        <w:t>A/73/152, paras 47-48</w:t>
      </w:r>
      <w:r w:rsidR="005C2C95">
        <w:rPr>
          <w:szCs w:val="18"/>
          <w:lang w:val="fr-FR"/>
        </w:rPr>
        <w:t>.</w:t>
      </w:r>
    </w:p>
  </w:footnote>
  <w:footnote w:id="41">
    <w:p w14:paraId="5780D554" w14:textId="5F79557F" w:rsidR="006C7C70" w:rsidRPr="00E873F8" w:rsidRDefault="006C7C70" w:rsidP="00E73687">
      <w:pPr>
        <w:pStyle w:val="FootnoteText"/>
        <w:rPr>
          <w:szCs w:val="18"/>
        </w:rPr>
      </w:pPr>
      <w:r w:rsidRPr="00DA5F83">
        <w:rPr>
          <w:szCs w:val="18"/>
          <w:lang w:val="fr-FR"/>
        </w:rPr>
        <w:tab/>
      </w:r>
      <w:r w:rsidRPr="00E873F8">
        <w:rPr>
          <w:rStyle w:val="FootnoteReference"/>
          <w:szCs w:val="18"/>
        </w:rPr>
        <w:footnoteRef/>
      </w:r>
      <w:r w:rsidRPr="00E873F8">
        <w:rPr>
          <w:szCs w:val="18"/>
        </w:rPr>
        <w:t xml:space="preserve"> </w:t>
      </w:r>
      <w:r>
        <w:rPr>
          <w:szCs w:val="18"/>
        </w:rPr>
        <w:tab/>
      </w:r>
      <w:r w:rsidRPr="00E873F8">
        <w:rPr>
          <w:szCs w:val="18"/>
        </w:rPr>
        <w:t>JAL </w:t>
      </w:r>
      <w:hyperlink r:id="rId25" w:tgtFrame="_blank" w:history="1">
        <w:r w:rsidRPr="00E873F8">
          <w:rPr>
            <w:rStyle w:val="Hyperlink"/>
            <w:szCs w:val="18"/>
          </w:rPr>
          <w:t>PHL 6/2019</w:t>
        </w:r>
      </w:hyperlink>
      <w:r w:rsidR="005C2C95">
        <w:rPr>
          <w:rStyle w:val="Hyperlink"/>
          <w:szCs w:val="18"/>
        </w:rPr>
        <w:t>.</w:t>
      </w:r>
      <w:r w:rsidRPr="00E873F8">
        <w:rPr>
          <w:szCs w:val="18"/>
        </w:rPr>
        <w:t> </w:t>
      </w:r>
    </w:p>
  </w:footnote>
  <w:footnote w:id="42">
    <w:p w14:paraId="0484CFEF" w14:textId="3A76EE3E" w:rsidR="006C7C70" w:rsidRPr="00E873F8" w:rsidRDefault="006C7C70" w:rsidP="00E73687">
      <w:pPr>
        <w:pStyle w:val="FootnoteText"/>
        <w:rPr>
          <w:szCs w:val="18"/>
        </w:rPr>
      </w:pPr>
      <w:r>
        <w:rPr>
          <w:szCs w:val="18"/>
        </w:rPr>
        <w:tab/>
      </w:r>
      <w:r w:rsidRPr="00E873F8">
        <w:rPr>
          <w:rStyle w:val="FootnoteReference"/>
          <w:szCs w:val="18"/>
        </w:rPr>
        <w:footnoteRef/>
      </w:r>
      <w:r w:rsidRPr="00E873F8">
        <w:rPr>
          <w:szCs w:val="18"/>
        </w:rPr>
        <w:t xml:space="preserve"> </w:t>
      </w:r>
      <w:r>
        <w:rPr>
          <w:szCs w:val="18"/>
        </w:rPr>
        <w:tab/>
      </w:r>
      <w:r w:rsidRPr="00E873F8">
        <w:rPr>
          <w:szCs w:val="18"/>
        </w:rPr>
        <w:t>JUA</w:t>
      </w:r>
      <w:r w:rsidRPr="00E873F8">
        <w:rPr>
          <w:bCs/>
          <w:szCs w:val="18"/>
        </w:rPr>
        <w:t xml:space="preserve"> </w:t>
      </w:r>
      <w:hyperlink r:id="rId26" w:tgtFrame="Com_24677" w:history="1">
        <w:r w:rsidRPr="00E873F8">
          <w:rPr>
            <w:rStyle w:val="Hyperlink"/>
            <w:szCs w:val="18"/>
          </w:rPr>
          <w:t>GEO 1/2019</w:t>
        </w:r>
      </w:hyperlink>
      <w:r w:rsidR="005C2C95">
        <w:rPr>
          <w:rStyle w:val="Hyperlink"/>
          <w:szCs w:val="18"/>
        </w:rPr>
        <w:t>.</w:t>
      </w:r>
    </w:p>
  </w:footnote>
  <w:footnote w:id="43">
    <w:p w14:paraId="7629C42F" w14:textId="64792B58" w:rsidR="006C7C70" w:rsidRPr="00E873F8" w:rsidRDefault="006C7C70" w:rsidP="00E73687">
      <w:pPr>
        <w:pStyle w:val="FootnoteText"/>
        <w:rPr>
          <w:szCs w:val="18"/>
        </w:rPr>
      </w:pPr>
      <w:r>
        <w:rPr>
          <w:szCs w:val="18"/>
        </w:rPr>
        <w:tab/>
      </w:r>
      <w:r w:rsidRPr="00E873F8">
        <w:rPr>
          <w:rStyle w:val="FootnoteReference"/>
          <w:szCs w:val="18"/>
        </w:rPr>
        <w:footnoteRef/>
      </w:r>
      <w:r w:rsidRPr="00E873F8">
        <w:rPr>
          <w:szCs w:val="18"/>
        </w:rPr>
        <w:t xml:space="preserve"> </w:t>
      </w:r>
      <w:r>
        <w:rPr>
          <w:szCs w:val="18"/>
        </w:rPr>
        <w:tab/>
      </w:r>
      <w:r w:rsidRPr="00E873F8">
        <w:rPr>
          <w:szCs w:val="18"/>
        </w:rPr>
        <w:t>JOL</w:t>
      </w:r>
      <w:r w:rsidRPr="00E873F8">
        <w:rPr>
          <w:bCs/>
          <w:szCs w:val="18"/>
        </w:rPr>
        <w:t xml:space="preserve"> </w:t>
      </w:r>
      <w:hyperlink r:id="rId27" w:tgtFrame="Com_24329" w:history="1">
        <w:r w:rsidRPr="00E873F8">
          <w:rPr>
            <w:rStyle w:val="Hyperlink"/>
            <w:szCs w:val="18"/>
          </w:rPr>
          <w:t>IDN 2/2019</w:t>
        </w:r>
      </w:hyperlink>
      <w:r w:rsidR="005C2C95">
        <w:rPr>
          <w:rStyle w:val="Hyperlink"/>
          <w:szCs w:val="18"/>
        </w:rPr>
        <w:t>.</w:t>
      </w:r>
      <w:r w:rsidRPr="00E873F8">
        <w:rPr>
          <w:rStyle w:val="Hyperlink"/>
          <w:szCs w:val="18"/>
        </w:rPr>
        <w:t xml:space="preserve"> </w:t>
      </w:r>
    </w:p>
  </w:footnote>
  <w:footnote w:id="44">
    <w:p w14:paraId="3B584067" w14:textId="29CF5036" w:rsidR="006C7C70" w:rsidRPr="003C6D85" w:rsidRDefault="006C7C70" w:rsidP="00E73687">
      <w:pPr>
        <w:pStyle w:val="FootnoteText"/>
        <w:rPr>
          <w:szCs w:val="18"/>
        </w:rPr>
      </w:pPr>
      <w:r>
        <w:rPr>
          <w:szCs w:val="18"/>
        </w:rPr>
        <w:tab/>
      </w:r>
      <w:r w:rsidRPr="00E873F8">
        <w:rPr>
          <w:rStyle w:val="FootnoteReference"/>
          <w:szCs w:val="18"/>
        </w:rPr>
        <w:footnoteRef/>
      </w:r>
      <w:r w:rsidRPr="003C6D85">
        <w:rPr>
          <w:szCs w:val="18"/>
        </w:rPr>
        <w:t xml:space="preserve"> </w:t>
      </w:r>
      <w:r w:rsidRPr="003C6D85">
        <w:rPr>
          <w:szCs w:val="18"/>
        </w:rPr>
        <w:tab/>
        <w:t>OL</w:t>
      </w:r>
      <w:r w:rsidRPr="003C6D85">
        <w:rPr>
          <w:bCs/>
          <w:szCs w:val="18"/>
        </w:rPr>
        <w:t xml:space="preserve"> </w:t>
      </w:r>
      <w:hyperlink r:id="rId28" w:tgtFrame="Com_23717" w:history="1">
        <w:r w:rsidRPr="003C6D85">
          <w:rPr>
            <w:rStyle w:val="Hyperlink"/>
            <w:szCs w:val="18"/>
          </w:rPr>
          <w:t>KOR 1/2018</w:t>
        </w:r>
      </w:hyperlink>
      <w:r w:rsidR="005C2C95">
        <w:rPr>
          <w:rStyle w:val="Hyperlink"/>
          <w:szCs w:val="18"/>
        </w:rPr>
        <w:t>.</w:t>
      </w:r>
      <w:r w:rsidRPr="003C6D85">
        <w:rPr>
          <w:rStyle w:val="Hyperlink"/>
          <w:szCs w:val="18"/>
        </w:rPr>
        <w:t xml:space="preserve"> </w:t>
      </w:r>
    </w:p>
  </w:footnote>
  <w:footnote w:id="45">
    <w:p w14:paraId="43AB76AD" w14:textId="71D1A07C" w:rsidR="006C7C70" w:rsidRPr="006D4B54" w:rsidRDefault="006C7C70" w:rsidP="00E73687">
      <w:pPr>
        <w:pStyle w:val="FootnoteText"/>
        <w:rPr>
          <w:szCs w:val="18"/>
          <w:lang w:val="es-ES"/>
        </w:rPr>
      </w:pPr>
      <w:r w:rsidRPr="003C6D85">
        <w:rPr>
          <w:szCs w:val="18"/>
        </w:rPr>
        <w:tab/>
      </w:r>
      <w:r w:rsidRPr="00E873F8">
        <w:rPr>
          <w:rStyle w:val="FootnoteReference"/>
          <w:szCs w:val="18"/>
        </w:rPr>
        <w:footnoteRef/>
      </w:r>
      <w:r w:rsidRPr="006D4B54">
        <w:rPr>
          <w:szCs w:val="18"/>
          <w:lang w:val="es-ES"/>
        </w:rPr>
        <w:t xml:space="preserve"> </w:t>
      </w:r>
      <w:r>
        <w:rPr>
          <w:szCs w:val="18"/>
          <w:lang w:val="es-ES"/>
        </w:rPr>
        <w:tab/>
      </w:r>
      <w:r w:rsidRPr="006D4B54">
        <w:rPr>
          <w:szCs w:val="18"/>
          <w:bdr w:val="none" w:sz="0" w:space="0" w:color="auto" w:frame="1"/>
          <w:lang w:val="es-ES"/>
        </w:rPr>
        <w:t>JUA </w:t>
      </w:r>
      <w:hyperlink r:id="rId29" w:tgtFrame="_blank" w:history="1">
        <w:r w:rsidRPr="006D4B54">
          <w:rPr>
            <w:rStyle w:val="Hyperlink"/>
            <w:szCs w:val="18"/>
            <w:bdr w:val="none" w:sz="0" w:space="0" w:color="auto" w:frame="1"/>
            <w:lang w:val="es-ES"/>
          </w:rPr>
          <w:t>EGY 17/2017</w:t>
        </w:r>
      </w:hyperlink>
      <w:r w:rsidR="005C2C95">
        <w:rPr>
          <w:rStyle w:val="Hyperlink"/>
          <w:szCs w:val="18"/>
          <w:bdr w:val="none" w:sz="0" w:space="0" w:color="auto" w:frame="1"/>
          <w:lang w:val="es-ES"/>
        </w:rPr>
        <w:t>.</w:t>
      </w:r>
    </w:p>
  </w:footnote>
  <w:footnote w:id="46">
    <w:p w14:paraId="23F49AB9" w14:textId="0807270C" w:rsidR="006C7C70" w:rsidRPr="006D4B54" w:rsidRDefault="006C7C70" w:rsidP="00E73687">
      <w:pPr>
        <w:pStyle w:val="FootnoteText"/>
        <w:rPr>
          <w:lang w:val="es-ES"/>
        </w:rPr>
      </w:pPr>
      <w:r>
        <w:rPr>
          <w:lang w:val="es-ES"/>
        </w:rPr>
        <w:tab/>
      </w:r>
      <w:r>
        <w:rPr>
          <w:rStyle w:val="FootnoteReference"/>
        </w:rPr>
        <w:footnoteRef/>
      </w:r>
      <w:r w:rsidRPr="006D4B54">
        <w:rPr>
          <w:lang w:val="es-ES"/>
        </w:rPr>
        <w:t xml:space="preserve"> </w:t>
      </w:r>
      <w:r>
        <w:rPr>
          <w:lang w:val="es-ES"/>
        </w:rPr>
        <w:tab/>
      </w:r>
      <w:r w:rsidRPr="006D4B54">
        <w:rPr>
          <w:color w:val="000000"/>
          <w:szCs w:val="18"/>
          <w:lang w:val="es-ES"/>
        </w:rPr>
        <w:t>E/C.12/GC/22, para. 14, 43, 60; CRC/C/GC/15 para 69; A/HRC/32/44</w:t>
      </w:r>
      <w:r w:rsidR="005C2C95">
        <w:rPr>
          <w:color w:val="000000"/>
          <w:szCs w:val="18"/>
          <w:lang w:val="es-ES"/>
        </w:rPr>
        <w:t>.</w:t>
      </w:r>
    </w:p>
  </w:footnote>
  <w:footnote w:id="47">
    <w:p w14:paraId="79E076CE" w14:textId="10F05938" w:rsidR="006C7C70" w:rsidRPr="00E873F8" w:rsidRDefault="006C7C70" w:rsidP="00E73687">
      <w:pPr>
        <w:pStyle w:val="FootnoteText"/>
        <w:rPr>
          <w:szCs w:val="18"/>
        </w:rPr>
      </w:pPr>
      <w:r>
        <w:rPr>
          <w:szCs w:val="18"/>
          <w:lang w:val="es-ES"/>
        </w:rPr>
        <w:tab/>
      </w:r>
      <w:r w:rsidRPr="00E873F8">
        <w:rPr>
          <w:rStyle w:val="FootnoteReference"/>
          <w:szCs w:val="18"/>
        </w:rPr>
        <w:footnoteRef/>
      </w:r>
      <w:r w:rsidRPr="006D4B54">
        <w:rPr>
          <w:szCs w:val="18"/>
          <w:lang w:val="es-ES"/>
        </w:rPr>
        <w:t xml:space="preserve"> </w:t>
      </w:r>
      <w:r>
        <w:rPr>
          <w:szCs w:val="18"/>
          <w:lang w:val="es-ES"/>
        </w:rPr>
        <w:tab/>
      </w:r>
      <w:r w:rsidRPr="006D4B54">
        <w:rPr>
          <w:szCs w:val="18"/>
          <w:lang w:val="es-ES"/>
        </w:rPr>
        <w:t>CCPR/C/POL.CO/7, paras</w:t>
      </w:r>
      <w:r>
        <w:rPr>
          <w:szCs w:val="18"/>
          <w:lang w:val="es-ES"/>
        </w:rPr>
        <w:t xml:space="preserve"> </w:t>
      </w:r>
      <w:r w:rsidRPr="006D4B54">
        <w:rPr>
          <w:szCs w:val="18"/>
          <w:lang w:val="es-ES"/>
        </w:rPr>
        <w:t xml:space="preserve">23-24. </w:t>
      </w:r>
      <w:r w:rsidRPr="001E77C8">
        <w:rPr>
          <w:szCs w:val="18"/>
          <w:lang w:val="es-ES"/>
        </w:rPr>
        <w:t>CCPR/C/COL/CO/7, para</w:t>
      </w:r>
      <w:r>
        <w:rPr>
          <w:szCs w:val="18"/>
          <w:lang w:val="es-ES"/>
        </w:rPr>
        <w:t xml:space="preserve">s </w:t>
      </w:r>
      <w:r w:rsidRPr="00E873F8">
        <w:rPr>
          <w:szCs w:val="18"/>
        </w:rPr>
        <w:t>20-21</w:t>
      </w:r>
      <w:r w:rsidR="005C2C95">
        <w:rPr>
          <w:szCs w:val="18"/>
        </w:rPr>
        <w:t>.</w:t>
      </w:r>
    </w:p>
  </w:footnote>
  <w:footnote w:id="48">
    <w:p w14:paraId="333AC79B" w14:textId="2765580B" w:rsidR="006C7C70" w:rsidRPr="00E873F8" w:rsidRDefault="006C7C70" w:rsidP="00E73687">
      <w:pPr>
        <w:pStyle w:val="FootnoteText"/>
        <w:rPr>
          <w:szCs w:val="18"/>
        </w:rPr>
      </w:pPr>
      <w:r>
        <w:rPr>
          <w:szCs w:val="18"/>
        </w:rPr>
        <w:tab/>
      </w:r>
      <w:r w:rsidRPr="00E873F8">
        <w:rPr>
          <w:rStyle w:val="FootnoteReference"/>
          <w:szCs w:val="18"/>
        </w:rPr>
        <w:footnoteRef/>
      </w:r>
      <w:r w:rsidRPr="00E873F8">
        <w:rPr>
          <w:szCs w:val="18"/>
        </w:rPr>
        <w:t xml:space="preserve"> </w:t>
      </w:r>
      <w:r>
        <w:rPr>
          <w:szCs w:val="18"/>
        </w:rPr>
        <w:tab/>
      </w:r>
      <w:r w:rsidRPr="00E873F8">
        <w:rPr>
          <w:szCs w:val="18"/>
        </w:rPr>
        <w:t>H</w:t>
      </w:r>
      <w:r>
        <w:rPr>
          <w:szCs w:val="18"/>
        </w:rPr>
        <w:t>RC</w:t>
      </w:r>
      <w:r w:rsidRPr="00E873F8">
        <w:rPr>
          <w:szCs w:val="18"/>
        </w:rPr>
        <w:t>, General Comment 36, CCPR/C/GC/36, para 8</w:t>
      </w:r>
      <w:r w:rsidR="005C2C95">
        <w:rPr>
          <w:szCs w:val="18"/>
        </w:rPr>
        <w:t>.</w:t>
      </w:r>
    </w:p>
  </w:footnote>
  <w:footnote w:id="49">
    <w:p w14:paraId="4DF26366" w14:textId="4F072912" w:rsidR="006C7C70" w:rsidRPr="00467FEB" w:rsidRDefault="006C7C70">
      <w:pPr>
        <w:pStyle w:val="FootnoteText"/>
        <w:rPr>
          <w:lang w:val="en-US"/>
        </w:rPr>
      </w:pPr>
      <w:r>
        <w:tab/>
      </w:r>
      <w:r>
        <w:rPr>
          <w:rStyle w:val="FootnoteReference"/>
        </w:rPr>
        <w:footnoteRef/>
      </w:r>
      <w:r w:rsidR="005C2C95">
        <w:tab/>
      </w:r>
      <w:r>
        <w:t xml:space="preserve">On the human rights obligations of </w:t>
      </w:r>
      <w:r w:rsidRPr="001E754C">
        <w:t>private businesses which provide services traditionally provided by the public sector</w:t>
      </w:r>
      <w:r>
        <w:t xml:space="preserve">, </w:t>
      </w:r>
      <w:r w:rsidRPr="00C77E2F">
        <w:rPr>
          <w:i/>
          <w:iCs/>
        </w:rPr>
        <w:t>see,</w:t>
      </w:r>
      <w:r>
        <w:t xml:space="preserve"> </w:t>
      </w:r>
      <w:r w:rsidRPr="001E754C">
        <w:rPr>
          <w:lang w:val="en-US"/>
        </w:rPr>
        <w:t>E/C.12/GC/24, para 21</w:t>
      </w:r>
      <w:r w:rsidR="005C2C95">
        <w:rPr>
          <w:lang w:val="en-US"/>
        </w:rPr>
        <w:t>.</w:t>
      </w:r>
    </w:p>
  </w:footnote>
  <w:footnote w:id="50">
    <w:p w14:paraId="71084811" w14:textId="467D3919" w:rsidR="006C7C70" w:rsidRDefault="006C7C70" w:rsidP="00E73687">
      <w:pPr>
        <w:pStyle w:val="FootnoteText"/>
        <w:rPr>
          <w:rStyle w:val="Hyperlink"/>
          <w:color w:val="000000" w:themeColor="text1"/>
          <w:szCs w:val="18"/>
        </w:rPr>
      </w:pPr>
      <w:r>
        <w:rPr>
          <w:color w:val="000000" w:themeColor="text1"/>
          <w:szCs w:val="18"/>
        </w:rPr>
        <w:tab/>
      </w:r>
      <w:r w:rsidRPr="00A853F9">
        <w:rPr>
          <w:rStyle w:val="FootnoteReference"/>
          <w:color w:val="000000" w:themeColor="text1"/>
          <w:szCs w:val="18"/>
        </w:rPr>
        <w:footnoteRef/>
      </w:r>
      <w:r w:rsidRPr="00A853F9">
        <w:rPr>
          <w:color w:val="000000" w:themeColor="text1"/>
          <w:szCs w:val="18"/>
        </w:rPr>
        <w:t xml:space="preserve"> </w:t>
      </w:r>
      <w:r>
        <w:rPr>
          <w:color w:val="000000" w:themeColor="text1"/>
          <w:szCs w:val="18"/>
        </w:rPr>
        <w:tab/>
      </w:r>
      <w:r w:rsidRPr="00467FEB">
        <w:rPr>
          <w:rStyle w:val="FootnoteTextChar"/>
          <w:i/>
          <w:iCs/>
        </w:rPr>
        <w:t>See,</w:t>
      </w:r>
      <w:r w:rsidRPr="00A853F9">
        <w:rPr>
          <w:color w:val="000000" w:themeColor="text1"/>
          <w:szCs w:val="18"/>
        </w:rPr>
        <w:t xml:space="preserve"> </w:t>
      </w:r>
      <w:hyperlink r:id="rId30" w:history="1">
        <w:r w:rsidRPr="00A853F9">
          <w:rPr>
            <w:rStyle w:val="Hyperlink"/>
            <w:color w:val="000000" w:themeColor="text1"/>
            <w:szCs w:val="18"/>
          </w:rPr>
          <w:t>https://www.opendemocracy.net/en/5050/evangelicals-south-africa-broadcasting-hate-masked-as-morality/</w:t>
        </w:r>
      </w:hyperlink>
      <w:r w:rsidR="005C2C95">
        <w:rPr>
          <w:rStyle w:val="Hyperlink"/>
          <w:color w:val="000000" w:themeColor="text1"/>
          <w:szCs w:val="18"/>
        </w:rPr>
        <w:t>.</w:t>
      </w:r>
    </w:p>
    <w:p w14:paraId="65C1AE4F" w14:textId="77777777" w:rsidR="006C7C70" w:rsidRPr="00E873F8" w:rsidRDefault="006C7C70" w:rsidP="00E73687">
      <w:pPr>
        <w:pStyle w:val="FootnoteText"/>
        <w:rPr>
          <w:color w:val="000000" w:themeColor="text1"/>
          <w:szCs w:val="18"/>
        </w:rPr>
      </w:pPr>
    </w:p>
  </w:footnote>
  <w:footnote w:id="51">
    <w:p w14:paraId="5248E989" w14:textId="6AD23648" w:rsidR="006C7C70" w:rsidRPr="00E873F8" w:rsidRDefault="006C7C70" w:rsidP="00463B54">
      <w:pPr>
        <w:pStyle w:val="NormalWeb"/>
        <w:tabs>
          <w:tab w:val="right" w:pos="1021"/>
        </w:tabs>
        <w:spacing w:before="0" w:beforeAutospacing="0" w:after="0" w:afterAutospacing="0" w:line="220" w:lineRule="exact"/>
        <w:ind w:left="1134" w:right="1134" w:hanging="1134"/>
        <w:contextualSpacing/>
        <w:rPr>
          <w:rFonts w:eastAsiaTheme="minorHAnsi"/>
          <w:sz w:val="18"/>
          <w:szCs w:val="18"/>
        </w:rPr>
      </w:pPr>
      <w:r>
        <w:rPr>
          <w:sz w:val="18"/>
          <w:szCs w:val="18"/>
        </w:rPr>
        <w:tab/>
      </w:r>
      <w:r w:rsidRPr="00E873F8">
        <w:rPr>
          <w:rStyle w:val="FootnoteReference"/>
          <w:rFonts w:eastAsiaTheme="minorHAnsi"/>
          <w:szCs w:val="18"/>
        </w:rPr>
        <w:footnoteRef/>
      </w:r>
      <w:r>
        <w:rPr>
          <w:sz w:val="18"/>
          <w:szCs w:val="18"/>
        </w:rPr>
        <w:tab/>
      </w:r>
      <w:r w:rsidRPr="00E873F8">
        <w:rPr>
          <w:rFonts w:eastAsiaTheme="minorHAnsi"/>
          <w:sz w:val="18"/>
          <w:szCs w:val="18"/>
        </w:rPr>
        <w:t>E</w:t>
      </w:r>
      <w:r w:rsidRPr="00463B54">
        <w:rPr>
          <w:rStyle w:val="FootnoteTextChar"/>
        </w:rPr>
        <w:t>/C.12/DEU/CO/6</w:t>
      </w:r>
      <w:r w:rsidR="005C2C95">
        <w:rPr>
          <w:rStyle w:val="FootnoteTextChar"/>
        </w:rPr>
        <w:t>.</w:t>
      </w:r>
    </w:p>
  </w:footnote>
  <w:footnote w:id="52">
    <w:p w14:paraId="523408A1" w14:textId="54BCFFC3" w:rsidR="006C7C70" w:rsidRPr="00E873F8" w:rsidRDefault="006C7C70" w:rsidP="00463B54">
      <w:pPr>
        <w:pStyle w:val="NormalWeb"/>
        <w:tabs>
          <w:tab w:val="right" w:pos="1021"/>
        </w:tabs>
        <w:spacing w:before="0" w:beforeAutospacing="0" w:after="0" w:afterAutospacing="0" w:line="220" w:lineRule="exact"/>
        <w:ind w:left="1134" w:right="1134" w:hanging="1134"/>
        <w:rPr>
          <w:sz w:val="18"/>
          <w:szCs w:val="18"/>
        </w:rPr>
      </w:pPr>
      <w:r>
        <w:rPr>
          <w:sz w:val="18"/>
          <w:szCs w:val="18"/>
        </w:rPr>
        <w:tab/>
      </w:r>
      <w:r w:rsidRPr="00E873F8">
        <w:rPr>
          <w:rStyle w:val="FootnoteReference"/>
          <w:rFonts w:eastAsiaTheme="minorHAnsi"/>
          <w:szCs w:val="18"/>
        </w:rPr>
        <w:footnoteRef/>
      </w:r>
      <w:r>
        <w:rPr>
          <w:sz w:val="18"/>
          <w:szCs w:val="18"/>
        </w:rPr>
        <w:tab/>
      </w:r>
      <w:r w:rsidRPr="00463B54">
        <w:rPr>
          <w:rStyle w:val="FootnoteTextChar"/>
        </w:rPr>
        <w:t>H</w:t>
      </w:r>
      <w:r>
        <w:rPr>
          <w:rStyle w:val="FootnoteTextChar"/>
        </w:rPr>
        <w:t>R</w:t>
      </w:r>
      <w:r w:rsidRPr="00463B54">
        <w:rPr>
          <w:rStyle w:val="FootnoteTextChar"/>
        </w:rPr>
        <w:t xml:space="preserve"> Committee General Comment No 18 (1989), para 7</w:t>
      </w:r>
      <w:r w:rsidR="005C2C95">
        <w:rPr>
          <w:rStyle w:val="FootnoteTextChar"/>
        </w:rPr>
        <w:t>.</w:t>
      </w:r>
      <w:r w:rsidRPr="00E873F8">
        <w:rPr>
          <w:sz w:val="18"/>
          <w:szCs w:val="18"/>
        </w:rPr>
        <w:t xml:space="preserve"> </w:t>
      </w:r>
    </w:p>
  </w:footnote>
  <w:footnote w:id="53">
    <w:p w14:paraId="313BFCDA" w14:textId="7A96AF5E" w:rsidR="006C7C70" w:rsidRPr="00463B54" w:rsidRDefault="006C7C70" w:rsidP="00463B54">
      <w:pPr>
        <w:tabs>
          <w:tab w:val="right" w:pos="1021"/>
        </w:tabs>
        <w:spacing w:line="220" w:lineRule="exact"/>
        <w:ind w:left="1134" w:right="1134" w:hanging="1134"/>
        <w:rPr>
          <w:rStyle w:val="FootnoteTextChar"/>
        </w:rPr>
      </w:pPr>
      <w:r>
        <w:rPr>
          <w:sz w:val="18"/>
          <w:szCs w:val="18"/>
        </w:rPr>
        <w:tab/>
      </w:r>
      <w:r w:rsidRPr="00E873F8">
        <w:rPr>
          <w:rStyle w:val="FootnoteReference"/>
          <w:szCs w:val="18"/>
        </w:rPr>
        <w:footnoteRef/>
      </w:r>
      <w:r>
        <w:rPr>
          <w:sz w:val="18"/>
          <w:szCs w:val="18"/>
        </w:rPr>
        <w:tab/>
      </w:r>
      <w:r w:rsidRPr="00463B54">
        <w:rPr>
          <w:rStyle w:val="FootnoteTextChar"/>
        </w:rPr>
        <w:t>A/68/290 para 60</w:t>
      </w:r>
      <w:r w:rsidR="005C2C95">
        <w:rPr>
          <w:rStyle w:val="FootnoteTextChar"/>
        </w:rPr>
        <w:t>.</w:t>
      </w:r>
    </w:p>
  </w:footnote>
  <w:footnote w:id="54">
    <w:p w14:paraId="65601467" w14:textId="0B801592" w:rsidR="006C7C70" w:rsidRPr="00E873F8" w:rsidRDefault="006C7C70" w:rsidP="00463B54">
      <w:pPr>
        <w:pStyle w:val="FootnoteText"/>
        <w:rPr>
          <w:szCs w:val="18"/>
        </w:rPr>
      </w:pPr>
      <w:r>
        <w:rPr>
          <w:szCs w:val="18"/>
        </w:rPr>
        <w:tab/>
      </w:r>
      <w:r w:rsidRPr="00E873F8">
        <w:rPr>
          <w:rStyle w:val="FootnoteReference"/>
          <w:szCs w:val="18"/>
        </w:rPr>
        <w:footnoteRef/>
      </w:r>
      <w:r>
        <w:rPr>
          <w:szCs w:val="18"/>
        </w:rPr>
        <w:tab/>
      </w:r>
      <w:r w:rsidRPr="00463B54">
        <w:rPr>
          <w:rStyle w:val="FootnoteTextChar"/>
        </w:rPr>
        <w:t xml:space="preserve">Nelson Tebbe, </w:t>
      </w:r>
      <w:r>
        <w:rPr>
          <w:rStyle w:val="FootnoteTextChar"/>
        </w:rPr>
        <w:t xml:space="preserve">Reply: </w:t>
      </w:r>
      <w:r w:rsidRPr="00463B54">
        <w:rPr>
          <w:rStyle w:val="FootnoteTextChar"/>
        </w:rPr>
        <w:t>Conscience and Equality,</w:t>
      </w:r>
      <w:r>
        <w:rPr>
          <w:rStyle w:val="FootnoteTextChar"/>
        </w:rPr>
        <w:t xml:space="preserve"> 31 </w:t>
      </w:r>
      <w:r w:rsidRPr="00DA5F83">
        <w:rPr>
          <w:rStyle w:val="FootnoteTextChar"/>
          <w:i/>
          <w:iCs/>
        </w:rPr>
        <w:t>Journal of Civil Rights and Economic Development</w:t>
      </w:r>
      <w:r>
        <w:rPr>
          <w:rStyle w:val="FootnoteTextChar"/>
        </w:rPr>
        <w:t xml:space="preserve"> 1, </w:t>
      </w:r>
      <w:r w:rsidRPr="00463B54">
        <w:rPr>
          <w:rStyle w:val="FootnoteTextChar"/>
        </w:rPr>
        <w:t>17</w:t>
      </w:r>
      <w:r>
        <w:rPr>
          <w:rStyle w:val="FootnoteTextChar"/>
        </w:rPr>
        <w:t xml:space="preserve"> (2018)</w:t>
      </w:r>
      <w:r w:rsidR="005C2C95">
        <w:rPr>
          <w:rStyle w:val="FootnoteTextChar"/>
        </w:rPr>
        <w:t>.</w:t>
      </w:r>
    </w:p>
  </w:footnote>
  <w:footnote w:id="55">
    <w:p w14:paraId="31FBB21F" w14:textId="6AA38042" w:rsidR="006C7C70" w:rsidRPr="00E873F8" w:rsidRDefault="006C7C70" w:rsidP="001E2F10">
      <w:pPr>
        <w:pStyle w:val="FootnoteText"/>
        <w:rPr>
          <w:szCs w:val="18"/>
        </w:rPr>
      </w:pPr>
      <w:r>
        <w:rPr>
          <w:szCs w:val="18"/>
        </w:rPr>
        <w:tab/>
      </w:r>
      <w:r w:rsidRPr="00E873F8">
        <w:rPr>
          <w:rStyle w:val="FootnoteReference"/>
          <w:szCs w:val="18"/>
        </w:rPr>
        <w:footnoteRef/>
      </w:r>
      <w:r>
        <w:rPr>
          <w:szCs w:val="18"/>
        </w:rPr>
        <w:tab/>
      </w:r>
      <w:r w:rsidRPr="00E873F8">
        <w:rPr>
          <w:szCs w:val="18"/>
        </w:rPr>
        <w:t xml:space="preserve"> Madhavi Sunder,</w:t>
      </w:r>
      <w:r>
        <w:rPr>
          <w:szCs w:val="18"/>
        </w:rPr>
        <w:t xml:space="preserve"> Piercing the Veil, </w:t>
      </w:r>
      <w:r w:rsidRPr="00A773C8">
        <w:rPr>
          <w:szCs w:val="18"/>
          <w:lang w:val="en-IE"/>
        </w:rPr>
        <w:t xml:space="preserve">112 </w:t>
      </w:r>
      <w:r w:rsidRPr="00DA5F83">
        <w:rPr>
          <w:i/>
          <w:iCs/>
          <w:szCs w:val="18"/>
          <w:lang w:val="en-IE"/>
        </w:rPr>
        <w:t>Yale L.J.</w:t>
      </w:r>
      <w:r w:rsidRPr="00A773C8">
        <w:rPr>
          <w:szCs w:val="18"/>
          <w:lang w:val="en-IE"/>
        </w:rPr>
        <w:t xml:space="preserve"> (2003)</w:t>
      </w:r>
      <w:r w:rsidR="005C2C95">
        <w:rPr>
          <w:szCs w:val="18"/>
          <w:lang w:val="en-IE"/>
        </w:rPr>
        <w:t>.</w:t>
      </w:r>
    </w:p>
  </w:footnote>
  <w:footnote w:id="56">
    <w:p w14:paraId="1FED2F06" w14:textId="3603647D" w:rsidR="006C7C70" w:rsidRPr="00A65CD7" w:rsidRDefault="006C7C70" w:rsidP="00C328DE">
      <w:pPr>
        <w:pStyle w:val="FootnoteText"/>
        <w:rPr>
          <w:szCs w:val="18"/>
        </w:rPr>
      </w:pPr>
      <w:r>
        <w:rPr>
          <w:szCs w:val="18"/>
        </w:rPr>
        <w:tab/>
      </w:r>
      <w:r w:rsidRPr="00A65CD7">
        <w:rPr>
          <w:rStyle w:val="FootnoteReference"/>
          <w:szCs w:val="18"/>
        </w:rPr>
        <w:footnoteRef/>
      </w:r>
      <w:r w:rsidRPr="00A65CD7">
        <w:rPr>
          <w:szCs w:val="18"/>
        </w:rPr>
        <w:t xml:space="preserve"> </w:t>
      </w:r>
      <w:r>
        <w:rPr>
          <w:szCs w:val="18"/>
        </w:rPr>
        <w:tab/>
      </w:r>
      <w:r w:rsidRPr="00A65CD7">
        <w:rPr>
          <w:szCs w:val="18"/>
        </w:rPr>
        <w:t xml:space="preserve">Elizabeth O’Casey, </w:t>
      </w:r>
      <w:r w:rsidRPr="00A65CD7">
        <w:rPr>
          <w:i/>
          <w:iCs/>
          <w:szCs w:val="18"/>
        </w:rPr>
        <w:t>A Theory of Need in International Political Theory: Autonomy, Freedom and a Global Obligation</w:t>
      </w:r>
      <w:r>
        <w:rPr>
          <w:szCs w:val="18"/>
        </w:rPr>
        <w:t xml:space="preserve"> </w:t>
      </w:r>
      <w:r w:rsidRPr="00A65CD7">
        <w:rPr>
          <w:szCs w:val="18"/>
        </w:rPr>
        <w:t xml:space="preserve">(Unpublished </w:t>
      </w:r>
      <w:r>
        <w:rPr>
          <w:szCs w:val="18"/>
        </w:rPr>
        <w:t>doctoral d</w:t>
      </w:r>
      <w:r w:rsidRPr="00A65CD7">
        <w:rPr>
          <w:szCs w:val="18"/>
        </w:rPr>
        <w:t>issertation</w:t>
      </w:r>
      <w:r>
        <w:rPr>
          <w:szCs w:val="18"/>
        </w:rPr>
        <w:t>, London School of Economics</w:t>
      </w:r>
      <w:r w:rsidRPr="00A65CD7">
        <w:rPr>
          <w:szCs w:val="18"/>
        </w:rPr>
        <w:t>), 2012, pp</w:t>
      </w:r>
      <w:r>
        <w:rPr>
          <w:szCs w:val="18"/>
        </w:rPr>
        <w:t xml:space="preserve"> </w:t>
      </w:r>
      <w:r w:rsidRPr="00A65CD7">
        <w:rPr>
          <w:szCs w:val="18"/>
        </w:rPr>
        <w:t>18-66</w:t>
      </w:r>
      <w:r w:rsidR="005C2C95">
        <w:rPr>
          <w:szCs w:val="18"/>
        </w:rPr>
        <w:t>.</w:t>
      </w:r>
    </w:p>
  </w:footnote>
  <w:footnote w:id="57">
    <w:p w14:paraId="6931B1E6" w14:textId="2DD38028" w:rsidR="006C7C70" w:rsidRPr="006B7F61" w:rsidRDefault="006C7C70" w:rsidP="00C328DE">
      <w:pPr>
        <w:pStyle w:val="FootnoteText"/>
      </w:pPr>
      <w:r>
        <w:tab/>
      </w:r>
      <w:r w:rsidRPr="00A65CD7">
        <w:rPr>
          <w:rStyle w:val="FootnoteReference"/>
        </w:rPr>
        <w:footnoteRef/>
      </w:r>
      <w:r w:rsidRPr="00A65CD7">
        <w:t xml:space="preserve"> </w:t>
      </w:r>
      <w:r>
        <w:tab/>
      </w:r>
      <w:r w:rsidRPr="00A65CD7">
        <w:t xml:space="preserve">Heiner Bielefeldt and Michael Wiener, </w:t>
      </w:r>
      <w:r w:rsidRPr="00A65CD7">
        <w:rPr>
          <w:i/>
        </w:rPr>
        <w:t>Religious Freedom Under Scrutiny</w:t>
      </w:r>
      <w:r w:rsidRPr="00A65CD7">
        <w:t xml:space="preserve"> </w:t>
      </w:r>
      <w:r>
        <w:t>(</w:t>
      </w:r>
      <w:r w:rsidRPr="00A65CD7">
        <w:t>University of Pennsylvania Press</w:t>
      </w:r>
      <w:r>
        <w:t>)</w:t>
      </w:r>
      <w:r w:rsidRPr="00A65CD7">
        <w:t>, 2020, p</w:t>
      </w:r>
      <w:r>
        <w:t xml:space="preserve"> </w:t>
      </w:r>
      <w:r w:rsidRPr="00A65CD7">
        <w:t>99</w:t>
      </w:r>
      <w:r w:rsidR="005C2C95">
        <w:t>.</w:t>
      </w:r>
    </w:p>
  </w:footnote>
  <w:footnote w:id="58">
    <w:p w14:paraId="5AE61920" w14:textId="44D4FDEA" w:rsidR="006C7C70" w:rsidRDefault="006C7C70">
      <w:pPr>
        <w:pStyle w:val="FootnoteText"/>
      </w:pPr>
      <w:r>
        <w:tab/>
      </w:r>
      <w:r>
        <w:rPr>
          <w:rStyle w:val="FootnoteReference"/>
        </w:rPr>
        <w:footnoteRef/>
      </w:r>
      <w:r>
        <w:t xml:space="preserve"> </w:t>
      </w:r>
      <w:r>
        <w:tab/>
      </w:r>
      <w:hyperlink r:id="rId31" w:history="1">
        <w:r w:rsidRPr="00157C4B">
          <w:rPr>
            <w:rStyle w:val="Hyperlink"/>
          </w:rPr>
          <w:t>https://www.ohchr.org/EN/Issues/FreedomReligion/Pages/FaithForRights.aspx</w:t>
        </w:r>
      </w:hyperlink>
      <w:r w:rsidR="005C2C95">
        <w:rPr>
          <w:rStyle w:val="Hyperlink"/>
        </w:rPr>
        <w:t>.</w:t>
      </w:r>
    </w:p>
  </w:footnote>
  <w:footnote w:id="59">
    <w:p w14:paraId="485EC913" w14:textId="51669F19" w:rsidR="006C7C70" w:rsidRPr="00DA5F83" w:rsidRDefault="006C7C70" w:rsidP="005211F2">
      <w:pPr>
        <w:pStyle w:val="FootnoteText"/>
        <w:rPr>
          <w:lang w:val="en-US"/>
        </w:rPr>
      </w:pPr>
      <w:r>
        <w:tab/>
      </w:r>
      <w:r>
        <w:rPr>
          <w:rStyle w:val="FootnoteReference"/>
        </w:rPr>
        <w:footnoteRef/>
      </w:r>
      <w:r>
        <w:t xml:space="preserve"> </w:t>
      </w:r>
      <w:r>
        <w:tab/>
      </w:r>
      <w:hyperlink r:id="rId32" w:history="1">
        <w:r w:rsidRPr="005211F2">
          <w:rPr>
            <w:rStyle w:val="Hyperlink"/>
            <w:lang w:val="en-US"/>
          </w:rPr>
          <w:t>https://www.un.org/en/genocideprevention/documents/publications-and-resources/Plan_of_Action_Religious-rev5.pdf</w:t>
        </w:r>
      </w:hyperlink>
      <w:r w:rsidR="005C2C95">
        <w:rPr>
          <w:rStyle w:val="Hyperlink"/>
          <w:lang w:val="en-US"/>
        </w:rPr>
        <w:t>.</w:t>
      </w:r>
    </w:p>
  </w:footnote>
  <w:footnote w:id="60">
    <w:p w14:paraId="7754BFAE" w14:textId="35244A43" w:rsidR="006C7C70" w:rsidRPr="00E873F8" w:rsidRDefault="006C7C70" w:rsidP="001E2F10">
      <w:pPr>
        <w:pStyle w:val="FootnoteText"/>
        <w:rPr>
          <w:szCs w:val="18"/>
        </w:rPr>
      </w:pPr>
      <w:r>
        <w:rPr>
          <w:szCs w:val="18"/>
        </w:rPr>
        <w:tab/>
      </w:r>
      <w:r w:rsidRPr="003C468F">
        <w:rPr>
          <w:rStyle w:val="FootnoteReference"/>
          <w:szCs w:val="18"/>
        </w:rPr>
        <w:footnoteRef/>
      </w:r>
      <w:r w:rsidRPr="003C468F">
        <w:rPr>
          <w:szCs w:val="18"/>
        </w:rPr>
        <w:t xml:space="preserve"> </w:t>
      </w:r>
      <w:r>
        <w:rPr>
          <w:szCs w:val="18"/>
        </w:rPr>
        <w:tab/>
      </w:r>
      <w:r w:rsidRPr="00567C2F">
        <w:rPr>
          <w:szCs w:val="18"/>
          <w:lang w:val="es-ES"/>
        </w:rPr>
        <w:t>Heiner Bielefeldt, Nazila Ghanea and Michael Wiener,</w:t>
      </w:r>
      <w:r w:rsidRPr="003C468F">
        <w:rPr>
          <w:szCs w:val="18"/>
        </w:rPr>
        <w:t xml:space="preserve"> </w:t>
      </w:r>
      <w:r w:rsidRPr="003C468F">
        <w:rPr>
          <w:i/>
          <w:iCs/>
          <w:szCs w:val="18"/>
        </w:rPr>
        <w:t>Freedom of Religion or Belief: An International Law Commentary,</w:t>
      </w:r>
      <w:r w:rsidRPr="003C468F">
        <w:rPr>
          <w:szCs w:val="18"/>
        </w:rPr>
        <w:t xml:space="preserve"> Oxford, 2016</w:t>
      </w:r>
      <w:r w:rsidR="00F216A1">
        <w:rPr>
          <w:szCs w:val="18"/>
        </w:rPr>
        <w:t>; Chapters 2.1 and 3.1</w:t>
      </w:r>
      <w:r w:rsidR="005C2C95">
        <w:rPr>
          <w:szCs w:val="18"/>
        </w:rPr>
        <w:t>.</w:t>
      </w:r>
    </w:p>
  </w:footnote>
  <w:footnote w:id="61">
    <w:p w14:paraId="094A77FE" w14:textId="1B515699" w:rsidR="006C7C70" w:rsidRPr="00E873F8" w:rsidRDefault="006C7C70" w:rsidP="001E2F10">
      <w:pPr>
        <w:pStyle w:val="FootnoteText"/>
        <w:rPr>
          <w:color w:val="000000" w:themeColor="text1"/>
          <w:szCs w:val="18"/>
        </w:rPr>
      </w:pPr>
      <w:r w:rsidRPr="003C6D85">
        <w:rPr>
          <w:color w:val="000000" w:themeColor="text1"/>
          <w:szCs w:val="18"/>
        </w:rPr>
        <w:tab/>
      </w:r>
      <w:r w:rsidRPr="00E873F8">
        <w:rPr>
          <w:rStyle w:val="FootnoteReference"/>
          <w:color w:val="000000" w:themeColor="text1"/>
          <w:szCs w:val="18"/>
        </w:rPr>
        <w:footnoteRef/>
      </w:r>
      <w:r>
        <w:rPr>
          <w:color w:val="000000" w:themeColor="text1"/>
          <w:szCs w:val="18"/>
          <w:lang w:val="es-ES"/>
        </w:rPr>
        <w:tab/>
      </w:r>
      <w:r w:rsidRPr="006D4B54">
        <w:rPr>
          <w:color w:val="000000" w:themeColor="text1"/>
          <w:szCs w:val="18"/>
          <w:lang w:val="es-ES"/>
        </w:rPr>
        <w:t>A</w:t>
      </w:r>
      <w:r w:rsidRPr="003C6D85">
        <w:rPr>
          <w:szCs w:val="18"/>
          <w:lang w:val="es-ES"/>
        </w:rPr>
        <w:t xml:space="preserve">/HRC/34/50, para. 31; A/72/365, para </w:t>
      </w:r>
      <w:r w:rsidRPr="001E2F10">
        <w:rPr>
          <w:szCs w:val="18"/>
        </w:rPr>
        <w:t>46</w:t>
      </w:r>
      <w:r w:rsidR="005C2C95">
        <w:rPr>
          <w:szCs w:val="18"/>
        </w:rPr>
        <w:t>.</w:t>
      </w:r>
    </w:p>
  </w:footnote>
  <w:footnote w:id="62">
    <w:p w14:paraId="08E9EF78" w14:textId="1EBA9170" w:rsidR="006C7C70" w:rsidRPr="00DA5F83" w:rsidRDefault="006C7C70" w:rsidP="001E2F10">
      <w:pPr>
        <w:tabs>
          <w:tab w:val="right" w:pos="1021"/>
        </w:tabs>
        <w:spacing w:line="220" w:lineRule="exact"/>
        <w:ind w:left="1134" w:right="1134" w:hanging="1134"/>
      </w:pPr>
      <w:r>
        <w:rPr>
          <w:sz w:val="18"/>
          <w:szCs w:val="18"/>
        </w:rPr>
        <w:tab/>
      </w:r>
      <w:r w:rsidRPr="00A853F9">
        <w:rPr>
          <w:rStyle w:val="FootnoteReference"/>
          <w:szCs w:val="18"/>
        </w:rPr>
        <w:footnoteRef/>
      </w:r>
      <w:r w:rsidRPr="00A853F9">
        <w:rPr>
          <w:sz w:val="18"/>
          <w:szCs w:val="18"/>
        </w:rPr>
        <w:t xml:space="preserve"> </w:t>
      </w:r>
      <w:r>
        <w:rPr>
          <w:sz w:val="18"/>
          <w:szCs w:val="18"/>
        </w:rPr>
        <w:tab/>
      </w:r>
      <w:r w:rsidRPr="00C77E2F">
        <w:rPr>
          <w:i/>
          <w:iCs/>
          <w:sz w:val="18"/>
          <w:szCs w:val="18"/>
        </w:rPr>
        <w:t>See also</w:t>
      </w:r>
      <w:r>
        <w:rPr>
          <w:sz w:val="18"/>
          <w:szCs w:val="18"/>
        </w:rPr>
        <w:t>,</w:t>
      </w:r>
      <w:r w:rsidRPr="001E2F10">
        <w:rPr>
          <w:sz w:val="18"/>
          <w:szCs w:val="18"/>
        </w:rPr>
        <w:t> CCPR/C/21/Rev.1/Add.10 (29</w:t>
      </w:r>
      <w:r>
        <w:rPr>
          <w:sz w:val="18"/>
          <w:szCs w:val="18"/>
        </w:rPr>
        <w:t xml:space="preserve"> </w:t>
      </w:r>
      <w:r w:rsidRPr="00DA5F83">
        <w:rPr>
          <w:sz w:val="18"/>
          <w:szCs w:val="18"/>
        </w:rPr>
        <w:t>March 2000), para</w:t>
      </w:r>
      <w:r w:rsidRPr="00DA5F83">
        <w:rPr>
          <w:color w:val="3F3F3F"/>
          <w:sz w:val="18"/>
          <w:szCs w:val="18"/>
          <w:shd w:val="clear" w:color="auto" w:fill="F9F9F9"/>
        </w:rPr>
        <w:t xml:space="preserve"> 21</w:t>
      </w:r>
      <w:r w:rsidR="005C2C95">
        <w:rPr>
          <w:color w:val="3F3F3F"/>
          <w:sz w:val="18"/>
          <w:szCs w:val="18"/>
          <w:shd w:val="clear" w:color="auto" w:fill="F9F9F9"/>
        </w:rPr>
        <w:t>.</w:t>
      </w:r>
    </w:p>
  </w:footnote>
  <w:footnote w:id="63">
    <w:p w14:paraId="119477CF" w14:textId="61E9D5C5" w:rsidR="006C7C70" w:rsidRPr="003C6D85" w:rsidRDefault="006C7C70" w:rsidP="001E2F10">
      <w:pPr>
        <w:pStyle w:val="FootnoteText"/>
        <w:rPr>
          <w:color w:val="000000" w:themeColor="text1"/>
          <w:szCs w:val="18"/>
          <w:lang w:val="fr-FR"/>
        </w:rPr>
      </w:pPr>
      <w:r w:rsidRPr="00DA5F83">
        <w:rPr>
          <w:color w:val="000000" w:themeColor="text1"/>
          <w:szCs w:val="18"/>
        </w:rPr>
        <w:tab/>
      </w:r>
      <w:r w:rsidRPr="00E873F8">
        <w:rPr>
          <w:rStyle w:val="FootnoteReference"/>
          <w:color w:val="000000" w:themeColor="text1"/>
          <w:szCs w:val="18"/>
        </w:rPr>
        <w:footnoteRef/>
      </w:r>
      <w:r w:rsidRPr="003C6D85">
        <w:rPr>
          <w:color w:val="000000" w:themeColor="text1"/>
          <w:szCs w:val="18"/>
          <w:lang w:val="fr-FR"/>
        </w:rPr>
        <w:tab/>
        <w:t xml:space="preserve"> </w:t>
      </w:r>
      <w:r>
        <w:rPr>
          <w:color w:val="000000" w:themeColor="text1"/>
          <w:szCs w:val="18"/>
          <w:lang w:val="fr-FR"/>
        </w:rPr>
        <w:t>I</w:t>
      </w:r>
      <w:r w:rsidRPr="003C6D85">
        <w:rPr>
          <w:szCs w:val="18"/>
          <w:lang w:val="fr-FR"/>
        </w:rPr>
        <w:t>CRC, Article 2; IMWC, Article 7; ICRPD Article</w:t>
      </w:r>
      <w:r w:rsidRPr="003C6D85">
        <w:rPr>
          <w:color w:val="000000" w:themeColor="text1"/>
          <w:szCs w:val="18"/>
          <w:lang w:val="fr-FR"/>
        </w:rPr>
        <w:t xml:space="preserve"> 4</w:t>
      </w:r>
      <w:r w:rsidR="005C2C95">
        <w:rPr>
          <w:color w:val="000000" w:themeColor="text1"/>
          <w:szCs w:val="18"/>
          <w:lang w:val="fr-FR"/>
        </w:rPr>
        <w:t>.</w:t>
      </w:r>
    </w:p>
  </w:footnote>
  <w:footnote w:id="64">
    <w:p w14:paraId="07C4EFEF" w14:textId="3A317821" w:rsidR="006C7C70" w:rsidRPr="00E873F8" w:rsidRDefault="006C7C70" w:rsidP="001E2F10">
      <w:pPr>
        <w:pStyle w:val="FootnoteText"/>
        <w:rPr>
          <w:color w:val="000000" w:themeColor="text1"/>
          <w:szCs w:val="18"/>
        </w:rPr>
      </w:pPr>
      <w:r w:rsidRPr="003C6D85">
        <w:rPr>
          <w:color w:val="000000" w:themeColor="text1"/>
          <w:szCs w:val="18"/>
          <w:lang w:val="fr-FR"/>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Pr>
          <w:color w:val="000000" w:themeColor="text1"/>
          <w:szCs w:val="18"/>
        </w:rPr>
        <w:tab/>
      </w:r>
      <w:r w:rsidRPr="001E2F10">
        <w:rPr>
          <w:szCs w:val="18"/>
        </w:rPr>
        <w:t>CEDAW Article 5(a); Article 8(1)(b)</w:t>
      </w:r>
      <w:r>
        <w:rPr>
          <w:szCs w:val="18"/>
        </w:rPr>
        <w:t xml:space="preserve"> </w:t>
      </w:r>
      <w:r w:rsidRPr="001E2F10">
        <w:rPr>
          <w:szCs w:val="18"/>
        </w:rPr>
        <w:t>of the CRPD</w:t>
      </w:r>
      <w:r w:rsidR="005C2C95">
        <w:rPr>
          <w:szCs w:val="18"/>
        </w:rPr>
        <w:t>.</w:t>
      </w:r>
    </w:p>
  </w:footnote>
  <w:footnote w:id="65">
    <w:p w14:paraId="29354BFD" w14:textId="0DFF4BF2" w:rsidR="006C7C70" w:rsidRPr="00E873F8" w:rsidRDefault="006C7C70" w:rsidP="001E2F10">
      <w:pPr>
        <w:pStyle w:val="NormalWeb"/>
        <w:tabs>
          <w:tab w:val="right" w:pos="1021"/>
        </w:tabs>
        <w:snapToGrid w:val="0"/>
        <w:spacing w:before="0" w:beforeAutospacing="0" w:after="0" w:afterAutospacing="0" w:line="220" w:lineRule="exact"/>
        <w:ind w:left="1134" w:right="1134" w:hanging="1134"/>
        <w:contextualSpacing/>
        <w:rPr>
          <w:sz w:val="18"/>
          <w:szCs w:val="18"/>
        </w:rPr>
      </w:pPr>
      <w:r>
        <w:rPr>
          <w:sz w:val="18"/>
          <w:szCs w:val="18"/>
        </w:rPr>
        <w:tab/>
      </w:r>
      <w:r w:rsidRPr="00E873F8">
        <w:rPr>
          <w:rStyle w:val="FootnoteReference"/>
          <w:rFonts w:eastAsiaTheme="minorHAnsi"/>
          <w:szCs w:val="18"/>
        </w:rPr>
        <w:footnoteRef/>
      </w:r>
      <w:r w:rsidRPr="00E873F8">
        <w:rPr>
          <w:sz w:val="18"/>
          <w:szCs w:val="18"/>
        </w:rPr>
        <w:t xml:space="preserve"> </w:t>
      </w:r>
      <w:r>
        <w:rPr>
          <w:sz w:val="18"/>
          <w:szCs w:val="18"/>
        </w:rPr>
        <w:tab/>
      </w:r>
      <w:r w:rsidRPr="00C77E2F">
        <w:rPr>
          <w:rFonts w:eastAsiaTheme="minorHAnsi"/>
          <w:i/>
          <w:iCs/>
          <w:sz w:val="18"/>
          <w:szCs w:val="18"/>
          <w:lang w:eastAsia="en-US"/>
        </w:rPr>
        <w:t>See</w:t>
      </w:r>
      <w:r>
        <w:rPr>
          <w:rFonts w:eastAsiaTheme="minorHAnsi"/>
          <w:i/>
          <w:iCs/>
          <w:sz w:val="18"/>
          <w:szCs w:val="18"/>
          <w:lang w:eastAsia="en-US"/>
        </w:rPr>
        <w:t>,</w:t>
      </w:r>
      <w:r w:rsidRPr="00C77E2F">
        <w:rPr>
          <w:rFonts w:eastAsiaTheme="minorHAnsi"/>
          <w:i/>
          <w:iCs/>
          <w:sz w:val="18"/>
          <w:szCs w:val="18"/>
          <w:lang w:eastAsia="en-US"/>
        </w:rPr>
        <w:t xml:space="preserve"> </w:t>
      </w:r>
      <w:r w:rsidRPr="001B3EF7">
        <w:rPr>
          <w:sz w:val="18"/>
          <w:szCs w:val="18"/>
        </w:rPr>
        <w:t>https://www.who.int/violence_injury_prevention/violence/gender.pdf</w:t>
      </w:r>
      <w:r w:rsidR="005C2C95">
        <w:rPr>
          <w:sz w:val="18"/>
          <w:szCs w:val="18"/>
        </w:rPr>
        <w:t>.</w:t>
      </w:r>
    </w:p>
  </w:footnote>
  <w:footnote w:id="66">
    <w:p w14:paraId="7CB0EA2B" w14:textId="31B178EB" w:rsidR="006C7C70" w:rsidRPr="00E873F8" w:rsidRDefault="006C7C70" w:rsidP="001E2F10">
      <w:pPr>
        <w:pStyle w:val="FootnoteText"/>
        <w:rPr>
          <w:szCs w:val="18"/>
          <w:lang w:val="en-IE"/>
        </w:rPr>
      </w:pPr>
      <w:r>
        <w:rPr>
          <w:szCs w:val="18"/>
        </w:rPr>
        <w:tab/>
      </w:r>
      <w:r w:rsidRPr="00E873F8">
        <w:rPr>
          <w:rStyle w:val="FootnoteReference"/>
          <w:szCs w:val="18"/>
        </w:rPr>
        <w:footnoteRef/>
      </w:r>
      <w:r w:rsidRPr="00E873F8">
        <w:rPr>
          <w:szCs w:val="18"/>
        </w:rPr>
        <w:t xml:space="preserve"> </w:t>
      </w:r>
      <w:r>
        <w:rPr>
          <w:szCs w:val="18"/>
        </w:rPr>
        <w:tab/>
      </w:r>
      <w:r w:rsidRPr="00E873F8">
        <w:rPr>
          <w:szCs w:val="18"/>
        </w:rPr>
        <w:t>CEDAW General Recommendation No 35</w:t>
      </w:r>
      <w:r w:rsidR="005C2C95">
        <w:rPr>
          <w:szCs w:val="18"/>
        </w:rPr>
        <w:t>.</w:t>
      </w:r>
    </w:p>
  </w:footnote>
  <w:footnote w:id="67">
    <w:p w14:paraId="2A147BD8" w14:textId="6F9FF4D8" w:rsidR="006C7C70" w:rsidRPr="00600C14" w:rsidRDefault="006C7C70" w:rsidP="001E2F10">
      <w:pPr>
        <w:pStyle w:val="FootnoteText"/>
        <w:rPr>
          <w:szCs w:val="18"/>
        </w:rPr>
      </w:pPr>
      <w:r>
        <w:rPr>
          <w:color w:val="000000" w:themeColor="text1"/>
          <w:szCs w:val="18"/>
        </w:rPr>
        <w:tab/>
      </w:r>
      <w:r w:rsidRPr="00E873F8">
        <w:rPr>
          <w:rStyle w:val="FootnoteReference"/>
          <w:color w:val="000000" w:themeColor="text1"/>
          <w:szCs w:val="18"/>
        </w:rPr>
        <w:footnoteRef/>
      </w:r>
      <w:r>
        <w:rPr>
          <w:color w:val="000000" w:themeColor="text1"/>
          <w:szCs w:val="18"/>
        </w:rPr>
        <w:tab/>
      </w:r>
      <w:r>
        <w:rPr>
          <w:color w:val="000000" w:themeColor="text1"/>
          <w:szCs w:val="18"/>
        </w:rPr>
        <w:tab/>
      </w:r>
      <w:r w:rsidRPr="00C77E2F">
        <w:rPr>
          <w:i/>
          <w:iCs/>
          <w:szCs w:val="18"/>
        </w:rPr>
        <w:t>See</w:t>
      </w:r>
      <w:r w:rsidRPr="00567C2F">
        <w:rPr>
          <w:szCs w:val="18"/>
        </w:rPr>
        <w:t>,</w:t>
      </w:r>
      <w:r w:rsidRPr="001E2F10">
        <w:rPr>
          <w:szCs w:val="18"/>
        </w:rPr>
        <w:t xml:space="preserve"> HR</w:t>
      </w:r>
      <w:r>
        <w:rPr>
          <w:szCs w:val="18"/>
        </w:rPr>
        <w:t xml:space="preserve"> Committee</w:t>
      </w:r>
      <w:r w:rsidRPr="001E2F10">
        <w:rPr>
          <w:szCs w:val="18"/>
        </w:rPr>
        <w:t>. Mellet v. Ireland. Communication No. 2324</w:t>
      </w:r>
      <w:r w:rsidRPr="00E873F8">
        <w:rPr>
          <w:color w:val="000000" w:themeColor="text1"/>
          <w:szCs w:val="18"/>
        </w:rPr>
        <w:t xml:space="preserve">/2013; HRC. Whelan v. Ireland </w:t>
      </w:r>
      <w:r w:rsidRPr="00600C14">
        <w:rPr>
          <w:szCs w:val="18"/>
        </w:rPr>
        <w:t>Communication No 2425/2014</w:t>
      </w:r>
      <w:r w:rsidR="005C2C95">
        <w:rPr>
          <w:szCs w:val="18"/>
        </w:rPr>
        <w:t>.</w:t>
      </w:r>
    </w:p>
  </w:footnote>
  <w:footnote w:id="68">
    <w:p w14:paraId="6EDFC9A2" w14:textId="075481B2" w:rsidR="006C7C70" w:rsidRPr="00E873F8" w:rsidRDefault="006C7C70" w:rsidP="001E2F10">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sidRPr="00E873F8">
        <w:rPr>
          <w:i/>
          <w:iCs/>
          <w:color w:val="000000" w:themeColor="text1"/>
          <w:szCs w:val="18"/>
        </w:rPr>
        <w:t>See</w:t>
      </w:r>
      <w:r w:rsidRPr="00E873F8">
        <w:rPr>
          <w:color w:val="000000" w:themeColor="text1"/>
          <w:szCs w:val="18"/>
        </w:rPr>
        <w:t>,</w:t>
      </w:r>
      <w:r w:rsidRPr="00600C14">
        <w:rPr>
          <w:szCs w:val="18"/>
        </w:rPr>
        <w:t xml:space="preserve"> CEDAW/GC/28</w:t>
      </w:r>
      <w:r w:rsidR="005C2C95">
        <w:rPr>
          <w:szCs w:val="18"/>
        </w:rPr>
        <w:t>.</w:t>
      </w:r>
    </w:p>
  </w:footnote>
  <w:footnote w:id="69">
    <w:p w14:paraId="1A474696" w14:textId="502CEF39" w:rsidR="006C7C70" w:rsidRPr="00E873F8" w:rsidRDefault="006C7C70" w:rsidP="001E2F10">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sidRPr="00600C14">
        <w:rPr>
          <w:szCs w:val="18"/>
        </w:rPr>
        <w:t>CERD Committee,</w:t>
      </w:r>
      <w:r w:rsidRPr="00E873F8">
        <w:rPr>
          <w:color w:val="000000" w:themeColor="text1"/>
          <w:szCs w:val="18"/>
        </w:rPr>
        <w:t xml:space="preserve"> General Recommendation </w:t>
      </w:r>
      <w:r>
        <w:rPr>
          <w:color w:val="000000" w:themeColor="text1"/>
          <w:szCs w:val="18"/>
        </w:rPr>
        <w:t xml:space="preserve">No </w:t>
      </w:r>
      <w:r w:rsidRPr="00E873F8">
        <w:rPr>
          <w:color w:val="000000" w:themeColor="text1"/>
          <w:szCs w:val="18"/>
        </w:rPr>
        <w:t>25</w:t>
      </w:r>
      <w:r w:rsidR="005C2C95">
        <w:rPr>
          <w:color w:val="000000" w:themeColor="text1"/>
          <w:szCs w:val="18"/>
        </w:rPr>
        <w:t>.</w:t>
      </w:r>
      <w:r w:rsidRPr="00E873F8">
        <w:rPr>
          <w:color w:val="000000" w:themeColor="text1"/>
          <w:szCs w:val="18"/>
        </w:rPr>
        <w:t xml:space="preserve"> </w:t>
      </w:r>
    </w:p>
  </w:footnote>
  <w:footnote w:id="70">
    <w:p w14:paraId="3B6BB059" w14:textId="1895C23E" w:rsidR="006C7C70" w:rsidRPr="00600C14" w:rsidRDefault="006C7C70" w:rsidP="001E2F10">
      <w:pPr>
        <w:tabs>
          <w:tab w:val="right" w:pos="1021"/>
        </w:tabs>
        <w:spacing w:line="220" w:lineRule="exact"/>
        <w:ind w:left="1134" w:right="1134" w:hanging="1134"/>
        <w:rPr>
          <w:rStyle w:val="FootnoteTextChar"/>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600C14">
        <w:rPr>
          <w:rStyle w:val="FootnoteTextChar"/>
          <w:i/>
        </w:rPr>
        <w:t>See,</w:t>
      </w:r>
      <w:r w:rsidRPr="00600C14">
        <w:rPr>
          <w:rStyle w:val="FootnoteTextChar"/>
        </w:rPr>
        <w:t xml:space="preserve"> CAT Committee </w:t>
      </w:r>
      <w:r>
        <w:rPr>
          <w:rStyle w:val="FootnoteTextChar"/>
        </w:rPr>
        <w:t>G</w:t>
      </w:r>
      <w:r w:rsidRPr="00600C14">
        <w:rPr>
          <w:rStyle w:val="FootnoteTextChar"/>
        </w:rPr>
        <w:t xml:space="preserve">eneral </w:t>
      </w:r>
      <w:r>
        <w:rPr>
          <w:rStyle w:val="FootnoteTextChar"/>
        </w:rPr>
        <w:t>C</w:t>
      </w:r>
      <w:r w:rsidRPr="00600C14">
        <w:rPr>
          <w:rStyle w:val="FootnoteTextChar"/>
        </w:rPr>
        <w:t xml:space="preserve">omment </w:t>
      </w:r>
      <w:r>
        <w:rPr>
          <w:rStyle w:val="FootnoteTextChar"/>
        </w:rPr>
        <w:t xml:space="preserve">No </w:t>
      </w:r>
      <w:r w:rsidRPr="00600C14">
        <w:rPr>
          <w:rStyle w:val="FootnoteTextChar"/>
        </w:rPr>
        <w:t xml:space="preserve">2 </w:t>
      </w:r>
      <w:r>
        <w:rPr>
          <w:rStyle w:val="FootnoteTextChar"/>
        </w:rPr>
        <w:t xml:space="preserve"> para </w:t>
      </w:r>
      <w:r w:rsidRPr="00600C14">
        <w:rPr>
          <w:rStyle w:val="FootnoteTextChar"/>
        </w:rPr>
        <w:t>22</w:t>
      </w:r>
      <w:r>
        <w:rPr>
          <w:rStyle w:val="FootnoteTextChar"/>
        </w:rPr>
        <w:t>;</w:t>
      </w:r>
      <w:r w:rsidRPr="00600C14">
        <w:rPr>
          <w:rStyle w:val="FootnoteTextChar"/>
        </w:rPr>
        <w:t xml:space="preserve"> </w:t>
      </w:r>
      <w:r>
        <w:rPr>
          <w:rStyle w:val="FootnoteTextChar"/>
        </w:rPr>
        <w:t xml:space="preserve"> and </w:t>
      </w:r>
      <w:r w:rsidRPr="00600C14">
        <w:rPr>
          <w:rStyle w:val="FootnoteTextChar"/>
        </w:rPr>
        <w:t xml:space="preserve"> CAT/C/57/4 (22 March 2016)</w:t>
      </w:r>
      <w:r w:rsidR="005C2C95">
        <w:rPr>
          <w:rStyle w:val="FootnoteTextChar"/>
        </w:rPr>
        <w:t>.</w:t>
      </w:r>
    </w:p>
  </w:footnote>
  <w:footnote w:id="71">
    <w:p w14:paraId="2D592797" w14:textId="39331251" w:rsidR="006C7C70" w:rsidRPr="00600C14" w:rsidRDefault="006C7C70" w:rsidP="001E2F10">
      <w:pPr>
        <w:tabs>
          <w:tab w:val="right" w:pos="1021"/>
        </w:tabs>
        <w:spacing w:line="220" w:lineRule="exact"/>
        <w:ind w:left="1134" w:right="1134" w:hanging="1134"/>
        <w:rPr>
          <w:rStyle w:val="FootnoteTextChar"/>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600C14">
        <w:rPr>
          <w:rStyle w:val="FootnoteTextChar"/>
          <w:i/>
        </w:rPr>
        <w:t>See e.g.,</w:t>
      </w:r>
      <w:r w:rsidRPr="00600C14">
        <w:rPr>
          <w:rStyle w:val="FootnoteTextChar"/>
        </w:rPr>
        <w:t xml:space="preserve"> A/HRC/38/46 para 14 A/HRC/35/23 para 16</w:t>
      </w:r>
      <w:r>
        <w:rPr>
          <w:rStyle w:val="FootnoteTextChar"/>
        </w:rPr>
        <w:t>;</w:t>
      </w:r>
      <w:r w:rsidRPr="00600C14">
        <w:rPr>
          <w:rStyle w:val="FootnoteTextChar"/>
        </w:rPr>
        <w:t xml:space="preserve"> and A/56/156 para19</w:t>
      </w:r>
      <w:r w:rsidR="005C2C95">
        <w:rPr>
          <w:rStyle w:val="FootnoteTextChar"/>
        </w:rPr>
        <w:t>.</w:t>
      </w:r>
    </w:p>
  </w:footnote>
  <w:footnote w:id="72">
    <w:p w14:paraId="50509CDA" w14:textId="441BD639" w:rsidR="006C7C70" w:rsidRPr="00600C14" w:rsidRDefault="006C7C70" w:rsidP="001E2F10">
      <w:pPr>
        <w:tabs>
          <w:tab w:val="right" w:pos="1021"/>
        </w:tabs>
        <w:spacing w:line="220" w:lineRule="exact"/>
        <w:ind w:left="1134" w:right="1134" w:hanging="1134"/>
        <w:rPr>
          <w:rStyle w:val="FootnoteTextChar"/>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600C14">
        <w:rPr>
          <w:rStyle w:val="FootnoteTextChar"/>
          <w:i/>
        </w:rPr>
        <w:t>See e.g.,</w:t>
      </w:r>
      <w:r w:rsidRPr="00600C14">
        <w:rPr>
          <w:rStyle w:val="FootnoteTextChar"/>
        </w:rPr>
        <w:t xml:space="preserve"> Council of Europe, Convention on preventing and combating violence against women and domestic violence (Istanbul Convention), 2014; Inter-American Court of Human Advisory Opinion OC-24/17 (November 24, 2017) </w:t>
      </w:r>
      <w:r>
        <w:rPr>
          <w:rStyle w:val="FootnoteTextChar"/>
        </w:rPr>
        <w:t>para</w:t>
      </w:r>
      <w:r w:rsidRPr="00600C14">
        <w:rPr>
          <w:rStyle w:val="FootnoteTextChar"/>
        </w:rPr>
        <w:t xml:space="preserve"> 32; </w:t>
      </w:r>
      <w:r w:rsidRPr="00C77E2F">
        <w:rPr>
          <w:rStyle w:val="FootnoteTextChar"/>
          <w:i/>
          <w:iCs/>
        </w:rPr>
        <w:t>See also,</w:t>
      </w:r>
      <w:r w:rsidRPr="00600C14">
        <w:rPr>
          <w:rStyle w:val="FootnoteTextChar"/>
        </w:rPr>
        <w:t xml:space="preserve"> current draft of the Prevention and punishment of crimes against humanity (CAH) Convention,  A/CN.4/L.935, Article 2.1(h).</w:t>
      </w:r>
    </w:p>
  </w:footnote>
  <w:footnote w:id="73">
    <w:p w14:paraId="3F9E3E99" w14:textId="1FC10E80" w:rsidR="006C7C70" w:rsidRPr="00E873F8" w:rsidRDefault="006C7C70" w:rsidP="003D7214">
      <w:pPr>
        <w:tabs>
          <w:tab w:val="right" w:pos="1021"/>
        </w:tabs>
        <w:spacing w:line="220" w:lineRule="exact"/>
        <w:ind w:left="1134" w:right="1134" w:hanging="1134"/>
        <w:rPr>
          <w:color w:val="000000" w:themeColor="text1"/>
          <w:sz w:val="18"/>
          <w:szCs w:val="18"/>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E873F8">
        <w:rPr>
          <w:i/>
          <w:iCs/>
          <w:color w:val="000000" w:themeColor="text1"/>
          <w:sz w:val="18"/>
          <w:szCs w:val="18"/>
        </w:rPr>
        <w:t>See e.g</w:t>
      </w:r>
      <w:r w:rsidRPr="00E873F8">
        <w:rPr>
          <w:color w:val="000000" w:themeColor="text1"/>
          <w:sz w:val="18"/>
          <w:szCs w:val="18"/>
        </w:rPr>
        <w:t>, C</w:t>
      </w:r>
      <w:r w:rsidRPr="003C6D85">
        <w:rPr>
          <w:rStyle w:val="FootnoteTextChar"/>
        </w:rPr>
        <w:t xml:space="preserve">EDAW </w:t>
      </w:r>
      <w:r w:rsidRPr="00E873F8">
        <w:rPr>
          <w:color w:val="000000" w:themeColor="text1"/>
          <w:sz w:val="18"/>
          <w:szCs w:val="18"/>
        </w:rPr>
        <w:t>General Recommendation No. 28</w:t>
      </w:r>
      <w:r w:rsidR="005C2C95">
        <w:rPr>
          <w:color w:val="000000" w:themeColor="text1"/>
          <w:sz w:val="18"/>
          <w:szCs w:val="18"/>
        </w:rPr>
        <w:t>.</w:t>
      </w:r>
    </w:p>
  </w:footnote>
  <w:footnote w:id="74">
    <w:p w14:paraId="34D44089" w14:textId="73012B11" w:rsidR="006C7C70" w:rsidRPr="003C6D85" w:rsidRDefault="006C7C70" w:rsidP="003D7214">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3C6D85">
        <w:rPr>
          <w:color w:val="000000" w:themeColor="text1"/>
          <w:szCs w:val="18"/>
        </w:rPr>
        <w:t xml:space="preserve"> </w:t>
      </w:r>
      <w:r w:rsidRPr="003C6D85">
        <w:rPr>
          <w:color w:val="000000" w:themeColor="text1"/>
          <w:szCs w:val="18"/>
        </w:rPr>
        <w:tab/>
      </w:r>
      <w:r w:rsidRPr="00DA5F83">
        <w:rPr>
          <w:i/>
          <w:iCs/>
          <w:color w:val="000000" w:themeColor="text1"/>
          <w:szCs w:val="18"/>
        </w:rPr>
        <w:t>See,</w:t>
      </w:r>
      <w:r w:rsidRPr="003C6D85">
        <w:rPr>
          <w:color w:val="000000" w:themeColor="text1"/>
          <w:szCs w:val="18"/>
        </w:rPr>
        <w:t xml:space="preserve"> Toonen v Australia (CCPR/C/50/D/488/199</w:t>
      </w:r>
      <w:r>
        <w:rPr>
          <w:color w:val="000000" w:themeColor="text1"/>
          <w:szCs w:val="18"/>
        </w:rPr>
        <w:t>2)</w:t>
      </w:r>
      <w:r w:rsidR="005C2C95">
        <w:rPr>
          <w:color w:val="000000" w:themeColor="text1"/>
          <w:szCs w:val="18"/>
        </w:rPr>
        <w:t>.</w:t>
      </w:r>
    </w:p>
  </w:footnote>
  <w:footnote w:id="75">
    <w:p w14:paraId="4DBC9026" w14:textId="30B64915" w:rsidR="006C7C70" w:rsidRPr="006D4B54" w:rsidRDefault="006C7C70" w:rsidP="003D7214">
      <w:pPr>
        <w:tabs>
          <w:tab w:val="right" w:pos="1021"/>
        </w:tabs>
        <w:spacing w:line="220" w:lineRule="exact"/>
        <w:ind w:left="1134" w:right="1134" w:hanging="1134"/>
        <w:rPr>
          <w:color w:val="000000" w:themeColor="text1"/>
          <w:sz w:val="18"/>
          <w:szCs w:val="18"/>
          <w:lang w:val="es-ES"/>
        </w:rPr>
      </w:pPr>
      <w:r w:rsidRPr="003C6D85">
        <w:rPr>
          <w:color w:val="000000" w:themeColor="text1"/>
          <w:sz w:val="18"/>
          <w:szCs w:val="18"/>
        </w:rPr>
        <w:tab/>
      </w:r>
      <w:r w:rsidRPr="00E873F8">
        <w:rPr>
          <w:rStyle w:val="FootnoteReference"/>
          <w:color w:val="000000" w:themeColor="text1"/>
          <w:szCs w:val="18"/>
        </w:rPr>
        <w:footnoteRef/>
      </w:r>
      <w:r w:rsidRPr="003D7214">
        <w:rPr>
          <w:color w:val="000000" w:themeColor="text1"/>
          <w:sz w:val="18"/>
          <w:szCs w:val="18"/>
          <w:lang w:val="es-ES"/>
        </w:rPr>
        <w:t xml:space="preserve"> </w:t>
      </w:r>
      <w:r>
        <w:rPr>
          <w:color w:val="000000" w:themeColor="text1"/>
          <w:sz w:val="18"/>
          <w:szCs w:val="18"/>
          <w:lang w:val="es-ES"/>
        </w:rPr>
        <w:tab/>
      </w:r>
      <w:r w:rsidRPr="003D7214">
        <w:rPr>
          <w:color w:val="000000" w:themeColor="text1"/>
          <w:sz w:val="18"/>
          <w:szCs w:val="18"/>
          <w:lang w:val="es-ES"/>
        </w:rPr>
        <w:t xml:space="preserve">G. v </w:t>
      </w:r>
      <w:r w:rsidRPr="003D7214">
        <w:rPr>
          <w:rStyle w:val="FootnoteTextChar"/>
          <w:lang w:val="es-ES"/>
        </w:rPr>
        <w:t>Australia</w:t>
      </w:r>
      <w:r>
        <w:rPr>
          <w:rStyle w:val="FootnoteTextChar"/>
          <w:lang w:val="es-ES"/>
        </w:rPr>
        <w:t xml:space="preserve"> (</w:t>
      </w:r>
      <w:r w:rsidRPr="006D4B54">
        <w:rPr>
          <w:color w:val="000000" w:themeColor="text1"/>
          <w:sz w:val="18"/>
          <w:szCs w:val="18"/>
          <w:lang w:val="es-ES"/>
        </w:rPr>
        <w:t>CCPR/C/119/D/2172/2012</w:t>
      </w:r>
      <w:r>
        <w:rPr>
          <w:color w:val="000000" w:themeColor="text1"/>
          <w:sz w:val="18"/>
          <w:szCs w:val="18"/>
          <w:lang w:val="es-ES"/>
        </w:rPr>
        <w:t>)</w:t>
      </w:r>
      <w:r w:rsidR="005C2C95">
        <w:rPr>
          <w:color w:val="000000" w:themeColor="text1"/>
          <w:sz w:val="18"/>
          <w:szCs w:val="18"/>
          <w:lang w:val="es-ES"/>
        </w:rPr>
        <w:t>.</w:t>
      </w:r>
    </w:p>
  </w:footnote>
  <w:footnote w:id="76">
    <w:p w14:paraId="55F2ED7A" w14:textId="5B58AE18" w:rsidR="006C7C70" w:rsidRPr="006D4B54" w:rsidRDefault="006C7C70" w:rsidP="003D7214">
      <w:pPr>
        <w:pStyle w:val="FootnoteText"/>
        <w:rPr>
          <w:color w:val="000000" w:themeColor="text1"/>
          <w:szCs w:val="18"/>
          <w:lang w:val="es-ES"/>
        </w:rPr>
      </w:pPr>
      <w:r>
        <w:rPr>
          <w:color w:val="000000" w:themeColor="text1"/>
          <w:szCs w:val="18"/>
          <w:lang w:val="es-ES"/>
        </w:rPr>
        <w:tab/>
      </w:r>
      <w:r w:rsidRPr="00E873F8">
        <w:rPr>
          <w:rStyle w:val="FootnoteReference"/>
          <w:color w:val="000000" w:themeColor="text1"/>
          <w:szCs w:val="18"/>
        </w:rPr>
        <w:footnoteRef/>
      </w:r>
      <w:r w:rsidRPr="006D4B54">
        <w:rPr>
          <w:color w:val="000000" w:themeColor="text1"/>
          <w:szCs w:val="18"/>
          <w:lang w:val="es-ES"/>
        </w:rPr>
        <w:t xml:space="preserve"> </w:t>
      </w:r>
      <w:r>
        <w:rPr>
          <w:color w:val="000000" w:themeColor="text1"/>
          <w:szCs w:val="18"/>
          <w:lang w:val="es-ES"/>
        </w:rPr>
        <w:tab/>
      </w:r>
      <w:r w:rsidRPr="006D4B54">
        <w:rPr>
          <w:color w:val="000000" w:themeColor="text1"/>
          <w:szCs w:val="18"/>
          <w:lang w:val="es-ES"/>
        </w:rPr>
        <w:t>E/C.12/GC/20, 10 June 2009</w:t>
      </w:r>
      <w:r w:rsidR="005C2C95">
        <w:rPr>
          <w:color w:val="000000" w:themeColor="text1"/>
          <w:szCs w:val="18"/>
          <w:lang w:val="es-ES"/>
        </w:rPr>
        <w:t>.</w:t>
      </w:r>
    </w:p>
  </w:footnote>
  <w:footnote w:id="77">
    <w:p w14:paraId="638D3BD5" w14:textId="050816FD" w:rsidR="006C7C70" w:rsidRPr="001E77C8" w:rsidRDefault="006C7C70" w:rsidP="003D7214">
      <w:pPr>
        <w:pStyle w:val="FootnoteText"/>
        <w:rPr>
          <w:color w:val="000000" w:themeColor="text1"/>
          <w:szCs w:val="18"/>
        </w:rPr>
      </w:pPr>
      <w:r>
        <w:rPr>
          <w:color w:val="000000" w:themeColor="text1"/>
          <w:szCs w:val="18"/>
          <w:lang w:val="es-ES"/>
        </w:rPr>
        <w:tab/>
      </w:r>
      <w:r w:rsidRPr="00E873F8">
        <w:rPr>
          <w:rStyle w:val="FootnoteReference"/>
          <w:color w:val="000000" w:themeColor="text1"/>
          <w:szCs w:val="18"/>
        </w:rPr>
        <w:footnoteRef/>
      </w:r>
      <w:r w:rsidRPr="006D4B54">
        <w:rPr>
          <w:color w:val="000000" w:themeColor="text1"/>
          <w:szCs w:val="18"/>
          <w:lang w:val="es-ES"/>
        </w:rPr>
        <w:t xml:space="preserve"> </w:t>
      </w:r>
      <w:r>
        <w:rPr>
          <w:color w:val="000000" w:themeColor="text1"/>
          <w:szCs w:val="18"/>
          <w:lang w:val="es-ES"/>
        </w:rPr>
        <w:tab/>
      </w:r>
      <w:r w:rsidRPr="001E77C8">
        <w:rPr>
          <w:color w:val="000000" w:themeColor="text1"/>
          <w:szCs w:val="18"/>
        </w:rPr>
        <w:t>CEDAW/C/GC/35, para 12</w:t>
      </w:r>
      <w:r w:rsidR="005C2C95">
        <w:rPr>
          <w:color w:val="000000" w:themeColor="text1"/>
          <w:szCs w:val="18"/>
        </w:rPr>
        <w:t>.</w:t>
      </w:r>
    </w:p>
  </w:footnote>
  <w:footnote w:id="78">
    <w:p w14:paraId="3C3D4467" w14:textId="73C67E7A" w:rsidR="006C7C70" w:rsidRPr="00A65CD7" w:rsidRDefault="006C7C70" w:rsidP="00450599">
      <w:pPr>
        <w:pStyle w:val="FootnoteText"/>
      </w:pPr>
      <w:r>
        <w:rPr>
          <w:szCs w:val="18"/>
        </w:rPr>
        <w:tab/>
      </w:r>
      <w:r w:rsidRPr="00A65CD7">
        <w:rPr>
          <w:rStyle w:val="FootnoteReference"/>
          <w:szCs w:val="18"/>
        </w:rPr>
        <w:footnoteRef/>
      </w:r>
      <w:r w:rsidRPr="00A65CD7">
        <w:rPr>
          <w:szCs w:val="18"/>
        </w:rPr>
        <w:t xml:space="preserve"> </w:t>
      </w:r>
      <w:r>
        <w:rPr>
          <w:szCs w:val="18"/>
        </w:rPr>
        <w:tab/>
      </w:r>
      <w:r w:rsidRPr="00A65CD7">
        <w:rPr>
          <w:szCs w:val="18"/>
        </w:rPr>
        <w:t>https://www.ohchr.org/Documents/Issues/Executions/LetterGender.pdf</w:t>
      </w:r>
      <w:r w:rsidR="005C2C95">
        <w:rPr>
          <w:szCs w:val="18"/>
        </w:rPr>
        <w:t>.</w:t>
      </w:r>
    </w:p>
  </w:footnote>
  <w:footnote w:id="79">
    <w:p w14:paraId="1575FE16" w14:textId="4625D2E6" w:rsidR="006C7C70" w:rsidRPr="003D7214" w:rsidRDefault="006C7C70" w:rsidP="003D7214">
      <w:pPr>
        <w:tabs>
          <w:tab w:val="right" w:pos="1021"/>
        </w:tabs>
        <w:spacing w:line="220" w:lineRule="exact"/>
        <w:ind w:left="1134" w:right="1134" w:hanging="1134"/>
        <w:rPr>
          <w:color w:val="000000" w:themeColor="text1"/>
          <w:sz w:val="18"/>
          <w:szCs w:val="18"/>
        </w:rPr>
      </w:pPr>
      <w:r w:rsidRPr="001E77C8">
        <w:rPr>
          <w:color w:val="000000" w:themeColor="text1"/>
          <w:sz w:val="18"/>
          <w:szCs w:val="18"/>
        </w:rPr>
        <w:tab/>
      </w:r>
      <w:r w:rsidRPr="00E873F8">
        <w:rPr>
          <w:rStyle w:val="FootnoteReference"/>
          <w:color w:val="000000" w:themeColor="text1"/>
          <w:szCs w:val="18"/>
        </w:rPr>
        <w:footnoteRef/>
      </w:r>
      <w:r w:rsidRPr="003D7214">
        <w:rPr>
          <w:color w:val="000000" w:themeColor="text1"/>
          <w:sz w:val="18"/>
          <w:szCs w:val="18"/>
        </w:rPr>
        <w:t xml:space="preserve"> </w:t>
      </w:r>
      <w:r w:rsidRPr="003D7214">
        <w:rPr>
          <w:color w:val="000000" w:themeColor="text1"/>
          <w:sz w:val="18"/>
          <w:szCs w:val="18"/>
        </w:rPr>
        <w:tab/>
      </w:r>
      <w:r w:rsidRPr="006420B3">
        <w:rPr>
          <w:rStyle w:val="FootnoteTextChar"/>
          <w:lang w:val="es-ES"/>
        </w:rPr>
        <w:t>A/HRC/37/49</w:t>
      </w:r>
      <w:r w:rsidR="005C2C95">
        <w:rPr>
          <w:rStyle w:val="FootnoteTextChar"/>
          <w:lang w:val="es-ES"/>
        </w:rPr>
        <w:t>.</w:t>
      </w:r>
      <w:r w:rsidRPr="003D7214">
        <w:rPr>
          <w:rStyle w:val="normaltextrun"/>
          <w:color w:val="000000" w:themeColor="text1"/>
          <w:szCs w:val="18"/>
          <w:shd w:val="clear" w:color="auto" w:fill="FFFFFF"/>
        </w:rPr>
        <w:t xml:space="preserve"> </w:t>
      </w:r>
    </w:p>
  </w:footnote>
  <w:footnote w:id="80">
    <w:p w14:paraId="6AA13D39" w14:textId="443F7F55" w:rsidR="006C7C70" w:rsidRPr="003D7214" w:rsidRDefault="006C7C70" w:rsidP="003D7214">
      <w:pPr>
        <w:tabs>
          <w:tab w:val="right" w:pos="1021"/>
        </w:tabs>
        <w:spacing w:line="220" w:lineRule="exact"/>
        <w:ind w:left="1134" w:right="1134" w:hanging="1134"/>
        <w:rPr>
          <w:sz w:val="18"/>
          <w:szCs w:val="18"/>
        </w:rPr>
      </w:pPr>
      <w:r>
        <w:rPr>
          <w:sz w:val="18"/>
          <w:szCs w:val="18"/>
        </w:rPr>
        <w:tab/>
      </w:r>
      <w:r w:rsidRPr="00A853F9">
        <w:rPr>
          <w:rStyle w:val="FootnoteReference"/>
          <w:szCs w:val="18"/>
        </w:rPr>
        <w:footnoteRef/>
      </w:r>
      <w:r w:rsidRPr="003D7214">
        <w:rPr>
          <w:sz w:val="18"/>
          <w:szCs w:val="18"/>
        </w:rPr>
        <w:t xml:space="preserve"> </w:t>
      </w:r>
      <w:r>
        <w:rPr>
          <w:sz w:val="18"/>
          <w:szCs w:val="18"/>
        </w:rPr>
        <w:tab/>
      </w:r>
      <w:r w:rsidRPr="003C6D85">
        <w:rPr>
          <w:rStyle w:val="FootnoteTextChar"/>
        </w:rPr>
        <w:t>A/69/26,</w:t>
      </w:r>
      <w:r w:rsidRPr="003D7214">
        <w:rPr>
          <w:sz w:val="18"/>
          <w:szCs w:val="18"/>
        </w:rPr>
        <w:t xml:space="preserve"> para 59</w:t>
      </w:r>
      <w:r w:rsidR="005C2C95">
        <w:rPr>
          <w:sz w:val="18"/>
          <w:szCs w:val="18"/>
        </w:rPr>
        <w:t>.</w:t>
      </w:r>
    </w:p>
  </w:footnote>
  <w:footnote w:id="81">
    <w:p w14:paraId="46B6AC7E" w14:textId="0D285C53" w:rsidR="006C7C70" w:rsidRPr="003D7214" w:rsidRDefault="006C7C70" w:rsidP="003D7214">
      <w:pPr>
        <w:pStyle w:val="FootnoteText"/>
        <w:rPr>
          <w:sz w:val="16"/>
          <w:szCs w:val="18"/>
          <w:lang w:val="en-IE"/>
        </w:rPr>
      </w:pPr>
      <w:r>
        <w:rPr>
          <w:szCs w:val="18"/>
        </w:rPr>
        <w:tab/>
      </w:r>
      <w:r w:rsidRPr="00A773C8">
        <w:rPr>
          <w:rStyle w:val="FootnoteReference"/>
          <w:szCs w:val="18"/>
        </w:rPr>
        <w:footnoteRef/>
      </w:r>
      <w:r w:rsidRPr="003D7214">
        <w:rPr>
          <w:szCs w:val="18"/>
        </w:rPr>
        <w:t xml:space="preserve"> </w:t>
      </w:r>
      <w:r>
        <w:rPr>
          <w:szCs w:val="18"/>
        </w:rPr>
        <w:tab/>
      </w:r>
      <w:r w:rsidRPr="00467FEB">
        <w:rPr>
          <w:rStyle w:val="FootnoteTextChar"/>
          <w:i/>
          <w:iCs/>
          <w:szCs w:val="18"/>
        </w:rPr>
        <w:t>See,</w:t>
      </w:r>
      <w:r w:rsidRPr="00DA5F83">
        <w:rPr>
          <w:rStyle w:val="FootnoteTextChar"/>
          <w:szCs w:val="18"/>
        </w:rPr>
        <w:t xml:space="preserve"> ECtHR, </w:t>
      </w:r>
      <w:r w:rsidRPr="00DA5F83">
        <w:rPr>
          <w:rStyle w:val="FootnoteTextChar"/>
          <w:i/>
          <w:szCs w:val="18"/>
        </w:rPr>
        <w:t>Eweida and Others v. United Kingdom</w:t>
      </w:r>
      <w:r w:rsidR="005C2C95">
        <w:rPr>
          <w:rStyle w:val="FootnoteTextChar"/>
          <w:i/>
          <w:szCs w:val="18"/>
        </w:rPr>
        <w:t>.</w:t>
      </w:r>
    </w:p>
  </w:footnote>
  <w:footnote w:id="82">
    <w:p w14:paraId="6904301E" w14:textId="262EE37E" w:rsidR="006C7C70" w:rsidRPr="003C6D85" w:rsidRDefault="006C7C70" w:rsidP="003D7214">
      <w:pPr>
        <w:pStyle w:val="FootnoteText"/>
        <w:rPr>
          <w:szCs w:val="18"/>
          <w:lang w:val="es-ES"/>
        </w:rPr>
      </w:pPr>
      <w:r>
        <w:rPr>
          <w:szCs w:val="18"/>
        </w:rPr>
        <w:tab/>
      </w:r>
      <w:r w:rsidRPr="00E873F8">
        <w:rPr>
          <w:rStyle w:val="FootnoteReference"/>
          <w:szCs w:val="18"/>
        </w:rPr>
        <w:footnoteRef/>
      </w:r>
      <w:r w:rsidRPr="00E873F8">
        <w:rPr>
          <w:szCs w:val="18"/>
        </w:rPr>
        <w:t xml:space="preserve"> </w:t>
      </w:r>
      <w:r>
        <w:rPr>
          <w:szCs w:val="18"/>
        </w:rPr>
        <w:tab/>
      </w:r>
      <w:r w:rsidRPr="00DA5F83">
        <w:rPr>
          <w:rStyle w:val="FootnoteTextChar"/>
          <w:i/>
          <w:iCs/>
        </w:rPr>
        <w:t>Prince v. South Africa</w:t>
      </w:r>
      <w:r w:rsidRPr="003C6D85">
        <w:rPr>
          <w:rStyle w:val="FootnoteTextChar"/>
        </w:rPr>
        <w:t xml:space="preserve">, </w:t>
      </w:r>
      <w:r w:rsidRPr="003D7214">
        <w:rPr>
          <w:rStyle w:val="FootnoteTextChar"/>
          <w:lang w:val="es-ES"/>
        </w:rPr>
        <w:t>CCPR/C/</w:t>
      </w:r>
      <w:r w:rsidRPr="003C6D85">
        <w:rPr>
          <w:szCs w:val="18"/>
          <w:lang w:val="es-ES"/>
        </w:rPr>
        <w:t>91/D/1474/2006</w:t>
      </w:r>
      <w:r w:rsidR="005C2C95">
        <w:rPr>
          <w:szCs w:val="18"/>
          <w:lang w:val="es-ES"/>
        </w:rPr>
        <w:t>.</w:t>
      </w:r>
    </w:p>
  </w:footnote>
  <w:footnote w:id="83">
    <w:p w14:paraId="60B6E0A3" w14:textId="120D9E5A" w:rsidR="006C7C70" w:rsidRPr="006D4B54" w:rsidRDefault="006C7C70" w:rsidP="003D7214">
      <w:pPr>
        <w:tabs>
          <w:tab w:val="right" w:pos="1021"/>
        </w:tabs>
        <w:spacing w:line="220" w:lineRule="exact"/>
        <w:ind w:left="1134" w:right="1134" w:hanging="1134"/>
        <w:rPr>
          <w:sz w:val="18"/>
          <w:szCs w:val="18"/>
          <w:lang w:val="es-ES"/>
        </w:rPr>
      </w:pPr>
      <w:r w:rsidRPr="003C6D85">
        <w:rPr>
          <w:sz w:val="18"/>
          <w:szCs w:val="18"/>
          <w:lang w:val="es-ES"/>
        </w:rPr>
        <w:tab/>
      </w:r>
      <w:r w:rsidRPr="00E873F8">
        <w:rPr>
          <w:rStyle w:val="FootnoteReference"/>
          <w:szCs w:val="18"/>
        </w:rPr>
        <w:footnoteRef/>
      </w:r>
      <w:r w:rsidRPr="003D7214">
        <w:rPr>
          <w:sz w:val="18"/>
          <w:szCs w:val="18"/>
          <w:lang w:val="es-ES"/>
        </w:rPr>
        <w:t xml:space="preserve"> </w:t>
      </w:r>
      <w:r w:rsidRPr="003D7214">
        <w:rPr>
          <w:sz w:val="18"/>
          <w:szCs w:val="18"/>
          <w:lang w:val="es-ES"/>
        </w:rPr>
        <w:tab/>
      </w:r>
      <w:r w:rsidRPr="003D7214">
        <w:rPr>
          <w:rStyle w:val="FootnoteTextChar"/>
          <w:lang w:val="es-ES"/>
        </w:rPr>
        <w:t>A/69/261 para 41; A/HRC/22/51, para</w:t>
      </w:r>
      <w:r>
        <w:rPr>
          <w:rStyle w:val="FootnoteTextChar"/>
          <w:lang w:val="es-ES"/>
        </w:rPr>
        <w:t xml:space="preserve"> </w:t>
      </w:r>
      <w:r w:rsidRPr="003D7214">
        <w:rPr>
          <w:rStyle w:val="FootnoteTextChar"/>
          <w:lang w:val="es-ES"/>
        </w:rPr>
        <w:t>25</w:t>
      </w:r>
      <w:r w:rsidR="005C2C95">
        <w:rPr>
          <w:rStyle w:val="FootnoteTextChar"/>
          <w:lang w:val="es-ES"/>
        </w:rPr>
        <w:t>.</w:t>
      </w:r>
    </w:p>
  </w:footnote>
  <w:footnote w:id="84">
    <w:p w14:paraId="62D4C313" w14:textId="4C0007C4" w:rsidR="006C7C70" w:rsidRPr="006D4B54" w:rsidRDefault="006C7C70" w:rsidP="003D7214">
      <w:pPr>
        <w:pStyle w:val="FootnoteText"/>
        <w:rPr>
          <w:szCs w:val="18"/>
          <w:lang w:val="es-ES"/>
        </w:rPr>
      </w:pPr>
      <w:r>
        <w:rPr>
          <w:szCs w:val="18"/>
          <w:lang w:val="es-ES"/>
        </w:rPr>
        <w:tab/>
      </w:r>
      <w:r w:rsidRPr="00E873F8">
        <w:rPr>
          <w:rStyle w:val="FootnoteReference"/>
          <w:szCs w:val="18"/>
        </w:rPr>
        <w:footnoteRef/>
      </w:r>
      <w:r w:rsidRPr="006D4B54">
        <w:rPr>
          <w:szCs w:val="18"/>
          <w:lang w:val="es-ES"/>
        </w:rPr>
        <w:t xml:space="preserve"> </w:t>
      </w:r>
      <w:r>
        <w:rPr>
          <w:szCs w:val="18"/>
          <w:lang w:val="es-ES"/>
        </w:rPr>
        <w:tab/>
      </w:r>
      <w:r w:rsidRPr="006D4B54">
        <w:rPr>
          <w:szCs w:val="18"/>
          <w:lang w:val="es-ES"/>
        </w:rPr>
        <w:t>A</w:t>
      </w:r>
      <w:r w:rsidRPr="003D7214">
        <w:rPr>
          <w:rStyle w:val="FootnoteTextChar"/>
          <w:lang w:val="es-ES"/>
        </w:rPr>
        <w:t>/HRC/69/261 para 41</w:t>
      </w:r>
      <w:r w:rsidR="005C2C95">
        <w:rPr>
          <w:rStyle w:val="FootnoteTextChar"/>
          <w:lang w:val="es-ES"/>
        </w:rPr>
        <w:t>.</w:t>
      </w:r>
    </w:p>
  </w:footnote>
  <w:footnote w:id="85">
    <w:p w14:paraId="174CA565" w14:textId="21830D61" w:rsidR="006C7C70" w:rsidRPr="006D4B54" w:rsidRDefault="006C7C70" w:rsidP="003D7214">
      <w:pPr>
        <w:tabs>
          <w:tab w:val="right" w:pos="1021"/>
        </w:tabs>
        <w:spacing w:line="220" w:lineRule="exact"/>
        <w:ind w:left="1134" w:right="1134" w:hanging="1134"/>
        <w:rPr>
          <w:sz w:val="18"/>
          <w:szCs w:val="18"/>
          <w:lang w:val="es-ES"/>
        </w:rPr>
      </w:pPr>
      <w:r>
        <w:rPr>
          <w:sz w:val="18"/>
          <w:szCs w:val="18"/>
          <w:lang w:val="es-ES"/>
        </w:rPr>
        <w:tab/>
      </w:r>
      <w:r w:rsidRPr="00E873F8">
        <w:rPr>
          <w:rStyle w:val="FootnoteReference"/>
          <w:szCs w:val="18"/>
        </w:rPr>
        <w:footnoteRef/>
      </w:r>
      <w:r w:rsidRPr="006D4B54">
        <w:rPr>
          <w:sz w:val="18"/>
          <w:szCs w:val="18"/>
          <w:lang w:val="es-ES"/>
        </w:rPr>
        <w:t xml:space="preserve"> </w:t>
      </w:r>
      <w:r>
        <w:rPr>
          <w:sz w:val="18"/>
          <w:szCs w:val="18"/>
          <w:lang w:val="es-ES"/>
        </w:rPr>
        <w:tab/>
      </w:r>
      <w:r w:rsidRPr="003D7214">
        <w:rPr>
          <w:rStyle w:val="FootnoteTextChar"/>
          <w:lang w:val="es-ES"/>
        </w:rPr>
        <w:t>A/68/290, para 60</w:t>
      </w:r>
      <w:r w:rsidR="005C2C95">
        <w:rPr>
          <w:rStyle w:val="FootnoteTextChar"/>
          <w:lang w:val="es-ES"/>
        </w:rPr>
        <w:t>.</w:t>
      </w:r>
    </w:p>
  </w:footnote>
  <w:footnote w:id="86">
    <w:p w14:paraId="7271BFF9" w14:textId="118491A8" w:rsidR="006C7C70" w:rsidRPr="00DA5F83" w:rsidRDefault="006C7C70" w:rsidP="00250BD2">
      <w:pPr>
        <w:pStyle w:val="FootnoteText"/>
        <w:rPr>
          <w:szCs w:val="18"/>
          <w:lang w:val="es-ES"/>
        </w:rPr>
      </w:pPr>
      <w:r>
        <w:rPr>
          <w:szCs w:val="18"/>
          <w:lang w:val="es-ES"/>
        </w:rPr>
        <w:tab/>
      </w:r>
      <w:r w:rsidRPr="00E873F8">
        <w:rPr>
          <w:rStyle w:val="FootnoteReference"/>
          <w:szCs w:val="18"/>
        </w:rPr>
        <w:footnoteRef/>
      </w:r>
      <w:r w:rsidRPr="003C6D85">
        <w:rPr>
          <w:szCs w:val="18"/>
          <w:lang w:val="es-ES"/>
        </w:rPr>
        <w:tab/>
      </w:r>
      <w:r w:rsidRPr="003C6D85">
        <w:rPr>
          <w:bCs/>
          <w:szCs w:val="18"/>
          <w:lang w:val="es-ES"/>
        </w:rPr>
        <w:t xml:space="preserve">A/65/207, para </w:t>
      </w:r>
      <w:r w:rsidRPr="00DA5F83">
        <w:rPr>
          <w:bCs/>
          <w:szCs w:val="18"/>
          <w:lang w:val="es-ES"/>
        </w:rPr>
        <w:t>69</w:t>
      </w:r>
      <w:r w:rsidR="005C2C95">
        <w:rPr>
          <w:bCs/>
          <w:szCs w:val="18"/>
          <w:lang w:val="es-ES"/>
        </w:rPr>
        <w:t>.</w:t>
      </w:r>
    </w:p>
  </w:footnote>
  <w:footnote w:id="87">
    <w:p w14:paraId="10DE9AB6" w14:textId="689770AD" w:rsidR="006C7C70" w:rsidRPr="00DA5F83" w:rsidRDefault="006C7C70" w:rsidP="00250BD2">
      <w:pPr>
        <w:pStyle w:val="FootnoteText"/>
        <w:rPr>
          <w:szCs w:val="18"/>
          <w:lang w:val="es-ES"/>
        </w:rPr>
      </w:pPr>
      <w:r w:rsidRPr="00DA5F83">
        <w:rPr>
          <w:szCs w:val="18"/>
          <w:lang w:val="es-ES"/>
        </w:rPr>
        <w:tab/>
      </w:r>
      <w:r w:rsidRPr="00E873F8">
        <w:rPr>
          <w:rStyle w:val="FootnoteReference"/>
          <w:szCs w:val="18"/>
        </w:rPr>
        <w:footnoteRef/>
      </w:r>
      <w:r w:rsidRPr="00DA5F83">
        <w:rPr>
          <w:szCs w:val="18"/>
          <w:lang w:val="es-ES"/>
        </w:rPr>
        <w:t xml:space="preserve"> </w:t>
      </w:r>
      <w:r w:rsidRPr="00DA5F83">
        <w:rPr>
          <w:szCs w:val="18"/>
          <w:lang w:val="es-ES"/>
        </w:rPr>
        <w:tab/>
        <w:t>A/68/290 para 30</w:t>
      </w:r>
      <w:r w:rsidR="005C2C95">
        <w:rPr>
          <w:szCs w:val="18"/>
          <w:lang w:val="es-ES"/>
        </w:rPr>
        <w:t>.</w:t>
      </w:r>
      <w:r w:rsidRPr="00DA5F83">
        <w:rPr>
          <w:szCs w:val="18"/>
          <w:lang w:val="es-ES"/>
        </w:rPr>
        <w:t xml:space="preserve"> </w:t>
      </w:r>
    </w:p>
  </w:footnote>
  <w:footnote w:id="88">
    <w:p w14:paraId="46E1F748" w14:textId="2A7994FD" w:rsidR="006C7C70" w:rsidRPr="00DA5F83" w:rsidRDefault="006C7C70" w:rsidP="00250BD2">
      <w:pPr>
        <w:pStyle w:val="FootnoteText"/>
        <w:rPr>
          <w:szCs w:val="18"/>
          <w:lang w:val="es-ES"/>
        </w:rPr>
      </w:pPr>
      <w:r w:rsidRPr="00DA5F83">
        <w:rPr>
          <w:szCs w:val="18"/>
          <w:lang w:val="es-ES"/>
        </w:rPr>
        <w:tab/>
      </w:r>
      <w:r w:rsidRPr="00E873F8">
        <w:rPr>
          <w:rStyle w:val="FootnoteReference"/>
          <w:szCs w:val="18"/>
        </w:rPr>
        <w:footnoteRef/>
      </w:r>
      <w:r w:rsidRPr="00DA5F83">
        <w:rPr>
          <w:szCs w:val="18"/>
          <w:lang w:val="es-ES"/>
        </w:rPr>
        <w:t xml:space="preserve"> </w:t>
      </w:r>
      <w:r w:rsidRPr="00DA5F83">
        <w:rPr>
          <w:szCs w:val="18"/>
          <w:lang w:val="es-ES"/>
        </w:rPr>
        <w:tab/>
        <w:t>A/HRC/34/50</w:t>
      </w:r>
      <w:r w:rsidR="005C2C95">
        <w:rPr>
          <w:szCs w:val="18"/>
          <w:lang w:val="es-ES"/>
        </w:rPr>
        <w:t>.</w:t>
      </w:r>
    </w:p>
  </w:footnote>
  <w:footnote w:id="89">
    <w:p w14:paraId="65D863B7" w14:textId="29E36B87" w:rsidR="006C7C70" w:rsidRPr="00DA5F83" w:rsidRDefault="006C7C70" w:rsidP="00250BD2">
      <w:pPr>
        <w:tabs>
          <w:tab w:val="right" w:pos="1021"/>
        </w:tabs>
        <w:spacing w:line="220" w:lineRule="exact"/>
        <w:ind w:left="1134" w:right="1134" w:hanging="1134"/>
        <w:rPr>
          <w:sz w:val="18"/>
          <w:szCs w:val="18"/>
          <w:lang w:val="es-ES"/>
        </w:rPr>
      </w:pPr>
      <w:r w:rsidRPr="00DA5F83">
        <w:rPr>
          <w:sz w:val="18"/>
          <w:szCs w:val="18"/>
          <w:lang w:val="es-ES"/>
        </w:rPr>
        <w:tab/>
      </w:r>
      <w:r w:rsidRPr="00E873F8">
        <w:rPr>
          <w:sz w:val="18"/>
          <w:szCs w:val="18"/>
          <w:vertAlign w:val="superscript"/>
        </w:rPr>
        <w:footnoteRef/>
      </w:r>
      <w:r w:rsidRPr="00DA5F83">
        <w:rPr>
          <w:sz w:val="18"/>
          <w:szCs w:val="18"/>
          <w:lang w:val="es-ES"/>
        </w:rPr>
        <w:t xml:space="preserve"> </w:t>
      </w:r>
      <w:r w:rsidRPr="00DA5F83">
        <w:rPr>
          <w:sz w:val="18"/>
          <w:szCs w:val="18"/>
          <w:lang w:val="es-ES"/>
        </w:rPr>
        <w:tab/>
        <w:t>Article 18(3) ICCPR; and HR Committee G</w:t>
      </w:r>
      <w:r>
        <w:rPr>
          <w:sz w:val="18"/>
          <w:szCs w:val="18"/>
          <w:lang w:val="es-ES"/>
        </w:rPr>
        <w:t>C</w:t>
      </w:r>
      <w:r w:rsidRPr="00DA5F83">
        <w:rPr>
          <w:sz w:val="18"/>
          <w:szCs w:val="18"/>
          <w:lang w:val="es-ES"/>
        </w:rPr>
        <w:t xml:space="preserve"> 28, paras 5 &amp; 32</w:t>
      </w:r>
      <w:r w:rsidR="005C2C95">
        <w:rPr>
          <w:sz w:val="18"/>
          <w:szCs w:val="18"/>
          <w:lang w:val="es-ES"/>
        </w:rPr>
        <w:t>.</w:t>
      </w:r>
      <w:r w:rsidRPr="00DA5F83">
        <w:rPr>
          <w:sz w:val="18"/>
          <w:szCs w:val="18"/>
          <w:lang w:val="es-ES"/>
        </w:rPr>
        <w:t xml:space="preserve"> </w:t>
      </w:r>
    </w:p>
  </w:footnote>
  <w:footnote w:id="90">
    <w:p w14:paraId="39764629" w14:textId="7BD7DC90" w:rsidR="006C7C70" w:rsidRPr="00E873F8" w:rsidRDefault="006C7C70" w:rsidP="00250BD2">
      <w:pPr>
        <w:tabs>
          <w:tab w:val="right" w:pos="1021"/>
        </w:tabs>
        <w:spacing w:line="220" w:lineRule="exact"/>
        <w:ind w:left="1134" w:right="1134" w:hanging="1134"/>
        <w:rPr>
          <w:color w:val="000000" w:themeColor="text1"/>
          <w:sz w:val="18"/>
          <w:szCs w:val="18"/>
        </w:rPr>
      </w:pPr>
      <w:r w:rsidRPr="00DA5F83">
        <w:rPr>
          <w:sz w:val="18"/>
          <w:szCs w:val="18"/>
          <w:lang w:val="es-ES"/>
        </w:rPr>
        <w:tab/>
      </w:r>
      <w:r w:rsidRPr="00E873F8">
        <w:rPr>
          <w:rStyle w:val="FootnoteReference"/>
          <w:szCs w:val="18"/>
        </w:rPr>
        <w:footnoteRef/>
      </w:r>
      <w:r w:rsidRPr="00E873F8">
        <w:rPr>
          <w:sz w:val="18"/>
          <w:szCs w:val="18"/>
        </w:rPr>
        <w:t xml:space="preserve"> </w:t>
      </w:r>
      <w:r>
        <w:rPr>
          <w:sz w:val="18"/>
          <w:szCs w:val="18"/>
        </w:rPr>
        <w:tab/>
      </w:r>
      <w:r w:rsidRPr="00A853F9">
        <w:rPr>
          <w:sz w:val="18"/>
          <w:szCs w:val="18"/>
        </w:rPr>
        <w:t xml:space="preserve">A/69/261, </w:t>
      </w:r>
      <w:r w:rsidRPr="00A853F9">
        <w:rPr>
          <w:color w:val="000000" w:themeColor="text1"/>
          <w:sz w:val="18"/>
          <w:szCs w:val="18"/>
        </w:rPr>
        <w:t>para 23</w:t>
      </w:r>
      <w:r w:rsidR="005C2C95">
        <w:rPr>
          <w:color w:val="000000" w:themeColor="text1"/>
          <w:sz w:val="18"/>
          <w:szCs w:val="18"/>
        </w:rPr>
        <w:t>.</w:t>
      </w:r>
    </w:p>
  </w:footnote>
  <w:footnote w:id="91">
    <w:p w14:paraId="096E7534" w14:textId="3DE64DB6" w:rsidR="006C7C70" w:rsidRPr="00250BD2" w:rsidRDefault="006C7C70" w:rsidP="00250BD2">
      <w:pPr>
        <w:tabs>
          <w:tab w:val="right" w:pos="1021"/>
        </w:tabs>
        <w:spacing w:line="220" w:lineRule="exact"/>
        <w:ind w:left="1134" w:right="1134" w:hanging="1134"/>
        <w:rPr>
          <w:i/>
          <w:color w:val="000000" w:themeColor="text1"/>
          <w:sz w:val="18"/>
          <w:szCs w:val="18"/>
          <w:lang w:val="en-US"/>
        </w:rPr>
      </w:pPr>
      <w:r>
        <w:rPr>
          <w:color w:val="000000" w:themeColor="text1"/>
          <w:sz w:val="18"/>
          <w:szCs w:val="18"/>
        </w:rPr>
        <w:tab/>
      </w:r>
      <w:r w:rsidRPr="00E873F8">
        <w:rPr>
          <w:rStyle w:val="FootnoteReference"/>
          <w:color w:val="000000" w:themeColor="text1"/>
          <w:szCs w:val="18"/>
        </w:rPr>
        <w:footnoteRef/>
      </w:r>
      <w:r w:rsidRPr="00E873F8">
        <w:rPr>
          <w:color w:val="000000" w:themeColor="text1"/>
          <w:sz w:val="18"/>
          <w:szCs w:val="18"/>
        </w:rPr>
        <w:t xml:space="preserve"> </w:t>
      </w:r>
      <w:r>
        <w:rPr>
          <w:color w:val="000000" w:themeColor="text1"/>
          <w:sz w:val="18"/>
          <w:szCs w:val="18"/>
        </w:rPr>
        <w:tab/>
      </w:r>
      <w:r w:rsidRPr="00250BD2">
        <w:rPr>
          <w:rStyle w:val="FootnoteTextChar"/>
        </w:rPr>
        <w:t>H</w:t>
      </w:r>
      <w:r>
        <w:rPr>
          <w:rStyle w:val="FootnoteTextChar"/>
        </w:rPr>
        <w:t>R</w:t>
      </w:r>
      <w:r w:rsidRPr="00250BD2">
        <w:rPr>
          <w:rStyle w:val="FootnoteTextChar"/>
        </w:rPr>
        <w:t xml:space="preserve"> Committee, </w:t>
      </w:r>
      <w:r>
        <w:rPr>
          <w:rStyle w:val="FootnoteTextChar"/>
        </w:rPr>
        <w:t>G</w:t>
      </w:r>
      <w:r w:rsidRPr="00250BD2">
        <w:rPr>
          <w:rStyle w:val="FootnoteTextChar"/>
        </w:rPr>
        <w:t xml:space="preserve">eneral </w:t>
      </w:r>
      <w:r>
        <w:rPr>
          <w:rStyle w:val="FootnoteTextChar"/>
        </w:rPr>
        <w:t>C</w:t>
      </w:r>
      <w:r w:rsidRPr="00250BD2">
        <w:rPr>
          <w:rStyle w:val="FootnoteTextChar"/>
        </w:rPr>
        <w:t>omment No. 22, para 8</w:t>
      </w:r>
      <w:r w:rsidR="005C2C95">
        <w:rPr>
          <w:rStyle w:val="FootnoteTextChar"/>
        </w:rPr>
        <w:t>.</w:t>
      </w:r>
    </w:p>
  </w:footnote>
  <w:footnote w:id="92">
    <w:p w14:paraId="6D930B5A" w14:textId="4E0362B2" w:rsidR="006C7C70" w:rsidRPr="00E873F8" w:rsidRDefault="006C7C70" w:rsidP="00250BD2">
      <w:pPr>
        <w:pStyle w:val="FootnoteText"/>
        <w:rPr>
          <w:color w:val="000000" w:themeColor="text1"/>
          <w:szCs w:val="18"/>
        </w:rPr>
      </w:pPr>
      <w:r>
        <w:rPr>
          <w:color w:val="000000" w:themeColor="text1"/>
          <w:szCs w:val="18"/>
        </w:rPr>
        <w:tab/>
      </w:r>
      <w:r w:rsidRPr="00E873F8">
        <w:rPr>
          <w:rStyle w:val="FootnoteReference"/>
          <w:color w:val="000000" w:themeColor="text1"/>
          <w:szCs w:val="18"/>
        </w:rPr>
        <w:footnoteRef/>
      </w:r>
      <w:r w:rsidRPr="00E873F8">
        <w:rPr>
          <w:color w:val="000000" w:themeColor="text1"/>
          <w:szCs w:val="18"/>
        </w:rPr>
        <w:t xml:space="preserve"> </w:t>
      </w:r>
      <w:r>
        <w:rPr>
          <w:color w:val="000000" w:themeColor="text1"/>
          <w:szCs w:val="18"/>
        </w:rPr>
        <w:tab/>
      </w:r>
      <w:r w:rsidRPr="00C43374">
        <w:rPr>
          <w:i/>
          <w:iCs/>
          <w:color w:val="000000" w:themeColor="text1"/>
          <w:szCs w:val="18"/>
        </w:rPr>
        <w:t>See</w:t>
      </w:r>
      <w:r w:rsidRPr="00467FEB">
        <w:rPr>
          <w:i/>
          <w:iCs/>
          <w:color w:val="000000" w:themeColor="text1"/>
          <w:szCs w:val="18"/>
        </w:rPr>
        <w:t>,</w:t>
      </w:r>
      <w:r w:rsidRPr="00E873F8">
        <w:rPr>
          <w:color w:val="000000" w:themeColor="text1"/>
          <w:szCs w:val="18"/>
        </w:rPr>
        <w:t xml:space="preserve"> </w:t>
      </w:r>
      <w:r w:rsidRPr="00E873F8">
        <w:rPr>
          <w:szCs w:val="18"/>
        </w:rPr>
        <w:t>A /67/287, para 79 (g-h)</w:t>
      </w:r>
      <w:r w:rsidR="005C2C95">
        <w:rPr>
          <w:szCs w:val="18"/>
        </w:rPr>
        <w:t>.</w:t>
      </w:r>
    </w:p>
  </w:footnote>
  <w:footnote w:id="93">
    <w:p w14:paraId="31C49FDE" w14:textId="73DEC9A9" w:rsidR="006C7C70" w:rsidRPr="00467FEB" w:rsidRDefault="00F216A1">
      <w:pPr>
        <w:pStyle w:val="FootnoteText"/>
        <w:rPr>
          <w:lang w:val="en-US"/>
        </w:rPr>
      </w:pPr>
      <w:r>
        <w:tab/>
      </w:r>
      <w:r w:rsidR="006C7C70">
        <w:rPr>
          <w:rStyle w:val="FootnoteReference"/>
        </w:rPr>
        <w:footnoteRef/>
      </w:r>
      <w:r w:rsidR="005C2C95">
        <w:tab/>
      </w:r>
      <w:r w:rsidR="006C7C70">
        <w:rPr>
          <w:lang w:val="en-US"/>
        </w:rPr>
        <w:t>S</w:t>
      </w:r>
      <w:r w:rsidR="006C7C70" w:rsidRPr="00467FEB">
        <w:rPr>
          <w:i/>
          <w:iCs/>
          <w:lang w:val="en-US"/>
        </w:rPr>
        <w:t>ee</w:t>
      </w:r>
      <w:r w:rsidR="006C7C70">
        <w:rPr>
          <w:lang w:val="en-US"/>
        </w:rPr>
        <w:t xml:space="preserve">, </w:t>
      </w:r>
      <w:r w:rsidR="006C7C70" w:rsidRPr="00313A86">
        <w:rPr>
          <w:lang w:val="en-US"/>
        </w:rPr>
        <w:t>A</w:t>
      </w:r>
      <w:r w:rsidR="006C7C70">
        <w:rPr>
          <w:lang w:val="en-US"/>
        </w:rPr>
        <w:t>/</w:t>
      </w:r>
      <w:r w:rsidR="006C7C70" w:rsidRPr="00313A86">
        <w:rPr>
          <w:lang w:val="en-US"/>
        </w:rPr>
        <w:t xml:space="preserve">68/290 </w:t>
      </w:r>
      <w:r w:rsidR="006C7C70">
        <w:rPr>
          <w:lang w:val="en-US"/>
        </w:rPr>
        <w:t>para 60</w:t>
      </w:r>
      <w:r w:rsidR="005C2C95">
        <w:rPr>
          <w:lang w:val="en-US"/>
        </w:rPr>
        <w:t>.</w:t>
      </w:r>
    </w:p>
  </w:footnote>
  <w:footnote w:id="94">
    <w:p w14:paraId="3D277621" w14:textId="57C3DCB6" w:rsidR="006C7C70" w:rsidRPr="006D4B54" w:rsidRDefault="006C7C70" w:rsidP="00250BD2">
      <w:pPr>
        <w:pStyle w:val="FootnoteText"/>
        <w:rPr>
          <w:szCs w:val="18"/>
          <w:lang w:val="es-ES"/>
        </w:rPr>
      </w:pPr>
      <w:r w:rsidRPr="003C6D85">
        <w:rPr>
          <w:szCs w:val="18"/>
        </w:rPr>
        <w:tab/>
      </w:r>
      <w:r w:rsidRPr="003C468F">
        <w:rPr>
          <w:rStyle w:val="FootnoteReference"/>
          <w:szCs w:val="18"/>
        </w:rPr>
        <w:footnoteRef/>
      </w:r>
      <w:r w:rsidRPr="006D4B54">
        <w:rPr>
          <w:szCs w:val="18"/>
          <w:lang w:val="es-ES"/>
        </w:rPr>
        <w:t xml:space="preserve"> </w:t>
      </w:r>
      <w:r>
        <w:rPr>
          <w:szCs w:val="18"/>
          <w:lang w:val="es-ES"/>
        </w:rPr>
        <w:tab/>
      </w:r>
      <w:r w:rsidRPr="006D4B54">
        <w:rPr>
          <w:szCs w:val="18"/>
          <w:lang w:val="es-ES"/>
        </w:rPr>
        <w:t xml:space="preserve">E/CN.6/2020/3, para 11 </w:t>
      </w:r>
      <w:r w:rsidR="005C2C95">
        <w:rPr>
          <w:szCs w:val="18"/>
          <w:lang w:val="es-ES"/>
        </w:rPr>
        <w:t>.</w:t>
      </w:r>
    </w:p>
  </w:footnote>
  <w:footnote w:id="95">
    <w:p w14:paraId="40092E7D" w14:textId="2C47717B" w:rsidR="006C7C70" w:rsidRDefault="006C7C70">
      <w:pPr>
        <w:pStyle w:val="FootnoteText"/>
      </w:pPr>
      <w:r>
        <w:tab/>
      </w:r>
      <w:r>
        <w:rPr>
          <w:rStyle w:val="FootnoteReference"/>
        </w:rPr>
        <w:footnoteRef/>
      </w:r>
      <w:r>
        <w:t xml:space="preserve"> </w:t>
      </w:r>
      <w:r>
        <w:tab/>
        <w:t>HR Committee, GC 28</w:t>
      </w:r>
      <w:r w:rsidR="005C2C9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BF49" w14:textId="77777777" w:rsidR="006C7C70" w:rsidRDefault="006C7C70" w:rsidP="009219F8">
    <w:pPr>
      <w:pStyle w:val="Header"/>
    </w:pPr>
    <w:r>
      <w:t>A/HRC/43/48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5592" w14:textId="77777777" w:rsidR="006C7C70" w:rsidRDefault="006C7C70" w:rsidP="009219F8">
    <w:pPr>
      <w:pStyle w:val="Header"/>
      <w:jc w:val="right"/>
    </w:pPr>
    <w:r>
      <w:t>A/HRC/43/48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F01F4"/>
    <w:multiLevelType w:val="hybridMultilevel"/>
    <w:tmpl w:val="CBD8CE00"/>
    <w:lvl w:ilvl="0" w:tplc="D19CF76E">
      <w:start w:val="1"/>
      <w:numFmt w:val="lowerRoman"/>
      <w:lvlText w:val="%1."/>
      <w:lvlJc w:val="left"/>
      <w:pPr>
        <w:ind w:left="2279"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E3346"/>
    <w:multiLevelType w:val="hybridMultilevel"/>
    <w:tmpl w:val="E9AAC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F42EA"/>
    <w:multiLevelType w:val="hybridMultilevel"/>
    <w:tmpl w:val="A9860806"/>
    <w:lvl w:ilvl="0" w:tplc="FB860B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F1B7E"/>
    <w:multiLevelType w:val="hybridMultilevel"/>
    <w:tmpl w:val="30B60C98"/>
    <w:lvl w:ilvl="0" w:tplc="FC8295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F631FA"/>
    <w:multiLevelType w:val="hybridMultilevel"/>
    <w:tmpl w:val="27240F6A"/>
    <w:lvl w:ilvl="0" w:tplc="0809000F">
      <w:start w:val="1"/>
      <w:numFmt w:val="decimal"/>
      <w:lvlText w:val="%1."/>
      <w:lvlJc w:val="left"/>
      <w:pPr>
        <w:ind w:left="149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44DE3A85"/>
    <w:multiLevelType w:val="hybridMultilevel"/>
    <w:tmpl w:val="5A2A6810"/>
    <w:lvl w:ilvl="0" w:tplc="E320C9AC">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74A2A27"/>
    <w:multiLevelType w:val="hybridMultilevel"/>
    <w:tmpl w:val="5EBA8926"/>
    <w:lvl w:ilvl="0" w:tplc="E1F64186">
      <w:start w:val="1"/>
      <w:numFmt w:val="decimal"/>
      <w:lvlText w:val="%1."/>
      <w:lvlJc w:val="left"/>
      <w:pPr>
        <w:ind w:left="1636" w:hanging="360"/>
      </w:pPr>
      <w:rPr>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4958761B"/>
    <w:multiLevelType w:val="hybridMultilevel"/>
    <w:tmpl w:val="967468C8"/>
    <w:lvl w:ilvl="0" w:tplc="19B808F8">
      <w:start w:val="1"/>
      <w:numFmt w:val="decimal"/>
      <w:lvlText w:val="%1."/>
      <w:lvlJc w:val="left"/>
      <w:pPr>
        <w:ind w:left="3337" w:hanging="360"/>
      </w:pPr>
      <w:rPr>
        <w:rFonts w:ascii="Times New Roman" w:eastAsiaTheme="minorHAnsi" w:hAnsi="Times New Roman" w:cs="Times New Roman"/>
        <w:b w:val="0"/>
        <w:sz w:val="20"/>
        <w:szCs w:val="20"/>
      </w:rPr>
    </w:lvl>
    <w:lvl w:ilvl="1" w:tplc="0809001B">
      <w:start w:val="1"/>
      <w:numFmt w:val="lowerRoman"/>
      <w:lvlText w:val="%2."/>
      <w:lvlJc w:val="right"/>
      <w:pPr>
        <w:ind w:left="4057" w:hanging="360"/>
      </w:pPr>
    </w:lvl>
    <w:lvl w:ilvl="2" w:tplc="E320C9AC">
      <w:start w:val="1"/>
      <w:numFmt w:val="lowerLetter"/>
      <w:lvlText w:val="%3)"/>
      <w:lvlJc w:val="left"/>
      <w:pPr>
        <w:ind w:left="4957" w:hanging="360"/>
      </w:pPr>
      <w:rPr>
        <w:rFonts w:hint="default"/>
      </w:r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0" w15:restartNumberingAfterBreak="0">
    <w:nsid w:val="4C970792"/>
    <w:multiLevelType w:val="hybridMultilevel"/>
    <w:tmpl w:val="1E88929C"/>
    <w:lvl w:ilvl="0" w:tplc="08090001">
      <w:start w:val="1"/>
      <w:numFmt w:val="bullet"/>
      <w:lvlText w:val=""/>
      <w:lvlJc w:val="left"/>
      <w:pPr>
        <w:ind w:left="1854" w:hanging="360"/>
      </w:pPr>
      <w:rPr>
        <w:rFonts w:ascii="Symbol" w:hAnsi="Symbol" w:hint="default"/>
        <w:b w:val="0"/>
        <w:sz w:val="20"/>
        <w:szCs w:val="20"/>
      </w:rPr>
    </w:lvl>
    <w:lvl w:ilvl="1" w:tplc="08090001">
      <w:start w:val="1"/>
      <w:numFmt w:val="bullet"/>
      <w:lvlText w:val=""/>
      <w:lvlJc w:val="left"/>
      <w:pPr>
        <w:ind w:left="2574" w:hanging="360"/>
      </w:pPr>
      <w:rPr>
        <w:rFonts w:ascii="Symbol" w:hAnsi="Symbol" w:hint="default"/>
      </w:rPr>
    </w:lvl>
    <w:lvl w:ilvl="2" w:tplc="E320C9AC">
      <w:start w:val="1"/>
      <w:numFmt w:val="lowerLetter"/>
      <w:lvlText w:val="%3)"/>
      <w:lvlJc w:val="left"/>
      <w:pPr>
        <w:ind w:left="3474" w:hanging="36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EDA3F28"/>
    <w:multiLevelType w:val="hybridMultilevel"/>
    <w:tmpl w:val="32C41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04C77"/>
    <w:multiLevelType w:val="hybridMultilevel"/>
    <w:tmpl w:val="BE7E9398"/>
    <w:lvl w:ilvl="0" w:tplc="BA20FAA8">
      <w:start w:val="1"/>
      <w:numFmt w:val="lowerRoman"/>
      <w:lvlText w:val="%1."/>
      <w:lvlJc w:val="left"/>
      <w:pPr>
        <w:ind w:left="1080" w:hanging="720"/>
      </w:pPr>
      <w:rPr>
        <w:rFonts w:eastAsia="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14D1F"/>
    <w:multiLevelType w:val="hybridMultilevel"/>
    <w:tmpl w:val="27DC6CC6"/>
    <w:lvl w:ilvl="0" w:tplc="F22C4CE0">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AE141C1"/>
    <w:multiLevelType w:val="hybridMultilevel"/>
    <w:tmpl w:val="9E0A6E4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5" w15:restartNumberingAfterBreak="0">
    <w:nsid w:val="5EDA29A3"/>
    <w:multiLevelType w:val="hybridMultilevel"/>
    <w:tmpl w:val="825A52A8"/>
    <w:lvl w:ilvl="0" w:tplc="58D09B1E">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2A10F6B"/>
    <w:multiLevelType w:val="hybridMultilevel"/>
    <w:tmpl w:val="DA688A7A"/>
    <w:lvl w:ilvl="0" w:tplc="EEFCD5FC">
      <w:start w:val="1"/>
      <w:numFmt w:val="decimal"/>
      <w:lvlText w:val="%1."/>
      <w:lvlJc w:val="left"/>
      <w:pPr>
        <w:ind w:left="720" w:hanging="360"/>
      </w:pPr>
      <w:rPr>
        <w:rFonts w:ascii="Times New Roman" w:hAnsi="Times New Roman" w:cs="Times New Roman" w:hint="default"/>
        <w:b w:val="0"/>
        <w:bCs w:val="0"/>
        <w:i w:val="0"/>
        <w:iCs/>
        <w:sz w:val="21"/>
        <w:szCs w:val="2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F5E84"/>
    <w:multiLevelType w:val="hybridMultilevel"/>
    <w:tmpl w:val="4B8473CE"/>
    <w:lvl w:ilvl="0" w:tplc="476C5A20">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6"/>
  </w:num>
  <w:num w:numId="3">
    <w:abstractNumId w:val="20"/>
  </w:num>
  <w:num w:numId="4">
    <w:abstractNumId w:val="2"/>
  </w:num>
  <w:num w:numId="5">
    <w:abstractNumId w:val="18"/>
  </w:num>
  <w:num w:numId="6">
    <w:abstractNumId w:val="9"/>
  </w:num>
  <w:num w:numId="7">
    <w:abstractNumId w:val="15"/>
  </w:num>
  <w:num w:numId="8">
    <w:abstractNumId w:val="8"/>
  </w:num>
  <w:num w:numId="9">
    <w:abstractNumId w:val="13"/>
  </w:num>
  <w:num w:numId="10">
    <w:abstractNumId w:val="14"/>
  </w:num>
  <w:num w:numId="11">
    <w:abstractNumId w:val="10"/>
  </w:num>
  <w:num w:numId="12">
    <w:abstractNumId w:val="7"/>
  </w:num>
  <w:num w:numId="13">
    <w:abstractNumId w:val="6"/>
  </w:num>
  <w:num w:numId="14">
    <w:abstractNumId w:val="17"/>
  </w:num>
  <w:num w:numId="15">
    <w:abstractNumId w:val="19"/>
  </w:num>
  <w:num w:numId="16">
    <w:abstractNumId w:val="1"/>
  </w:num>
  <w:num w:numId="17">
    <w:abstractNumId w:val="5"/>
  </w:num>
  <w:num w:numId="18">
    <w:abstractNumId w:val="11"/>
  </w:num>
  <w:num w:numId="19">
    <w:abstractNumId w:val="3"/>
  </w:num>
  <w:num w:numId="20">
    <w:abstractNumId w:val="12"/>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32"/>
    <w:rsid w:val="00002568"/>
    <w:rsid w:val="00002C76"/>
    <w:rsid w:val="00012F80"/>
    <w:rsid w:val="0001602B"/>
    <w:rsid w:val="00021BAF"/>
    <w:rsid w:val="00026107"/>
    <w:rsid w:val="000451C5"/>
    <w:rsid w:val="00046E92"/>
    <w:rsid w:val="00050AD8"/>
    <w:rsid w:val="00063C90"/>
    <w:rsid w:val="00072607"/>
    <w:rsid w:val="00077DF0"/>
    <w:rsid w:val="000B7BBE"/>
    <w:rsid w:val="000C251A"/>
    <w:rsid w:val="000E3E92"/>
    <w:rsid w:val="000F4F1A"/>
    <w:rsid w:val="00101B98"/>
    <w:rsid w:val="00105F3F"/>
    <w:rsid w:val="00117175"/>
    <w:rsid w:val="00152978"/>
    <w:rsid w:val="0015508B"/>
    <w:rsid w:val="00171987"/>
    <w:rsid w:val="00171C8B"/>
    <w:rsid w:val="001740F0"/>
    <w:rsid w:val="001A7919"/>
    <w:rsid w:val="001B3EF7"/>
    <w:rsid w:val="001B53A2"/>
    <w:rsid w:val="001E2F10"/>
    <w:rsid w:val="001E754C"/>
    <w:rsid w:val="001E77C8"/>
    <w:rsid w:val="001F1D94"/>
    <w:rsid w:val="00212456"/>
    <w:rsid w:val="00225342"/>
    <w:rsid w:val="00227597"/>
    <w:rsid w:val="002278AB"/>
    <w:rsid w:val="002331A8"/>
    <w:rsid w:val="00235C0B"/>
    <w:rsid w:val="00247E2C"/>
    <w:rsid w:val="00250BD2"/>
    <w:rsid w:val="0025490A"/>
    <w:rsid w:val="00295862"/>
    <w:rsid w:val="002A0A33"/>
    <w:rsid w:val="002A2761"/>
    <w:rsid w:val="002A32CB"/>
    <w:rsid w:val="002D63EE"/>
    <w:rsid w:val="002D6C53"/>
    <w:rsid w:val="002D7DCD"/>
    <w:rsid w:val="002F5595"/>
    <w:rsid w:val="003062CD"/>
    <w:rsid w:val="00306B94"/>
    <w:rsid w:val="00315F2B"/>
    <w:rsid w:val="0032570C"/>
    <w:rsid w:val="00326968"/>
    <w:rsid w:val="00334F6A"/>
    <w:rsid w:val="00340290"/>
    <w:rsid w:val="00342AC8"/>
    <w:rsid w:val="00357E08"/>
    <w:rsid w:val="0037723E"/>
    <w:rsid w:val="003A2587"/>
    <w:rsid w:val="003B4550"/>
    <w:rsid w:val="003B4E9A"/>
    <w:rsid w:val="003C107B"/>
    <w:rsid w:val="003C6D85"/>
    <w:rsid w:val="003D7214"/>
    <w:rsid w:val="003E0E63"/>
    <w:rsid w:val="003E1C30"/>
    <w:rsid w:val="0040017C"/>
    <w:rsid w:val="00422786"/>
    <w:rsid w:val="00425059"/>
    <w:rsid w:val="004308A1"/>
    <w:rsid w:val="00450599"/>
    <w:rsid w:val="00461253"/>
    <w:rsid w:val="004629B6"/>
    <w:rsid w:val="00463B54"/>
    <w:rsid w:val="00467FEB"/>
    <w:rsid w:val="004806D6"/>
    <w:rsid w:val="00481F83"/>
    <w:rsid w:val="00487306"/>
    <w:rsid w:val="00493ED5"/>
    <w:rsid w:val="004A2814"/>
    <w:rsid w:val="004C0622"/>
    <w:rsid w:val="004D10F9"/>
    <w:rsid w:val="004E125E"/>
    <w:rsid w:val="004E25E5"/>
    <w:rsid w:val="005042C2"/>
    <w:rsid w:val="00506150"/>
    <w:rsid w:val="005117EC"/>
    <w:rsid w:val="005211F2"/>
    <w:rsid w:val="0052421B"/>
    <w:rsid w:val="00525D86"/>
    <w:rsid w:val="00540C48"/>
    <w:rsid w:val="00567C2F"/>
    <w:rsid w:val="00571B48"/>
    <w:rsid w:val="0057768E"/>
    <w:rsid w:val="00582DFC"/>
    <w:rsid w:val="0059025C"/>
    <w:rsid w:val="005A0F06"/>
    <w:rsid w:val="005A2759"/>
    <w:rsid w:val="005C003F"/>
    <w:rsid w:val="005C2C95"/>
    <w:rsid w:val="005C7FB0"/>
    <w:rsid w:val="005E716E"/>
    <w:rsid w:val="005E71C4"/>
    <w:rsid w:val="005F2FF7"/>
    <w:rsid w:val="005F4969"/>
    <w:rsid w:val="00600C14"/>
    <w:rsid w:val="006124FC"/>
    <w:rsid w:val="00612F89"/>
    <w:rsid w:val="0061509D"/>
    <w:rsid w:val="0061763C"/>
    <w:rsid w:val="006218A2"/>
    <w:rsid w:val="006420B3"/>
    <w:rsid w:val="00647852"/>
    <w:rsid w:val="00671529"/>
    <w:rsid w:val="00672F79"/>
    <w:rsid w:val="006B0230"/>
    <w:rsid w:val="006B61F2"/>
    <w:rsid w:val="006C0D30"/>
    <w:rsid w:val="006C5E61"/>
    <w:rsid w:val="006C7C70"/>
    <w:rsid w:val="0070489D"/>
    <w:rsid w:val="00712CF8"/>
    <w:rsid w:val="00723B52"/>
    <w:rsid w:val="007265B9"/>
    <w:rsid w:val="007268F9"/>
    <w:rsid w:val="00726EA9"/>
    <w:rsid w:val="007361A9"/>
    <w:rsid w:val="00754F8E"/>
    <w:rsid w:val="00763DF1"/>
    <w:rsid w:val="00763E98"/>
    <w:rsid w:val="007B032D"/>
    <w:rsid w:val="007C37C3"/>
    <w:rsid w:val="007C52B0"/>
    <w:rsid w:val="007E34C7"/>
    <w:rsid w:val="007E54CA"/>
    <w:rsid w:val="00805DAA"/>
    <w:rsid w:val="00812CED"/>
    <w:rsid w:val="00821AD2"/>
    <w:rsid w:val="008426CA"/>
    <w:rsid w:val="00861B4E"/>
    <w:rsid w:val="008859CE"/>
    <w:rsid w:val="00896774"/>
    <w:rsid w:val="008A4672"/>
    <w:rsid w:val="008B1DD0"/>
    <w:rsid w:val="008B6ACD"/>
    <w:rsid w:val="008C2A40"/>
    <w:rsid w:val="008C7222"/>
    <w:rsid w:val="008E2896"/>
    <w:rsid w:val="00915A4D"/>
    <w:rsid w:val="009217A6"/>
    <w:rsid w:val="009219F8"/>
    <w:rsid w:val="00922524"/>
    <w:rsid w:val="009411B4"/>
    <w:rsid w:val="00945C41"/>
    <w:rsid w:val="00947228"/>
    <w:rsid w:val="00962A56"/>
    <w:rsid w:val="009674A3"/>
    <w:rsid w:val="009B201D"/>
    <w:rsid w:val="009D0139"/>
    <w:rsid w:val="009D0C33"/>
    <w:rsid w:val="009D5371"/>
    <w:rsid w:val="009D717D"/>
    <w:rsid w:val="009F5CDC"/>
    <w:rsid w:val="00A06C1E"/>
    <w:rsid w:val="00A07B8A"/>
    <w:rsid w:val="00A07E11"/>
    <w:rsid w:val="00A12D08"/>
    <w:rsid w:val="00A33989"/>
    <w:rsid w:val="00A3691A"/>
    <w:rsid w:val="00A401B1"/>
    <w:rsid w:val="00A52D89"/>
    <w:rsid w:val="00A775CF"/>
    <w:rsid w:val="00AC2074"/>
    <w:rsid w:val="00AC318C"/>
    <w:rsid w:val="00AD56AE"/>
    <w:rsid w:val="00AE317A"/>
    <w:rsid w:val="00B06045"/>
    <w:rsid w:val="00B22FCB"/>
    <w:rsid w:val="00B528D0"/>
    <w:rsid w:val="00B52EF4"/>
    <w:rsid w:val="00B62432"/>
    <w:rsid w:val="00B65F9C"/>
    <w:rsid w:val="00B72DA7"/>
    <w:rsid w:val="00BA36F5"/>
    <w:rsid w:val="00BA6798"/>
    <w:rsid w:val="00BA7E7B"/>
    <w:rsid w:val="00BC120E"/>
    <w:rsid w:val="00BC1D59"/>
    <w:rsid w:val="00BE6E42"/>
    <w:rsid w:val="00BF4C06"/>
    <w:rsid w:val="00C03015"/>
    <w:rsid w:val="00C0358D"/>
    <w:rsid w:val="00C03FFE"/>
    <w:rsid w:val="00C328DE"/>
    <w:rsid w:val="00C35A27"/>
    <w:rsid w:val="00C36972"/>
    <w:rsid w:val="00C43374"/>
    <w:rsid w:val="00C47B2E"/>
    <w:rsid w:val="00C77E2F"/>
    <w:rsid w:val="00C9476B"/>
    <w:rsid w:val="00C96B99"/>
    <w:rsid w:val="00C97887"/>
    <w:rsid w:val="00CA1B04"/>
    <w:rsid w:val="00CA5C80"/>
    <w:rsid w:val="00CC1259"/>
    <w:rsid w:val="00CF291E"/>
    <w:rsid w:val="00D05FE7"/>
    <w:rsid w:val="00D21D8A"/>
    <w:rsid w:val="00D34D52"/>
    <w:rsid w:val="00D415D4"/>
    <w:rsid w:val="00D4263F"/>
    <w:rsid w:val="00D57EC6"/>
    <w:rsid w:val="00D6374F"/>
    <w:rsid w:val="00D6612F"/>
    <w:rsid w:val="00D7513B"/>
    <w:rsid w:val="00D8307D"/>
    <w:rsid w:val="00DA5F83"/>
    <w:rsid w:val="00DB4A17"/>
    <w:rsid w:val="00DC1E00"/>
    <w:rsid w:val="00DF5942"/>
    <w:rsid w:val="00E02C2B"/>
    <w:rsid w:val="00E07D43"/>
    <w:rsid w:val="00E42F45"/>
    <w:rsid w:val="00E50D61"/>
    <w:rsid w:val="00E52109"/>
    <w:rsid w:val="00E54E37"/>
    <w:rsid w:val="00E62C64"/>
    <w:rsid w:val="00E6413E"/>
    <w:rsid w:val="00E73687"/>
    <w:rsid w:val="00E75317"/>
    <w:rsid w:val="00E77F21"/>
    <w:rsid w:val="00EC57C2"/>
    <w:rsid w:val="00ED6C48"/>
    <w:rsid w:val="00EE677D"/>
    <w:rsid w:val="00EF19A8"/>
    <w:rsid w:val="00EF666C"/>
    <w:rsid w:val="00EF7F90"/>
    <w:rsid w:val="00F06B13"/>
    <w:rsid w:val="00F07EEE"/>
    <w:rsid w:val="00F116C8"/>
    <w:rsid w:val="00F216A1"/>
    <w:rsid w:val="00F26AA6"/>
    <w:rsid w:val="00F275D3"/>
    <w:rsid w:val="00F27775"/>
    <w:rsid w:val="00F514B0"/>
    <w:rsid w:val="00F61CF2"/>
    <w:rsid w:val="00F65F5D"/>
    <w:rsid w:val="00F7291A"/>
    <w:rsid w:val="00F80744"/>
    <w:rsid w:val="00F86A3A"/>
    <w:rsid w:val="00F96BD1"/>
    <w:rsid w:val="00FC4371"/>
    <w:rsid w:val="00FC4B65"/>
    <w:rsid w:val="00FF271A"/>
    <w:rsid w:val="00FF7340"/>
    <w:rsid w:val="00FF7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9881B"/>
  <w15:docId w15:val="{D7022962-813B-4400-8E76-2CF190F6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98"/>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Текст сноски Знак Знак"/>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A Fuﬂnotentext Char,f Char,fn Char,A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763E98"/>
    <w:rPr>
      <w:rFonts w:ascii="Times New Roman" w:eastAsiaTheme="minorHAnsi" w:hAnsi="Times New Roman" w:cs="Times New Roman"/>
      <w:sz w:val="20"/>
      <w:szCs w:val="20"/>
      <w:lang w:eastAsia="en-US"/>
    </w:rPr>
  </w:style>
  <w:style w:type="character" w:customStyle="1" w:styleId="HChGChar">
    <w:name w:val="_ H _Ch_G Char"/>
    <w:link w:val="HChG"/>
    <w:rsid w:val="00763E98"/>
    <w:rPr>
      <w:rFonts w:ascii="Times New Roman" w:eastAsiaTheme="minorHAnsi" w:hAnsi="Times New Roman" w:cs="Times New Roman"/>
      <w:b/>
      <w:sz w:val="28"/>
      <w:szCs w:val="20"/>
      <w:lang w:eastAsia="en-US"/>
    </w:rPr>
  </w:style>
  <w:style w:type="paragraph" w:customStyle="1" w:styleId="Default">
    <w:name w:val="Default"/>
    <w:rsid w:val="00763E9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uiPriority w:val="99"/>
    <w:unhideWhenUsed/>
    <w:rsid w:val="00763E98"/>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763E98"/>
    <w:rPr>
      <w:b/>
      <w:bCs/>
    </w:rPr>
  </w:style>
  <w:style w:type="paragraph" w:styleId="ListParagraph">
    <w:name w:val="List Paragraph"/>
    <w:basedOn w:val="Normal"/>
    <w:link w:val="ListParagraphChar"/>
    <w:uiPriority w:val="34"/>
    <w:qFormat/>
    <w:rsid w:val="00763E98"/>
    <w:pPr>
      <w:suppressAutoHyphens w:val="0"/>
      <w:kinsoku/>
      <w:overflowPunct/>
      <w:autoSpaceDE/>
      <w:autoSpaceDN/>
      <w:adjustRightInd/>
      <w:snapToGrid/>
      <w:spacing w:line="240" w:lineRule="auto"/>
      <w:ind w:left="720"/>
      <w:contextualSpacing/>
    </w:pPr>
    <w:rPr>
      <w:rFonts w:asciiTheme="minorHAnsi" w:hAnsiTheme="minorHAnsi" w:cstheme="minorBidi"/>
      <w:sz w:val="24"/>
      <w:szCs w:val="24"/>
    </w:rPr>
  </w:style>
  <w:style w:type="paragraph" w:styleId="Revision">
    <w:name w:val="Revision"/>
    <w:hidden/>
    <w:uiPriority w:val="99"/>
    <w:semiHidden/>
    <w:rsid w:val="00763E98"/>
    <w:pPr>
      <w:spacing w:after="0" w:line="240" w:lineRule="auto"/>
    </w:pPr>
    <w:rPr>
      <w:rFonts w:eastAsiaTheme="minorHAnsi"/>
      <w:sz w:val="24"/>
      <w:szCs w:val="24"/>
      <w:lang w:eastAsia="en-US"/>
    </w:rPr>
  </w:style>
  <w:style w:type="character" w:styleId="Emphasis">
    <w:name w:val="Emphasis"/>
    <w:basedOn w:val="DefaultParagraphFont"/>
    <w:uiPriority w:val="20"/>
    <w:qFormat/>
    <w:rsid w:val="00763E98"/>
    <w:rPr>
      <w:b/>
      <w:bCs/>
      <w:i w:val="0"/>
      <w:iCs w:val="0"/>
    </w:rPr>
  </w:style>
  <w:style w:type="character" w:customStyle="1" w:styleId="ListParagraphChar">
    <w:name w:val="List Paragraph Char"/>
    <w:basedOn w:val="DefaultParagraphFont"/>
    <w:link w:val="ListParagraph"/>
    <w:uiPriority w:val="34"/>
    <w:locked/>
    <w:rsid w:val="00763E98"/>
    <w:rPr>
      <w:rFonts w:eastAsiaTheme="minorHAnsi"/>
      <w:sz w:val="24"/>
      <w:szCs w:val="24"/>
      <w:lang w:eastAsia="en-US"/>
    </w:rPr>
  </w:style>
  <w:style w:type="character" w:styleId="CommentReference">
    <w:name w:val="annotation reference"/>
    <w:basedOn w:val="DefaultParagraphFont"/>
    <w:uiPriority w:val="99"/>
    <w:unhideWhenUsed/>
    <w:rsid w:val="00763E98"/>
    <w:rPr>
      <w:sz w:val="16"/>
      <w:szCs w:val="16"/>
    </w:rPr>
  </w:style>
  <w:style w:type="paragraph" w:styleId="CommentText">
    <w:name w:val="annotation text"/>
    <w:basedOn w:val="Normal"/>
    <w:link w:val="CommentTextChar"/>
    <w:uiPriority w:val="99"/>
    <w:unhideWhenUsed/>
    <w:rsid w:val="00763E98"/>
    <w:pPr>
      <w:suppressAutoHyphens w:val="0"/>
      <w:kinsoku/>
      <w:overflowPunct/>
      <w:autoSpaceDE/>
      <w:autoSpaceDN/>
      <w:adjustRightInd/>
      <w:snapToGrid/>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763E9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63E98"/>
    <w:rPr>
      <w:b/>
      <w:bCs/>
    </w:rPr>
  </w:style>
  <w:style w:type="character" w:customStyle="1" w:styleId="CommentSubjectChar">
    <w:name w:val="Comment Subject Char"/>
    <w:basedOn w:val="CommentTextChar"/>
    <w:link w:val="CommentSubject"/>
    <w:uiPriority w:val="99"/>
    <w:semiHidden/>
    <w:rsid w:val="00763E98"/>
    <w:rPr>
      <w:rFonts w:eastAsiaTheme="minorHAnsi"/>
      <w:b/>
      <w:bCs/>
      <w:sz w:val="20"/>
      <w:szCs w:val="20"/>
      <w:lang w:eastAsia="en-US"/>
    </w:rPr>
  </w:style>
  <w:style w:type="paragraph" w:styleId="Caption">
    <w:name w:val="caption"/>
    <w:basedOn w:val="Normal"/>
    <w:next w:val="Normal"/>
    <w:uiPriority w:val="35"/>
    <w:unhideWhenUsed/>
    <w:qFormat/>
    <w:rsid w:val="00763E98"/>
    <w:pPr>
      <w:suppressAutoHyphens w:val="0"/>
      <w:kinsoku/>
      <w:overflowPunct/>
      <w:autoSpaceDE/>
      <w:autoSpaceDN/>
      <w:adjustRightInd/>
      <w:snapToGrid/>
      <w:spacing w:after="200" w:line="240" w:lineRule="auto"/>
    </w:pPr>
    <w:rPr>
      <w:rFonts w:asciiTheme="minorHAnsi" w:hAnsiTheme="minorHAnsi" w:cstheme="minorBidi"/>
      <w:i/>
      <w:iCs/>
      <w:color w:val="1F497D" w:themeColor="text2"/>
      <w:sz w:val="18"/>
      <w:szCs w:val="18"/>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uiPriority w:val="99"/>
    <w:rsid w:val="009D0C33"/>
    <w:pPr>
      <w:tabs>
        <w:tab w:val="left" w:pos="1260"/>
      </w:tabs>
      <w:suppressAutoHyphens w:val="0"/>
      <w:kinsoku/>
      <w:overflowPunct/>
      <w:autoSpaceDE/>
      <w:autoSpaceDN/>
      <w:adjustRightInd/>
      <w:snapToGrid/>
      <w:spacing w:line="240" w:lineRule="auto"/>
      <w:ind w:left="720" w:hanging="360"/>
      <w:contextualSpacing/>
      <w:jc w:val="both"/>
    </w:pPr>
    <w:rPr>
      <w:rFonts w:eastAsia="SimSun" w:cstheme="minorBidi"/>
      <w:sz w:val="18"/>
      <w:szCs w:val="22"/>
      <w:vertAlign w:val="superscript"/>
      <w:lang w:eastAsia="zh-CN"/>
    </w:rPr>
  </w:style>
  <w:style w:type="character" w:customStyle="1" w:styleId="apple-converted-space">
    <w:name w:val="apple-converted-space"/>
    <w:basedOn w:val="DefaultParagraphFont"/>
    <w:rsid w:val="009D0C33"/>
  </w:style>
  <w:style w:type="character" w:customStyle="1" w:styleId="normaltextrun">
    <w:name w:val="normaltextrun"/>
    <w:basedOn w:val="DefaultParagraphFont"/>
    <w:rsid w:val="00C03FFE"/>
  </w:style>
  <w:style w:type="character" w:customStyle="1" w:styleId="UnresolvedMention1">
    <w:name w:val="Unresolved Mention1"/>
    <w:basedOn w:val="DefaultParagraphFont"/>
    <w:uiPriority w:val="99"/>
    <w:semiHidden/>
    <w:unhideWhenUsed/>
    <w:rsid w:val="00511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68649291">
      <w:bodyDiv w:val="1"/>
      <w:marLeft w:val="0"/>
      <w:marRight w:val="0"/>
      <w:marTop w:val="0"/>
      <w:marBottom w:val="0"/>
      <w:divBdr>
        <w:top w:val="none" w:sz="0" w:space="0" w:color="auto"/>
        <w:left w:val="none" w:sz="0" w:space="0" w:color="auto"/>
        <w:bottom w:val="none" w:sz="0" w:space="0" w:color="auto"/>
        <w:right w:val="none" w:sz="0" w:space="0" w:color="auto"/>
      </w:divBdr>
    </w:div>
    <w:div w:id="495918044">
      <w:bodyDiv w:val="1"/>
      <w:marLeft w:val="0"/>
      <w:marRight w:val="0"/>
      <w:marTop w:val="0"/>
      <w:marBottom w:val="0"/>
      <w:divBdr>
        <w:top w:val="none" w:sz="0" w:space="0" w:color="auto"/>
        <w:left w:val="none" w:sz="0" w:space="0" w:color="auto"/>
        <w:bottom w:val="none" w:sz="0" w:space="0" w:color="auto"/>
        <w:right w:val="none" w:sz="0" w:space="0" w:color="auto"/>
      </w:divBdr>
    </w:div>
    <w:div w:id="619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4879&amp;LangID=E" TargetMode="External"/><Relationship Id="rId13" Type="http://schemas.openxmlformats.org/officeDocument/2006/relationships/hyperlink" Target="https://spcommreports.ohchr.org/TMResultsBase/DownLoadPublicCommunicationFile?gId=23424" TargetMode="External"/><Relationship Id="rId18" Type="http://schemas.openxmlformats.org/officeDocument/2006/relationships/hyperlink" Target="https://www.guttmacher.org/fact-sheet/abortion-latin-america-and-caribbean" TargetMode="External"/><Relationship Id="rId26" Type="http://schemas.openxmlformats.org/officeDocument/2006/relationships/hyperlink" Target="https://spcommreports.ohchr.org/TMResultsBase/DownLoadPublicCommunicationFile?gId=24677" TargetMode="External"/><Relationship Id="rId3" Type="http://schemas.openxmlformats.org/officeDocument/2006/relationships/hyperlink" Target="https://openknowledge.worldbank.org/bitstream/handle/10986/31327/WBL2019.pdf" TargetMode="External"/><Relationship Id="rId21" Type="http://schemas.openxmlformats.org/officeDocument/2006/relationships/hyperlink" Target="https://www.efe.com/efe/english/life/panamanian-church-leaders-unite-against-gay-marriage/50000263-3509097" TargetMode="External"/><Relationship Id="rId7" Type="http://schemas.openxmlformats.org/officeDocument/2006/relationships/hyperlink" Target="https://www.amnesty.org/en/countries/middle-east-and-north-africa/saudi-arabia/report-saudi-arabia/" TargetMode="External"/><Relationship Id="rId12" Type="http://schemas.openxmlformats.org/officeDocument/2006/relationships/hyperlink" Target="https://spcommreports.ohchr.org/TMResultsBase/DownLoadPublicCommunicationFile?gId=3324" TargetMode="External"/><Relationship Id="rId17" Type="http://schemas.openxmlformats.org/officeDocument/2006/relationships/hyperlink" Target="https://www.ohchr.org/Documents/Issues/Women/WRGS/VeilinEuropereport.pdf" TargetMode="External"/><Relationship Id="rId25" Type="http://schemas.openxmlformats.org/officeDocument/2006/relationships/hyperlink" Target="https://spcommreports.ohchr.org/TMResultsBase/DownLoadPublicCommunicationFile?gId=24951" TargetMode="External"/><Relationship Id="rId2" Type="http://schemas.openxmlformats.org/officeDocument/2006/relationships/hyperlink" Target="https://www.unfpa.org/sites/default/files/pub-pdf/Maternal_mortality_report.pdf" TargetMode="External"/><Relationship Id="rId16" Type="http://schemas.openxmlformats.org/officeDocument/2006/relationships/hyperlink" Target="https://spcommreports.ohchr.org/TMResultsBase/DownLoadPublicCommunicationFile?gId=24596" TargetMode="External"/><Relationship Id="rId20" Type="http://schemas.openxmlformats.org/officeDocument/2006/relationships/hyperlink" Target="https://www.who.int/news-room/fact-sheets/detail/preventing-unsafe-abortion" TargetMode="External"/><Relationship Id="rId29" Type="http://schemas.openxmlformats.org/officeDocument/2006/relationships/hyperlink" Target="https://spcommreports.ohchr.org/TMResultsBase/DownLoadPublicCommunicationFile?gId=23424" TargetMode="External"/><Relationship Id="rId1" Type="http://schemas.openxmlformats.org/officeDocument/2006/relationships/hyperlink" Target="https://sustainabledevelopment.un.org/content/documents/24978Report_of_the_SG_on_SDG_Progress_2019.pdf" TargetMode="External"/><Relationship Id="rId6" Type="http://schemas.openxmlformats.org/officeDocument/2006/relationships/hyperlink" Target="https://undocs.org/E/CN.6/2020/3" TargetMode="External"/><Relationship Id="rId11" Type="http://schemas.openxmlformats.org/officeDocument/2006/relationships/hyperlink" Target="https://spcommreports.ohchr.org/TMResultsBase/DownLoadPublicCommunicationFile?gId=23841" TargetMode="External"/><Relationship Id="rId24" Type="http://schemas.openxmlformats.org/officeDocument/2006/relationships/hyperlink" Target="https://www.uscirf.gov/sites/default/files/WomenandReligiousFreedom.pdf" TargetMode="External"/><Relationship Id="rId32" Type="http://schemas.openxmlformats.org/officeDocument/2006/relationships/hyperlink" Target="https://www.un.org/en/genocideprevention/documents/publications-and-resources/Plan_of_Action_Religious-rev5.pdf" TargetMode="External"/><Relationship Id="rId5" Type="http://schemas.openxmlformats.org/officeDocument/2006/relationships/hyperlink" Target="https://sustainabledevelopment.un.org/content/documents/24978Report_of_the_SG_on_SDG_Progress_2019.pdf" TargetMode="External"/><Relationship Id="rId15" Type="http://schemas.openxmlformats.org/officeDocument/2006/relationships/hyperlink" Target="https://www.icj-cij.org/files/case-related/178/178-20200123-PRE-01-00-EN.pdf" TargetMode="External"/><Relationship Id="rId23" Type="http://schemas.openxmlformats.org/officeDocument/2006/relationships/hyperlink" Target="https://www.awid.org/sites/default/files/atoms/files/feminists_on_the_frontline_-_christian_fundamentalisms_and_womens_rights_in_the_african_context.pdf" TargetMode="External"/><Relationship Id="rId28" Type="http://schemas.openxmlformats.org/officeDocument/2006/relationships/hyperlink" Target="https://spcommreports.ohchr.org/TMResultsBase/DownLoadPublicCommunicationFile?gId=23717" TargetMode="External"/><Relationship Id="rId10" Type="http://schemas.openxmlformats.org/officeDocument/2006/relationships/hyperlink" Target="http://connectblog.com/2019/09/challenging-divine-law-protecting-gender-rights-in-sri-lanka-and-beynd/" TargetMode="External"/><Relationship Id="rId19" Type="http://schemas.openxmlformats.org/officeDocument/2006/relationships/hyperlink" Target="https://www.guttmacher.org/fact-sheet/abortion-latin-america-and-caribbean" TargetMode="External"/><Relationship Id="rId31" Type="http://schemas.openxmlformats.org/officeDocument/2006/relationships/hyperlink" Target="https://www.ohchr.org/EN/Issues/FreedomReligion/Pages/FaithForRights.aspx" TargetMode="External"/><Relationship Id="rId4" Type="http://schemas.openxmlformats.org/officeDocument/2006/relationships/hyperlink" Target="https://www.ohchr.org/en/NewsEvents/Pages/DisplayNews.aspx?NewsID=23092&amp;LangID=E" TargetMode="External"/><Relationship Id="rId9" Type="http://schemas.openxmlformats.org/officeDocument/2006/relationships/hyperlink" Target="https://www.ohchr.org/en/NewsEvents/Pages/DisplayNews.aspx?NewsID=22336&amp;LangID=E" TargetMode="External"/><Relationship Id="rId14" Type="http://schemas.openxmlformats.org/officeDocument/2006/relationships/hyperlink" Target="https://www.hrw.org/report/2018/07/01/scared-public-and-now-no-privacy/human-rights-and-public-health-impacts-indonesias" TargetMode="External"/><Relationship Id="rId22" Type="http://schemas.openxmlformats.org/officeDocument/2006/relationships/hyperlink" Target="https://www.hrw.org/news/2018/12/10/breaking-buzzword-fighting-gender-ideology-myth" TargetMode="External"/><Relationship Id="rId27" Type="http://schemas.openxmlformats.org/officeDocument/2006/relationships/hyperlink" Target="https://spcommreports.ohchr.org/TMResultsBase/DownLoadPublicCommunicationFile?gId=24329" TargetMode="External"/><Relationship Id="rId30" Type="http://schemas.openxmlformats.org/officeDocument/2006/relationships/hyperlink" Target="https://www.opendemocracy.net/en/5050/evangelicals-south-africa-broadcasting-hate-masked-as-mor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BC63A8-0FFE-46DF-8551-A0534CB81E9B}">
  <ds:schemaRefs>
    <ds:schemaRef ds:uri="http://schemas.openxmlformats.org/officeDocument/2006/bibliography"/>
  </ds:schemaRefs>
</ds:datastoreItem>
</file>

<file path=customXml/itemProps2.xml><?xml version="1.0" encoding="utf-8"?>
<ds:datastoreItem xmlns:ds="http://schemas.openxmlformats.org/officeDocument/2006/customXml" ds:itemID="{CE782326-1B0C-4876-8242-BF111B1AC1A4}"/>
</file>

<file path=customXml/itemProps3.xml><?xml version="1.0" encoding="utf-8"?>
<ds:datastoreItem xmlns:ds="http://schemas.openxmlformats.org/officeDocument/2006/customXml" ds:itemID="{4880A836-95F2-4149-8177-20FD73261E18}"/>
</file>

<file path=customXml/itemProps4.xml><?xml version="1.0" encoding="utf-8"?>
<ds:datastoreItem xmlns:ds="http://schemas.openxmlformats.org/officeDocument/2006/customXml" ds:itemID="{CE11D5E3-6658-4582-B5A1-291D45D0939D}"/>
</file>

<file path=docProps/app.xml><?xml version="1.0" encoding="utf-8"?>
<Properties xmlns="http://schemas.openxmlformats.org/officeDocument/2006/extended-properties" xmlns:vt="http://schemas.openxmlformats.org/officeDocument/2006/docPropsVTypes">
  <Template>Normal.dotm</Template>
  <TotalTime>0</TotalTime>
  <Pages>19</Pages>
  <Words>10261</Words>
  <Characters>58492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A/HRC/40/58/Add.1</vt:lpstr>
    </vt:vector>
  </TitlesOfParts>
  <Company>DCM</Company>
  <LinksUpToDate>false</LinksUpToDate>
  <CharactersWithSpaces>68616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religion or belief - Report of the Special Rapporteur on freedom of religion or belief A_HRC_43_48</dc:title>
  <dc:subject>1917002</dc:subject>
  <dc:creator>CPM</dc:creator>
  <cp:keywords/>
  <dc:description/>
  <cp:lastModifiedBy>LANZ Veronique</cp:lastModifiedBy>
  <cp:revision>2</cp:revision>
  <cp:lastPrinted>2020-02-21T10:55:00Z</cp:lastPrinted>
  <dcterms:created xsi:type="dcterms:W3CDTF">2020-02-27T07:00:00Z</dcterms:created>
  <dcterms:modified xsi:type="dcterms:W3CDTF">2020-02-27T07:00:00Z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