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9"/>
        <w:gridCol w:w="2236"/>
        <w:gridCol w:w="3214"/>
        <w:gridCol w:w="2930"/>
      </w:tblGrid>
      <w:tr w:rsidR="00EC2011" w:rsidRPr="00F11C7A" w14:paraId="035056DC" w14:textId="77777777" w:rsidTr="00F11C7A">
        <w:trPr>
          <w:trHeight w:val="851"/>
        </w:trPr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5A2C9A" w14:textId="77777777" w:rsidR="00EC2011" w:rsidRPr="00F11C7A" w:rsidRDefault="00EC2011" w:rsidP="00F11C7A">
            <w:pPr>
              <w:pStyle w:val="SingleTxtG"/>
            </w:pP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E068E" w14:textId="6646801D" w:rsidR="00EC2011" w:rsidRPr="00F11C7A" w:rsidRDefault="00EC2011" w:rsidP="00F11C7A">
            <w:pPr>
              <w:spacing w:after="80" w:line="3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1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E6407" w14:textId="77777777" w:rsidR="00EC2011" w:rsidRPr="00F11C7A" w:rsidRDefault="00467C67" w:rsidP="00467C67">
            <w:pPr>
              <w:suppressAutoHyphens w:val="0"/>
              <w:spacing w:after="20"/>
              <w:jc w:val="right"/>
            </w:pPr>
            <w:r w:rsidRPr="00F11C7A">
              <w:rPr>
                <w:sz w:val="40"/>
              </w:rPr>
              <w:t>A</w:t>
            </w:r>
            <w:r w:rsidRPr="00F11C7A">
              <w:t>/HRC/46/74</w:t>
            </w:r>
          </w:p>
        </w:tc>
      </w:tr>
      <w:tr w:rsidR="00EC2011" w:rsidRPr="00F11C7A" w14:paraId="22B02A82" w14:textId="77777777" w:rsidTr="00F11C7A">
        <w:trPr>
          <w:trHeight w:val="2835"/>
        </w:trPr>
        <w:tc>
          <w:tcPr>
            <w:tcW w:w="12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C20E221" w14:textId="6809385F" w:rsidR="00EC2011" w:rsidRPr="00F11C7A" w:rsidRDefault="00EC2011" w:rsidP="00F11C7A">
            <w:pPr>
              <w:spacing w:before="120"/>
              <w:jc w:val="center"/>
            </w:pP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48FEC46" w14:textId="6E3AAC99" w:rsidR="00EC2011" w:rsidRPr="00F11C7A" w:rsidRDefault="00FB70FD" w:rsidP="00F11C7A">
            <w:pPr>
              <w:spacing w:before="120" w:line="420" w:lineRule="exac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Advance Edited Version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0681392" w14:textId="06AF39F6" w:rsidR="00EC2011" w:rsidRPr="00F11C7A" w:rsidRDefault="00467C67" w:rsidP="00467C67">
            <w:pPr>
              <w:spacing w:before="240"/>
            </w:pPr>
            <w:r w:rsidRPr="00F11C7A">
              <w:t>Distr.:</w:t>
            </w:r>
            <w:r w:rsidR="00184181" w:rsidRPr="00F11C7A">
              <w:t xml:space="preserve"> </w:t>
            </w:r>
            <w:r w:rsidRPr="00F11C7A">
              <w:t>General</w:t>
            </w:r>
          </w:p>
          <w:p w14:paraId="23C38F39" w14:textId="5DEA6436" w:rsidR="00467C67" w:rsidRPr="00F11C7A" w:rsidRDefault="00467C67" w:rsidP="00467C67">
            <w:pPr>
              <w:suppressAutoHyphens w:val="0"/>
            </w:pPr>
            <w:r w:rsidRPr="00F11C7A">
              <w:t>11</w:t>
            </w:r>
            <w:r w:rsidR="00184181" w:rsidRPr="00F11C7A">
              <w:t xml:space="preserve"> </w:t>
            </w:r>
            <w:r w:rsidRPr="00F11C7A">
              <w:t>February</w:t>
            </w:r>
            <w:r w:rsidR="00184181" w:rsidRPr="00F11C7A">
              <w:t xml:space="preserve"> </w:t>
            </w:r>
            <w:r w:rsidRPr="00F11C7A">
              <w:t>2021</w:t>
            </w:r>
          </w:p>
          <w:p w14:paraId="205A469D" w14:textId="77777777" w:rsidR="00467C67" w:rsidRPr="00F11C7A" w:rsidRDefault="00467C67" w:rsidP="00467C67">
            <w:pPr>
              <w:suppressAutoHyphens w:val="0"/>
            </w:pPr>
          </w:p>
          <w:p w14:paraId="4253C4C2" w14:textId="7361FF67" w:rsidR="00467C67" w:rsidRPr="00F11C7A" w:rsidRDefault="00467C67" w:rsidP="00467C67">
            <w:pPr>
              <w:suppressAutoHyphens w:val="0"/>
            </w:pPr>
            <w:r w:rsidRPr="00F11C7A">
              <w:t>Original:</w:t>
            </w:r>
            <w:r w:rsidR="00184181" w:rsidRPr="00F11C7A">
              <w:t xml:space="preserve"> </w:t>
            </w:r>
            <w:r w:rsidRPr="00F11C7A">
              <w:t>English</w:t>
            </w:r>
          </w:p>
        </w:tc>
      </w:tr>
    </w:tbl>
    <w:p w14:paraId="354D80FF" w14:textId="7114F6CE" w:rsidR="00467C67" w:rsidRPr="00E435CA" w:rsidRDefault="00467C67" w:rsidP="00467C67">
      <w:pPr>
        <w:spacing w:before="120"/>
        <w:rPr>
          <w:b/>
          <w:bCs/>
          <w:sz w:val="24"/>
          <w:szCs w:val="24"/>
        </w:rPr>
      </w:pPr>
      <w:r w:rsidRPr="00E435CA">
        <w:rPr>
          <w:b/>
          <w:bCs/>
          <w:sz w:val="24"/>
          <w:szCs w:val="24"/>
        </w:rPr>
        <w:t>Human</w:t>
      </w:r>
      <w:r w:rsidR="00184181" w:rsidRPr="00E435CA">
        <w:rPr>
          <w:b/>
          <w:bCs/>
          <w:sz w:val="24"/>
          <w:szCs w:val="24"/>
        </w:rPr>
        <w:t xml:space="preserve"> </w:t>
      </w:r>
      <w:r w:rsidRPr="00E435CA">
        <w:rPr>
          <w:b/>
          <w:bCs/>
          <w:sz w:val="24"/>
          <w:szCs w:val="24"/>
        </w:rPr>
        <w:t>Rights</w:t>
      </w:r>
      <w:r w:rsidR="00184181" w:rsidRPr="00E435CA">
        <w:rPr>
          <w:b/>
          <w:bCs/>
          <w:sz w:val="24"/>
          <w:szCs w:val="24"/>
        </w:rPr>
        <w:t xml:space="preserve"> </w:t>
      </w:r>
      <w:r w:rsidRPr="00E435CA">
        <w:rPr>
          <w:b/>
          <w:bCs/>
          <w:sz w:val="24"/>
          <w:szCs w:val="24"/>
        </w:rPr>
        <w:t>Council</w:t>
      </w:r>
    </w:p>
    <w:p w14:paraId="795A8F46" w14:textId="480952F4" w:rsidR="00467C67" w:rsidRPr="00E435CA" w:rsidRDefault="00467C67" w:rsidP="00467C67">
      <w:pPr>
        <w:rPr>
          <w:b/>
          <w:bCs/>
        </w:rPr>
      </w:pPr>
      <w:r w:rsidRPr="00E435CA">
        <w:rPr>
          <w:b/>
          <w:bCs/>
        </w:rPr>
        <w:t>Forty-sixth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session</w:t>
      </w:r>
    </w:p>
    <w:p w14:paraId="22376C10" w14:textId="331B81C6" w:rsidR="00467C67" w:rsidRPr="00E435CA" w:rsidRDefault="00467C67" w:rsidP="00467C67">
      <w:r w:rsidRPr="00E435CA">
        <w:t>22</w:t>
      </w:r>
      <w:r w:rsidR="00184181" w:rsidRPr="00E435CA">
        <w:t xml:space="preserve"> </w:t>
      </w:r>
      <w:r w:rsidRPr="00E435CA">
        <w:t>February–19</w:t>
      </w:r>
      <w:r w:rsidR="00184181" w:rsidRPr="00E435CA">
        <w:t xml:space="preserve"> </w:t>
      </w:r>
      <w:r w:rsidRPr="00E435CA">
        <w:t>March</w:t>
      </w:r>
      <w:r w:rsidR="00184181" w:rsidRPr="00E435CA">
        <w:t xml:space="preserve"> </w:t>
      </w:r>
      <w:r w:rsidRPr="00E435CA">
        <w:t>2021</w:t>
      </w:r>
    </w:p>
    <w:p w14:paraId="43397090" w14:textId="0F87131C" w:rsidR="00467C67" w:rsidRPr="00E435CA" w:rsidRDefault="00467C67" w:rsidP="00467C67">
      <w:r w:rsidRPr="00E435CA">
        <w:t>Agenda</w:t>
      </w:r>
      <w:r w:rsidR="00184181" w:rsidRPr="00E435CA">
        <w:t xml:space="preserve"> </w:t>
      </w:r>
      <w:r w:rsidRPr="00E435CA">
        <w:t>item</w:t>
      </w:r>
      <w:r w:rsidR="00184181" w:rsidRPr="00E435CA">
        <w:t xml:space="preserve"> </w:t>
      </w:r>
      <w:r w:rsidRPr="00E435CA">
        <w:t>2</w:t>
      </w:r>
    </w:p>
    <w:p w14:paraId="0DA01A7C" w14:textId="525DB0EB" w:rsidR="00467C67" w:rsidRPr="00E435CA" w:rsidRDefault="00467C67" w:rsidP="00467C67">
      <w:pPr>
        <w:rPr>
          <w:b/>
          <w:bCs/>
        </w:rPr>
      </w:pPr>
      <w:r w:rsidRPr="00E435CA">
        <w:rPr>
          <w:b/>
          <w:bCs/>
        </w:rPr>
        <w:t>Annual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report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United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Nations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High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Commissioner</w:t>
      </w:r>
    </w:p>
    <w:p w14:paraId="5224B62D" w14:textId="23F340E5" w:rsidR="00467C67" w:rsidRPr="00E435CA" w:rsidRDefault="00467C67" w:rsidP="00467C67">
      <w:pPr>
        <w:rPr>
          <w:b/>
          <w:bCs/>
        </w:rPr>
      </w:pPr>
      <w:r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reports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Office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</w:p>
    <w:p w14:paraId="656DBFDA" w14:textId="21ADB023" w:rsidR="00467C67" w:rsidRPr="00E435CA" w:rsidRDefault="00467C67" w:rsidP="00467C67">
      <w:pPr>
        <w:rPr>
          <w:b/>
          <w:bCs/>
        </w:rPr>
      </w:pPr>
      <w:r w:rsidRPr="00E435CA">
        <w:rPr>
          <w:b/>
          <w:bCs/>
        </w:rPr>
        <w:t>High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Commissioner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Secretary-General</w:t>
      </w:r>
    </w:p>
    <w:p w14:paraId="2FA6074D" w14:textId="77777777" w:rsidR="005328B0" w:rsidRPr="00E435CA" w:rsidRDefault="00467C67" w:rsidP="00467C67">
      <w:pPr>
        <w:pStyle w:val="HChG"/>
      </w:pPr>
      <w:r w:rsidRPr="00E435CA">
        <w:tab/>
      </w:r>
      <w:r w:rsidRPr="00E435CA">
        <w:tab/>
        <w:t>Situation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</w:t>
      </w:r>
    </w:p>
    <w:p w14:paraId="67C56474" w14:textId="0D87D93F" w:rsidR="00467C67" w:rsidRPr="00E435CA" w:rsidRDefault="00467C67" w:rsidP="00467C67">
      <w:pPr>
        <w:pStyle w:val="H1G"/>
      </w:pPr>
      <w:r w:rsidRPr="00E435CA">
        <w:tab/>
      </w:r>
      <w:r w:rsidRPr="00E435CA">
        <w:tab/>
        <w:t>Report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Nations</w:t>
      </w:r>
      <w:r w:rsidR="00184181" w:rsidRPr="00E435CA">
        <w:t xml:space="preserve"> </w:t>
      </w:r>
      <w:r w:rsidRPr="00E435CA">
        <w:t>High</w:t>
      </w:r>
      <w:r w:rsidR="00184181" w:rsidRPr="00E435CA">
        <w:t xml:space="preserve"> </w:t>
      </w:r>
      <w:r w:rsidRPr="00E435CA">
        <w:t>Commissioner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Pr="00E435CA">
        <w:rPr>
          <w:rStyle w:val="FootnoteReference"/>
          <w:b w:val="0"/>
          <w:bCs/>
          <w:sz w:val="20"/>
          <w:vertAlign w:val="baseline"/>
        </w:rPr>
        <w:footnoteReference w:customMarkFollows="1" w:id="2"/>
        <w:t>*</w:t>
      </w:r>
    </w:p>
    <w:tbl>
      <w:tblPr>
        <w:tblStyle w:val="TableGrid"/>
        <w:tblW w:w="0" w:type="auto"/>
        <w:jc w:val="center"/>
        <w:tblLook w:val="05E0" w:firstRow="1" w:lastRow="1" w:firstColumn="1" w:lastColumn="1" w:noHBand="0" w:noVBand="1"/>
      </w:tblPr>
      <w:tblGrid>
        <w:gridCol w:w="9629"/>
      </w:tblGrid>
      <w:tr w:rsidR="00467C67" w:rsidRPr="00E435CA" w14:paraId="66C1DF2E" w14:textId="77777777" w:rsidTr="00467C67">
        <w:trPr>
          <w:jc w:val="center"/>
        </w:trPr>
        <w:tc>
          <w:tcPr>
            <w:tcW w:w="9637" w:type="dxa"/>
            <w:tcBorders>
              <w:bottom w:val="nil"/>
            </w:tcBorders>
          </w:tcPr>
          <w:p w14:paraId="37FFADF8" w14:textId="60E03017" w:rsidR="00467C67" w:rsidRPr="00E435CA" w:rsidRDefault="00467C67" w:rsidP="00467C67">
            <w:pPr>
              <w:tabs>
                <w:tab w:val="left" w:pos="255"/>
              </w:tabs>
              <w:suppressAutoHyphens w:val="0"/>
              <w:spacing w:before="240" w:after="120"/>
              <w:rPr>
                <w:sz w:val="24"/>
                <w:lang w:val="en-GB"/>
              </w:rPr>
            </w:pPr>
            <w:r w:rsidRPr="00E435CA">
              <w:rPr>
                <w:lang w:val="en-GB"/>
              </w:rPr>
              <w:tab/>
            </w:r>
            <w:r w:rsidRPr="00E435CA">
              <w:rPr>
                <w:i/>
                <w:sz w:val="24"/>
                <w:lang w:val="en-GB"/>
              </w:rPr>
              <w:t>Summary</w:t>
            </w:r>
          </w:p>
        </w:tc>
      </w:tr>
      <w:tr w:rsidR="00467C67" w:rsidRPr="00E435CA" w14:paraId="11B8E040" w14:textId="77777777" w:rsidTr="00467C67">
        <w:trPr>
          <w:jc w:val="center"/>
        </w:trPr>
        <w:tc>
          <w:tcPr>
            <w:tcW w:w="9637" w:type="dxa"/>
            <w:tcBorders>
              <w:top w:val="nil"/>
              <w:bottom w:val="nil"/>
            </w:tcBorders>
            <w:shd w:val="clear" w:color="auto" w:fill="auto"/>
          </w:tcPr>
          <w:p w14:paraId="369BCA9E" w14:textId="6F5C2FEA" w:rsidR="00467C67" w:rsidRPr="00E435CA" w:rsidRDefault="00467C67" w:rsidP="00467C67">
            <w:pPr>
              <w:pStyle w:val="SingleTxtG"/>
              <w:rPr>
                <w:lang w:val="en-GB"/>
              </w:rPr>
            </w:pPr>
            <w:r w:rsidRPr="00E435CA">
              <w:rPr>
                <w:lang w:val="en-GB"/>
              </w:rPr>
              <w:tab/>
              <w:t>In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her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report,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United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Nations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High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Commissioner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for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Human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Rights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describes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human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rights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situation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and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activities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of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her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office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in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Guatemala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from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1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January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to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31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December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2020.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She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highlights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advances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and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persisting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challenges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in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promotion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and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protection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of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human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rights,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with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focus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on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issues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related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to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equality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and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non-discrimination,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inclusive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and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sustainable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human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development,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justice,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democratic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space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and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human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rights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impact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of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coronavirus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disease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(COVID-19)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pandemic.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The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report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concludes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with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recommendations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to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various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State</w:t>
            </w:r>
            <w:r w:rsidR="00184181" w:rsidRPr="00E435CA">
              <w:rPr>
                <w:lang w:val="en-GB"/>
              </w:rPr>
              <w:t xml:space="preserve"> </w:t>
            </w:r>
            <w:r w:rsidRPr="00E435CA">
              <w:rPr>
                <w:lang w:val="en-GB"/>
              </w:rPr>
              <w:t>institutions.</w:t>
            </w:r>
          </w:p>
        </w:tc>
      </w:tr>
      <w:tr w:rsidR="00467C67" w:rsidRPr="00E435CA" w14:paraId="48B713E3" w14:textId="77777777" w:rsidTr="00467C67">
        <w:trPr>
          <w:jc w:val="center"/>
        </w:trPr>
        <w:tc>
          <w:tcPr>
            <w:tcW w:w="9637" w:type="dxa"/>
            <w:tcBorders>
              <w:top w:val="nil"/>
            </w:tcBorders>
          </w:tcPr>
          <w:p w14:paraId="7C7FAA59" w14:textId="77777777" w:rsidR="00467C67" w:rsidRPr="00E435CA" w:rsidRDefault="00467C67" w:rsidP="00467C67">
            <w:pPr>
              <w:suppressAutoHyphens w:val="0"/>
              <w:rPr>
                <w:lang w:val="en-GB"/>
              </w:rPr>
            </w:pPr>
          </w:p>
        </w:tc>
      </w:tr>
    </w:tbl>
    <w:p w14:paraId="57F26E51" w14:textId="77777777" w:rsidR="00467C67" w:rsidRPr="00E435CA" w:rsidRDefault="00467C67" w:rsidP="00467C67">
      <w:pPr>
        <w:pStyle w:val="HChG"/>
      </w:pPr>
      <w:r w:rsidRPr="00E435CA">
        <w:br w:type="page"/>
      </w:r>
      <w:bookmarkStart w:id="1" w:name="_Toc22638466"/>
      <w:r w:rsidRPr="00E435CA">
        <w:lastRenderedPageBreak/>
        <w:tab/>
        <w:t>I.</w:t>
      </w:r>
      <w:r w:rsidRPr="00E435CA">
        <w:tab/>
        <w:t>I</w:t>
      </w:r>
      <w:bookmarkEnd w:id="1"/>
      <w:r w:rsidRPr="00E435CA">
        <w:t>ntroduction</w:t>
      </w:r>
    </w:p>
    <w:p w14:paraId="44CAEF8F" w14:textId="77777777" w:rsidR="005328B0" w:rsidRPr="00E435CA" w:rsidRDefault="00467C67" w:rsidP="00467C67">
      <w:pPr>
        <w:pStyle w:val="SingleTxtG"/>
      </w:pPr>
      <w:r w:rsidRPr="00E435CA">
        <w:t>1.</w:t>
      </w:r>
      <w:r w:rsidRPr="00E435CA">
        <w:tab/>
        <w:t>The</w:t>
      </w:r>
      <w:r w:rsidR="00184181" w:rsidRPr="00E435CA">
        <w:t xml:space="preserve"> </w:t>
      </w:r>
      <w:r w:rsidRPr="00E435CA">
        <w:t>present</w:t>
      </w:r>
      <w:r w:rsidR="00184181" w:rsidRPr="00E435CA">
        <w:t xml:space="preserve"> </w:t>
      </w:r>
      <w:r w:rsidRPr="00E435CA">
        <w:t>report</w:t>
      </w:r>
      <w:r w:rsidR="00184181" w:rsidRPr="00E435CA">
        <w:t xml:space="preserve"> </w:t>
      </w:r>
      <w:r w:rsidRPr="00E435CA">
        <w:t>is</w:t>
      </w:r>
      <w:r w:rsidR="00184181" w:rsidRPr="00E435CA">
        <w:t xml:space="preserve"> </w:t>
      </w:r>
      <w:r w:rsidRPr="00E435CA">
        <w:t>submitted</w:t>
      </w:r>
      <w:r w:rsidR="00184181" w:rsidRPr="00E435CA">
        <w:t xml:space="preserve"> </w:t>
      </w:r>
      <w:r w:rsidRPr="00E435CA">
        <w:t>pursuant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agreement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Nations</w:t>
      </w:r>
      <w:r w:rsidR="00184181" w:rsidRPr="00E435CA">
        <w:t xml:space="preserve"> </w:t>
      </w:r>
      <w:r w:rsidRPr="00E435CA">
        <w:t>High</w:t>
      </w:r>
      <w:r w:rsidR="00184181" w:rsidRPr="00E435CA">
        <w:t xml:space="preserve"> </w:t>
      </w:r>
      <w:r w:rsidRPr="00E435CA">
        <w:t>Commissioner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(OHCHR)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Guatemala,</w:t>
      </w:r>
      <w:r w:rsidR="00184181" w:rsidRPr="00E435CA">
        <w:t xml:space="preserve"> </w:t>
      </w:r>
      <w:r w:rsidRPr="00E435CA">
        <w:t>signed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January</w:t>
      </w:r>
      <w:r w:rsidR="00184181" w:rsidRPr="00E435CA">
        <w:t xml:space="preserve"> </w:t>
      </w:r>
      <w:r w:rsidRPr="00E435CA">
        <w:t>2005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renewed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September</w:t>
      </w:r>
      <w:r w:rsidR="00184181" w:rsidRPr="00E435CA">
        <w:t xml:space="preserve"> </w:t>
      </w:r>
      <w:r w:rsidRPr="00E435CA">
        <w:t>2020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year.</w:t>
      </w:r>
      <w:r w:rsidRPr="00E435CA">
        <w:rPr>
          <w:rStyle w:val="FootnoteReference"/>
        </w:rPr>
        <w:footnoteReference w:id="3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report</w:t>
      </w:r>
      <w:r w:rsidR="00184181" w:rsidRPr="00E435CA">
        <w:t xml:space="preserve"> </w:t>
      </w:r>
      <w:r w:rsidRPr="00E435CA">
        <w:t>covers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year</w:t>
      </w:r>
      <w:r w:rsidR="00184181" w:rsidRPr="00E435CA">
        <w:t xml:space="preserve"> </w:t>
      </w:r>
      <w:r w:rsidRPr="00E435CA">
        <w:t>2020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is</w:t>
      </w:r>
      <w:r w:rsidR="00184181" w:rsidRPr="00E435CA">
        <w:t xml:space="preserve"> </w:t>
      </w:r>
      <w:r w:rsidRPr="00E435CA">
        <w:t>based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stakeholders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well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collected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analysed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report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provides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overview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key</w:t>
      </w:r>
      <w:r w:rsidR="00184181" w:rsidRPr="00E435CA">
        <w:t xml:space="preserve"> </w:t>
      </w:r>
      <w:r w:rsidRPr="00E435CA">
        <w:t>activities</w:t>
      </w:r>
      <w:r w:rsidR="00184181" w:rsidRPr="00E435CA">
        <w:t xml:space="preserve"> </w:t>
      </w:r>
      <w:r w:rsidRPr="00E435CA">
        <w:t>undertaken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2020.</w:t>
      </w:r>
    </w:p>
    <w:p w14:paraId="18FCF6CC" w14:textId="0F72DE68" w:rsidR="00467C67" w:rsidRPr="00E435CA" w:rsidRDefault="00467C67" w:rsidP="00467C67">
      <w:pPr>
        <w:pStyle w:val="SingleTxtG"/>
      </w:pPr>
      <w:r w:rsidRPr="00E435CA">
        <w:t>2.</w:t>
      </w:r>
      <w:r w:rsidRPr="00E435CA">
        <w:tab/>
        <w:t>OHCHR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institutions,</w:t>
      </w:r>
      <w:r w:rsidR="00184181" w:rsidRPr="00E435CA">
        <w:t xml:space="preserve"> </w:t>
      </w:r>
      <w:r w:rsidRPr="00E435CA">
        <w:t>notably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Assistance,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(CONADI),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Police,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Labour,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Education,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Welfare</w:t>
      </w:r>
      <w:r w:rsidR="00184181" w:rsidRPr="00E435CA">
        <w:t xml:space="preserve"> </w:t>
      </w:r>
      <w:r w:rsidRPr="00E435CA">
        <w:t>secretariat,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</w:t>
      </w:r>
      <w:r w:rsidR="00184181" w:rsidRPr="00E435CA">
        <w:t xml:space="preserve"> </w:t>
      </w:r>
      <w:r w:rsidRPr="00E435CA">
        <w:t>(CONAMIGUA),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(COPREDEH),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Attorney</w:t>
      </w:r>
      <w:r w:rsidR="00184181" w:rsidRPr="00E435CA">
        <w:t xml:space="preserve"> </w:t>
      </w:r>
      <w:r w:rsidRPr="00E435CA">
        <w:t>General,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judiciary,</w:t>
      </w:r>
      <w:r w:rsidR="00184181" w:rsidRPr="00E435CA">
        <w:t xml:space="preserve"> </w:t>
      </w:r>
      <w:r w:rsidRPr="00E435CA">
        <w:t>Congress,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65</w:t>
      </w:r>
      <w:r w:rsidR="00184181" w:rsidRPr="00E435CA">
        <w:t xml:space="preserve"> </w:t>
      </w:r>
      <w:r w:rsidRPr="00E435CA">
        <w:t>capacity-building</w:t>
      </w:r>
      <w:r w:rsidR="00184181" w:rsidRPr="00E435CA">
        <w:t xml:space="preserve"> </w:t>
      </w:r>
      <w:r w:rsidRPr="00E435CA">
        <w:t>courses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institutions;</w:t>
      </w:r>
      <w:r w:rsidR="00184181" w:rsidRPr="00E435CA">
        <w:t xml:space="preserve"> </w:t>
      </w:r>
      <w:r w:rsidRPr="00E435CA">
        <w:t>organized</w:t>
      </w:r>
      <w:r w:rsidR="00184181" w:rsidRPr="00E435CA">
        <w:t xml:space="preserve"> </w:t>
      </w:r>
      <w:r w:rsidRPr="00E435CA">
        <w:t>39</w:t>
      </w:r>
      <w:r w:rsidR="00184181" w:rsidRPr="00E435CA">
        <w:t xml:space="preserve"> </w:t>
      </w:r>
      <w:r w:rsidRPr="00E435CA">
        <w:t>forums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various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topics</w:t>
      </w:r>
      <w:r w:rsidR="00184181" w:rsidRPr="00E435CA">
        <w:t xml:space="preserve"> </w:t>
      </w:r>
      <w:r w:rsidRPr="00E435CA">
        <w:t>such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participation,</w:t>
      </w:r>
      <w:r w:rsidR="00184181" w:rsidRPr="00E435CA">
        <w:t xml:space="preserve"> </w:t>
      </w:r>
      <w:r w:rsidRPr="00E435CA">
        <w:t>health,</w:t>
      </w:r>
      <w:r w:rsidR="00184181" w:rsidRPr="00E435CA">
        <w:t xml:space="preserve"> </w:t>
      </w:r>
      <w:r w:rsidRPr="00E435CA">
        <w:t>water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sanitation,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protection,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justice,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girls,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rights;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held</w:t>
      </w:r>
      <w:r w:rsidR="00184181" w:rsidRPr="00E435CA">
        <w:t xml:space="preserve"> </w:t>
      </w:r>
      <w:r w:rsidRPr="00E435CA">
        <w:t>webinars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peoples,</w:t>
      </w:r>
      <w:r w:rsidR="00184181" w:rsidRPr="00E435CA">
        <w:t xml:space="preserve"> </w:t>
      </w:r>
      <w:r w:rsidRPr="00E435CA">
        <w:t>women,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young</w:t>
      </w:r>
      <w:r w:rsidR="00184181" w:rsidRPr="00E435CA">
        <w:t xml:space="preserve"> </w:t>
      </w:r>
      <w:r w:rsidRPr="00E435CA">
        <w:t>people.</w:t>
      </w:r>
    </w:p>
    <w:p w14:paraId="3B94B917" w14:textId="118CCD3A" w:rsidR="00467C67" w:rsidRPr="00E435CA" w:rsidRDefault="00467C67" w:rsidP="00467C67">
      <w:pPr>
        <w:pStyle w:val="SingleTxtG"/>
      </w:pPr>
      <w:r w:rsidRPr="00E435CA">
        <w:t>3.</w:t>
      </w:r>
      <w:r w:rsidRPr="00E435CA">
        <w:tab/>
        <w:t>The</w:t>
      </w:r>
      <w:r w:rsidR="00184181" w:rsidRPr="00E435CA">
        <w:t xml:space="preserve"> </w:t>
      </w:r>
      <w:r w:rsidRPr="00E435CA">
        <w:t>year</w:t>
      </w:r>
      <w:r w:rsidR="00184181" w:rsidRPr="00E435CA">
        <w:t xml:space="preserve"> </w:t>
      </w:r>
      <w:r w:rsidRPr="00E435CA">
        <w:t>2020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marked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coronavirus</w:t>
      </w:r>
      <w:r w:rsidR="00184181" w:rsidRPr="00E435CA">
        <w:t xml:space="preserve"> </w:t>
      </w:r>
      <w:r w:rsidRPr="00E435CA">
        <w:t>disease</w:t>
      </w:r>
      <w:r w:rsidR="00184181" w:rsidRPr="00E435CA">
        <w:t xml:space="preserve"> </w:t>
      </w:r>
      <w:r w:rsidRPr="00E435CA">
        <w:t>(COVID-19)</w:t>
      </w:r>
      <w:r w:rsidR="00184181" w:rsidRPr="00E435CA">
        <w:t xml:space="preserve"> </w:t>
      </w:r>
      <w:r w:rsidRPr="00E435CA">
        <w:t>pandemic.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remained</w:t>
      </w:r>
      <w:r w:rsidR="00184181" w:rsidRPr="00E435CA">
        <w:t xml:space="preserve"> </w:t>
      </w:r>
      <w:r w:rsidRPr="00E435CA">
        <w:t>fully</w:t>
      </w:r>
      <w:r w:rsidR="00184181" w:rsidRPr="00E435CA">
        <w:t xml:space="preserve"> </w:t>
      </w:r>
      <w:r w:rsidRPr="00E435CA">
        <w:t>operational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reporting</w:t>
      </w:r>
      <w:r w:rsidR="00184181" w:rsidRPr="00E435CA">
        <w:t xml:space="preserve"> </w:t>
      </w:r>
      <w:r w:rsidRPr="00E435CA">
        <w:t>period,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adjusted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activities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accordance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guidelines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regulations</w:t>
      </w:r>
      <w:r w:rsidR="00184181" w:rsidRPr="00E435CA">
        <w:t xml:space="preserve"> </w:t>
      </w:r>
      <w:r w:rsidRPr="00E435CA">
        <w:t>established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pandemic.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monitor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situation</w:t>
      </w:r>
      <w:r w:rsidR="00184181" w:rsidRPr="00E435CA">
        <w:t xml:space="preserve"> </w:t>
      </w:r>
      <w:r w:rsidRPr="00E435CA">
        <w:t>remotely,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active</w:t>
      </w:r>
      <w:r w:rsidR="00184181" w:rsidRPr="00E435CA">
        <w:t xml:space="preserve"> </w:t>
      </w:r>
      <w:r w:rsidRPr="00E435CA">
        <w:t>engagement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officials,</w:t>
      </w:r>
      <w:r w:rsidR="00184181" w:rsidRPr="00E435CA">
        <w:t xml:space="preserve"> </w:t>
      </w:r>
      <w:r w:rsidRPr="00E435CA">
        <w:t>communities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local</w:t>
      </w:r>
      <w:r w:rsidR="00184181" w:rsidRPr="00E435CA">
        <w:t xml:space="preserve"> </w:t>
      </w:r>
      <w:r w:rsidRPr="00E435CA">
        <w:t>levels.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produced</w:t>
      </w:r>
      <w:r w:rsidR="00184181" w:rsidRPr="00E435CA">
        <w:t xml:space="preserve"> </w:t>
      </w:r>
      <w:r w:rsidRPr="00E435CA">
        <w:t>26</w:t>
      </w:r>
      <w:r w:rsidR="00184181" w:rsidRPr="00E435CA">
        <w:t xml:space="preserve"> </w:t>
      </w:r>
      <w:r w:rsidRPr="00E435CA">
        <w:t>bulletins,</w:t>
      </w:r>
      <w:r w:rsidR="00184181" w:rsidRPr="00E435CA">
        <w:t xml:space="preserve"> </w:t>
      </w:r>
      <w:r w:rsidRPr="00E435CA">
        <w:t>guides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publications,</w:t>
      </w:r>
      <w:r w:rsidRPr="00E435CA">
        <w:rPr>
          <w:rStyle w:val="FootnoteReference"/>
        </w:rPr>
        <w:footnoteReference w:id="4"/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launched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campaigns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promote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peoples,</w:t>
      </w:r>
      <w:r w:rsidR="00184181" w:rsidRPr="00E435CA">
        <w:t xml:space="preserve"> </w:t>
      </w:r>
      <w:r w:rsidRPr="00E435CA">
        <w:t>women,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lesbian,</w:t>
      </w:r>
      <w:r w:rsidR="00184181" w:rsidRPr="00E435CA">
        <w:t xml:space="preserve"> </w:t>
      </w:r>
      <w:r w:rsidRPr="00E435CA">
        <w:t>gay,</w:t>
      </w:r>
      <w:r w:rsidR="00184181" w:rsidRPr="00E435CA">
        <w:t xml:space="preserve"> </w:t>
      </w:r>
      <w:r w:rsidRPr="00E435CA">
        <w:t>bisexual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pandemic.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assisted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campaigns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Education,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Migrants.</w:t>
      </w:r>
      <w:r w:rsidRPr="00E435CA">
        <w:rPr>
          <w:rStyle w:val="FootnoteReference"/>
        </w:rPr>
        <w:footnoteReference w:id="5"/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held</w:t>
      </w:r>
      <w:r w:rsidR="00184181" w:rsidRPr="00E435CA">
        <w:t xml:space="preserve"> </w:t>
      </w:r>
      <w:r w:rsidRPr="00E435CA">
        <w:t>nine</w:t>
      </w:r>
      <w:r w:rsidR="00184181" w:rsidRPr="00E435CA">
        <w:t xml:space="preserve"> </w:t>
      </w:r>
      <w:r w:rsidRPr="00E435CA">
        <w:t>regional</w:t>
      </w:r>
      <w:r w:rsidR="00184181" w:rsidRPr="00E435CA">
        <w:t xml:space="preserve"> </w:t>
      </w:r>
      <w:r w:rsidRPr="00E435CA">
        <w:t>workshops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regional</w:t>
      </w:r>
      <w:r w:rsidR="00184181" w:rsidRPr="00E435CA">
        <w:t xml:space="preserve"> </w:t>
      </w:r>
      <w:r w:rsidRPr="00E435CA">
        <w:t>forums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participation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well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Argentina,</w:t>
      </w:r>
      <w:r w:rsidR="00184181" w:rsidRPr="00E435CA">
        <w:t xml:space="preserve"> </w:t>
      </w:r>
      <w:r w:rsidRPr="00E435CA">
        <w:t>Chile,</w:t>
      </w:r>
      <w:r w:rsidR="00184181" w:rsidRPr="00E435CA">
        <w:t xml:space="preserve"> </w:t>
      </w:r>
      <w:r w:rsidRPr="00E435CA">
        <w:t>Colombia,</w:t>
      </w:r>
      <w:r w:rsidR="00184181" w:rsidRPr="00E435CA">
        <w:t xml:space="preserve"> </w:t>
      </w:r>
      <w:r w:rsidRPr="00E435CA">
        <w:t>Costa</w:t>
      </w:r>
      <w:r w:rsidR="00184181" w:rsidRPr="00E435CA">
        <w:t xml:space="preserve"> </w:t>
      </w:r>
      <w:r w:rsidRPr="00E435CA">
        <w:t>Rica,</w:t>
      </w:r>
      <w:r w:rsidR="00184181" w:rsidRPr="00E435CA">
        <w:t xml:space="preserve"> </w:t>
      </w:r>
      <w:r w:rsidRPr="00E435CA">
        <w:t>El</w:t>
      </w:r>
      <w:r w:rsidR="00184181" w:rsidRPr="00E435CA">
        <w:t xml:space="preserve"> </w:t>
      </w:r>
      <w:r w:rsidRPr="00E435CA">
        <w:t>Salvador,</w:t>
      </w:r>
      <w:r w:rsidR="00184181" w:rsidRPr="00E435CA">
        <w:t xml:space="preserve"> </w:t>
      </w:r>
      <w:r w:rsidRPr="00E435CA">
        <w:t>Honduras,</w:t>
      </w:r>
      <w:r w:rsidR="00184181" w:rsidRPr="00E435CA">
        <w:t xml:space="preserve"> </w:t>
      </w:r>
      <w:r w:rsidRPr="00E435CA">
        <w:t>Mexico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Panama.</w:t>
      </w:r>
    </w:p>
    <w:p w14:paraId="3125C942" w14:textId="77777777" w:rsidR="005328B0" w:rsidRPr="00E435CA" w:rsidRDefault="00467C67" w:rsidP="00467C67">
      <w:pPr>
        <w:pStyle w:val="SingleTxtG"/>
      </w:pPr>
      <w:r w:rsidRPr="00E435CA">
        <w:t>4.</w:t>
      </w:r>
      <w:r w:rsidRPr="00E435CA">
        <w:tab/>
        <w:t>OHCHR</w:t>
      </w:r>
      <w:r w:rsidR="00184181" w:rsidRPr="00E435CA">
        <w:t xml:space="preserve"> </w:t>
      </w:r>
      <w:r w:rsidRPr="00E435CA">
        <w:t>followed</w:t>
      </w:r>
      <w:r w:rsidR="00184181" w:rsidRPr="00E435CA">
        <w:t xml:space="preserve"> </w:t>
      </w:r>
      <w:r w:rsidRPr="00E435CA">
        <w:t>up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141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situations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alleged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violations,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worked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victims,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mitigate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risks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prevent</w:t>
      </w:r>
      <w:r w:rsidR="00184181" w:rsidRPr="00E435CA">
        <w:t xml:space="preserve"> </w:t>
      </w:r>
      <w:r w:rsidRPr="00E435CA">
        <w:t>violations.</w:t>
      </w:r>
      <w:r w:rsidR="00184181" w:rsidRPr="00E435CA">
        <w:t xml:space="preserve"> </w:t>
      </w:r>
      <w:r w:rsidRPr="00E435CA">
        <w:t>Throughout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work,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collaborated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regional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monitoring</w:t>
      </w:r>
      <w:r w:rsidR="00184181" w:rsidRPr="00E435CA">
        <w:t xml:space="preserve"> </w:t>
      </w:r>
      <w:r w:rsidRPr="00E435CA">
        <w:t>mechanisms.</w:t>
      </w:r>
    </w:p>
    <w:p w14:paraId="76297244" w14:textId="38550822" w:rsidR="00467C67" w:rsidRPr="00E435CA" w:rsidRDefault="00467C67" w:rsidP="00467C67">
      <w:pPr>
        <w:pStyle w:val="HChG"/>
      </w:pPr>
      <w:bookmarkStart w:id="2" w:name="_Toc461716674"/>
      <w:bookmarkStart w:id="3" w:name="_Toc461716947"/>
      <w:bookmarkStart w:id="4" w:name="_Toc461717110"/>
      <w:bookmarkStart w:id="5" w:name="_Toc463449200"/>
      <w:bookmarkStart w:id="6" w:name="_Toc466309342"/>
      <w:r w:rsidRPr="00E435CA">
        <w:tab/>
        <w:t>II.</w:t>
      </w:r>
      <w:r w:rsidRPr="00E435CA">
        <w:tab/>
        <w:t>Context</w:t>
      </w:r>
      <w:bookmarkEnd w:id="2"/>
      <w:bookmarkEnd w:id="3"/>
      <w:bookmarkEnd w:id="4"/>
      <w:bookmarkEnd w:id="5"/>
      <w:bookmarkEnd w:id="6"/>
    </w:p>
    <w:p w14:paraId="2F1187BA" w14:textId="196A8226" w:rsidR="00467C67" w:rsidRPr="00E435CA" w:rsidRDefault="00467C67" w:rsidP="00467C67">
      <w:pPr>
        <w:pStyle w:val="SingleTxtG"/>
      </w:pPr>
      <w:r w:rsidRPr="00E435CA">
        <w:t>5.</w:t>
      </w:r>
      <w:r w:rsidRPr="00E435CA">
        <w:tab/>
        <w:t>Guatemala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face</w:t>
      </w:r>
      <w:r w:rsidR="00184181" w:rsidRPr="00E435CA">
        <w:t xml:space="preserve"> </w:t>
      </w:r>
      <w:r w:rsidRPr="00E435CA">
        <w:t>systemic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structural</w:t>
      </w:r>
      <w:r w:rsidR="00184181" w:rsidRPr="00E435CA">
        <w:t xml:space="preserve"> </w:t>
      </w:r>
      <w:r w:rsidRPr="00E435CA">
        <w:t>challenges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effective</w:t>
      </w:r>
      <w:r w:rsidR="00184181" w:rsidRPr="00E435CA">
        <w:t xml:space="preserve"> </w:t>
      </w:r>
      <w:r w:rsidRPr="00E435CA">
        <w:t>implementation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obligations,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particular</w:t>
      </w:r>
      <w:r w:rsidR="00184181" w:rsidRPr="00E435CA">
        <w:t xml:space="preserve"> </w:t>
      </w:r>
      <w:r w:rsidRPr="00E435CA">
        <w:t>poverty,</w:t>
      </w:r>
      <w:r w:rsidR="00184181" w:rsidRPr="00E435CA">
        <w:t xml:space="preserve"> </w:t>
      </w:r>
      <w:r w:rsidRPr="00E435CA">
        <w:t>inequality,</w:t>
      </w:r>
      <w:r w:rsidR="00184181" w:rsidRPr="00E435CA">
        <w:t xml:space="preserve"> </w:t>
      </w:r>
      <w:r w:rsidRPr="00E435CA">
        <w:t>discrimination,</w:t>
      </w:r>
      <w:r w:rsidR="00184181" w:rsidRPr="00E435CA">
        <w:t xml:space="preserve"> </w:t>
      </w:r>
      <w:r w:rsidRPr="00E435CA">
        <w:t>impunity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insecurity.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exacerbated</w:t>
      </w:r>
      <w:r w:rsidR="00184181" w:rsidRPr="00E435CA">
        <w:t xml:space="preserve"> </w:t>
      </w:r>
      <w:r w:rsidRPr="00E435CA">
        <w:t>those</w:t>
      </w:r>
      <w:r w:rsidR="00184181" w:rsidRPr="00E435CA">
        <w:t xml:space="preserve"> </w:t>
      </w:r>
      <w:r w:rsidRPr="00E435CA">
        <w:t>issues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brought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light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need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urgently</w:t>
      </w:r>
      <w:r w:rsidR="00184181" w:rsidRPr="00E435CA">
        <w:t xml:space="preserve"> </w:t>
      </w:r>
      <w:r w:rsidRPr="00E435CA">
        <w:t>tackle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underlying</w:t>
      </w:r>
      <w:r w:rsidR="00184181" w:rsidRPr="00E435CA">
        <w:t xml:space="preserve"> </w:t>
      </w:r>
      <w:r w:rsidRPr="00E435CA">
        <w:t>challenges.</w:t>
      </w:r>
    </w:p>
    <w:p w14:paraId="4E90A923" w14:textId="4EE51A1E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6.</w:t>
      </w:r>
      <w:r w:rsidRPr="00E435CA">
        <w:tab/>
        <w:t>A</w:t>
      </w:r>
      <w:r w:rsidR="00184181" w:rsidRPr="00E435CA">
        <w:t xml:space="preserve"> </w:t>
      </w:r>
      <w:r w:rsidRPr="00E435CA">
        <w:t>new</w:t>
      </w:r>
      <w:r w:rsidR="00184181" w:rsidRPr="00E435CA">
        <w:t xml:space="preserve"> </w:t>
      </w:r>
      <w:r w:rsidRPr="00E435CA">
        <w:t>Government,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municipal</w:t>
      </w:r>
      <w:r w:rsidR="00184181" w:rsidRPr="00E435CA">
        <w:t xml:space="preserve"> </w:t>
      </w:r>
      <w:r w:rsidRPr="00E435CA">
        <w:t>authorities</w:t>
      </w:r>
      <w:r w:rsidR="00184181" w:rsidRPr="00E435CA">
        <w:t xml:space="preserve"> </w:t>
      </w:r>
      <w:r w:rsidRPr="00E435CA">
        <w:t>took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14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15</w:t>
      </w:r>
      <w:r w:rsidR="00184181" w:rsidRPr="00E435CA">
        <w:t xml:space="preserve"> </w:t>
      </w:r>
      <w:r w:rsidRPr="00E435CA">
        <w:t>January.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16</w:t>
      </w:r>
      <w:r w:rsidR="00184181" w:rsidRPr="00E435CA">
        <w:t xml:space="preserve"> </w:t>
      </w:r>
      <w:r w:rsidRPr="00E435CA">
        <w:t>January,</w:t>
      </w:r>
      <w:r w:rsidR="00184181" w:rsidRPr="00E435CA">
        <w:t xml:space="preserve"> </w:t>
      </w:r>
      <w:r w:rsidRPr="00E435CA">
        <w:t>President</w:t>
      </w:r>
      <w:r w:rsidR="00184181" w:rsidRPr="00E435CA">
        <w:t xml:space="preserve"> </w:t>
      </w:r>
      <w:r w:rsidRPr="00E435CA">
        <w:t>Giammattei</w:t>
      </w:r>
      <w:r w:rsidR="00184181" w:rsidRPr="00E435CA">
        <w:t xml:space="preserve"> </w:t>
      </w:r>
      <w:r w:rsidRPr="00E435CA">
        <w:t>presented</w:t>
      </w:r>
      <w:r w:rsidR="00184181" w:rsidRPr="00E435CA">
        <w:t xml:space="preserve"> </w:t>
      </w:r>
      <w:r w:rsidRPr="00E435CA">
        <w:t>his</w:t>
      </w:r>
      <w:r w:rsidR="00184181" w:rsidRPr="00E435CA">
        <w:t xml:space="preserve"> </w:t>
      </w:r>
      <w:r w:rsidRPr="00E435CA">
        <w:t>Government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general</w:t>
      </w:r>
      <w:r w:rsidR="00184181" w:rsidRPr="00E435CA">
        <w:t xml:space="preserve"> </w:t>
      </w:r>
      <w:r w:rsidRPr="00E435CA">
        <w:t>policy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2020–2024.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policy</w:t>
      </w:r>
      <w:r w:rsidR="00184181" w:rsidRPr="00E435CA">
        <w:t xml:space="preserve"> </w:t>
      </w:r>
      <w:r w:rsidRPr="00E435CA">
        <w:t>highlights</w:t>
      </w:r>
      <w:r w:rsidR="00184181" w:rsidRPr="00E435CA">
        <w:t xml:space="preserve"> </w:t>
      </w:r>
      <w:r w:rsidRPr="00E435CA">
        <w:t>compliance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commitments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general</w:t>
      </w:r>
      <w:r w:rsidR="00184181" w:rsidRPr="00E435CA">
        <w:t xml:space="preserve"> </w:t>
      </w:r>
      <w:r w:rsidRPr="00E435CA">
        <w:t>guideline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observed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institutions.</w:t>
      </w:r>
      <w:r w:rsidRPr="00E435CA">
        <w:rPr>
          <w:rStyle w:val="FootnoteReference"/>
        </w:rPr>
        <w:footnoteReference w:id="6"/>
      </w:r>
    </w:p>
    <w:p w14:paraId="44088F0F" w14:textId="77777777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lastRenderedPageBreak/>
        <w:t>7.</w:t>
      </w:r>
      <w:r w:rsidRPr="00E435CA">
        <w:tab/>
        <w:t>Addressing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consequences</w:t>
      </w:r>
      <w:r w:rsidR="00184181" w:rsidRPr="00E435CA">
        <w:t xml:space="preserve"> </w:t>
      </w:r>
      <w:r w:rsidRPr="00E435CA">
        <w:t>dominated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agenda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Congress.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prevent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spread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COVID-19,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first</w:t>
      </w:r>
      <w:r w:rsidR="00184181" w:rsidRPr="00E435CA">
        <w:t xml:space="preserve"> </w:t>
      </w:r>
      <w:r w:rsidRPr="00E435CA">
        <w:t>countries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Latin</w:t>
      </w:r>
      <w:r w:rsidR="00184181" w:rsidRPr="00E435CA">
        <w:t xml:space="preserve"> </w:t>
      </w:r>
      <w:r w:rsidRPr="00E435CA">
        <w:t>America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implement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movement,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curfews,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physical</w:t>
      </w:r>
      <w:r w:rsidR="00184181" w:rsidRPr="00E435CA">
        <w:t xml:space="preserve"> </w:t>
      </w:r>
      <w:r w:rsidRPr="00E435CA">
        <w:t>distancing</w:t>
      </w:r>
      <w:r w:rsidR="00184181" w:rsidRPr="00E435CA">
        <w:t xml:space="preserve"> </w:t>
      </w:r>
      <w:r w:rsidRPr="00E435CA">
        <w:t>measures.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pre-existing</w:t>
      </w:r>
      <w:r w:rsidR="00184181" w:rsidRPr="00E435CA">
        <w:t xml:space="preserve"> </w:t>
      </w:r>
      <w:r w:rsidRPr="00E435CA">
        <w:t>institutional</w:t>
      </w:r>
      <w:r w:rsidR="00184181" w:rsidRPr="00E435CA">
        <w:t xml:space="preserve"> </w:t>
      </w:r>
      <w:r w:rsidRPr="00E435CA">
        <w:t>weaknesses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deficiencies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services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impeded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responses.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severe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economic</w:t>
      </w:r>
      <w:r w:rsidR="00184181" w:rsidRPr="00E435CA">
        <w:t xml:space="preserve"> </w:t>
      </w:r>
      <w:r w:rsidRPr="00E435CA">
        <w:t>impact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underscored</w:t>
      </w:r>
      <w:r w:rsidR="00184181" w:rsidRPr="00E435CA">
        <w:t xml:space="preserve"> </w:t>
      </w:r>
      <w:r w:rsidRPr="00E435CA">
        <w:t>inequalities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country</w:t>
      </w:r>
      <w:r w:rsidR="00184181" w:rsidRPr="00E435CA">
        <w:t xml:space="preserve"> </w:t>
      </w:r>
      <w:r w:rsidRPr="00E435CA">
        <w:t>where</w:t>
      </w:r>
      <w:r w:rsidR="00184181" w:rsidRPr="00E435CA">
        <w:t xml:space="preserve"> </w:t>
      </w:r>
      <w:r w:rsidRPr="00E435CA">
        <w:t>even</w:t>
      </w:r>
      <w:r w:rsidR="00184181" w:rsidRPr="00E435CA">
        <w:t xml:space="preserve"> </w:t>
      </w:r>
      <w:r w:rsidRPr="00E435CA">
        <w:t>before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pandemic,</w:t>
      </w:r>
      <w:r w:rsidR="00184181" w:rsidRPr="00E435CA">
        <w:t xml:space="preserve"> </w:t>
      </w:r>
      <w:r w:rsidRPr="00E435CA">
        <w:t>6</w:t>
      </w:r>
      <w:r w:rsidR="00184181" w:rsidRPr="00E435CA">
        <w:t xml:space="preserve"> </w:t>
      </w:r>
      <w:r w:rsidRPr="00E435CA">
        <w:t>out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10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lived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poverty.</w:t>
      </w:r>
      <w:r w:rsidR="00184181" w:rsidRPr="00E435CA">
        <w:t xml:space="preserve"> </w:t>
      </w:r>
      <w:r w:rsidRPr="00E435CA">
        <w:t>Among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rate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even</w:t>
      </w:r>
      <w:r w:rsidR="00184181" w:rsidRPr="00E435CA">
        <w:t xml:space="preserve"> </w:t>
      </w:r>
      <w:r w:rsidRPr="00E435CA">
        <w:t>higher,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poverty</w:t>
      </w:r>
      <w:r w:rsidR="00184181" w:rsidRPr="00E435CA">
        <w:t xml:space="preserve"> </w:t>
      </w:r>
      <w:r w:rsidRPr="00E435CA">
        <w:t>affecting</w:t>
      </w:r>
      <w:r w:rsidR="00184181" w:rsidRPr="00E435CA">
        <w:t xml:space="preserve"> </w:t>
      </w:r>
      <w:r w:rsidRPr="00E435CA">
        <w:t>8</w:t>
      </w:r>
      <w:r w:rsidR="00184181" w:rsidRPr="00E435CA">
        <w:t xml:space="preserve"> </w:t>
      </w:r>
      <w:r w:rsidRPr="00E435CA">
        <w:t>out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10</w:t>
      </w:r>
      <w:r w:rsidR="00184181" w:rsidRPr="00E435CA">
        <w:t xml:space="preserve"> </w:t>
      </w:r>
      <w:r w:rsidRPr="00E435CA">
        <w:t>people.</w:t>
      </w:r>
      <w:r w:rsidRPr="00E435CA">
        <w:rPr>
          <w:rStyle w:val="FootnoteReference"/>
        </w:rPr>
        <w:footnoteReference w:id="7"/>
      </w:r>
    </w:p>
    <w:p w14:paraId="31B8B81D" w14:textId="79AB8806" w:rsidR="00467C67" w:rsidRPr="00E435CA" w:rsidRDefault="00467C67" w:rsidP="00467C67">
      <w:pPr>
        <w:pStyle w:val="SingleTxtG"/>
      </w:pPr>
      <w:r w:rsidRPr="00E435CA">
        <w:t>8.</w:t>
      </w:r>
      <w:r w:rsidRPr="00E435CA">
        <w:tab/>
        <w:t>In</w:t>
      </w:r>
      <w:r w:rsidR="00184181" w:rsidRPr="00E435CA">
        <w:t xml:space="preserve"> </w:t>
      </w:r>
      <w:r w:rsidRPr="00E435CA">
        <w:t>November,</w:t>
      </w:r>
      <w:r w:rsidR="00184181" w:rsidRPr="00E435CA">
        <w:t xml:space="preserve"> </w:t>
      </w:r>
      <w:r w:rsidRPr="00E435CA">
        <w:t>tropical</w:t>
      </w:r>
      <w:r w:rsidR="00184181" w:rsidRPr="00E435CA">
        <w:t xml:space="preserve"> </w:t>
      </w:r>
      <w:r w:rsidRPr="00E435CA">
        <w:t>storms</w:t>
      </w:r>
      <w:r w:rsidR="00184181" w:rsidRPr="00E435CA">
        <w:t xml:space="preserve"> </w:t>
      </w:r>
      <w:r w:rsidRPr="00E435CA">
        <w:t>Eta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Iota</w:t>
      </w:r>
      <w:r w:rsidR="00184181" w:rsidRPr="00E435CA">
        <w:t xml:space="preserve"> </w:t>
      </w:r>
      <w:r w:rsidRPr="00E435CA">
        <w:t>caused</w:t>
      </w:r>
      <w:r w:rsidR="00184181" w:rsidRPr="00E435CA">
        <w:t xml:space="preserve"> </w:t>
      </w:r>
      <w:r w:rsidRPr="00E435CA">
        <w:t>flooding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landslides,</w:t>
      </w:r>
      <w:r w:rsidR="00184181" w:rsidRPr="00E435CA">
        <w:t xml:space="preserve"> </w:t>
      </w:r>
      <w:r w:rsidRPr="00E435CA">
        <w:t>leaving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least</w:t>
      </w:r>
      <w:r w:rsidR="00184181" w:rsidRPr="00E435CA">
        <w:t xml:space="preserve"> </w:t>
      </w:r>
      <w:r w:rsidRPr="00E435CA">
        <w:t>60</w:t>
      </w:r>
      <w:r w:rsidR="00184181" w:rsidRPr="00E435CA">
        <w:t xml:space="preserve"> </w:t>
      </w:r>
      <w:r w:rsidRPr="00E435CA">
        <w:t>dead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100</w:t>
      </w:r>
      <w:r w:rsidR="00184181" w:rsidRPr="00E435CA">
        <w:t xml:space="preserve"> </w:t>
      </w:r>
      <w:r w:rsidRPr="00E435CA">
        <w:t>missing,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displacing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270,000</w:t>
      </w:r>
      <w:r w:rsidR="00184181" w:rsidRPr="00E435CA">
        <w:t xml:space="preserve"> </w:t>
      </w:r>
      <w:r w:rsidRPr="00E435CA">
        <w:t>people.</w:t>
      </w:r>
      <w:r w:rsidRPr="00E435CA">
        <w:rPr>
          <w:rStyle w:val="FootnoteReference"/>
        </w:rPr>
        <w:footnoteReference w:id="8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effects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particularly</w:t>
      </w:r>
      <w:r w:rsidR="00184181" w:rsidRPr="00E435CA">
        <w:t xml:space="preserve"> </w:t>
      </w:r>
      <w:r w:rsidRPr="00E435CA">
        <w:t>devastating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majority</w:t>
      </w:r>
      <w:r w:rsidR="00184181" w:rsidRPr="00E435CA">
        <w:t xml:space="preserve"> </w:t>
      </w:r>
      <w:r w:rsidR="003F65B8" w:rsidRPr="00E435CA">
        <w:t xml:space="preserve">of </w:t>
      </w:r>
      <w:r w:rsidRPr="00E435CA">
        <w:t>indigenous</w:t>
      </w:r>
      <w:r w:rsidR="00184181" w:rsidRPr="00E435CA">
        <w:t xml:space="preserve"> </w:t>
      </w:r>
      <w:r w:rsidRPr="00E435CA">
        <w:t>regions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Izabal,</w:t>
      </w:r>
      <w:r w:rsidR="00184181" w:rsidRPr="00E435CA">
        <w:t xml:space="preserve"> </w:t>
      </w:r>
      <w:r w:rsidRPr="00E435CA">
        <w:t>Alta</w:t>
      </w:r>
      <w:r w:rsidR="00184181" w:rsidRPr="00E435CA">
        <w:t xml:space="preserve"> </w:t>
      </w:r>
      <w:r w:rsidRPr="00E435CA">
        <w:t>Verapaz,</w:t>
      </w:r>
      <w:r w:rsidR="00184181" w:rsidRPr="00E435CA">
        <w:t xml:space="preserve"> </w:t>
      </w:r>
      <w:r w:rsidRPr="00E435CA">
        <w:t>Baja</w:t>
      </w:r>
      <w:r w:rsidR="00184181" w:rsidRPr="00E435CA">
        <w:t xml:space="preserve"> </w:t>
      </w:r>
      <w:r w:rsidRPr="00E435CA">
        <w:t>Verapaz,</w:t>
      </w:r>
      <w:r w:rsidR="00184181" w:rsidRPr="00E435CA">
        <w:t xml:space="preserve"> </w:t>
      </w:r>
      <w:r w:rsidRPr="00E435CA">
        <w:t>Huehuetenango,</w:t>
      </w:r>
      <w:r w:rsidR="00184181" w:rsidRPr="00E435CA">
        <w:t xml:space="preserve"> </w:t>
      </w:r>
      <w:r w:rsidRPr="00E435CA">
        <w:t>Petén,</w:t>
      </w:r>
      <w:r w:rsidR="00184181" w:rsidRPr="00E435CA">
        <w:t xml:space="preserve"> </w:t>
      </w:r>
      <w:r w:rsidRPr="00E435CA">
        <w:t>Quiché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Chiquimula.</w:t>
      </w:r>
    </w:p>
    <w:p w14:paraId="17A70650" w14:textId="6F91C85F" w:rsidR="005328B0" w:rsidRPr="00E435CA" w:rsidRDefault="00467C67" w:rsidP="00467C67">
      <w:pPr>
        <w:pStyle w:val="SingleTxtG"/>
      </w:pPr>
      <w:r w:rsidRPr="00E435CA">
        <w:t>9.</w:t>
      </w:r>
      <w:r w:rsidRPr="00E435CA">
        <w:tab/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invoked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powers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11</w:t>
      </w:r>
      <w:r w:rsidR="00184181" w:rsidRPr="00E435CA">
        <w:t xml:space="preserve"> </w:t>
      </w:r>
      <w:r w:rsidRPr="00E435CA">
        <w:t>occasions,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declaration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seven</w:t>
      </w:r>
      <w:r w:rsidR="00184181" w:rsidRPr="00E435CA">
        <w:t xml:space="preserve"> </w:t>
      </w:r>
      <w:r w:rsidR="00BE7FE5">
        <w:t>“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prevention</w:t>
      </w:r>
      <w:r w:rsidR="00BE7FE5">
        <w:t>”</w:t>
      </w:r>
      <w:r w:rsidR="00184181" w:rsidRPr="00E435CA">
        <w:t xml:space="preserve"> </w:t>
      </w:r>
      <w:r w:rsidRPr="00E435CA">
        <w:t>affecting</w:t>
      </w:r>
      <w:r w:rsidR="00184181" w:rsidRPr="00E435CA">
        <w:t xml:space="preserve"> </w:t>
      </w:r>
      <w:r w:rsidRPr="00E435CA">
        <w:t>80</w:t>
      </w:r>
      <w:r w:rsidR="00184181" w:rsidRPr="00E435CA">
        <w:t xml:space="preserve"> </w:t>
      </w:r>
      <w:r w:rsidRPr="00E435CA">
        <w:t>municipalities;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siege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eight</w:t>
      </w:r>
      <w:r w:rsidR="00184181" w:rsidRPr="00E435CA">
        <w:t xml:space="preserve"> </w:t>
      </w:r>
      <w:r w:rsidRPr="00E435CA">
        <w:t>municipalities;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country-wide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calamity,</w:t>
      </w:r>
      <w:r w:rsidR="00184181" w:rsidRPr="00E435CA">
        <w:t xml:space="preserve"> </w:t>
      </w:r>
      <w:r w:rsidRPr="00E435CA">
        <w:t>due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pandemic;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calamity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10</w:t>
      </w:r>
      <w:r w:rsidR="00184181" w:rsidRPr="00E435CA">
        <w:t xml:space="preserve"> </w:t>
      </w:r>
      <w:r w:rsidRPr="00E435CA">
        <w:t>regions,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tropical</w:t>
      </w:r>
      <w:r w:rsidR="00184181" w:rsidRPr="00E435CA">
        <w:t xml:space="preserve"> </w:t>
      </w:r>
      <w:r w:rsidRPr="00E435CA">
        <w:t>storm</w:t>
      </w:r>
      <w:r w:rsidR="00184181" w:rsidRPr="00E435CA">
        <w:t xml:space="preserve"> </w:t>
      </w:r>
      <w:r w:rsidRPr="00E435CA">
        <w:t>Eta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74).</w:t>
      </w:r>
    </w:p>
    <w:p w14:paraId="3078AD1B" w14:textId="1764F8BC" w:rsidR="00467C67" w:rsidRPr="00E435CA" w:rsidRDefault="00467C67" w:rsidP="00467C67">
      <w:pPr>
        <w:pStyle w:val="SingleTxtG"/>
      </w:pPr>
      <w:r w:rsidRPr="00E435CA">
        <w:t>10.</w:t>
      </w:r>
      <w:r w:rsidRPr="00E435CA">
        <w:tab/>
        <w:t>Magistrates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Appeals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yet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appointed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period</w:t>
      </w:r>
      <w:r w:rsidR="00184181" w:rsidRPr="00E435CA">
        <w:t xml:space="preserve"> </w:t>
      </w:r>
      <w:r w:rsidRPr="00E435CA">
        <w:t>2019–2024,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should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taken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October</w:t>
      </w:r>
      <w:r w:rsidR="00184181" w:rsidRPr="00E435CA">
        <w:t xml:space="preserve"> </w:t>
      </w:r>
      <w:r w:rsidRPr="00E435CA">
        <w:t>2019.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December</w:t>
      </w:r>
      <w:r w:rsidR="00184181" w:rsidRPr="00E435CA">
        <w:t xml:space="preserve"> </w:t>
      </w:r>
      <w:r w:rsidRPr="00E435CA">
        <w:t>2020,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selection</w:t>
      </w:r>
      <w:r w:rsidR="00184181" w:rsidRPr="00E435CA">
        <w:t xml:space="preserve"> </w:t>
      </w:r>
      <w:r w:rsidRPr="00E435CA">
        <w:t>process</w:t>
      </w:r>
      <w:r w:rsidR="00184181" w:rsidRPr="00E435CA">
        <w:t xml:space="preserve"> </w:t>
      </w:r>
      <w:r w:rsidRPr="00E435CA">
        <w:t>remained</w:t>
      </w:r>
      <w:r w:rsidR="00184181" w:rsidRPr="00E435CA">
        <w:t xml:space="preserve"> </w:t>
      </w:r>
      <w:r w:rsidRPr="00E435CA">
        <w:t>stalled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Congress.</w:t>
      </w:r>
      <w:r w:rsidR="00184181" w:rsidRPr="00E435CA">
        <w:t xml:space="preserve"> </w:t>
      </w:r>
      <w:r w:rsidRPr="00E435CA">
        <w:t>Moreover,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documented</w:t>
      </w:r>
      <w:r w:rsidR="00184181" w:rsidRPr="00E435CA">
        <w:t xml:space="preserve"> </w:t>
      </w:r>
      <w:r w:rsidRPr="00E435CA">
        <w:t>irregularities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nomination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evaluation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candidates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67).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2020,</w:t>
      </w:r>
      <w:r w:rsidR="00184181" w:rsidRPr="00E435CA">
        <w:t xml:space="preserve"> </w:t>
      </w:r>
      <w:r w:rsidRPr="00E435CA">
        <w:t>judges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prosecutors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subjected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increasing</w:t>
      </w:r>
      <w:r w:rsidR="00184181" w:rsidRPr="00E435CA">
        <w:t xml:space="preserve"> </w:t>
      </w:r>
      <w:r w:rsidRPr="00E435CA">
        <w:t>reprisals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defamation,</w:t>
      </w:r>
      <w:r w:rsidR="00184181" w:rsidRPr="00E435CA">
        <w:t xml:space="preserve"> </w:t>
      </w:r>
      <w:r w:rsidRPr="00E435CA">
        <w:t>threats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requests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lift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immunity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criminal</w:t>
      </w:r>
      <w:r w:rsidR="00184181" w:rsidRPr="00E435CA">
        <w:t xml:space="preserve"> </w:t>
      </w:r>
      <w:r w:rsidRPr="00E435CA">
        <w:t>prosecution.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smear</w:t>
      </w:r>
      <w:r w:rsidR="00184181" w:rsidRPr="00E435CA">
        <w:t xml:space="preserve"> </w:t>
      </w:r>
      <w:r w:rsidRPr="00E435CA">
        <w:t>campaigns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interpellations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Congress.</w:t>
      </w:r>
    </w:p>
    <w:p w14:paraId="2095C445" w14:textId="08C30D65" w:rsidR="00467C67" w:rsidRPr="00E435CA" w:rsidRDefault="00467C67" w:rsidP="00467C67">
      <w:pPr>
        <w:pStyle w:val="SingleTxtG"/>
      </w:pPr>
      <w:r w:rsidRPr="00E435CA">
        <w:t>11.</w:t>
      </w:r>
      <w:r w:rsidRPr="00E435CA">
        <w:tab/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pandemic,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expanded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programmes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increased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budget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respond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crisis.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Congress,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promote</w:t>
      </w:r>
      <w:r w:rsidR="00184181" w:rsidRPr="00E435CA">
        <w:t xml:space="preserve"> </w:t>
      </w:r>
      <w:r w:rsidRPr="00E435CA">
        <w:t>bills</w:t>
      </w:r>
      <w:r w:rsidR="00184181" w:rsidRPr="00E435CA">
        <w:t xml:space="preserve"> </w:t>
      </w:r>
      <w:r w:rsidRPr="00E435CA">
        <w:t>undermining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11</w:t>
      </w:r>
      <w:r w:rsidR="00184181" w:rsidRPr="00E435CA">
        <w:t xml:space="preserve"> </w:t>
      </w:r>
      <w:r w:rsidRPr="00E435CA">
        <w:t>February,</w:t>
      </w:r>
      <w:r w:rsidR="00184181" w:rsidRPr="00E435CA">
        <w:t xml:space="preserve"> </w:t>
      </w:r>
      <w:r w:rsidRPr="00E435CA">
        <w:t>Bill</w:t>
      </w:r>
      <w:r w:rsidR="00184181" w:rsidRPr="00E435CA">
        <w:t xml:space="preserve"> </w:t>
      </w:r>
      <w:r w:rsidRPr="00E435CA">
        <w:t>No.</w:t>
      </w:r>
      <w:r w:rsidR="00184181" w:rsidRPr="00E435CA">
        <w:t xml:space="preserve"> </w:t>
      </w:r>
      <w:r w:rsidRPr="00E435CA">
        <w:t>5257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passed</w:t>
      </w:r>
      <w:r w:rsidR="00184181" w:rsidRPr="00E435CA">
        <w:t xml:space="preserve"> </w:t>
      </w:r>
      <w:r w:rsidRPr="00E435CA">
        <w:t>into</w:t>
      </w:r>
      <w:r w:rsidR="00184181" w:rsidRPr="00E435CA">
        <w:t xml:space="preserve"> </w:t>
      </w:r>
      <w:r w:rsidRPr="00E435CA">
        <w:t>law,</w:t>
      </w:r>
      <w:r w:rsidR="00184181" w:rsidRPr="00E435CA">
        <w:t xml:space="preserve"> </w:t>
      </w:r>
      <w:r w:rsidRPr="00E435CA">
        <w:t>reforming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law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non-governmental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Code.</w:t>
      </w:r>
      <w:r w:rsidR="00184181" w:rsidRPr="00E435CA">
        <w:t xml:space="preserve"> </w:t>
      </w:r>
      <w:r w:rsidRPr="00E435CA">
        <w:t>Independent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Nations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experts</w:t>
      </w:r>
      <w:r w:rsidR="00184181" w:rsidRPr="00E435CA">
        <w:t xml:space="preserve"> </w:t>
      </w:r>
      <w:r w:rsidRPr="00E435CA">
        <w:t>expressed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concern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impact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law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work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society.</w:t>
      </w:r>
      <w:r w:rsidRPr="00E435CA">
        <w:rPr>
          <w:rStyle w:val="FootnoteReference"/>
        </w:rPr>
        <w:footnoteReference w:id="9"/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2</w:t>
      </w:r>
      <w:r w:rsidR="00184181" w:rsidRPr="00E435CA">
        <w:t xml:space="preserve"> </w:t>
      </w:r>
      <w:r w:rsidRPr="00E435CA">
        <w:t>March,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provisionally</w:t>
      </w:r>
      <w:r w:rsidR="00184181" w:rsidRPr="00E435CA">
        <w:t xml:space="preserve"> </w:t>
      </w:r>
      <w:r w:rsidRPr="00E435CA">
        <w:t>suspended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approval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law.</w:t>
      </w:r>
    </w:p>
    <w:p w14:paraId="2C974E47" w14:textId="73B97516" w:rsidR="00467C67" w:rsidRPr="00E435CA" w:rsidRDefault="00467C67" w:rsidP="00467C67">
      <w:pPr>
        <w:pStyle w:val="SingleTxtG"/>
      </w:pPr>
      <w:r w:rsidRPr="00E435CA">
        <w:t>12.</w:t>
      </w:r>
      <w:r w:rsidRPr="00E435CA">
        <w:tab/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undertook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reconfiguration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institutional</w:t>
      </w:r>
      <w:r w:rsidR="00184181" w:rsidRPr="00E435CA">
        <w:t xml:space="preserve"> </w:t>
      </w:r>
      <w:r w:rsidRPr="00E435CA">
        <w:t>architecture.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31</w:t>
      </w:r>
      <w:r w:rsidR="00184181" w:rsidRPr="00E435CA">
        <w:t xml:space="preserve"> </w:t>
      </w:r>
      <w:r w:rsidRPr="00E435CA">
        <w:t>July,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created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Peace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(COPADEH),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mandate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enhance: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coordination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actions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advice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implementation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commitments</w:t>
      </w:r>
      <w:r w:rsidR="00184181" w:rsidRPr="00E435CA">
        <w:t xml:space="preserve"> </w:t>
      </w:r>
      <w:r w:rsidRPr="00E435CA">
        <w:t>made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peace</w:t>
      </w:r>
      <w:r w:rsidR="00184181" w:rsidRPr="00E435CA">
        <w:t xml:space="preserve"> </w:t>
      </w:r>
      <w:r w:rsidRPr="00E435CA">
        <w:t>accords,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conflict</w:t>
      </w:r>
      <w:r w:rsidR="00184181" w:rsidRPr="00E435CA">
        <w:t xml:space="preserve"> </w:t>
      </w:r>
      <w:r w:rsidRPr="00E435CA">
        <w:t>prevention.</w:t>
      </w:r>
      <w:r w:rsidRPr="00E435CA">
        <w:rPr>
          <w:rStyle w:val="FootnoteReference"/>
        </w:rPr>
        <w:footnoteReference w:id="10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took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tasks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responsibilities</w:t>
      </w:r>
      <w:r w:rsidR="00184181" w:rsidRPr="00E435CA">
        <w:t xml:space="preserve"> </w:t>
      </w:r>
      <w:r w:rsidRPr="00E435CA">
        <w:t>previously</w:t>
      </w:r>
      <w:r w:rsidR="00184181" w:rsidRPr="00E435CA">
        <w:t xml:space="preserve"> </w:t>
      </w:r>
      <w:r w:rsidRPr="00E435CA">
        <w:t>attributed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important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remits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abolished: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Secretariat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Peace</w:t>
      </w:r>
      <w:r w:rsidR="00184181" w:rsidRPr="00E435CA">
        <w:t xml:space="preserve"> </w:t>
      </w:r>
      <w:r w:rsidRPr="00E435CA">
        <w:t>(SEPAZ),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Secretary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Agricultural</w:t>
      </w:r>
      <w:r w:rsidR="00184181" w:rsidRPr="00E435CA">
        <w:t xml:space="preserve"> </w:t>
      </w:r>
      <w:r w:rsidRPr="00E435CA">
        <w:t>Affairs.</w:t>
      </w:r>
    </w:p>
    <w:p w14:paraId="43A2D102" w14:textId="0D141385" w:rsidR="00467C67" w:rsidRPr="00E435CA" w:rsidRDefault="00467C67" w:rsidP="00467C67">
      <w:pPr>
        <w:pStyle w:val="SingleTxtG"/>
      </w:pPr>
      <w:r w:rsidRPr="00E435CA">
        <w:t>13.</w:t>
      </w:r>
      <w:r w:rsidRPr="00E435CA">
        <w:tab/>
        <w:t>The</w:t>
      </w:r>
      <w:r w:rsidR="00184181" w:rsidRPr="00E435CA">
        <w:t xml:space="preserve"> </w:t>
      </w:r>
      <w:r w:rsidRPr="00E435CA">
        <w:t>approval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2021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budget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17</w:t>
      </w:r>
      <w:r w:rsidR="00184181" w:rsidRPr="00E435CA">
        <w:t xml:space="preserve"> </w:t>
      </w:r>
      <w:r w:rsidRPr="00E435CA">
        <w:t>November</w:t>
      </w:r>
      <w:r w:rsidR="00184181" w:rsidRPr="00E435CA">
        <w:t xml:space="preserve"> </w:t>
      </w:r>
      <w:r w:rsidRPr="00E435CA">
        <w:t>precipitated</w:t>
      </w:r>
      <w:r w:rsidR="00184181" w:rsidRPr="00E435CA">
        <w:t xml:space="preserve"> </w:t>
      </w:r>
      <w:r w:rsidRPr="00E435CA">
        <w:t>protests</w:t>
      </w:r>
      <w:r w:rsidR="00184181" w:rsidRPr="00E435CA">
        <w:t xml:space="preserve"> </w:t>
      </w:r>
      <w:r w:rsidRPr="00E435CA">
        <w:t>across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country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91).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approved</w:t>
      </w:r>
      <w:r w:rsidR="00184181" w:rsidRPr="00E435CA">
        <w:t xml:space="preserve"> </w:t>
      </w:r>
      <w:r w:rsidRPr="00E435CA">
        <w:t>budget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perceived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respond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needs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country,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low</w:t>
      </w:r>
      <w:r w:rsidR="00184181" w:rsidRPr="00E435CA">
        <w:t xml:space="preserve"> </w:t>
      </w:r>
      <w:r w:rsidRPr="00E435CA">
        <w:t>allocation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funds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combat</w:t>
      </w:r>
      <w:r w:rsidR="00184181" w:rsidRPr="00E435CA">
        <w:t xml:space="preserve"> </w:t>
      </w:r>
      <w:r w:rsidRPr="00E435CA">
        <w:t>malnutrition,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reduction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17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budget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almost</w:t>
      </w:r>
      <w:r w:rsidR="00184181" w:rsidRPr="00E435CA">
        <w:t xml:space="preserve"> </w:t>
      </w:r>
      <w:r w:rsidRPr="00E435CA">
        <w:t>50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judiciary,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no</w:t>
      </w:r>
      <w:r w:rsidR="00184181" w:rsidRPr="00E435CA">
        <w:t xml:space="preserve"> </w:t>
      </w:r>
      <w:r w:rsidRPr="00E435CA">
        <w:t>specific</w:t>
      </w:r>
      <w:r w:rsidR="00184181" w:rsidRPr="00E435CA">
        <w:t xml:space="preserve"> </w:t>
      </w:r>
      <w:r w:rsidRPr="00E435CA">
        <w:t>funding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newly</w:t>
      </w:r>
      <w:r w:rsidR="00184181" w:rsidRPr="00E435CA">
        <w:t xml:space="preserve"> </w:t>
      </w:r>
      <w:r w:rsidRPr="00E435CA">
        <w:t>formed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Peace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additional</w:t>
      </w:r>
      <w:r w:rsidR="00184181" w:rsidRPr="00E435CA">
        <w:t xml:space="preserve"> </w:t>
      </w:r>
      <w:r w:rsidRPr="00E435CA">
        <w:t>funds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allocated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Congress.</w:t>
      </w:r>
    </w:p>
    <w:p w14:paraId="78F0841F" w14:textId="77777777" w:rsidR="005328B0" w:rsidRPr="00E435CA" w:rsidRDefault="00467C67" w:rsidP="00467C67">
      <w:pPr>
        <w:pStyle w:val="SingleTxtG"/>
      </w:pPr>
      <w:r w:rsidRPr="00E435CA">
        <w:lastRenderedPageBreak/>
        <w:t>14.</w:t>
      </w:r>
      <w:r w:rsidRPr="00E435CA">
        <w:tab/>
        <w:t>In</w:t>
      </w:r>
      <w:r w:rsidR="00184181" w:rsidRPr="00E435CA">
        <w:t xml:space="preserve"> </w:t>
      </w:r>
      <w:r w:rsidRPr="00E435CA">
        <w:t>December,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Nations</w:t>
      </w:r>
      <w:r w:rsidR="00184181" w:rsidRPr="00E435CA">
        <w:t xml:space="preserve"> </w:t>
      </w:r>
      <w:r w:rsidRPr="00E435CA">
        <w:t>system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signed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sustainable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cooperation</w:t>
      </w:r>
      <w:r w:rsidR="00184181" w:rsidRPr="00E435CA">
        <w:t xml:space="preserve"> </w:t>
      </w:r>
      <w:r w:rsidRPr="00E435CA">
        <w:t>framework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2020–2024.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involved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elaboration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framework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will</w:t>
      </w:r>
      <w:r w:rsidR="00184181" w:rsidRPr="00E435CA">
        <w:t xml:space="preserve"> </w:t>
      </w:r>
      <w:r w:rsidRPr="00E435CA">
        <w:t>contribute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implementation.</w:t>
      </w:r>
    </w:p>
    <w:p w14:paraId="2328D6E6" w14:textId="7DA9DF82" w:rsidR="00467C67" w:rsidRPr="00E435CA" w:rsidRDefault="00467C67" w:rsidP="00423285">
      <w:pPr>
        <w:pStyle w:val="HChG"/>
      </w:pPr>
      <w:bookmarkStart w:id="7" w:name="_Toc461716675"/>
      <w:bookmarkStart w:id="8" w:name="_Toc461716948"/>
      <w:bookmarkStart w:id="9" w:name="_Toc461717111"/>
      <w:bookmarkStart w:id="10" w:name="_Toc463449201"/>
      <w:bookmarkStart w:id="11" w:name="_Toc466309343"/>
      <w:r w:rsidRPr="00E435CA">
        <w:tab/>
        <w:t>III.</w:t>
      </w:r>
      <w:r w:rsidRPr="00E435CA">
        <w:tab/>
        <w:t>Impact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bookmarkEnd w:id="7"/>
      <w:bookmarkEnd w:id="8"/>
      <w:bookmarkEnd w:id="9"/>
      <w:bookmarkEnd w:id="10"/>
      <w:bookmarkEnd w:id="11"/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</w:p>
    <w:p w14:paraId="0EFB56E1" w14:textId="77777777" w:rsidR="005328B0" w:rsidRPr="00E435CA" w:rsidRDefault="00467C67" w:rsidP="00467C67">
      <w:pPr>
        <w:pStyle w:val="SingleTxtG"/>
      </w:pPr>
      <w:r w:rsidRPr="00E435CA">
        <w:t>15.</w:t>
      </w:r>
      <w:r w:rsidRPr="00E435CA">
        <w:tab/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far-reaching</w:t>
      </w:r>
      <w:r w:rsidR="00184181" w:rsidRPr="00E435CA">
        <w:t xml:space="preserve"> </w:t>
      </w:r>
      <w:r w:rsidRPr="00E435CA">
        <w:t>effects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enjoyment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all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underscored</w:t>
      </w:r>
      <w:r w:rsidR="00184181" w:rsidRPr="00E435CA">
        <w:t xml:space="preserve"> </w:t>
      </w:r>
      <w:r w:rsidRPr="00E435CA">
        <w:t>structural</w:t>
      </w:r>
      <w:r w:rsidR="00184181" w:rsidRPr="00E435CA">
        <w:t xml:space="preserve"> </w:t>
      </w:r>
      <w:r w:rsidRPr="00E435CA">
        <w:t>challenges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aggravated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situation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vulnerability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Afrodescendants,</w:t>
      </w:r>
      <w:r w:rsidR="00184181" w:rsidRPr="00E435CA">
        <w:t xml:space="preserve"> </w:t>
      </w:r>
      <w:r w:rsidRPr="00E435CA">
        <w:t>women,</w:t>
      </w:r>
      <w:r w:rsidR="00184181" w:rsidRPr="00E435CA">
        <w:t xml:space="preserve"> </w:t>
      </w:r>
      <w:r w:rsidRPr="00E435CA">
        <w:t>migrants,</w:t>
      </w:r>
      <w:r w:rsidR="00184181" w:rsidRPr="00E435CA">
        <w:t xml:space="preserve"> </w:t>
      </w:r>
      <w:r w:rsidRPr="00E435CA">
        <w:t>young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disabilities.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section</w:t>
      </w:r>
      <w:r w:rsidR="00184181" w:rsidRPr="00E435CA">
        <w:t xml:space="preserve"> </w:t>
      </w:r>
      <w:r w:rsidRPr="00E435CA">
        <w:t>highlights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key</w:t>
      </w:r>
      <w:r w:rsidR="00184181" w:rsidRPr="00E435CA">
        <w:t xml:space="preserve"> </w:t>
      </w:r>
      <w:r w:rsidRPr="00E435CA">
        <w:t>aspects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impact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work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pandemic.</w:t>
      </w:r>
    </w:p>
    <w:p w14:paraId="68ABD20A" w14:textId="3E0989E1" w:rsidR="00467C67" w:rsidRPr="00E435CA" w:rsidRDefault="00467C67" w:rsidP="00423285">
      <w:pPr>
        <w:pStyle w:val="H1G"/>
      </w:pPr>
      <w:bookmarkStart w:id="12" w:name="_Toc461716676"/>
      <w:bookmarkStart w:id="13" w:name="_Toc461716949"/>
      <w:bookmarkStart w:id="14" w:name="_Toc461717112"/>
      <w:bookmarkStart w:id="15" w:name="_Toc463449202"/>
      <w:bookmarkStart w:id="16" w:name="_Toc466309344"/>
      <w:r w:rsidRPr="00E435CA">
        <w:tab/>
        <w:t>A.</w:t>
      </w:r>
      <w:r w:rsidRPr="00E435CA">
        <w:tab/>
        <w:t>Right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health</w:t>
      </w:r>
      <w:bookmarkEnd w:id="12"/>
      <w:bookmarkEnd w:id="13"/>
      <w:bookmarkEnd w:id="14"/>
      <w:bookmarkEnd w:id="15"/>
      <w:bookmarkEnd w:id="16"/>
    </w:p>
    <w:p w14:paraId="22A5B442" w14:textId="5EE683CC" w:rsidR="00467C67" w:rsidRPr="00E435CA" w:rsidRDefault="00467C67" w:rsidP="00467C67">
      <w:pPr>
        <w:pStyle w:val="SingleTxtG"/>
      </w:pPr>
      <w:r w:rsidRPr="00E435CA">
        <w:t>16.</w:t>
      </w:r>
      <w:r w:rsidRPr="00E435CA">
        <w:tab/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overwhelmed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system,</w:t>
      </w:r>
      <w:r w:rsidR="00184181" w:rsidRPr="00E435CA">
        <w:t xml:space="preserve"> </w:t>
      </w:r>
      <w:r w:rsidRPr="00E435CA">
        <w:t>underscoring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need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increase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investment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order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provide</w:t>
      </w:r>
      <w:r w:rsidR="00184181" w:rsidRPr="00E435CA">
        <w:t xml:space="preserve"> </w:t>
      </w:r>
      <w:r w:rsidRPr="00E435CA">
        <w:t>adequate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equal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services,</w:t>
      </w:r>
      <w:r w:rsidR="00184181" w:rsidRPr="00E435CA">
        <w:t xml:space="preserve"> </w:t>
      </w:r>
      <w:r w:rsidRPr="00E435CA">
        <w:t>facilities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goods.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made</w:t>
      </w:r>
      <w:r w:rsidR="00184181" w:rsidRPr="00E435CA">
        <w:t xml:space="preserve"> </w:t>
      </w:r>
      <w:r w:rsidRPr="00E435CA">
        <w:t>efforts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address</w:t>
      </w:r>
      <w:r w:rsidR="00184181" w:rsidRPr="00E435CA">
        <w:t xml:space="preserve"> </w:t>
      </w:r>
      <w:r w:rsidRPr="00E435CA">
        <w:t>shortcomings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accessibility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availability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services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building</w:t>
      </w:r>
      <w:r w:rsidR="00184181" w:rsidRPr="00E435CA">
        <w:t xml:space="preserve"> </w:t>
      </w:r>
      <w:r w:rsidRPr="00E435CA">
        <w:t>five</w:t>
      </w:r>
      <w:r w:rsidR="00184181" w:rsidRPr="00E435CA">
        <w:t xml:space="preserve"> </w:t>
      </w:r>
      <w:r w:rsidRPr="00E435CA">
        <w:t>temporary</w:t>
      </w:r>
      <w:r w:rsidR="00184181" w:rsidRPr="00E435CA">
        <w:t xml:space="preserve"> </w:t>
      </w:r>
      <w:r w:rsidRPr="00E435CA">
        <w:t>hospitals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hiring</w:t>
      </w:r>
      <w:r w:rsidR="00184181" w:rsidRPr="00E435CA">
        <w:t xml:space="preserve"> </w:t>
      </w:r>
      <w:r w:rsidRPr="00E435CA">
        <w:t>additional</w:t>
      </w:r>
      <w:r w:rsidR="00184181" w:rsidRPr="00E435CA">
        <w:t xml:space="preserve"> </w:t>
      </w:r>
      <w:r w:rsidRPr="00E435CA">
        <w:t>health-care</w:t>
      </w:r>
      <w:r w:rsidR="00184181" w:rsidRPr="00E435CA">
        <w:t xml:space="preserve"> </w:t>
      </w:r>
      <w:r w:rsidRPr="00E435CA">
        <w:t>professionals.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May,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created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provide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Emergency</w:t>
      </w:r>
      <w:r w:rsidR="00184181" w:rsidRPr="00E435CA">
        <w:t xml:space="preserve"> </w:t>
      </w:r>
      <w:r w:rsidRPr="00E435CA">
        <w:t>(COPRECOVID).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is</w:t>
      </w:r>
      <w:r w:rsidR="00184181" w:rsidRPr="00E435CA">
        <w:t xml:space="preserve"> </w:t>
      </w:r>
      <w:r w:rsidRPr="00E435CA">
        <w:t>responsible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coordinating</w:t>
      </w:r>
      <w:r w:rsidR="00184181" w:rsidRPr="00E435CA">
        <w:t xml:space="preserve"> </w:t>
      </w:r>
      <w:r w:rsidRPr="00E435CA">
        <w:t>prevention,</w:t>
      </w:r>
      <w:r w:rsidR="00184181" w:rsidRPr="00E435CA">
        <w:t xml:space="preserve"> </w:t>
      </w:r>
      <w:r w:rsidRPr="00E435CA">
        <w:t>control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mitigation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institutions.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Nations,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supported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mainstreaming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COVID-19.</w:t>
      </w:r>
    </w:p>
    <w:p w14:paraId="4A010DA9" w14:textId="2EC9883F" w:rsidR="00467C67" w:rsidRPr="00E435CA" w:rsidRDefault="00467C67" w:rsidP="00467C67">
      <w:pPr>
        <w:pStyle w:val="SingleTxtG"/>
      </w:pPr>
      <w:r w:rsidRPr="00E435CA">
        <w:t>17.</w:t>
      </w:r>
      <w:r w:rsidRPr="00E435CA">
        <w:tab/>
        <w:t>Several</w:t>
      </w:r>
      <w:r w:rsidR="00184181" w:rsidRPr="00E435CA">
        <w:t xml:space="preserve"> </w:t>
      </w:r>
      <w:r w:rsidRPr="00E435CA">
        <w:t>issues</w:t>
      </w:r>
      <w:r w:rsidR="00184181" w:rsidRPr="00E435CA">
        <w:t xml:space="preserve"> </w:t>
      </w:r>
      <w:r w:rsidRPr="00E435CA">
        <w:t>hampered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prompt</w:t>
      </w:r>
      <w:r w:rsidR="00184181" w:rsidRPr="00E435CA">
        <w:t xml:space="preserve"> </w:t>
      </w:r>
      <w:r w:rsidRPr="00E435CA">
        <w:t>implementation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emergency</w:t>
      </w:r>
      <w:r w:rsidR="00184181" w:rsidRPr="00E435CA">
        <w:t xml:space="preserve"> </w:t>
      </w:r>
      <w:r w:rsidRPr="00E435CA">
        <w:t>funds,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transition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former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new</w:t>
      </w:r>
      <w:r w:rsidR="00184181" w:rsidRPr="00E435CA">
        <w:t xml:space="preserve"> </w:t>
      </w:r>
      <w:r w:rsidRPr="00E435CA">
        <w:t>authorities,</w:t>
      </w:r>
      <w:r w:rsidR="00184181" w:rsidRPr="00E435CA">
        <w:t xml:space="preserve"> </w:t>
      </w:r>
      <w:r w:rsidRPr="00E435CA">
        <w:t>insufficient</w:t>
      </w:r>
      <w:r w:rsidR="00184181" w:rsidRPr="00E435CA">
        <w:t xml:space="preserve"> </w:t>
      </w:r>
      <w:r w:rsidRPr="00E435CA">
        <w:t>health-care</w:t>
      </w:r>
      <w:r w:rsidR="00184181" w:rsidRPr="00E435CA">
        <w:t xml:space="preserve"> </w:t>
      </w:r>
      <w:r w:rsidRPr="00E435CA">
        <w:t>personnel,</w:t>
      </w:r>
      <w:r w:rsidR="00184181" w:rsidRPr="00E435CA">
        <w:t xml:space="preserve"> </w:t>
      </w:r>
      <w:r w:rsidRPr="00E435CA">
        <w:t>institutional</w:t>
      </w:r>
      <w:r w:rsidR="00184181" w:rsidRPr="00E435CA">
        <w:t xml:space="preserve"> </w:t>
      </w:r>
      <w:r w:rsidRPr="00E435CA">
        <w:t>weaknesses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cumbersome</w:t>
      </w:r>
      <w:r w:rsidR="00184181" w:rsidRPr="00E435CA">
        <w:t xml:space="preserve"> </w:t>
      </w:r>
      <w:r w:rsidRPr="00E435CA">
        <w:t>procurement</w:t>
      </w:r>
      <w:r w:rsidR="00184181" w:rsidRPr="00E435CA">
        <w:t xml:space="preserve"> </w:t>
      </w:r>
      <w:r w:rsidRPr="00E435CA">
        <w:t>processes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acquisition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medicines,</w:t>
      </w:r>
      <w:r w:rsidR="00184181" w:rsidRPr="00E435CA">
        <w:t xml:space="preserve"> </w:t>
      </w:r>
      <w:r w:rsidRPr="00E435CA">
        <w:t>supplies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personal</w:t>
      </w:r>
      <w:r w:rsidR="00184181" w:rsidRPr="00E435CA">
        <w:t xml:space="preserve"> </w:t>
      </w:r>
      <w:r w:rsidRPr="00E435CA">
        <w:t>protective</w:t>
      </w:r>
      <w:r w:rsidR="00184181" w:rsidRPr="00E435CA">
        <w:t xml:space="preserve"> </w:t>
      </w:r>
      <w:r w:rsidRPr="00E435CA">
        <w:t>equipment.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professionals</w:t>
      </w:r>
      <w:r w:rsidR="00184181" w:rsidRPr="00E435CA">
        <w:t xml:space="preserve"> </w:t>
      </w:r>
      <w:r w:rsidRPr="00E435CA">
        <w:t>denounced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lack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protective</w:t>
      </w:r>
      <w:r w:rsidR="00184181" w:rsidRPr="00E435CA">
        <w:t xml:space="preserve"> </w:t>
      </w:r>
      <w:r w:rsidRPr="00E435CA">
        <w:t>equipment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delays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formalization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contracts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payments.</w:t>
      </w:r>
    </w:p>
    <w:p w14:paraId="226EA835" w14:textId="0A9F7129" w:rsidR="005328B0" w:rsidRPr="00E435CA" w:rsidRDefault="00467C67" w:rsidP="00467C67">
      <w:pPr>
        <w:pStyle w:val="SingleTxtG"/>
      </w:pPr>
      <w:r w:rsidRPr="00E435CA">
        <w:t>18.</w:t>
      </w:r>
      <w:r w:rsidRPr="00E435CA">
        <w:tab/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took</w:t>
      </w:r>
      <w:r w:rsidR="00184181" w:rsidRPr="00E435CA">
        <w:t xml:space="preserve"> </w:t>
      </w:r>
      <w:r w:rsidRPr="00E435CA">
        <w:t>steps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strengthen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culturally</w:t>
      </w:r>
      <w:r w:rsidR="00184181" w:rsidRPr="00E435CA">
        <w:t xml:space="preserve"> </w:t>
      </w:r>
      <w:r w:rsidRPr="00E435CA">
        <w:t>appropriate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care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pandemic.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instance,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issued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guide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prevention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management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level.</w:t>
      </w:r>
      <w:r w:rsidRPr="00E435CA">
        <w:rPr>
          <w:rStyle w:val="FootnoteReference"/>
        </w:rPr>
        <w:footnoteReference w:id="11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recognized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key</w:t>
      </w:r>
      <w:r w:rsidR="00184181" w:rsidRPr="00E435CA">
        <w:t xml:space="preserve"> </w:t>
      </w:r>
      <w:r w:rsidRPr="00E435CA">
        <w:t>role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midwives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service</w:t>
      </w:r>
      <w:r w:rsidR="00184181" w:rsidRPr="00E435CA">
        <w:t xml:space="preserve"> </w:t>
      </w:r>
      <w:r w:rsidRPr="00E435CA">
        <w:t>providers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rural</w:t>
      </w:r>
      <w:r w:rsidR="00184181" w:rsidRPr="00E435CA">
        <w:t xml:space="preserve"> </w:t>
      </w:r>
      <w:r w:rsidRPr="00E435CA">
        <w:t>communities,</w:t>
      </w:r>
      <w:r w:rsidR="00184181" w:rsidRPr="00E435CA">
        <w:t xml:space="preserve"> </w:t>
      </w:r>
      <w:r w:rsidRPr="00E435CA">
        <w:t>introducing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exemption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curfew</w:t>
      </w:r>
      <w:r w:rsidR="00184181" w:rsidRPr="00E435CA">
        <w:t xml:space="preserve"> </w:t>
      </w:r>
      <w:r w:rsidRPr="00E435CA">
        <w:t>regulations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order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allow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assist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patients,</w:t>
      </w:r>
      <w:r w:rsidR="00184181" w:rsidRPr="00E435CA">
        <w:t xml:space="preserve"> </w:t>
      </w:r>
      <w:r w:rsidRPr="00E435CA">
        <w:t>broadcasting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radio,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providing</w:t>
      </w:r>
      <w:r w:rsidR="00184181" w:rsidRPr="00E435CA">
        <w:t xml:space="preserve"> </w:t>
      </w:r>
      <w:r w:rsidRPr="00E435CA">
        <w:t>basic</w:t>
      </w:r>
      <w:r w:rsidR="00184181" w:rsidRPr="00E435CA">
        <w:t xml:space="preserve"> </w:t>
      </w:r>
      <w:r w:rsidRPr="00E435CA">
        <w:t>protective</w:t>
      </w:r>
      <w:r w:rsidR="00184181" w:rsidRPr="00E435CA">
        <w:t xml:space="preserve"> </w:t>
      </w:r>
      <w:r w:rsidRPr="00E435CA">
        <w:t>equipment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patients.</w:t>
      </w:r>
      <w:r w:rsidRPr="00E435CA">
        <w:rPr>
          <w:rStyle w:val="FootnoteReference"/>
        </w:rPr>
        <w:footnoteReference w:id="12"/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midwives</w:t>
      </w:r>
      <w:r w:rsidR="00184181" w:rsidRPr="00E435CA">
        <w:t xml:space="preserve"> </w:t>
      </w:r>
      <w:r w:rsidRPr="00E435CA">
        <w:t>reported</w:t>
      </w:r>
      <w:r w:rsidR="00184181" w:rsidRPr="00E435CA">
        <w:t xml:space="preserve"> </w:t>
      </w:r>
      <w:r w:rsidRPr="00E435CA">
        <w:t>they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received,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partially</w:t>
      </w:r>
      <w:r w:rsidR="00184181" w:rsidRPr="00E435CA">
        <w:t xml:space="preserve"> </w:t>
      </w:r>
      <w:r w:rsidRPr="00E435CA">
        <w:t>received,</w:t>
      </w:r>
      <w:r w:rsidR="00184181" w:rsidRPr="00E435CA">
        <w:t xml:space="preserve"> </w:t>
      </w:r>
      <w:r w:rsidRPr="00E435CA">
        <w:t>such</w:t>
      </w:r>
      <w:r w:rsidR="00184181" w:rsidRPr="00E435CA">
        <w:t xml:space="preserve"> </w:t>
      </w:r>
      <w:r w:rsidRPr="00E435CA">
        <w:t>equipment.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midwives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forefront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communities,</w:t>
      </w:r>
      <w:r w:rsidR="00184181" w:rsidRPr="00E435CA">
        <w:t xml:space="preserve"> </w:t>
      </w:r>
      <w:r w:rsidRPr="00E435CA">
        <w:t>providing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reproductive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women,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disseminating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steps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prevent</w:t>
      </w:r>
      <w:r w:rsidR="00184181" w:rsidRPr="00E435CA">
        <w:t xml:space="preserve"> </w:t>
      </w:r>
      <w:r w:rsidRPr="00E435CA">
        <w:t>contagion.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strengthen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capacities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midwives,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worked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midwives</w:t>
      </w:r>
      <w:r w:rsidR="00BE7FE5">
        <w:t>’</w:t>
      </w:r>
      <w:r w:rsidR="00184181" w:rsidRPr="00E435CA">
        <w:t xml:space="preserve"> </w:t>
      </w:r>
      <w:r w:rsidRPr="00E435CA">
        <w:t>organizations,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promote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inclusion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collaboration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system.</w:t>
      </w:r>
    </w:p>
    <w:p w14:paraId="36A12262" w14:textId="78063D68" w:rsidR="00467C67" w:rsidRPr="00E435CA" w:rsidRDefault="00467C67" w:rsidP="00AC5109">
      <w:pPr>
        <w:pStyle w:val="H1G"/>
      </w:pPr>
      <w:bookmarkStart w:id="17" w:name="_Toc466309345"/>
      <w:r w:rsidRPr="00E435CA">
        <w:tab/>
        <w:t>B.</w:t>
      </w:r>
      <w:r w:rsidRPr="00E435CA">
        <w:tab/>
        <w:t>Impact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groups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vulnerable</w:t>
      </w:r>
      <w:r w:rsidR="00184181" w:rsidRPr="00E435CA">
        <w:t xml:space="preserve"> </w:t>
      </w:r>
      <w:r w:rsidRPr="00E435CA">
        <w:t>situations</w:t>
      </w:r>
      <w:bookmarkEnd w:id="17"/>
    </w:p>
    <w:p w14:paraId="4C75EF84" w14:textId="77777777" w:rsidR="005328B0" w:rsidRPr="00E435CA" w:rsidRDefault="00467C67" w:rsidP="00AC5109">
      <w:pPr>
        <w:pStyle w:val="H23G"/>
      </w:pPr>
      <w:r w:rsidRPr="00E435CA">
        <w:tab/>
        <w:t>1.</w:t>
      </w:r>
      <w:r w:rsidRPr="00E435CA">
        <w:tab/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girls</w:t>
      </w:r>
    </w:p>
    <w:p w14:paraId="4379B311" w14:textId="04B26FC1" w:rsidR="00467C67" w:rsidRPr="00E435CA" w:rsidRDefault="00467C67" w:rsidP="00467C67">
      <w:pPr>
        <w:pStyle w:val="SingleTxtG"/>
      </w:pPr>
      <w:r w:rsidRPr="00E435CA">
        <w:t>19.</w:t>
      </w:r>
      <w:r w:rsidRPr="00E435CA">
        <w:tab/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girls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increased</w:t>
      </w:r>
      <w:r w:rsidR="00184181" w:rsidRPr="00E435CA">
        <w:t xml:space="preserve"> </w:t>
      </w:r>
      <w:r w:rsidRPr="00E435CA">
        <w:t>risks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result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confinement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movement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38).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women,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African</w:t>
      </w:r>
      <w:r w:rsidR="00184181" w:rsidRPr="00E435CA">
        <w:t xml:space="preserve"> </w:t>
      </w:r>
      <w:r w:rsidRPr="00E435CA">
        <w:t>descent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particularly</w:t>
      </w:r>
      <w:r w:rsidR="00184181" w:rsidRPr="00E435CA">
        <w:t xml:space="preserve"> </w:t>
      </w:r>
      <w:r w:rsidRPr="00E435CA">
        <w:t>affected,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they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isolation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compounded</w:t>
      </w:r>
      <w:r w:rsidR="00184181" w:rsidRPr="00E435CA">
        <w:t xml:space="preserve"> </w:t>
      </w:r>
      <w:r w:rsidRPr="00E435CA">
        <w:t>barriers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support.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institutions,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Interior,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lastRenderedPageBreak/>
        <w:t>police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Attorney</w:t>
      </w:r>
      <w:r w:rsidR="00184181" w:rsidRPr="00E435CA">
        <w:t xml:space="preserve"> </w:t>
      </w:r>
      <w:r w:rsidRPr="00E435CA">
        <w:t>General,</w:t>
      </w:r>
      <w:r w:rsidR="00184181" w:rsidRPr="00E435CA">
        <w:t xml:space="preserve"> </w:t>
      </w:r>
      <w:r w:rsidRPr="00E435CA">
        <w:t>launched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campaigns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disseminate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helplines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assistance,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encourage</w:t>
      </w:r>
      <w:r w:rsidR="00184181" w:rsidRPr="00E435CA">
        <w:t xml:space="preserve"> </w:t>
      </w:r>
      <w:r w:rsidRPr="00E435CA">
        <w:t>reporting.</w:t>
      </w:r>
    </w:p>
    <w:p w14:paraId="2ED771A9" w14:textId="19136586" w:rsidR="00467C67" w:rsidRPr="00E435CA" w:rsidRDefault="00467C67" w:rsidP="00467C67">
      <w:pPr>
        <w:pStyle w:val="SingleTxtG"/>
      </w:pPr>
      <w:r w:rsidRPr="00E435CA">
        <w:t>20.</w:t>
      </w:r>
      <w:r w:rsidRPr="00E435CA">
        <w:tab/>
        <w:t>OHCHR</w:t>
      </w:r>
      <w:r w:rsidR="00184181" w:rsidRPr="00E435CA">
        <w:t xml:space="preserve"> </w:t>
      </w:r>
      <w:r w:rsidRPr="00E435CA">
        <w:t>highlighted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positive</w:t>
      </w:r>
      <w:r w:rsidR="00184181" w:rsidRPr="00E435CA">
        <w:t xml:space="preserve"> </w:t>
      </w:r>
      <w:r w:rsidRPr="00E435CA">
        <w:t>role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empowerment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awareness-raising</w:t>
      </w:r>
      <w:r w:rsidR="00184181" w:rsidRPr="00E435CA">
        <w:t xml:space="preserve"> </w:t>
      </w:r>
      <w:r w:rsidRPr="00E435CA">
        <w:t>campaign.</w:t>
      </w:r>
      <w:r w:rsidRPr="00E435CA">
        <w:rPr>
          <w:rStyle w:val="FootnoteReference"/>
        </w:rPr>
        <w:footnoteReference w:id="13"/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supported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efforts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weavers</w:t>
      </w:r>
      <w:r w:rsidR="00BE7FE5">
        <w:t>’</w:t>
      </w:r>
      <w:r w:rsidR="00184181" w:rsidRPr="00E435CA">
        <w:t xml:space="preserve"> </w:t>
      </w:r>
      <w:r w:rsidRPr="00E435CA">
        <w:t>movement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purchase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3,000</w:t>
      </w:r>
      <w:r w:rsidR="00184181" w:rsidRPr="00E435CA">
        <w:t xml:space="preserve"> </w:t>
      </w:r>
      <w:r w:rsidRPr="00E435CA">
        <w:t>facemasks</w:t>
      </w:r>
      <w:r w:rsidR="00184181" w:rsidRPr="00E435CA">
        <w:t xml:space="preserve"> </w:t>
      </w:r>
      <w:r w:rsidRPr="00E435CA">
        <w:t>handcrafted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weavers.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masks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distributed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various</w:t>
      </w:r>
      <w:r w:rsidR="00184181" w:rsidRPr="00E435CA">
        <w:t xml:space="preserve"> </w:t>
      </w:r>
      <w:r w:rsidRPr="00E435CA">
        <w:t>stakeholders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showcase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contribution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fight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highlight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importance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equality,</w:t>
      </w:r>
      <w:r w:rsidR="00184181" w:rsidRPr="00E435CA">
        <w:t xml:space="preserve"> </w:t>
      </w:r>
      <w:r w:rsidRPr="00E435CA">
        <w:t>cultural</w:t>
      </w:r>
      <w:r w:rsidR="00184181" w:rsidRPr="00E435CA">
        <w:t xml:space="preserve"> </w:t>
      </w:r>
      <w:r w:rsidRPr="00E435CA">
        <w:t>identity,</w:t>
      </w:r>
      <w:r w:rsidR="00184181" w:rsidRPr="00E435CA">
        <w:t xml:space="preserve"> </w:t>
      </w:r>
      <w:r w:rsidRPr="00E435CA">
        <w:t>economic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collective</w:t>
      </w:r>
      <w:r w:rsidR="00184181" w:rsidRPr="00E435CA">
        <w:t xml:space="preserve"> </w:t>
      </w:r>
      <w:r w:rsidRPr="00E435CA">
        <w:t>intellectual</w:t>
      </w:r>
      <w:r w:rsidR="00184181" w:rsidRPr="00E435CA">
        <w:t xml:space="preserve"> </w:t>
      </w:r>
      <w:r w:rsidRPr="00E435CA">
        <w:t>property.</w:t>
      </w:r>
    </w:p>
    <w:p w14:paraId="1A303C1C" w14:textId="57B6D9F6" w:rsidR="00467C67" w:rsidRPr="00E435CA" w:rsidRDefault="00467C67" w:rsidP="003978D2">
      <w:pPr>
        <w:pStyle w:val="H23G"/>
      </w:pPr>
      <w:r w:rsidRPr="00E435CA">
        <w:tab/>
        <w:t>2.</w:t>
      </w:r>
      <w:r w:rsidRPr="00E435CA">
        <w:tab/>
        <w:t>Indigenous</w:t>
      </w:r>
      <w:r w:rsidR="00184181" w:rsidRPr="00E435CA">
        <w:t xml:space="preserve"> </w:t>
      </w:r>
      <w:r w:rsidRPr="00E435CA">
        <w:t>peoples</w:t>
      </w:r>
    </w:p>
    <w:p w14:paraId="3AEB8AEA" w14:textId="31E99485" w:rsidR="005328B0" w:rsidRPr="00E435CA" w:rsidRDefault="00467C67" w:rsidP="00467C67">
      <w:pPr>
        <w:pStyle w:val="SingleTxtG"/>
      </w:pPr>
      <w:r w:rsidRPr="00E435CA">
        <w:t>21.</w:t>
      </w:r>
      <w:r w:rsidRPr="00E435CA">
        <w:tab/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threatened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livelihoods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peoples,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overrepresented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informal</w:t>
      </w:r>
      <w:r w:rsidR="00184181" w:rsidRPr="00E435CA">
        <w:t xml:space="preserve"> </w:t>
      </w:r>
      <w:r w:rsidRPr="00E435CA">
        <w:t>sector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twice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likely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live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poverty</w:t>
      </w:r>
      <w:r w:rsidR="00184181" w:rsidRPr="00E435CA">
        <w:t xml:space="preserve"> </w:t>
      </w:r>
      <w:r w:rsidRPr="00E435CA">
        <w:t>line,</w:t>
      </w:r>
      <w:r w:rsidR="00184181" w:rsidRPr="00E435CA">
        <w:t xml:space="preserve"> </w:t>
      </w:r>
      <w:r w:rsidRPr="00E435CA">
        <w:t>compared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non-indigenous</w:t>
      </w:r>
      <w:r w:rsidR="00184181" w:rsidRPr="00E435CA">
        <w:t xml:space="preserve"> </w:t>
      </w:r>
      <w:r w:rsidRPr="00E435CA">
        <w:t>population.</w:t>
      </w:r>
      <w:r w:rsidRPr="00E435CA">
        <w:rPr>
          <w:rStyle w:val="FootnoteReference"/>
        </w:rPr>
        <w:footnoteReference w:id="14"/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compounded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historical</w:t>
      </w:r>
      <w:r w:rsidR="00184181" w:rsidRPr="00E435CA">
        <w:t xml:space="preserve"> </w:t>
      </w:r>
      <w:r w:rsidRPr="00E435CA">
        <w:t>discrimination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exclusion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regarding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basic</w:t>
      </w:r>
      <w:r w:rsidR="00184181" w:rsidRPr="00E435CA">
        <w:t xml:space="preserve"> </w:t>
      </w:r>
      <w:r w:rsidRPr="00E435CA">
        <w:t>services,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inequalities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care,</w:t>
      </w:r>
      <w:r w:rsidR="00184181" w:rsidRPr="00E435CA">
        <w:t xml:space="preserve"> </w:t>
      </w:r>
      <w:r w:rsidRPr="00E435CA">
        <w:t>food,</w:t>
      </w:r>
      <w:r w:rsidR="00184181" w:rsidRPr="00E435CA">
        <w:t xml:space="preserve"> </w:t>
      </w:r>
      <w:r w:rsidRPr="00E435CA">
        <w:t>water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education.</w:t>
      </w:r>
      <w:r w:rsidR="00184181" w:rsidRPr="00E435CA">
        <w:t xml:space="preserve"> </w:t>
      </w:r>
      <w:r w:rsidRPr="00E435CA">
        <w:t>Recommended</w:t>
      </w:r>
      <w:r w:rsidR="00184181" w:rsidRPr="00E435CA">
        <w:t xml:space="preserve"> </w:t>
      </w:r>
      <w:r w:rsidRPr="00E435CA">
        <w:t>sanitary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beyond</w:t>
      </w:r>
      <w:r w:rsidR="00184181" w:rsidRPr="00E435CA">
        <w:t xml:space="preserve"> </w:t>
      </w:r>
      <w:r w:rsidRPr="00E435CA">
        <w:t>reach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most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but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own</w:t>
      </w:r>
      <w:r w:rsidR="00184181" w:rsidRPr="00E435CA">
        <w:t xml:space="preserve"> </w:t>
      </w:r>
      <w:r w:rsidRPr="00E435CA">
        <w:t>forms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organization</w:t>
      </w:r>
      <w:r w:rsidR="00184181" w:rsidRPr="00E435CA">
        <w:t xml:space="preserve"> </w:t>
      </w:r>
      <w:r w:rsidRPr="00E435CA">
        <w:t>played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important</w:t>
      </w:r>
      <w:r w:rsidR="00184181" w:rsidRPr="00E435CA">
        <w:t xml:space="preserve"> </w:t>
      </w:r>
      <w:r w:rsidRPr="00E435CA">
        <w:t>role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prevention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spread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territories.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example,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authorities</w:t>
      </w:r>
      <w:r w:rsidR="00184181" w:rsidRPr="00E435CA">
        <w:t xml:space="preserve"> </w:t>
      </w:r>
      <w:r w:rsidRPr="00E435CA">
        <w:t>coordinated</w:t>
      </w:r>
      <w:r w:rsidR="00184181" w:rsidRPr="00E435CA">
        <w:t xml:space="preserve"> </w:t>
      </w:r>
      <w:r w:rsidRPr="00E435CA">
        <w:t>actions,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collective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confinement,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rPr>
          <w:i/>
          <w:iCs/>
        </w:rPr>
        <w:t>Aj</w:t>
      </w:r>
      <w:r w:rsidR="00184181" w:rsidRPr="00E435CA">
        <w:rPr>
          <w:i/>
          <w:iCs/>
        </w:rPr>
        <w:t xml:space="preserve"> </w:t>
      </w:r>
      <w:r w:rsidRPr="00E435CA">
        <w:rPr>
          <w:i/>
          <w:iCs/>
        </w:rPr>
        <w:t>Q</w:t>
      </w:r>
      <w:r w:rsidR="00BE7FE5">
        <w:rPr>
          <w:i/>
          <w:iCs/>
        </w:rPr>
        <w:t>’</w:t>
      </w:r>
      <w:r w:rsidRPr="00E435CA">
        <w:rPr>
          <w:i/>
          <w:iCs/>
        </w:rPr>
        <w:t>ij</w:t>
      </w:r>
      <w:r w:rsidR="00184181" w:rsidRPr="00E435CA">
        <w:t xml:space="preserve"> </w:t>
      </w:r>
      <w:r w:rsidRPr="00E435CA">
        <w:t>(spiritual</w:t>
      </w:r>
      <w:r w:rsidR="00184181" w:rsidRPr="00E435CA">
        <w:t xml:space="preserve"> </w:t>
      </w:r>
      <w:r w:rsidRPr="00E435CA">
        <w:t>guides)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psychosocial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spiritual</w:t>
      </w:r>
      <w:r w:rsidR="00184181" w:rsidRPr="00E435CA">
        <w:t xml:space="preserve"> </w:t>
      </w:r>
      <w:r w:rsidRPr="00E435CA">
        <w:t>support.</w:t>
      </w:r>
    </w:p>
    <w:p w14:paraId="6454E93F" w14:textId="637281D4" w:rsidR="00467C67" w:rsidRPr="00E435CA" w:rsidRDefault="00467C67" w:rsidP="003978D2">
      <w:pPr>
        <w:pStyle w:val="H23G"/>
      </w:pPr>
      <w:r w:rsidRPr="00E435CA">
        <w:tab/>
        <w:t>3.</w:t>
      </w:r>
      <w:r w:rsidRPr="00E435CA">
        <w:tab/>
        <w:t>Migrants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asylum</w:t>
      </w:r>
      <w:r w:rsidR="00184181" w:rsidRPr="00E435CA">
        <w:t xml:space="preserve"> </w:t>
      </w:r>
      <w:r w:rsidRPr="00E435CA">
        <w:t>seekers</w:t>
      </w:r>
    </w:p>
    <w:p w14:paraId="288513D8" w14:textId="2F9741FC" w:rsidR="00467C67" w:rsidRPr="00E435CA" w:rsidRDefault="00467C67" w:rsidP="00467C67">
      <w:pPr>
        <w:pStyle w:val="SingleTxtG"/>
      </w:pPr>
      <w:r w:rsidRPr="00E435CA">
        <w:t>22.</w:t>
      </w:r>
      <w:r w:rsidRPr="00E435CA">
        <w:tab/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reported</w:t>
      </w:r>
      <w:r w:rsidR="00184181" w:rsidRPr="00E435CA">
        <w:t xml:space="preserve"> </w:t>
      </w:r>
      <w:r w:rsidRPr="00E435CA">
        <w:t>among</w:t>
      </w:r>
      <w:r w:rsidR="00184181" w:rsidRPr="00E435CA">
        <w:t xml:space="preserve"> </w:t>
      </w:r>
      <w:r w:rsidRPr="00E435CA">
        <w:t>Guatemalan</w:t>
      </w:r>
      <w:r w:rsidR="00184181" w:rsidRPr="00E435CA">
        <w:t xml:space="preserve"> </w:t>
      </w:r>
      <w:r w:rsidRPr="00E435CA">
        <w:t>migrants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asylum</w:t>
      </w:r>
      <w:r w:rsidR="00184181" w:rsidRPr="00E435CA">
        <w:t xml:space="preserve"> </w:t>
      </w:r>
      <w:r w:rsidRPr="00E435CA">
        <w:t>seekers</w:t>
      </w:r>
      <w:r w:rsidR="00184181" w:rsidRPr="00E435CA">
        <w:t xml:space="preserve"> </w:t>
      </w:r>
      <w:r w:rsidRPr="00E435CA">
        <w:t>deported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Mexico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America.</w:t>
      </w:r>
      <w:r w:rsidR="00184181" w:rsidRPr="00E435CA">
        <w:t xml:space="preserve"> </w:t>
      </w:r>
      <w:r w:rsidRPr="00E435CA">
        <w:t>Deportees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arrived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subjected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mandatory</w:t>
      </w:r>
      <w:r w:rsidR="00184181" w:rsidRPr="00E435CA">
        <w:t xml:space="preserve"> </w:t>
      </w:r>
      <w:r w:rsidRPr="00E435CA">
        <w:t>quarantine,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set</w:t>
      </w:r>
      <w:r w:rsidR="00184181" w:rsidRPr="00E435CA">
        <w:t xml:space="preserve"> </w:t>
      </w:r>
      <w:r w:rsidRPr="00E435CA">
        <w:t>up</w:t>
      </w:r>
      <w:r w:rsidR="00184181" w:rsidRPr="00E435CA">
        <w:t xml:space="preserve"> </w:t>
      </w:r>
      <w:r w:rsidRPr="00E435CA">
        <w:t>temporary</w:t>
      </w:r>
      <w:r w:rsidR="00184181" w:rsidRPr="00E435CA">
        <w:t xml:space="preserve"> </w:t>
      </w:r>
      <w:r w:rsidRPr="00E435CA">
        <w:t>shelters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purpose.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received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regarding</w:t>
      </w:r>
      <w:r w:rsidR="00184181" w:rsidRPr="00E435CA">
        <w:t xml:space="preserve"> </w:t>
      </w:r>
      <w:r w:rsidRPr="00E435CA">
        <w:t>inadequate</w:t>
      </w:r>
      <w:r w:rsidR="00184181" w:rsidRPr="00E435CA">
        <w:t xml:space="preserve"> </w:t>
      </w:r>
      <w:r w:rsidRPr="00E435CA">
        <w:t>infrastructure,</w:t>
      </w:r>
      <w:r w:rsidR="00184181" w:rsidRPr="00E435CA">
        <w:t xml:space="preserve"> </w:t>
      </w:r>
      <w:r w:rsidRPr="00E435CA">
        <w:t>food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sanitation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quarantine</w:t>
      </w:r>
      <w:r w:rsidR="00184181" w:rsidRPr="00E435CA">
        <w:t xml:space="preserve"> </w:t>
      </w:r>
      <w:r w:rsidRPr="00E435CA">
        <w:t>shelters,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long</w:t>
      </w:r>
      <w:r w:rsidR="00184181" w:rsidRPr="00E435CA">
        <w:t xml:space="preserve"> </w:t>
      </w:r>
      <w:r w:rsidRPr="00E435CA">
        <w:t>waits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receive</w:t>
      </w:r>
      <w:r w:rsidR="00184181" w:rsidRPr="00E435CA">
        <w:t xml:space="preserve"> </w:t>
      </w:r>
      <w:r w:rsidRPr="00E435CA">
        <w:t>test</w:t>
      </w:r>
      <w:r w:rsidR="00184181" w:rsidRPr="00E435CA">
        <w:t xml:space="preserve"> </w:t>
      </w:r>
      <w:r w:rsidRPr="00E435CA">
        <w:t>results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prolonged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isolation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deportees.</w:t>
      </w:r>
      <w:r w:rsidRPr="00E435CA">
        <w:rPr>
          <w:rStyle w:val="FootnoteReference"/>
        </w:rPr>
        <w:footnoteReference w:id="15"/>
      </w:r>
      <w:r w:rsidR="00184181" w:rsidRPr="00E435CA">
        <w:t xml:space="preserve"> </w:t>
      </w:r>
      <w:r w:rsidRPr="00E435CA">
        <w:t>Deportees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stigmatization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returns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associated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transmission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virus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country.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OHCHR,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</w:t>
      </w:r>
      <w:r w:rsidR="00184181" w:rsidRPr="00E435CA">
        <w:t xml:space="preserve"> </w:t>
      </w:r>
      <w:r w:rsidRPr="00E435CA">
        <w:t>launched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radio</w:t>
      </w:r>
      <w:r w:rsidR="00184181" w:rsidRPr="00E435CA">
        <w:t xml:space="preserve"> </w:t>
      </w:r>
      <w:r w:rsidRPr="00E435CA">
        <w:t>campaign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combat</w:t>
      </w:r>
      <w:r w:rsidR="00184181" w:rsidRPr="00E435CA">
        <w:t xml:space="preserve"> </w:t>
      </w:r>
      <w:r w:rsidRPr="00E435CA">
        <w:t>stigma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raise</w:t>
      </w:r>
      <w:r w:rsidR="00184181" w:rsidRPr="00E435CA">
        <w:t xml:space="preserve"> </w:t>
      </w:r>
      <w:r w:rsidRPr="00E435CA">
        <w:t>awareness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migrants.</w:t>
      </w:r>
    </w:p>
    <w:p w14:paraId="145705E9" w14:textId="1C27281C" w:rsidR="00467C67" w:rsidRPr="00E435CA" w:rsidRDefault="00467C67" w:rsidP="003978D2">
      <w:pPr>
        <w:pStyle w:val="H23G"/>
      </w:pPr>
      <w:r w:rsidRPr="00E435CA">
        <w:tab/>
        <w:t>4.</w:t>
      </w:r>
      <w:r w:rsidRPr="00E435CA">
        <w:tab/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</w:p>
    <w:p w14:paraId="37D79ED9" w14:textId="4281A86B" w:rsidR="005328B0" w:rsidRPr="00E435CA" w:rsidRDefault="00467C67" w:rsidP="00467C67">
      <w:pPr>
        <w:pStyle w:val="SingleTxtG"/>
      </w:pPr>
      <w:r w:rsidRPr="00E435CA">
        <w:t>23.</w:t>
      </w:r>
      <w:r w:rsidRPr="00E435CA">
        <w:tab/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mechanisms</w:t>
      </w:r>
      <w:r w:rsidR="00184181" w:rsidRPr="00E435CA">
        <w:t xml:space="preserve"> </w:t>
      </w:r>
      <w:r w:rsidRPr="00E435CA">
        <w:t>expressed</w:t>
      </w:r>
      <w:r w:rsidR="00184181" w:rsidRPr="00E435CA">
        <w:t xml:space="preserve"> </w:t>
      </w:r>
      <w:r w:rsidRPr="00E435CA">
        <w:t>concerns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living</w:t>
      </w:r>
      <w:r w:rsidR="00184181" w:rsidRPr="00E435CA">
        <w:t xml:space="preserve"> </w:t>
      </w:r>
      <w:r w:rsidRPr="00E435CA">
        <w:t>conditions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lack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adequate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care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Mental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Hospital</w:t>
      </w:r>
      <w:r w:rsidR="00184181" w:rsidRPr="00E435CA">
        <w:t xml:space="preserve"> </w:t>
      </w:r>
      <w:r w:rsidR="00BE7FE5">
        <w:t>“</w:t>
      </w:r>
      <w:r w:rsidRPr="00E435CA">
        <w:t>Federico</w:t>
      </w:r>
      <w:r w:rsidR="00184181" w:rsidRPr="00E435CA">
        <w:t xml:space="preserve"> </w:t>
      </w:r>
      <w:r w:rsidRPr="00E435CA">
        <w:t>Mora</w:t>
      </w:r>
      <w:r w:rsidR="00BE7FE5">
        <w:t>”</w:t>
      </w:r>
      <w:r w:rsidRPr="00E435CA">
        <w:t>.</w:t>
      </w:r>
      <w:r w:rsidRPr="00E435CA">
        <w:rPr>
          <w:rStyle w:val="FootnoteReference"/>
        </w:rPr>
        <w:footnoteReference w:id="16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disseminated</w:t>
      </w:r>
      <w:r w:rsidR="00184181" w:rsidRPr="00E435CA">
        <w:t xml:space="preserve"> </w:t>
      </w:r>
      <w:r w:rsidRPr="00E435CA">
        <w:t>informative</w:t>
      </w:r>
      <w:r w:rsidR="00184181" w:rsidRPr="00E435CA">
        <w:t xml:space="preserve"> </w:t>
      </w:r>
      <w:r w:rsidRPr="00E435CA">
        <w:t>messages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accessible</w:t>
      </w:r>
      <w:r w:rsidR="00184181" w:rsidRPr="00E435CA">
        <w:t xml:space="preserve"> </w:t>
      </w:r>
      <w:r w:rsidRPr="00E435CA">
        <w:t>formats,</w:t>
      </w:r>
      <w:r w:rsidR="00184181" w:rsidRPr="00E435CA">
        <w:t xml:space="preserve"> </w:t>
      </w:r>
      <w:r w:rsidRPr="00E435CA">
        <w:t>particularly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sign</w:t>
      </w:r>
      <w:r w:rsidR="00184181" w:rsidRPr="00E435CA">
        <w:t xml:space="preserve"> </w:t>
      </w:r>
      <w:r w:rsidRPr="00E435CA">
        <w:t>language</w:t>
      </w:r>
      <w:r w:rsidR="00184181" w:rsidRPr="00E435CA">
        <w:t xml:space="preserve"> </w:t>
      </w:r>
      <w:r w:rsidRPr="00E435CA">
        <w:t>interpretation.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dissemination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inclusive</w:t>
      </w:r>
      <w:r w:rsidR="00184181" w:rsidRPr="00E435CA">
        <w:t xml:space="preserve"> </w:t>
      </w:r>
      <w:r w:rsidRPr="00E435CA">
        <w:t>messages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campaign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disabilities.</w:t>
      </w:r>
      <w:r w:rsidRPr="00E435CA">
        <w:rPr>
          <w:rStyle w:val="FootnoteReference"/>
        </w:rPr>
        <w:footnoteReference w:id="17"/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assisted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elaboration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guide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crisis.</w:t>
      </w:r>
      <w:r w:rsidRPr="00E435CA">
        <w:rPr>
          <w:rStyle w:val="FootnoteReference"/>
        </w:rPr>
        <w:footnoteReference w:id="18"/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supported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Education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protocol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inclusion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students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remote</w:t>
      </w:r>
      <w:r w:rsidR="00184181" w:rsidRPr="00E435CA">
        <w:t xml:space="preserve"> </w:t>
      </w:r>
      <w:r w:rsidRPr="00E435CA">
        <w:t>education,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sign</w:t>
      </w:r>
      <w:r w:rsidR="00184181" w:rsidRPr="00E435CA">
        <w:t xml:space="preserve"> </w:t>
      </w:r>
      <w:r w:rsidRPr="00E435CA">
        <w:t>language</w:t>
      </w:r>
      <w:r w:rsidR="00184181" w:rsidRPr="00E435CA">
        <w:t xml:space="preserve"> </w:t>
      </w:r>
      <w:r w:rsidRPr="00E435CA">
        <w:t>interpretation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televised</w:t>
      </w:r>
      <w:r w:rsidR="00184181" w:rsidRPr="00E435CA">
        <w:t xml:space="preserve"> </w:t>
      </w:r>
      <w:r w:rsidRPr="00E435CA">
        <w:t>education</w:t>
      </w:r>
      <w:r w:rsidR="00184181" w:rsidRPr="00E435CA">
        <w:t xml:space="preserve"> </w:t>
      </w:r>
      <w:r w:rsidRPr="00E435CA">
        <w:t>programme</w:t>
      </w:r>
      <w:r w:rsidR="00184181" w:rsidRPr="00E435CA">
        <w:t xml:space="preserve"> </w:t>
      </w:r>
      <w:r w:rsidR="00BE7FE5">
        <w:t>“</w:t>
      </w:r>
      <w:r w:rsidRPr="00E435CA">
        <w:t>Learning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Home</w:t>
      </w:r>
      <w:r w:rsidR="00BE7FE5">
        <w:t>”</w:t>
      </w:r>
      <w:r w:rsidRPr="00E435CA">
        <w:t>.</w:t>
      </w:r>
      <w:r w:rsidRPr="00E435CA">
        <w:rPr>
          <w:rStyle w:val="FootnoteReference"/>
        </w:rPr>
        <w:footnoteReference w:id="19"/>
      </w:r>
    </w:p>
    <w:p w14:paraId="000C3BF8" w14:textId="793D183C" w:rsidR="00467C67" w:rsidRPr="00E435CA" w:rsidRDefault="00467C67" w:rsidP="00570F27">
      <w:pPr>
        <w:pStyle w:val="H23G"/>
      </w:pPr>
      <w:r w:rsidRPr="00E435CA">
        <w:lastRenderedPageBreak/>
        <w:tab/>
        <w:t>5.</w:t>
      </w:r>
      <w:r w:rsidRPr="00E435CA">
        <w:tab/>
        <w:t>Young</w:t>
      </w:r>
      <w:r w:rsidR="00184181" w:rsidRPr="00E435CA">
        <w:t xml:space="preserve"> </w:t>
      </w:r>
      <w:r w:rsidRPr="00E435CA">
        <w:t>people</w:t>
      </w:r>
    </w:p>
    <w:p w14:paraId="1E986267" w14:textId="77777777" w:rsidR="005328B0" w:rsidRPr="00E435CA" w:rsidRDefault="00467C67" w:rsidP="00467C67">
      <w:pPr>
        <w:pStyle w:val="SingleTxtG"/>
      </w:pPr>
      <w:r w:rsidRPr="00E435CA">
        <w:t>24.</w:t>
      </w:r>
      <w:r w:rsidRPr="00E435CA">
        <w:tab/>
        <w:t>Children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young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additional</w:t>
      </w:r>
      <w:r w:rsidR="00184181" w:rsidRPr="00E435CA">
        <w:t xml:space="preserve"> </w:t>
      </w:r>
      <w:r w:rsidRPr="00E435CA">
        <w:t>barriers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accessing</w:t>
      </w:r>
      <w:r w:rsidR="00184181" w:rsidRPr="00E435CA">
        <w:t xml:space="preserve"> </w:t>
      </w:r>
      <w:r w:rsidRPr="00E435CA">
        <w:t>education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result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Education</w:t>
      </w:r>
      <w:r w:rsidR="00184181" w:rsidRPr="00E435CA">
        <w:t xml:space="preserve"> </w:t>
      </w:r>
      <w:r w:rsidRPr="00E435CA">
        <w:t>implemented</w:t>
      </w:r>
      <w:r w:rsidR="00184181" w:rsidRPr="00E435CA">
        <w:t xml:space="preserve"> </w:t>
      </w:r>
      <w:r w:rsidRPr="00E435CA">
        <w:t>online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televised</w:t>
      </w:r>
      <w:r w:rsidR="00184181" w:rsidRPr="00E435CA">
        <w:t xml:space="preserve"> </w:t>
      </w:r>
      <w:r w:rsidRPr="00E435CA">
        <w:t>education</w:t>
      </w:r>
      <w:r w:rsidR="00184181" w:rsidRPr="00E435CA">
        <w:t xml:space="preserve"> </w:t>
      </w:r>
      <w:r w:rsidRPr="00E435CA">
        <w:t>programmes,</w:t>
      </w:r>
      <w:r w:rsidR="00184181" w:rsidRPr="00E435CA">
        <w:t xml:space="preserve"> </w:t>
      </w:r>
      <w:r w:rsidRPr="00E435CA">
        <w:t>but</w:t>
      </w:r>
      <w:r w:rsidR="00184181" w:rsidRPr="00E435CA">
        <w:t xml:space="preserve"> </w:t>
      </w:r>
      <w:r w:rsidRPr="00E435CA">
        <w:t>these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universally</w:t>
      </w:r>
      <w:r w:rsidR="00184181" w:rsidRPr="00E435CA">
        <w:t xml:space="preserve"> </w:t>
      </w:r>
      <w:r w:rsidRPr="00E435CA">
        <w:t>accessible,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30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homes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country</w:t>
      </w:r>
      <w:r w:rsidR="00184181" w:rsidRPr="00E435CA">
        <w:t xml:space="preserve"> </w:t>
      </w:r>
      <w:r w:rsidRPr="00E435CA">
        <w:t>do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television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83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do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Internet.</w:t>
      </w:r>
      <w:r w:rsidRPr="00E435CA">
        <w:rPr>
          <w:rStyle w:val="FootnoteReference"/>
        </w:rPr>
        <w:footnoteReference w:id="20"/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inter-institutional</w:t>
      </w:r>
      <w:r w:rsidR="00184181" w:rsidRPr="00E435CA">
        <w:t xml:space="preserve"> </w:t>
      </w:r>
      <w:r w:rsidRPr="00E435CA">
        <w:t>round</w:t>
      </w:r>
      <w:r w:rsidR="00184181" w:rsidRPr="00E435CA">
        <w:t xml:space="preserve"> </w:t>
      </w:r>
      <w:r w:rsidRPr="00E435CA">
        <w:t>table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education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peace,</w:t>
      </w:r>
      <w:r w:rsidR="00184181" w:rsidRPr="00E435CA">
        <w:t xml:space="preserve"> </w:t>
      </w:r>
      <w:r w:rsidRPr="00E435CA">
        <w:t>memory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preparation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guides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education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COVID-19.</w:t>
      </w:r>
      <w:r w:rsidR="005328B0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organized</w:t>
      </w:r>
      <w:r w:rsidR="00184181" w:rsidRPr="00E435CA">
        <w:t xml:space="preserve"> </w:t>
      </w:r>
      <w:r w:rsidRPr="00E435CA">
        <w:t>virtual</w:t>
      </w:r>
      <w:r w:rsidR="00184181" w:rsidRPr="00E435CA">
        <w:t xml:space="preserve"> </w:t>
      </w:r>
      <w:r w:rsidRPr="00E435CA">
        <w:t>forums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high</w:t>
      </w:r>
      <w:r w:rsidR="00184181" w:rsidRPr="00E435CA">
        <w:t xml:space="preserve"> </w:t>
      </w:r>
      <w:r w:rsidRPr="00E435CA">
        <w:t>school</w:t>
      </w:r>
      <w:r w:rsidR="00184181" w:rsidRPr="00E435CA">
        <w:t xml:space="preserve"> </w:t>
      </w:r>
      <w:r w:rsidRPr="00E435CA">
        <w:t>students,</w:t>
      </w:r>
      <w:r w:rsidR="00184181" w:rsidRPr="00E435CA">
        <w:t xml:space="preserve"> </w:t>
      </w:r>
      <w:r w:rsidRPr="00E435CA">
        <w:t>teachers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parents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share</w:t>
      </w:r>
      <w:r w:rsidR="00184181" w:rsidRPr="00E435CA">
        <w:t xml:space="preserve"> </w:t>
      </w:r>
      <w:r w:rsidRPr="00E435CA">
        <w:t>best</w:t>
      </w:r>
      <w:r w:rsidR="00184181" w:rsidRPr="00E435CA">
        <w:t xml:space="preserve"> </w:t>
      </w:r>
      <w:r w:rsidRPr="00E435CA">
        <w:t>practices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distance</w:t>
      </w:r>
      <w:r w:rsidR="00184181" w:rsidRPr="00E435CA">
        <w:t xml:space="preserve"> </w:t>
      </w:r>
      <w:r w:rsidRPr="00E435CA">
        <w:t>learning.</w:t>
      </w:r>
    </w:p>
    <w:p w14:paraId="481E9015" w14:textId="77777777" w:rsidR="005328B0" w:rsidRPr="00E435CA" w:rsidRDefault="00467C67" w:rsidP="00570F27">
      <w:pPr>
        <w:pStyle w:val="H23G"/>
      </w:pPr>
      <w:r w:rsidRPr="00E435CA">
        <w:tab/>
        <w:t>6.</w:t>
      </w:r>
      <w:r w:rsidRPr="00E435CA">
        <w:tab/>
        <w:t>Persons</w:t>
      </w:r>
      <w:r w:rsidR="00184181" w:rsidRPr="00E435CA">
        <w:t xml:space="preserve"> </w:t>
      </w:r>
      <w:r w:rsidRPr="00E435CA">
        <w:t>deprived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liberty</w:t>
      </w:r>
    </w:p>
    <w:p w14:paraId="72846454" w14:textId="77777777" w:rsidR="005328B0" w:rsidRPr="00E435CA" w:rsidRDefault="00467C67" w:rsidP="00467C67">
      <w:pPr>
        <w:pStyle w:val="SingleTxtG"/>
      </w:pPr>
      <w:r w:rsidRPr="00E435CA">
        <w:t>25.</w:t>
      </w:r>
      <w:r w:rsidRPr="00E435CA">
        <w:tab/>
        <w:t>Persons</w:t>
      </w:r>
      <w:r w:rsidR="00184181" w:rsidRPr="00E435CA">
        <w:t xml:space="preserve"> </w:t>
      </w:r>
      <w:r w:rsidRPr="00E435CA">
        <w:t>deprived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liberty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heightened</w:t>
      </w:r>
      <w:r w:rsidR="00184181" w:rsidRPr="00E435CA">
        <w:t xml:space="preserve"> </w:t>
      </w:r>
      <w:r w:rsidRPr="00E435CA">
        <w:t>risk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contagion</w:t>
      </w:r>
      <w:r w:rsidR="00184181" w:rsidRPr="00E435CA">
        <w:t xml:space="preserve"> </w:t>
      </w:r>
      <w:r w:rsidRPr="00E435CA">
        <w:t>owing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chronic</w:t>
      </w:r>
      <w:r w:rsidR="00184181" w:rsidRPr="00E435CA">
        <w:t xml:space="preserve"> </w:t>
      </w:r>
      <w:r w:rsidRPr="00E435CA">
        <w:t>overcrowding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detention</w:t>
      </w:r>
      <w:r w:rsidR="00184181" w:rsidRPr="00E435CA">
        <w:t xml:space="preserve"> </w:t>
      </w:r>
      <w:r w:rsidRPr="00E435CA">
        <w:t>facilities.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16</w:t>
      </w:r>
      <w:r w:rsidR="00184181" w:rsidRPr="00E435CA">
        <w:t xml:space="preserve"> </w:t>
      </w:r>
      <w:r w:rsidRPr="00E435CA">
        <w:t>March,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prison</w:t>
      </w:r>
      <w:r w:rsidR="00184181" w:rsidRPr="00E435CA">
        <w:t xml:space="preserve"> </w:t>
      </w:r>
      <w:r w:rsidRPr="00E435CA">
        <w:t>system</w:t>
      </w:r>
      <w:r w:rsidR="00184181" w:rsidRPr="00E435CA">
        <w:t xml:space="preserve"> </w:t>
      </w:r>
      <w:r w:rsidRPr="00E435CA">
        <w:t>suspended</w:t>
      </w:r>
      <w:r w:rsidR="00184181" w:rsidRPr="00E435CA">
        <w:t xml:space="preserve"> </w:t>
      </w:r>
      <w:r w:rsidRPr="00E435CA">
        <w:t>personal</w:t>
      </w:r>
      <w:r w:rsidR="00184181" w:rsidRPr="00E435CA">
        <w:t xml:space="preserve"> </w:t>
      </w:r>
      <w:r w:rsidRPr="00E435CA">
        <w:t>visits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adopted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protocol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prevention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spread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COVID-19,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line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recommendations.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structural</w:t>
      </w:r>
      <w:r w:rsidR="00184181" w:rsidRPr="00E435CA">
        <w:t xml:space="preserve"> </w:t>
      </w:r>
      <w:r w:rsidRPr="00E435CA">
        <w:t>deficiencies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lack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resources</w:t>
      </w:r>
      <w:r w:rsidR="00184181" w:rsidRPr="00E435CA">
        <w:t xml:space="preserve"> </w:t>
      </w:r>
      <w:r w:rsidRPr="00E435CA">
        <w:t>hindered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comprehensive</w:t>
      </w:r>
      <w:r w:rsidR="00184181" w:rsidRPr="00E435CA">
        <w:t xml:space="preserve"> </w:t>
      </w:r>
      <w:r w:rsidRPr="00E435CA">
        <w:t>institutional</w:t>
      </w:r>
      <w:r w:rsidR="00184181" w:rsidRPr="00E435CA">
        <w:t xml:space="preserve"> </w:t>
      </w:r>
      <w:r w:rsidRPr="00E435CA">
        <w:t>response,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shortages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medicine,</w:t>
      </w:r>
      <w:r w:rsidR="00184181" w:rsidRPr="00E435CA">
        <w:t xml:space="preserve"> </w:t>
      </w:r>
      <w:r w:rsidRPr="00E435CA">
        <w:t>cleaning</w:t>
      </w:r>
      <w:r w:rsidR="00184181" w:rsidRPr="00E435CA">
        <w:t xml:space="preserve"> </w:t>
      </w:r>
      <w:r w:rsidRPr="00E435CA">
        <w:t>products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equipment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reported.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prisons</w:t>
      </w:r>
      <w:r w:rsidR="00184181" w:rsidRPr="00E435CA">
        <w:t xml:space="preserve"> </w:t>
      </w:r>
      <w:r w:rsidRPr="00E435CA">
        <w:t>restricted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outdoor</w:t>
      </w:r>
      <w:r w:rsidR="00184181" w:rsidRPr="00E435CA">
        <w:t xml:space="preserve"> </w:t>
      </w:r>
      <w:r w:rsidRPr="00E435CA">
        <w:t>areas,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inmates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given</w:t>
      </w:r>
      <w:r w:rsidR="00184181" w:rsidRPr="00E435CA">
        <w:t xml:space="preserve"> </w:t>
      </w:r>
      <w:r w:rsidRPr="00E435CA">
        <w:t>alternative</w:t>
      </w:r>
      <w:r w:rsidR="00184181" w:rsidRPr="00E435CA">
        <w:t xml:space="preserve"> </w:t>
      </w:r>
      <w:r w:rsidRPr="00E435CA">
        <w:t>means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communication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outside</w:t>
      </w:r>
      <w:r w:rsidR="00184181" w:rsidRPr="00E435CA">
        <w:t xml:space="preserve"> </w:t>
      </w:r>
      <w:r w:rsidRPr="00E435CA">
        <w:t>world.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2</w:t>
      </w:r>
      <w:r w:rsidR="00184181" w:rsidRPr="00E435CA">
        <w:t xml:space="preserve"> </w:t>
      </w:r>
      <w:r w:rsidRPr="00E435CA">
        <w:t>October,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prison</w:t>
      </w:r>
      <w:r w:rsidR="00184181" w:rsidRPr="00E435CA">
        <w:t xml:space="preserve"> </w:t>
      </w:r>
      <w:r w:rsidRPr="00E435CA">
        <w:t>system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recorded</w:t>
      </w:r>
      <w:r w:rsidR="00184181" w:rsidRPr="00E435CA">
        <w:t xml:space="preserve"> </w:t>
      </w:r>
      <w:r w:rsidRPr="00E435CA">
        <w:t>328</w:t>
      </w:r>
      <w:r w:rsidR="00184181" w:rsidRPr="00E435CA">
        <w:t xml:space="preserve"> </w:t>
      </w:r>
      <w:r w:rsidRPr="00E435CA">
        <w:t>confirmed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26</w:t>
      </w:r>
      <w:r w:rsidR="00184181" w:rsidRPr="00E435CA">
        <w:t xml:space="preserve"> </w:t>
      </w:r>
      <w:r w:rsidRPr="00E435CA">
        <w:t>coronavirus-related</w:t>
      </w:r>
      <w:r w:rsidR="00184181" w:rsidRPr="00E435CA">
        <w:t xml:space="preserve"> </w:t>
      </w:r>
      <w:r w:rsidRPr="00E435CA">
        <w:t>deaths.</w:t>
      </w:r>
      <w:r w:rsidRPr="00E435CA">
        <w:rPr>
          <w:rStyle w:val="FootnoteReference"/>
        </w:rPr>
        <w:footnoteReference w:id="21"/>
      </w:r>
      <w:r w:rsidR="00184181" w:rsidRPr="00E435CA">
        <w:rPr>
          <w:rStyle w:val="FootnoteReference"/>
        </w:rPr>
        <w:t xml:space="preserve"> </w:t>
      </w:r>
      <w:r w:rsidRPr="00E435CA">
        <w:t>No</w:t>
      </w:r>
      <w:r w:rsidR="00184181" w:rsidRPr="00E435CA">
        <w:t xml:space="preserve"> </w:t>
      </w:r>
      <w:r w:rsidRPr="00E435CA">
        <w:t>periodic</w:t>
      </w:r>
      <w:r w:rsidR="00184181" w:rsidRPr="00E435CA">
        <w:t xml:space="preserve"> </w:t>
      </w:r>
      <w:r w:rsidRPr="00E435CA">
        <w:t>testing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detention</w:t>
      </w:r>
      <w:r w:rsidR="00184181" w:rsidRPr="00E435CA">
        <w:t xml:space="preserve"> </w:t>
      </w:r>
      <w:r w:rsidRPr="00E435CA">
        <w:t>facilities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reported.</w:t>
      </w:r>
    </w:p>
    <w:p w14:paraId="2F66BAE1" w14:textId="578A5FA7" w:rsidR="00467C67" w:rsidRPr="00E435CA" w:rsidRDefault="00467C67" w:rsidP="00570F27">
      <w:pPr>
        <w:pStyle w:val="H1G"/>
      </w:pPr>
      <w:bookmarkStart w:id="18" w:name="_Toc463449203"/>
      <w:bookmarkStart w:id="19" w:name="_Toc466309346"/>
      <w:r w:rsidRPr="00E435CA">
        <w:tab/>
        <w:t>C.</w:t>
      </w:r>
      <w:r w:rsidRPr="00E435CA">
        <w:tab/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participation</w:t>
      </w:r>
      <w:bookmarkEnd w:id="18"/>
      <w:bookmarkEnd w:id="19"/>
    </w:p>
    <w:p w14:paraId="5C143A75" w14:textId="77777777" w:rsidR="005328B0" w:rsidRPr="00E435CA" w:rsidRDefault="00467C67" w:rsidP="00467C67">
      <w:pPr>
        <w:pStyle w:val="SingleTxtG"/>
      </w:pPr>
      <w:r w:rsidRPr="00E435CA">
        <w:t>26.</w:t>
      </w:r>
      <w:r w:rsidRPr="00E435CA">
        <w:tab/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made</w:t>
      </w:r>
      <w:r w:rsidR="00184181" w:rsidRPr="00E435CA">
        <w:t xml:space="preserve"> </w:t>
      </w:r>
      <w:r w:rsidRPr="00E435CA">
        <w:t>efforts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provide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accessible</w:t>
      </w:r>
      <w:r w:rsidR="00184181" w:rsidRPr="00E435CA">
        <w:t xml:space="preserve"> </w:t>
      </w:r>
      <w:r w:rsidRPr="00E435CA">
        <w:t>formats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languages.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assisted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production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broadcasting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radio</w:t>
      </w:r>
      <w:r w:rsidR="00184181" w:rsidRPr="00E435CA">
        <w:t xml:space="preserve"> </w:t>
      </w:r>
      <w:r w:rsidRPr="00E435CA">
        <w:t>campaign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preventive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combating</w:t>
      </w:r>
      <w:r w:rsidR="00184181" w:rsidRPr="00E435CA">
        <w:t xml:space="preserve"> </w:t>
      </w:r>
      <w:r w:rsidRPr="00E435CA">
        <w:t>discrimination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affected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disease.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campaign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broadcast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13</w:t>
      </w:r>
      <w:r w:rsidR="00184181" w:rsidRPr="00E435CA">
        <w:t xml:space="preserve"> </w:t>
      </w:r>
      <w:r w:rsidRPr="00E435CA">
        <w:t>regions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22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languages,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Academy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Mayan</w:t>
      </w:r>
      <w:r w:rsidR="00184181" w:rsidRPr="00E435CA">
        <w:t xml:space="preserve"> </w:t>
      </w:r>
      <w:r w:rsidRPr="00E435CA">
        <w:t>Languages.</w:t>
      </w:r>
    </w:p>
    <w:p w14:paraId="7A968C4A" w14:textId="63154389" w:rsidR="005328B0" w:rsidRPr="00E435CA" w:rsidRDefault="00467C67" w:rsidP="00467C67">
      <w:pPr>
        <w:pStyle w:val="SingleTxtG"/>
      </w:pPr>
      <w:r w:rsidRPr="00E435CA">
        <w:t>27.</w:t>
      </w:r>
      <w:r w:rsidRPr="00E435CA">
        <w:tab/>
        <w:t>Journalists</w:t>
      </w:r>
      <w:r w:rsidR="00184181" w:rsidRPr="00E435CA">
        <w:t xml:space="preserve"> </w:t>
      </w:r>
      <w:r w:rsidRPr="00E435CA">
        <w:t>reported</w:t>
      </w:r>
      <w:r w:rsidR="00184181" w:rsidRPr="00E435CA">
        <w:t xml:space="preserve"> </w:t>
      </w:r>
      <w:r w:rsidRPr="00E435CA">
        <w:t>difficulties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accessing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COVID-19.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authorities,</w:t>
      </w:r>
      <w:r w:rsidR="00184181" w:rsidRPr="00E435CA">
        <w:t xml:space="preserve"> </w:t>
      </w:r>
      <w:r w:rsidRPr="00E435CA">
        <w:t>women,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stakeholders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limited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relevant</w:t>
      </w:r>
      <w:r w:rsidR="00184181" w:rsidRPr="00E435CA">
        <w:t xml:space="preserve"> </w:t>
      </w:r>
      <w:r w:rsidRPr="00E435CA">
        <w:t>decision-making</w:t>
      </w:r>
      <w:r w:rsidR="00184181" w:rsidRPr="00E435CA">
        <w:t xml:space="preserve"> </w:t>
      </w:r>
      <w:r w:rsidRPr="00E435CA">
        <w:t>forums.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address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situation,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Pan-American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Organization</w:t>
      </w:r>
      <w:r w:rsidR="00184181" w:rsidRPr="00E435CA">
        <w:t xml:space="preserve"> </w:t>
      </w:r>
      <w:r w:rsidRPr="00E435CA">
        <w:t>facilitated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series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dialogues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authorities</w:t>
      </w:r>
      <w:r w:rsidR="00184181" w:rsidRPr="00E435CA">
        <w:t xml:space="preserve"> </w:t>
      </w:r>
      <w:r w:rsidRPr="00E435CA">
        <w:t>across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country.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supported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protocol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consultation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46).</w:t>
      </w:r>
    </w:p>
    <w:p w14:paraId="0CBBDD30" w14:textId="0F138308" w:rsidR="00467C67" w:rsidRPr="00E435CA" w:rsidRDefault="00467C67" w:rsidP="00570F27">
      <w:pPr>
        <w:pStyle w:val="H1G"/>
      </w:pPr>
      <w:bookmarkStart w:id="20" w:name="_Toc461716677"/>
      <w:bookmarkStart w:id="21" w:name="_Toc461716950"/>
      <w:bookmarkStart w:id="22" w:name="_Toc461717113"/>
      <w:bookmarkStart w:id="23" w:name="_Toc463449204"/>
      <w:bookmarkStart w:id="24" w:name="_Toc466309347"/>
      <w:r w:rsidRPr="00E435CA">
        <w:tab/>
        <w:t>D.</w:t>
      </w:r>
      <w:r w:rsidRPr="00E435CA">
        <w:tab/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freedom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movement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assembly</w:t>
      </w:r>
      <w:bookmarkEnd w:id="20"/>
      <w:bookmarkEnd w:id="21"/>
      <w:bookmarkEnd w:id="22"/>
      <w:bookmarkEnd w:id="23"/>
      <w:bookmarkEnd w:id="24"/>
    </w:p>
    <w:p w14:paraId="2C7FB5FB" w14:textId="77777777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28.</w:t>
      </w:r>
      <w:r w:rsidRPr="00E435CA">
        <w:tab/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implemented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range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contingency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prevent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spread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COVID-19,</w:t>
      </w:r>
      <w:r w:rsidR="00184181" w:rsidRPr="00E435CA">
        <w:t xml:space="preserve"> </w:t>
      </w:r>
      <w:r w:rsidRPr="00E435CA">
        <w:t>within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framework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calamity</w:t>
      </w:r>
      <w:r w:rsidR="00184181" w:rsidRPr="00E435CA">
        <w:t xml:space="preserve"> </w:t>
      </w:r>
      <w:r w:rsidRPr="00E435CA">
        <w:t>declared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6</w:t>
      </w:r>
      <w:r w:rsidR="00184181" w:rsidRPr="00E435CA">
        <w:t xml:space="preserve"> </w:t>
      </w:r>
      <w:r w:rsidRPr="00E435CA">
        <w:t>March.</w:t>
      </w:r>
      <w:r w:rsidRPr="00E435CA">
        <w:rPr>
          <w:rStyle w:val="FootnoteReference"/>
        </w:rPr>
        <w:footnoteReference w:id="22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duration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intensity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varied,</w:t>
      </w:r>
      <w:r w:rsidR="00184181" w:rsidRPr="00E435CA">
        <w:t xml:space="preserve"> </w:t>
      </w:r>
      <w:r w:rsidRPr="00E435CA">
        <w:t>but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included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daily</w:t>
      </w:r>
      <w:r w:rsidR="00184181" w:rsidRPr="00E435CA">
        <w:t xml:space="preserve"> </w:t>
      </w:r>
      <w:r w:rsidRPr="00E435CA">
        <w:t>curfew,</w:t>
      </w:r>
      <w:r w:rsidRPr="00E435CA">
        <w:rPr>
          <w:rStyle w:val="FootnoteReference"/>
        </w:rPr>
        <w:footnoteReference w:id="23"/>
      </w:r>
      <w:r w:rsidR="00184181" w:rsidRPr="00E435CA">
        <w:t xml:space="preserve"> </w:t>
      </w:r>
      <w:r w:rsidRPr="00E435CA">
        <w:t>travel</w:t>
      </w:r>
      <w:r w:rsidR="00184181" w:rsidRPr="00E435CA">
        <w:t xml:space="preserve"> </w:t>
      </w:r>
      <w:r w:rsidRPr="00E435CA">
        <w:t>bans,</w:t>
      </w:r>
      <w:r w:rsidR="00184181" w:rsidRPr="00E435CA">
        <w:t xml:space="preserve"> </w:t>
      </w:r>
      <w:r w:rsidRPr="00E435CA">
        <w:t>prohibition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limitation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private</w:t>
      </w:r>
      <w:r w:rsidR="00184181" w:rsidRPr="00E435CA">
        <w:t xml:space="preserve"> </w:t>
      </w:r>
      <w:r w:rsidRPr="00E435CA">
        <w:t>gatherings,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collective</w:t>
      </w:r>
      <w:r w:rsidR="00184181" w:rsidRPr="00E435CA">
        <w:t xml:space="preserve"> </w:t>
      </w:r>
      <w:r w:rsidRPr="00E435CA">
        <w:t>transportation,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closure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outpatient</w:t>
      </w:r>
      <w:r w:rsidR="00184181" w:rsidRPr="00E435CA">
        <w:t xml:space="preserve"> </w:t>
      </w:r>
      <w:r w:rsidRPr="00E435CA">
        <w:t>clinics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hospitals.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isolate</w:t>
      </w:r>
      <w:r w:rsidR="00184181" w:rsidRPr="00E435CA">
        <w:t xml:space="preserve"> </w:t>
      </w:r>
      <w:r w:rsidRPr="00E435CA">
        <w:t>cases,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established</w:t>
      </w:r>
      <w:r w:rsidR="00184181" w:rsidRPr="00E435CA">
        <w:t xml:space="preserve"> </w:t>
      </w:r>
      <w:r w:rsidRPr="00E435CA">
        <w:t>cordons</w:t>
      </w:r>
      <w:r w:rsidR="00184181" w:rsidRPr="00E435CA">
        <w:t xml:space="preserve"> </w:t>
      </w:r>
      <w:r w:rsidRPr="00E435CA">
        <w:t>sanitaires,</w:t>
      </w:r>
      <w:r w:rsidR="00184181" w:rsidRPr="00E435CA">
        <w:t xml:space="preserve"> </w:t>
      </w:r>
      <w:r w:rsidRPr="00E435CA">
        <w:t>restricting</w:t>
      </w:r>
      <w:r w:rsidR="00184181" w:rsidRPr="00E435CA">
        <w:t xml:space="preserve"> </w:t>
      </w:r>
      <w:r w:rsidRPr="00E435CA">
        <w:t>movement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eight</w:t>
      </w:r>
      <w:r w:rsidR="00184181" w:rsidRPr="00E435CA">
        <w:t xml:space="preserve"> </w:t>
      </w:r>
      <w:r w:rsidRPr="00E435CA">
        <w:t>municipalities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high</w:t>
      </w:r>
      <w:r w:rsidR="00184181" w:rsidRPr="00E435CA">
        <w:t xml:space="preserve"> </w:t>
      </w:r>
      <w:r w:rsidRPr="00E435CA">
        <w:t>incidences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virus.</w:t>
      </w:r>
      <w:r w:rsidRPr="00E435CA">
        <w:rPr>
          <w:rStyle w:val="FootnoteReference"/>
        </w:rPr>
        <w:footnoteReference w:id="24"/>
      </w:r>
    </w:p>
    <w:p w14:paraId="391387FB" w14:textId="77777777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lastRenderedPageBreak/>
        <w:t>29.</w:t>
      </w:r>
      <w:r w:rsidRPr="00E435CA">
        <w:tab/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rural</w:t>
      </w:r>
      <w:r w:rsidR="00184181" w:rsidRPr="00E435CA">
        <w:t xml:space="preserve"> </w:t>
      </w:r>
      <w:r w:rsidRPr="00E435CA">
        <w:t>communities,</w:t>
      </w:r>
      <w:r w:rsidR="00184181" w:rsidRPr="00E435CA">
        <w:t xml:space="preserve"> </w:t>
      </w:r>
      <w:r w:rsidRPr="00E435CA">
        <w:t>often</w:t>
      </w:r>
      <w:r w:rsidR="00184181" w:rsidRPr="00E435CA">
        <w:t xml:space="preserve"> </w:t>
      </w:r>
      <w:r w:rsidRPr="00E435CA">
        <w:t>distant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urban</w:t>
      </w:r>
      <w:r w:rsidR="00184181" w:rsidRPr="00E435CA">
        <w:t xml:space="preserve"> </w:t>
      </w:r>
      <w:r w:rsidRPr="00E435CA">
        <w:t>centres,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particularly</w:t>
      </w:r>
      <w:r w:rsidR="00184181" w:rsidRPr="00E435CA">
        <w:t xml:space="preserve"> </w:t>
      </w:r>
      <w:r w:rsidRPr="00E435CA">
        <w:t>affected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restrictions.</w:t>
      </w:r>
      <w:r w:rsidR="00184181" w:rsidRPr="00E435CA">
        <w:t xml:space="preserve"> </w:t>
      </w:r>
      <w:r w:rsidRPr="00E435CA">
        <w:t>Coupled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poor</w:t>
      </w:r>
      <w:r w:rsidR="00184181" w:rsidRPr="00E435CA">
        <w:t xml:space="preserve"> </w:t>
      </w:r>
      <w:r w:rsidRPr="00E435CA">
        <w:t>road</w:t>
      </w:r>
      <w:r w:rsidR="00184181" w:rsidRPr="00E435CA">
        <w:t xml:space="preserve"> </w:t>
      </w:r>
      <w:r w:rsidRPr="00E435CA">
        <w:t>infrastructure,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posed</w:t>
      </w:r>
      <w:r w:rsidR="00184181" w:rsidRPr="00E435CA">
        <w:t xml:space="preserve"> </w:t>
      </w:r>
      <w:r w:rsidRPr="00E435CA">
        <w:t>significant</w:t>
      </w:r>
      <w:r w:rsidR="00184181" w:rsidRPr="00E435CA">
        <w:t xml:space="preserve"> </w:t>
      </w:r>
      <w:r w:rsidRPr="00E435CA">
        <w:t>challenges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livelihoods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accessing</w:t>
      </w:r>
      <w:r w:rsidR="00184181" w:rsidRPr="00E435CA">
        <w:t xml:space="preserve"> </w:t>
      </w:r>
      <w:r w:rsidRPr="00E435CA">
        <w:t>vital</w:t>
      </w:r>
      <w:r w:rsidR="00184181" w:rsidRPr="00E435CA">
        <w:t xml:space="preserve"> </w:t>
      </w:r>
      <w:r w:rsidRPr="00E435CA">
        <w:t>services</w:t>
      </w:r>
      <w:r w:rsidR="00184181" w:rsidRPr="00E435CA">
        <w:t xml:space="preserve"> </w:t>
      </w:r>
      <w:r w:rsidRPr="00E435CA">
        <w:t>such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care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food</w:t>
      </w:r>
      <w:r w:rsidR="00184181" w:rsidRPr="00E435CA">
        <w:t xml:space="preserve"> </w:t>
      </w:r>
      <w:r w:rsidRPr="00E435CA">
        <w:t>markets.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42,000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arrested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infringements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related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COVID-19,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38,903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men,</w:t>
      </w:r>
      <w:r w:rsidR="00184181" w:rsidRPr="00E435CA">
        <w:t xml:space="preserve"> </w:t>
      </w:r>
      <w:r w:rsidRPr="00E435CA">
        <w:t>2,756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550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children.</w:t>
      </w:r>
      <w:r w:rsidRPr="00E435CA">
        <w:rPr>
          <w:rStyle w:val="FootnoteReference"/>
        </w:rPr>
        <w:footnoteReference w:id="25"/>
      </w:r>
    </w:p>
    <w:p w14:paraId="192A981B" w14:textId="3A751781" w:rsidR="00467C67" w:rsidRPr="00E435CA" w:rsidRDefault="00467C67" w:rsidP="00570F27">
      <w:pPr>
        <w:pStyle w:val="H1G"/>
      </w:pPr>
      <w:bookmarkStart w:id="25" w:name="_Toc466309348"/>
      <w:bookmarkStart w:id="26" w:name="_Toc461716678"/>
      <w:bookmarkStart w:id="27" w:name="_Toc461716951"/>
      <w:bookmarkStart w:id="28" w:name="_Toc461717114"/>
      <w:bookmarkStart w:id="29" w:name="_Toc463449205"/>
      <w:r w:rsidRPr="00E435CA">
        <w:tab/>
        <w:t>E.</w:t>
      </w:r>
      <w:r w:rsidRPr="00E435CA">
        <w:tab/>
        <w:t>Right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work</w:t>
      </w:r>
      <w:bookmarkEnd w:id="25"/>
    </w:p>
    <w:p w14:paraId="1219F7BD" w14:textId="4A0F78E0" w:rsidR="00467C67" w:rsidRPr="00E435CA" w:rsidRDefault="00467C67" w:rsidP="00467C67">
      <w:pPr>
        <w:pStyle w:val="SingleTxtG"/>
      </w:pPr>
      <w:r w:rsidRPr="00E435CA">
        <w:t>30.</w:t>
      </w:r>
      <w:r w:rsidRPr="00E435CA">
        <w:tab/>
        <w:t>COVID-19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considerable</w:t>
      </w:r>
      <w:r w:rsidR="00184181" w:rsidRPr="00E435CA">
        <w:t xml:space="preserve"> </w:t>
      </w:r>
      <w:r w:rsidRPr="00E435CA">
        <w:t>impact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employment.</w:t>
      </w:r>
      <w:r w:rsidR="00184181" w:rsidRPr="00E435CA">
        <w:t xml:space="preserve"> </w:t>
      </w:r>
      <w:r w:rsidRPr="00E435CA">
        <w:t>According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official</w:t>
      </w:r>
      <w:r w:rsidR="00184181" w:rsidRPr="00E435CA">
        <w:t xml:space="preserve"> </w:t>
      </w:r>
      <w:r w:rsidRPr="00E435CA">
        <w:t>estimates,</w:t>
      </w:r>
      <w:r w:rsidR="00184181" w:rsidRPr="00E435CA">
        <w:t xml:space="preserve"> </w:t>
      </w:r>
      <w:r w:rsidRPr="00E435CA">
        <w:t>107,000</w:t>
      </w:r>
      <w:r w:rsidR="00184181" w:rsidRPr="00E435CA">
        <w:t xml:space="preserve"> </w:t>
      </w:r>
      <w:r w:rsidRPr="00E435CA">
        <w:t>formal</w:t>
      </w:r>
      <w:r w:rsidR="00184181" w:rsidRPr="00E435CA">
        <w:t xml:space="preserve"> </w:t>
      </w:r>
      <w:r w:rsidRPr="00E435CA">
        <w:t>jobs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lost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August.</w:t>
      </w:r>
      <w:r w:rsidRPr="00E435CA">
        <w:rPr>
          <w:rStyle w:val="FootnoteReference"/>
        </w:rPr>
        <w:footnoteReference w:id="26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prevent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spread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affected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livelihoods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workers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informal</w:t>
      </w:r>
      <w:r w:rsidR="00184181" w:rsidRPr="00E435CA">
        <w:t xml:space="preserve"> </w:t>
      </w:r>
      <w:r w:rsidRPr="00E435CA">
        <w:t>sector,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represent</w:t>
      </w:r>
      <w:r w:rsidR="00184181" w:rsidRPr="00E435CA">
        <w:t xml:space="preserve"> </w:t>
      </w:r>
      <w:r w:rsidRPr="00E435CA">
        <w:t>70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workforce.</w:t>
      </w:r>
      <w:r w:rsidRPr="00E435CA">
        <w:rPr>
          <w:rStyle w:val="FootnoteReference"/>
        </w:rPr>
        <w:footnoteReference w:id="27"/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March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August,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received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average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3,500</w:t>
      </w:r>
      <w:r w:rsidR="00184181" w:rsidRPr="00E435CA">
        <w:t xml:space="preserve"> </w:t>
      </w:r>
      <w:r w:rsidRPr="00E435CA">
        <w:t>monthly</w:t>
      </w:r>
      <w:r w:rsidR="00184181" w:rsidRPr="00E435CA">
        <w:t xml:space="preserve"> </w:t>
      </w:r>
      <w:r w:rsidRPr="00E435CA">
        <w:t>complaints,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times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many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period</w:t>
      </w:r>
      <w:r w:rsidR="00184181" w:rsidRPr="00E435CA">
        <w:t xml:space="preserve"> </w:t>
      </w:r>
      <w:r w:rsidRPr="00E435CA">
        <w:t>prior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pandemic.</w:t>
      </w:r>
      <w:r w:rsidRPr="00E435CA">
        <w:rPr>
          <w:rStyle w:val="FootnoteReference"/>
        </w:rPr>
        <w:footnoteReference w:id="28"/>
      </w:r>
      <w:r w:rsidR="00184181" w:rsidRPr="00E435CA">
        <w:t xml:space="preserve"> </w:t>
      </w:r>
      <w:r w:rsidRPr="00E435CA">
        <w:t>Most</w:t>
      </w:r>
      <w:r w:rsidR="00184181" w:rsidRPr="00E435CA">
        <w:t xml:space="preserve"> </w:t>
      </w:r>
      <w:r w:rsidRPr="00E435CA">
        <w:t>complaints</w:t>
      </w:r>
      <w:r w:rsidR="00184181" w:rsidRPr="00E435CA">
        <w:t xml:space="preserve"> </w:t>
      </w:r>
      <w:r w:rsidRPr="00E435CA">
        <w:t>concerned</w:t>
      </w:r>
      <w:r w:rsidR="00184181" w:rsidRPr="00E435CA">
        <w:t xml:space="preserve"> </w:t>
      </w:r>
      <w:r w:rsidRPr="00E435CA">
        <w:t>unjustified</w:t>
      </w:r>
      <w:r w:rsidR="00184181" w:rsidRPr="00E435CA">
        <w:t xml:space="preserve"> </w:t>
      </w:r>
      <w:r w:rsidRPr="00E435CA">
        <w:t>dismissal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violations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occupational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safety</w:t>
      </w:r>
      <w:r w:rsidR="00184181" w:rsidRPr="00E435CA">
        <w:t xml:space="preserve"> </w:t>
      </w:r>
      <w:r w:rsidRPr="00E435CA">
        <w:t>standards.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developed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practical</w:t>
      </w:r>
      <w:r w:rsidR="00184181" w:rsidRPr="00E435CA">
        <w:t xml:space="preserve"> </w:t>
      </w:r>
      <w:r w:rsidRPr="00E435CA">
        <w:t>questionnaire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Inspectorate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verification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hygiene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safety</w:t>
      </w:r>
      <w:r w:rsidR="00184181" w:rsidRPr="00E435CA">
        <w:t xml:space="preserve"> </w:t>
      </w:r>
      <w:r w:rsidRPr="00E435CA">
        <w:t>standards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COVID-19,</w:t>
      </w:r>
      <w:r w:rsidR="00184181" w:rsidRPr="00E435CA">
        <w:t xml:space="preserve"> </w:t>
      </w:r>
      <w:r w:rsidRPr="00E435CA">
        <w:t>built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norms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regulations.</w:t>
      </w:r>
    </w:p>
    <w:p w14:paraId="6BCE0BB7" w14:textId="77777777" w:rsidR="005328B0" w:rsidRPr="00E435CA" w:rsidRDefault="00467C67" w:rsidP="00570F27">
      <w:pPr>
        <w:pStyle w:val="H1G"/>
      </w:pPr>
      <w:bookmarkStart w:id="30" w:name="_Toc466309349"/>
      <w:r w:rsidRPr="00E435CA">
        <w:tab/>
        <w:t>F.</w:t>
      </w:r>
      <w:r w:rsidRPr="00E435CA">
        <w:tab/>
        <w:t>Social</w:t>
      </w:r>
      <w:r w:rsidR="00184181" w:rsidRPr="00E435CA">
        <w:t xml:space="preserve"> </w:t>
      </w:r>
      <w:r w:rsidRPr="00E435CA">
        <w:t>protection</w:t>
      </w:r>
      <w:bookmarkEnd w:id="30"/>
      <w:bookmarkEnd w:id="26"/>
      <w:bookmarkEnd w:id="27"/>
      <w:bookmarkEnd w:id="28"/>
      <w:bookmarkEnd w:id="29"/>
    </w:p>
    <w:p w14:paraId="6DBBCD3D" w14:textId="77777777" w:rsidR="005328B0" w:rsidRPr="00E435CA" w:rsidRDefault="00467C67" w:rsidP="00467C67">
      <w:pPr>
        <w:pStyle w:val="SingleTxtG"/>
      </w:pPr>
      <w:bookmarkStart w:id="31" w:name="_Toc461716679"/>
      <w:bookmarkStart w:id="32" w:name="_Toc461716952"/>
      <w:bookmarkStart w:id="33" w:name="_Toc461717115"/>
      <w:r w:rsidRPr="00E435CA">
        <w:t>31.</w:t>
      </w:r>
      <w:r w:rsidRPr="00E435CA">
        <w:tab/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aggravated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situation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10.5</w:t>
      </w:r>
      <w:r w:rsidR="00184181" w:rsidRPr="00E435CA">
        <w:t xml:space="preserve"> </w:t>
      </w:r>
      <w:r w:rsidRPr="00E435CA">
        <w:t>million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already</w:t>
      </w:r>
      <w:r w:rsidR="00184181" w:rsidRPr="00E435CA">
        <w:t xml:space="preserve"> </w:t>
      </w:r>
      <w:r w:rsidRPr="00E435CA">
        <w:t>lived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poverty</w:t>
      </w:r>
      <w:r w:rsidR="00184181" w:rsidRPr="00E435CA">
        <w:t xml:space="preserve"> </w:t>
      </w:r>
      <w:r w:rsidRPr="00E435CA">
        <w:t>before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crisis.</w:t>
      </w:r>
      <w:r w:rsidRPr="00E435CA">
        <w:rPr>
          <w:rStyle w:val="FootnoteReference"/>
        </w:rPr>
        <w:footnoteReference w:id="29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increased</w:t>
      </w:r>
      <w:r w:rsidR="00184181" w:rsidRPr="00E435CA">
        <w:t xml:space="preserve"> </w:t>
      </w:r>
      <w:r w:rsidRPr="00E435CA">
        <w:t>funding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programmes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launched</w:t>
      </w:r>
      <w:r w:rsidR="00184181" w:rsidRPr="00E435CA">
        <w:t xml:space="preserve"> </w:t>
      </w:r>
      <w:r w:rsidRPr="00E435CA">
        <w:t>schemes</w:t>
      </w:r>
      <w:r w:rsidR="00184181" w:rsidRPr="00E435CA">
        <w:t xml:space="preserve"> </w:t>
      </w:r>
      <w:r w:rsidRPr="00E435CA">
        <w:t>targeting</w:t>
      </w:r>
      <w:r w:rsidR="00184181" w:rsidRPr="00E435CA">
        <w:t xml:space="preserve"> </w:t>
      </w:r>
      <w:r w:rsidRPr="00E435CA">
        <w:t>populations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vulnerable</w:t>
      </w:r>
      <w:r w:rsidR="00184181" w:rsidRPr="00E435CA">
        <w:t xml:space="preserve"> </w:t>
      </w:r>
      <w:r w:rsidRPr="00E435CA">
        <w:t>situations,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cash</w:t>
      </w:r>
      <w:r w:rsidR="00184181" w:rsidRPr="00E435CA">
        <w:t xml:space="preserve"> </w:t>
      </w:r>
      <w:r w:rsidRPr="00E435CA">
        <w:t>transfers,</w:t>
      </w:r>
      <w:r w:rsidR="00184181" w:rsidRPr="00E435CA">
        <w:t xml:space="preserve"> </w:t>
      </w:r>
      <w:r w:rsidRPr="00E435CA">
        <w:t>direct</w:t>
      </w:r>
      <w:r w:rsidR="00184181" w:rsidRPr="00E435CA">
        <w:t xml:space="preserve"> </w:t>
      </w:r>
      <w:r w:rsidRPr="00E435CA">
        <w:t>delivery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foodstuffs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medicines,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initiatives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guarantee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continuity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basic</w:t>
      </w:r>
      <w:r w:rsidR="00184181" w:rsidRPr="00E435CA">
        <w:t xml:space="preserve"> </w:t>
      </w:r>
      <w:r w:rsidRPr="00E435CA">
        <w:t>services</w:t>
      </w:r>
      <w:r w:rsidR="00184181" w:rsidRPr="00E435CA">
        <w:t xml:space="preserve"> </w:t>
      </w:r>
      <w:r w:rsidRPr="00E435CA">
        <w:t>like</w:t>
      </w:r>
      <w:r w:rsidR="00184181" w:rsidRPr="00E435CA">
        <w:t xml:space="preserve"> </w:t>
      </w:r>
      <w:r w:rsidRPr="00E435CA">
        <w:t>water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electricity.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limitations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observed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identifying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reaching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beneficiaries,</w:t>
      </w:r>
      <w:r w:rsidR="00184181" w:rsidRPr="00E435CA">
        <w:t xml:space="preserve"> </w:t>
      </w:r>
      <w:r w:rsidRPr="00E435CA">
        <w:t>partly</w:t>
      </w:r>
      <w:r w:rsidR="00184181" w:rsidRPr="00E435CA">
        <w:t xml:space="preserve"> </w:t>
      </w:r>
      <w:r w:rsidRPr="00E435CA">
        <w:t>owing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absence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consolidated</w:t>
      </w:r>
      <w:r w:rsidR="00184181" w:rsidRPr="00E435CA">
        <w:t xml:space="preserve"> </w:t>
      </w:r>
      <w:r w:rsidRPr="00E435CA">
        <w:t>registry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vulnerable</w:t>
      </w:r>
      <w:r w:rsidR="00184181" w:rsidRPr="00E435CA">
        <w:t xml:space="preserve"> </w:t>
      </w:r>
      <w:r w:rsidRPr="00E435CA">
        <w:t>situations.</w:t>
      </w:r>
    </w:p>
    <w:p w14:paraId="5B4E18E1" w14:textId="64F30996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32.</w:t>
      </w:r>
      <w:r w:rsidRPr="00E435CA">
        <w:tab/>
        <w:t>A</w:t>
      </w:r>
      <w:r w:rsidR="00184181" w:rsidRPr="00E435CA">
        <w:t xml:space="preserve"> </w:t>
      </w:r>
      <w:r w:rsidRPr="00E435CA">
        <w:t>major</w:t>
      </w:r>
      <w:r w:rsidR="00184181" w:rsidRPr="00E435CA">
        <w:t xml:space="preserve"> </w:t>
      </w:r>
      <w:r w:rsidRPr="00E435CA">
        <w:t>initiative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="00BE7FE5">
        <w:t>“</w:t>
      </w:r>
      <w:r w:rsidRPr="00E435CA">
        <w:t>Family</w:t>
      </w:r>
      <w:r w:rsidR="00184181" w:rsidRPr="00E435CA">
        <w:t xml:space="preserve"> </w:t>
      </w:r>
      <w:r w:rsidRPr="00E435CA">
        <w:t>Bonus</w:t>
      </w:r>
      <w:r w:rsidR="00BE7FE5">
        <w:t>”</w:t>
      </w:r>
      <w:r w:rsidR="00184181" w:rsidRPr="00E435CA">
        <w:t xml:space="preserve"> </w:t>
      </w:r>
      <w:r w:rsidRPr="00E435CA">
        <w:t>–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cash</w:t>
      </w:r>
      <w:r w:rsidR="00184181" w:rsidRPr="00E435CA">
        <w:t xml:space="preserve"> </w:t>
      </w:r>
      <w:r w:rsidRPr="00E435CA">
        <w:t>transfer</w:t>
      </w:r>
      <w:r w:rsidR="00184181" w:rsidRPr="00E435CA">
        <w:t xml:space="preserve"> </w:t>
      </w:r>
      <w:r w:rsidRPr="00E435CA">
        <w:t>programme</w:t>
      </w:r>
      <w:r w:rsidR="00184181" w:rsidRPr="00E435CA">
        <w:t xml:space="preserve"> </w:t>
      </w:r>
      <w:r w:rsidRPr="00E435CA">
        <w:t>consisting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instalments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1,000</w:t>
      </w:r>
      <w:r w:rsidR="00184181" w:rsidRPr="00E435CA">
        <w:t xml:space="preserve"> </w:t>
      </w:r>
      <w:r w:rsidRPr="00E435CA">
        <w:t>Guatemalan</w:t>
      </w:r>
      <w:r w:rsidR="00184181" w:rsidRPr="00E435CA">
        <w:t xml:space="preserve"> </w:t>
      </w:r>
      <w:r w:rsidRPr="00E435CA">
        <w:t>quetzales</w:t>
      </w:r>
      <w:r w:rsidR="00184181" w:rsidRPr="00E435CA">
        <w:t xml:space="preserve"> </w:t>
      </w:r>
      <w:r w:rsidRPr="00E435CA">
        <w:t>($130)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third</w:t>
      </w:r>
      <w:r w:rsidR="00184181" w:rsidRPr="00E435CA">
        <w:t xml:space="preserve"> </w:t>
      </w:r>
      <w:r w:rsidRPr="00E435CA">
        <w:t>instalment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250</w:t>
      </w:r>
      <w:r w:rsidR="00184181" w:rsidRPr="00E435CA">
        <w:t xml:space="preserve"> </w:t>
      </w:r>
      <w:r w:rsidRPr="00E435CA">
        <w:t>quetzales</w:t>
      </w:r>
      <w:r w:rsidR="00184181" w:rsidRPr="00E435CA">
        <w:t xml:space="preserve"> </w:t>
      </w:r>
      <w:r w:rsidRPr="00E435CA">
        <w:t>($32)</w:t>
      </w:r>
      <w:r w:rsidR="00184181" w:rsidRPr="00E435CA">
        <w:t xml:space="preserve"> </w:t>
      </w:r>
      <w:r w:rsidRPr="00E435CA">
        <w:t>–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reached</w:t>
      </w:r>
      <w:r w:rsidR="00184181" w:rsidRPr="00E435CA">
        <w:t xml:space="preserve"> </w:t>
      </w:r>
      <w:r w:rsidRPr="00E435CA">
        <w:t>approximately</w:t>
      </w:r>
      <w:r w:rsidR="00184181" w:rsidRPr="00E435CA">
        <w:t xml:space="preserve"> </w:t>
      </w:r>
      <w:r w:rsidRPr="00E435CA">
        <w:t>2.6</w:t>
      </w:r>
      <w:r w:rsidR="00184181" w:rsidRPr="00E435CA">
        <w:t xml:space="preserve"> </w:t>
      </w:r>
      <w:r w:rsidRPr="00E435CA">
        <w:t>million</w:t>
      </w:r>
      <w:r w:rsidR="00184181" w:rsidRPr="00E435CA">
        <w:t xml:space="preserve"> </w:t>
      </w:r>
      <w:r w:rsidRPr="00E435CA">
        <w:t>households.</w:t>
      </w:r>
      <w:r w:rsidRPr="00E435CA">
        <w:rPr>
          <w:rStyle w:val="FootnoteReference"/>
        </w:rPr>
        <w:footnoteReference w:id="30"/>
      </w:r>
      <w:r w:rsidR="00184181" w:rsidRPr="00E435CA">
        <w:t xml:space="preserve"> </w:t>
      </w:r>
      <w:r w:rsidRPr="00E435CA">
        <w:t>Eligibility</w:t>
      </w:r>
      <w:r w:rsidR="00184181" w:rsidRPr="00E435CA">
        <w:t xml:space="preserve"> </w:t>
      </w:r>
      <w:r w:rsidRPr="00E435CA">
        <w:t>requirements</w:t>
      </w:r>
      <w:r w:rsidR="00184181" w:rsidRPr="00E435CA">
        <w:t xml:space="preserve"> </w:t>
      </w:r>
      <w:r w:rsidRPr="00E435CA">
        <w:t>initially</w:t>
      </w:r>
      <w:r w:rsidR="00184181" w:rsidRPr="00E435CA">
        <w:t xml:space="preserve"> </w:t>
      </w:r>
      <w:r w:rsidRPr="00E435CA">
        <w:t>excluded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poorest</w:t>
      </w:r>
      <w:r w:rsidR="00184181" w:rsidRPr="00E435CA">
        <w:t xml:space="preserve"> </w:t>
      </w:r>
      <w:r w:rsidRPr="00E435CA">
        <w:t>sectors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population,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adjustments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made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expand</w:t>
      </w:r>
      <w:r w:rsidR="00184181" w:rsidRPr="00E435CA">
        <w:t xml:space="preserve"> </w:t>
      </w:r>
      <w:r w:rsidRPr="00E435CA">
        <w:t>coverage.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8</w:t>
      </w:r>
      <w:r w:rsidR="00184181" w:rsidRPr="00E435CA">
        <w:t xml:space="preserve"> </w:t>
      </w:r>
      <w:r w:rsidRPr="00E435CA">
        <w:t>April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1</w:t>
      </w:r>
      <w:r w:rsidR="00184181" w:rsidRPr="00E435CA">
        <w:t xml:space="preserve"> </w:t>
      </w:r>
      <w:r w:rsidRPr="00E435CA">
        <w:t>October,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Job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Fund</w:t>
      </w:r>
      <w:r w:rsidR="00184181" w:rsidRPr="00E435CA">
        <w:t xml:space="preserve"> </w:t>
      </w:r>
      <w:r w:rsidRPr="00E435CA">
        <w:t>supported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180,000</w:t>
      </w:r>
      <w:r w:rsidR="00184181" w:rsidRPr="00E435CA">
        <w:t xml:space="preserve"> </w:t>
      </w:r>
      <w:r w:rsidRPr="00E435CA">
        <w:t>workers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private</w:t>
      </w:r>
      <w:r w:rsidR="00184181" w:rsidRPr="00E435CA">
        <w:t xml:space="preserve"> </w:t>
      </w:r>
      <w:r w:rsidRPr="00E435CA">
        <w:t>sector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suspended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result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pandemic.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limited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workers</w:t>
      </w:r>
      <w:r w:rsidR="00184181" w:rsidRPr="00E435CA">
        <w:t xml:space="preserve"> </w:t>
      </w:r>
      <w:r w:rsidRPr="00E435CA">
        <w:t>enrolled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security</w:t>
      </w:r>
      <w:r w:rsidR="00184181" w:rsidRPr="00E435CA">
        <w:t xml:space="preserve"> </w:t>
      </w:r>
      <w:r w:rsidRPr="00E435CA">
        <w:t>scheme,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employers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up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date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payments.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18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economically</w:t>
      </w:r>
      <w:r w:rsidR="00184181" w:rsidRPr="00E435CA">
        <w:t xml:space="preserve"> </w:t>
      </w:r>
      <w:r w:rsidRPr="00E435CA">
        <w:t>active</w:t>
      </w:r>
      <w:r w:rsidR="00184181" w:rsidRPr="00E435CA">
        <w:t xml:space="preserve"> </w:t>
      </w:r>
      <w:r w:rsidRPr="00E435CA">
        <w:t>population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registered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security</w:t>
      </w:r>
      <w:r w:rsidR="00184181" w:rsidRPr="00E435CA">
        <w:t xml:space="preserve"> </w:t>
      </w:r>
      <w:r w:rsidRPr="00E435CA">
        <w:t>system,</w:t>
      </w:r>
      <w:r w:rsidRPr="00E435CA">
        <w:rPr>
          <w:rStyle w:val="FootnoteReference"/>
        </w:rPr>
        <w:footnoteReference w:id="31"/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fraction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met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criteria.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Popular</w:t>
      </w:r>
      <w:r w:rsidR="00184181" w:rsidRPr="00E435CA">
        <w:t xml:space="preserve"> </w:t>
      </w:r>
      <w:r w:rsidRPr="00E435CA">
        <w:t>Economy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programme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one-time</w:t>
      </w:r>
      <w:r w:rsidR="00184181" w:rsidRPr="00E435CA">
        <w:t xml:space="preserve"> </w:t>
      </w:r>
      <w:r w:rsidRPr="00E435CA">
        <w:t>subsidy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amount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1,000</w:t>
      </w:r>
      <w:r w:rsidR="00184181" w:rsidRPr="00E435CA">
        <w:t xml:space="preserve"> </w:t>
      </w:r>
      <w:r w:rsidRPr="00E435CA">
        <w:t>quetzales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informal</w:t>
      </w:r>
      <w:r w:rsidR="00184181" w:rsidRPr="00E435CA">
        <w:t xml:space="preserve"> </w:t>
      </w:r>
      <w:r w:rsidRPr="00E435CA">
        <w:t>sellers</w:t>
      </w:r>
      <w:r w:rsidR="00184181" w:rsidRPr="00E435CA">
        <w:t xml:space="preserve"> </w:t>
      </w:r>
      <w:r w:rsidRPr="00E435CA">
        <w:t>registered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municipalities,</w:t>
      </w:r>
      <w:r w:rsidR="00184181" w:rsidRPr="00E435CA">
        <w:t xml:space="preserve"> </w:t>
      </w:r>
      <w:r w:rsidRPr="00E435CA">
        <w:t>but</w:t>
      </w:r>
      <w:r w:rsidR="00184181" w:rsidRPr="00E435CA">
        <w:t xml:space="preserve"> </w:t>
      </w:r>
      <w:r w:rsidRPr="00E435CA">
        <w:t>vendors</w:t>
      </w:r>
      <w:r w:rsidR="00184181" w:rsidRPr="00E435CA">
        <w:t xml:space="preserve"> </w:t>
      </w:r>
      <w:r w:rsidRPr="00E435CA">
        <w:t>without</w:t>
      </w:r>
      <w:r w:rsidR="00184181" w:rsidRPr="00E435CA">
        <w:t xml:space="preserve"> </w:t>
      </w:r>
      <w:r w:rsidRPr="00E435CA">
        <w:t>resources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pay</w:t>
      </w:r>
      <w:r w:rsidR="00184181" w:rsidRPr="00E435CA">
        <w:t xml:space="preserve"> </w:t>
      </w:r>
      <w:r w:rsidRPr="00E435CA">
        <w:t>municipal</w:t>
      </w:r>
      <w:r w:rsidR="00184181" w:rsidRPr="00E435CA">
        <w:t xml:space="preserve"> </w:t>
      </w:r>
      <w:r w:rsidRPr="00E435CA">
        <w:t>taxes</w:t>
      </w:r>
      <w:r w:rsidR="00184181" w:rsidRPr="00E435CA">
        <w:t xml:space="preserve"> </w:t>
      </w:r>
      <w:r w:rsidRPr="00E435CA">
        <w:t>did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access.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</w:t>
      </w:r>
      <w:r w:rsidR="00184181" w:rsidRPr="00E435CA">
        <w:t xml:space="preserve"> </w:t>
      </w:r>
      <w:r w:rsidRPr="00E435CA">
        <w:t>identified</w:t>
      </w:r>
      <w:r w:rsidR="00184181" w:rsidRPr="00E435CA">
        <w:t xml:space="preserve"> </w:t>
      </w:r>
      <w:r w:rsidRPr="00E435CA">
        <w:t>inconsistencies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reported</w:t>
      </w:r>
      <w:r w:rsidR="00184181" w:rsidRPr="00E435CA">
        <w:t xml:space="preserve"> </w:t>
      </w:r>
      <w:r w:rsidRPr="00E435CA">
        <w:t>numbers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beneficiaries.</w:t>
      </w:r>
      <w:r w:rsidRPr="00E435CA">
        <w:rPr>
          <w:rStyle w:val="FootnoteReference"/>
        </w:rPr>
        <w:footnoteReference w:id="32"/>
      </w:r>
      <w:bookmarkEnd w:id="31"/>
      <w:bookmarkEnd w:id="32"/>
      <w:bookmarkEnd w:id="33"/>
    </w:p>
    <w:p w14:paraId="676A9C82" w14:textId="161C6B53" w:rsidR="00467C67" w:rsidRPr="00E435CA" w:rsidRDefault="00467C67" w:rsidP="00570F27">
      <w:pPr>
        <w:pStyle w:val="H1G"/>
      </w:pPr>
      <w:bookmarkStart w:id="34" w:name="_Toc466309350"/>
      <w:r w:rsidRPr="00E435CA">
        <w:lastRenderedPageBreak/>
        <w:tab/>
        <w:t>G.</w:t>
      </w:r>
      <w:r w:rsidRPr="00E435CA">
        <w:tab/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justice</w:t>
      </w:r>
      <w:bookmarkEnd w:id="34"/>
    </w:p>
    <w:p w14:paraId="10BBA72F" w14:textId="77777777" w:rsidR="005328B0" w:rsidRPr="00E435CA" w:rsidRDefault="00467C67" w:rsidP="00467C67">
      <w:pPr>
        <w:pStyle w:val="SingleTxtG"/>
      </w:pPr>
      <w:r w:rsidRPr="00E435CA">
        <w:t>33.</w:t>
      </w:r>
      <w:r w:rsidRPr="00E435CA">
        <w:tab/>
        <w:t>OHCHR</w:t>
      </w:r>
      <w:r w:rsidR="00184181" w:rsidRPr="00E435CA">
        <w:t xml:space="preserve"> </w:t>
      </w:r>
      <w:r w:rsidRPr="00E435CA">
        <w:t>monitored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impact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justice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fair</w:t>
      </w:r>
      <w:r w:rsidR="00184181" w:rsidRPr="00E435CA">
        <w:t xml:space="preserve"> </w:t>
      </w:r>
      <w:r w:rsidRPr="00E435CA">
        <w:t>trial.</w:t>
      </w:r>
      <w:r w:rsidR="00184181" w:rsidRPr="00E435CA">
        <w:t xml:space="preserve"> </w:t>
      </w:r>
      <w:r w:rsidRPr="00E435CA">
        <w:t>Despite</w:t>
      </w:r>
      <w:r w:rsidR="00184181" w:rsidRPr="00E435CA">
        <w:t xml:space="preserve"> </w:t>
      </w:r>
      <w:r w:rsidRPr="00E435CA">
        <w:t>efforts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judiciary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conduct</w:t>
      </w:r>
      <w:r w:rsidR="00184181" w:rsidRPr="00E435CA">
        <w:t xml:space="preserve"> </w:t>
      </w:r>
      <w:r w:rsidRPr="00E435CA">
        <w:t>online</w:t>
      </w:r>
      <w:r w:rsidR="00184181" w:rsidRPr="00E435CA">
        <w:t xml:space="preserve"> </w:t>
      </w:r>
      <w:r w:rsidRPr="00E435CA">
        <w:t>hearings,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64,000</w:t>
      </w:r>
      <w:r w:rsidR="00184181" w:rsidRPr="00E435CA">
        <w:t xml:space="preserve"> </w:t>
      </w:r>
      <w:r w:rsidRPr="00E435CA">
        <w:t>hearings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suspended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March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September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criminal</w:t>
      </w:r>
      <w:r w:rsidR="00184181" w:rsidRPr="00E435CA">
        <w:t xml:space="preserve"> </w:t>
      </w:r>
      <w:r w:rsidRPr="00E435CA">
        <w:t>branch</w:t>
      </w:r>
      <w:r w:rsidR="00184181" w:rsidRPr="00E435CA">
        <w:t xml:space="preserve"> </w:t>
      </w:r>
      <w:r w:rsidRPr="00E435CA">
        <w:t>alone,</w:t>
      </w:r>
      <w:r w:rsidRPr="00E435CA">
        <w:rPr>
          <w:rStyle w:val="FootnoteReference"/>
        </w:rPr>
        <w:footnoteReference w:id="33"/>
      </w:r>
      <w:r w:rsidR="00184181" w:rsidRPr="00E435CA">
        <w:t xml:space="preserve"> </w:t>
      </w:r>
      <w:r w:rsidRPr="00E435CA">
        <w:t>aggravating</w:t>
      </w:r>
      <w:r w:rsidR="00184181" w:rsidRPr="00E435CA">
        <w:t xml:space="preserve"> </w:t>
      </w:r>
      <w:r w:rsidRPr="00E435CA">
        <w:t>pre-existing</w:t>
      </w:r>
      <w:r w:rsidR="00184181" w:rsidRPr="00E435CA">
        <w:t xml:space="preserve"> </w:t>
      </w:r>
      <w:r w:rsidRPr="00E435CA">
        <w:t>delays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justice.</w:t>
      </w:r>
      <w:r w:rsidR="00184181" w:rsidRPr="00E435CA">
        <w:t xml:space="preserve"> </w:t>
      </w:r>
      <w:r w:rsidRPr="00E435CA">
        <w:t>Moreover,</w:t>
      </w:r>
      <w:r w:rsidR="00184181" w:rsidRPr="00E435CA">
        <w:t xml:space="preserve"> </w:t>
      </w:r>
      <w:r w:rsidRPr="00E435CA">
        <w:t>online</w:t>
      </w:r>
      <w:r w:rsidR="00184181" w:rsidRPr="00E435CA">
        <w:t xml:space="preserve"> </w:t>
      </w:r>
      <w:r w:rsidRPr="00E435CA">
        <w:t>hearings</w:t>
      </w:r>
      <w:r w:rsidR="00184181" w:rsidRPr="00E435CA">
        <w:t xml:space="preserve"> </w:t>
      </w:r>
      <w:r w:rsidRPr="00E435CA">
        <w:t>may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accessible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large</w:t>
      </w:r>
      <w:r w:rsidR="00184181" w:rsidRPr="00E435CA">
        <w:t xml:space="preserve"> </w:t>
      </w:r>
      <w:r w:rsidRPr="00E435CA">
        <w:t>segments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population,</w:t>
      </w:r>
      <w:r w:rsidR="00184181" w:rsidRPr="00E435CA">
        <w:t xml:space="preserve"> </w:t>
      </w:r>
      <w:r w:rsidRPr="00E435CA">
        <w:t>especially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rural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communities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limited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electricity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Internet.</w:t>
      </w:r>
    </w:p>
    <w:p w14:paraId="2CA2B62D" w14:textId="77777777" w:rsidR="005328B0" w:rsidRPr="00E435CA" w:rsidRDefault="00467C67" w:rsidP="002349CF">
      <w:pPr>
        <w:pStyle w:val="HChG"/>
      </w:pPr>
      <w:bookmarkStart w:id="35" w:name="_Toc463449206"/>
      <w:bookmarkStart w:id="36" w:name="_Toc466309351"/>
      <w:r w:rsidRPr="00E435CA">
        <w:tab/>
        <w:t>IV.</w:t>
      </w:r>
      <w:r w:rsidRPr="00E435CA">
        <w:tab/>
        <w:t>Equality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non-discrimination</w:t>
      </w:r>
      <w:bookmarkEnd w:id="35"/>
      <w:bookmarkEnd w:id="36"/>
    </w:p>
    <w:p w14:paraId="713F0AEE" w14:textId="5F4D1EC8" w:rsidR="00467C67" w:rsidRPr="00E435CA" w:rsidRDefault="00467C67" w:rsidP="002349CF">
      <w:pPr>
        <w:pStyle w:val="H1G"/>
      </w:pPr>
      <w:bookmarkStart w:id="37" w:name="_Toc461716681"/>
      <w:bookmarkStart w:id="38" w:name="_Toc461716954"/>
      <w:bookmarkStart w:id="39" w:name="_Toc461717117"/>
      <w:bookmarkStart w:id="40" w:name="_Toc463449207"/>
      <w:bookmarkStart w:id="41" w:name="_Toc466309352"/>
      <w:r w:rsidRPr="00E435CA">
        <w:tab/>
        <w:t>A.</w:t>
      </w:r>
      <w:r w:rsidRPr="00E435CA">
        <w:tab/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Afrodescendants</w:t>
      </w:r>
      <w:bookmarkEnd w:id="37"/>
      <w:bookmarkEnd w:id="38"/>
      <w:bookmarkEnd w:id="39"/>
      <w:bookmarkEnd w:id="40"/>
      <w:bookmarkEnd w:id="41"/>
    </w:p>
    <w:p w14:paraId="6F414C8A" w14:textId="77777777" w:rsidR="005328B0" w:rsidRPr="00E435CA" w:rsidRDefault="00467C67" w:rsidP="00467C67">
      <w:pPr>
        <w:pStyle w:val="SingleTxtG"/>
      </w:pPr>
      <w:r w:rsidRPr="00E435CA">
        <w:t>34.</w:t>
      </w:r>
      <w:r w:rsidRPr="00E435CA">
        <w:tab/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face</w:t>
      </w:r>
      <w:r w:rsidR="00184181" w:rsidRPr="00E435CA">
        <w:t xml:space="preserve"> </w:t>
      </w:r>
      <w:r w:rsidRPr="00E435CA">
        <w:t>racism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discrimination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basis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race,</w:t>
      </w:r>
      <w:r w:rsidR="00184181" w:rsidRPr="00E435CA">
        <w:t xml:space="preserve"> </w:t>
      </w:r>
      <w:r w:rsidRPr="00E435CA">
        <w:t>culture,</w:t>
      </w:r>
      <w:r w:rsidR="00184181" w:rsidRPr="00E435CA">
        <w:t xml:space="preserve"> </w:t>
      </w:r>
      <w:r w:rsidRPr="00E435CA">
        <w:t>spirituality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ancestral</w:t>
      </w:r>
      <w:r w:rsidR="00184181" w:rsidRPr="00E435CA">
        <w:t xml:space="preserve"> </w:t>
      </w:r>
      <w:r w:rsidRPr="00E435CA">
        <w:t>practices.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African</w:t>
      </w:r>
      <w:r w:rsidR="00184181" w:rsidRPr="00E435CA">
        <w:t xml:space="preserve"> </w:t>
      </w:r>
      <w:r w:rsidRPr="00E435CA">
        <w:t>descent</w:t>
      </w:r>
      <w:r w:rsidR="00184181" w:rsidRPr="00E435CA">
        <w:t xml:space="preserve"> </w:t>
      </w:r>
      <w:r w:rsidRPr="00E435CA">
        <w:t>endured</w:t>
      </w:r>
      <w:r w:rsidR="00184181" w:rsidRPr="00E435CA">
        <w:t xml:space="preserve"> </w:t>
      </w:r>
      <w:r w:rsidRPr="00E435CA">
        <w:t>multidimensional</w:t>
      </w:r>
      <w:r w:rsidR="00184181" w:rsidRPr="00E435CA">
        <w:t xml:space="preserve"> </w:t>
      </w:r>
      <w:r w:rsidRPr="00E435CA">
        <w:t>forms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discrimination,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racially</w:t>
      </w:r>
      <w:r w:rsidR="00184181" w:rsidRPr="00E435CA">
        <w:t xml:space="preserve"> </w:t>
      </w:r>
      <w:r w:rsidRPr="00E435CA">
        <w:t>motivated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gender-based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78).</w:t>
      </w:r>
    </w:p>
    <w:p w14:paraId="20BB8E5A" w14:textId="1F33DD79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35.</w:t>
      </w:r>
      <w:r w:rsidRPr="00E435CA">
        <w:tab/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mechanisms</w:t>
      </w:r>
      <w:r w:rsidR="00184181" w:rsidRPr="00E435CA">
        <w:t xml:space="preserve"> </w:t>
      </w:r>
      <w:r w:rsidRPr="00E435CA">
        <w:t>expressed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concern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killing,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6</w:t>
      </w:r>
      <w:r w:rsidR="00184181" w:rsidRPr="00E435CA">
        <w:t xml:space="preserve"> </w:t>
      </w:r>
      <w:r w:rsidRPr="00E435CA">
        <w:t>June,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Domingo</w:t>
      </w:r>
      <w:r w:rsidR="00184181" w:rsidRPr="00E435CA">
        <w:t xml:space="preserve"> </w:t>
      </w:r>
      <w:r w:rsidRPr="00E435CA">
        <w:t>Choc</w:t>
      </w:r>
      <w:r w:rsidR="00184181" w:rsidRPr="00E435CA">
        <w:t xml:space="preserve"> </w:t>
      </w:r>
      <w:r w:rsidRPr="00E435CA">
        <w:t>Che,</w:t>
      </w:r>
      <w:r w:rsidRPr="00E435CA">
        <w:rPr>
          <w:rStyle w:val="FootnoteReference"/>
        </w:rPr>
        <w:footnoteReference w:id="34"/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recognized</w:t>
      </w:r>
      <w:r w:rsidR="00184181" w:rsidRPr="00E435CA">
        <w:t xml:space="preserve"> </w:t>
      </w:r>
      <w:r w:rsidRPr="00E435CA">
        <w:t>Q</w:t>
      </w:r>
      <w:r w:rsidR="00BE7FE5">
        <w:t>’</w:t>
      </w:r>
      <w:r w:rsidRPr="00E435CA">
        <w:t>eqchi</w:t>
      </w:r>
      <w:r w:rsidR="00BE7FE5">
        <w:t>’</w:t>
      </w:r>
      <w:r w:rsidR="00184181" w:rsidRPr="00E435CA">
        <w:t xml:space="preserve"> </w:t>
      </w:r>
      <w:r w:rsidRPr="00E435CA">
        <w:t>spiritual</w:t>
      </w:r>
      <w:r w:rsidR="00184181" w:rsidRPr="00E435CA">
        <w:t xml:space="preserve"> </w:t>
      </w:r>
      <w:r w:rsidRPr="00E435CA">
        <w:t>guide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researcher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traditional</w:t>
      </w:r>
      <w:r w:rsidR="00184181" w:rsidRPr="00E435CA">
        <w:t xml:space="preserve"> </w:t>
      </w:r>
      <w:r w:rsidRPr="00E435CA">
        <w:t>Mayan</w:t>
      </w:r>
      <w:r w:rsidR="00184181" w:rsidRPr="00E435CA">
        <w:t xml:space="preserve"> </w:t>
      </w:r>
      <w:r w:rsidRPr="00E435CA">
        <w:t>medicine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burned</w:t>
      </w:r>
      <w:r w:rsidR="00184181" w:rsidRPr="00E435CA">
        <w:t xml:space="preserve"> </w:t>
      </w:r>
      <w:r w:rsidRPr="00E435CA">
        <w:t>alive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group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accused</w:t>
      </w:r>
      <w:r w:rsidR="00184181" w:rsidRPr="00E435CA">
        <w:t xml:space="preserve"> </w:t>
      </w:r>
      <w:r w:rsidRPr="00E435CA">
        <w:t>him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="00BE7FE5">
        <w:t>“</w:t>
      </w:r>
      <w:r w:rsidRPr="00E435CA">
        <w:t>being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sorcerer</w:t>
      </w:r>
      <w:r w:rsidR="00BE7FE5">
        <w:t>”</w:t>
      </w:r>
      <w:r w:rsidRPr="00E435CA">
        <w:t>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urged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reject</w:t>
      </w:r>
      <w:r w:rsidR="00184181" w:rsidRPr="00E435CA">
        <w:t xml:space="preserve"> </w:t>
      </w:r>
      <w:r w:rsidRPr="00E435CA">
        <w:t>any</w:t>
      </w:r>
      <w:r w:rsidR="00184181" w:rsidRPr="00E435CA">
        <w:t xml:space="preserve"> </w:t>
      </w:r>
      <w:r w:rsidRPr="00E435CA">
        <w:t>kind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behaviour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spirituality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peoples.</w:t>
      </w:r>
      <w:r w:rsidRPr="00E435CA">
        <w:rPr>
          <w:rStyle w:val="FootnoteReference"/>
        </w:rPr>
        <w:footnoteReference w:id="35"/>
      </w:r>
    </w:p>
    <w:p w14:paraId="35436857" w14:textId="06CE02E8" w:rsidR="005328B0" w:rsidRPr="00E435CA" w:rsidRDefault="00467C67" w:rsidP="00467C67">
      <w:pPr>
        <w:pStyle w:val="SingleTxtG"/>
      </w:pPr>
      <w:r w:rsidRPr="00E435CA">
        <w:t>36.</w:t>
      </w:r>
      <w:r w:rsidRPr="00E435CA">
        <w:tab/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played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important</w:t>
      </w:r>
      <w:r w:rsidR="00184181" w:rsidRPr="00E435CA">
        <w:t xml:space="preserve"> </w:t>
      </w:r>
      <w:r w:rsidRPr="00E435CA">
        <w:t>role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BE7FE5">
        <w:t>’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self-determination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pursue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economic,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cultural</w:t>
      </w:r>
      <w:r w:rsidR="00184181" w:rsidRPr="00E435CA">
        <w:t xml:space="preserve"> </w:t>
      </w:r>
      <w:r w:rsidRPr="00E435CA">
        <w:t>development.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consolidated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jurisprudence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Fénix</w:t>
      </w:r>
      <w:r w:rsidR="00184181" w:rsidRPr="00E435CA">
        <w:t xml:space="preserve"> </w:t>
      </w:r>
      <w:r w:rsidRPr="00E435CA">
        <w:t>nickel</w:t>
      </w:r>
      <w:r w:rsidR="00184181" w:rsidRPr="00E435CA">
        <w:t xml:space="preserve"> </w:t>
      </w:r>
      <w:r w:rsidRPr="00E435CA">
        <w:t>mine,</w:t>
      </w:r>
      <w:r w:rsidR="00184181" w:rsidRPr="00E435CA">
        <w:t xml:space="preserve"> </w:t>
      </w:r>
      <w:r w:rsidRPr="00E435CA">
        <w:t>owned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Compañía</w:t>
      </w:r>
      <w:r w:rsidR="00184181" w:rsidRPr="00E435CA">
        <w:t xml:space="preserve"> </w:t>
      </w:r>
      <w:r w:rsidRPr="00E435CA">
        <w:t>Guatemalteca</w:t>
      </w:r>
      <w:r w:rsidR="00184181" w:rsidRPr="00E435CA">
        <w:t xml:space="preserve"> </w:t>
      </w:r>
      <w:r w:rsidRPr="00E435CA">
        <w:t>de</w:t>
      </w:r>
      <w:r w:rsidR="00184181" w:rsidRPr="00E435CA">
        <w:t xml:space="preserve"> </w:t>
      </w:r>
      <w:r w:rsidRPr="00E435CA">
        <w:t>Niquel,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Progreso</w:t>
      </w:r>
      <w:r w:rsidR="00184181" w:rsidRPr="00E435CA">
        <w:t xml:space="preserve"> </w:t>
      </w:r>
      <w:r w:rsidRPr="00E435CA">
        <w:t>VII</w:t>
      </w:r>
      <w:r w:rsidR="00184181" w:rsidRPr="00E435CA">
        <w:t xml:space="preserve"> </w:t>
      </w:r>
      <w:r w:rsidR="00BE7FE5">
        <w:t>“</w:t>
      </w:r>
      <w:r w:rsidRPr="00E435CA">
        <w:t>La</w:t>
      </w:r>
      <w:r w:rsidR="00184181" w:rsidRPr="00E435CA">
        <w:t xml:space="preserve"> </w:t>
      </w:r>
      <w:r w:rsidRPr="00E435CA">
        <w:t>Puya</w:t>
      </w:r>
      <w:r w:rsidR="00BE7FE5">
        <w:t>”</w:t>
      </w:r>
      <w:r w:rsidR="00184181" w:rsidRPr="00E435CA">
        <w:t xml:space="preserve"> </w:t>
      </w:r>
      <w:r w:rsidRPr="00E435CA">
        <w:t>gold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silver</w:t>
      </w:r>
      <w:r w:rsidR="00184181" w:rsidRPr="00E435CA">
        <w:t xml:space="preserve"> </w:t>
      </w:r>
      <w:r w:rsidRPr="00E435CA">
        <w:t>mine,</w:t>
      </w:r>
      <w:r w:rsidR="00184181" w:rsidRPr="00E435CA">
        <w:t xml:space="preserve"> </w:t>
      </w:r>
      <w:r w:rsidRPr="00E435CA">
        <w:t>recognizing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Q</w:t>
      </w:r>
      <w:r w:rsidR="00BE7FE5">
        <w:t>’</w:t>
      </w:r>
      <w:r w:rsidRPr="00E435CA">
        <w:t>eqchi</w:t>
      </w:r>
      <w:r w:rsidR="00BE7FE5">
        <w:t>’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Kaqchikel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consulted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large-scale</w:t>
      </w:r>
      <w:r w:rsidR="00184181" w:rsidRPr="00E435CA">
        <w:t xml:space="preserve"> </w:t>
      </w:r>
      <w:r w:rsidRPr="00E435CA">
        <w:t>projects,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ordering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suspension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these</w:t>
      </w:r>
      <w:r w:rsidR="00184181" w:rsidRPr="00E435CA">
        <w:t xml:space="preserve"> </w:t>
      </w:r>
      <w:r w:rsidRPr="00E435CA">
        <w:t>projects</w:t>
      </w:r>
      <w:r w:rsidR="00184181" w:rsidRPr="00E435CA">
        <w:t xml:space="preserve"> </w:t>
      </w:r>
      <w:r w:rsidRPr="00E435CA">
        <w:t>until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affected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adequately</w:t>
      </w:r>
      <w:r w:rsidR="00184181" w:rsidRPr="00E435CA">
        <w:t xml:space="preserve"> </w:t>
      </w:r>
      <w:r w:rsidRPr="00E435CA">
        <w:t>consulted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environmental</w:t>
      </w:r>
      <w:r w:rsidR="00184181" w:rsidRPr="00E435CA">
        <w:t xml:space="preserve"> </w:t>
      </w:r>
      <w:r w:rsidRPr="00E435CA">
        <w:t>impact</w:t>
      </w:r>
      <w:r w:rsidR="00184181" w:rsidRPr="00E435CA">
        <w:t xml:space="preserve"> </w:t>
      </w:r>
      <w:r w:rsidRPr="00E435CA">
        <w:t>studies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conducted.</w:t>
      </w:r>
    </w:p>
    <w:p w14:paraId="74C755CE" w14:textId="77777777" w:rsidR="005328B0" w:rsidRPr="00E435CA" w:rsidRDefault="00467C67" w:rsidP="00467C67">
      <w:pPr>
        <w:pStyle w:val="SingleTxtG"/>
      </w:pPr>
      <w:r w:rsidRPr="00E435CA">
        <w:t>37.</w:t>
      </w:r>
      <w:r w:rsidRPr="00E435CA">
        <w:tab/>
        <w:t>With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OHCHR,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progress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achieved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implementation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judgments</w:t>
      </w:r>
      <w:r w:rsidR="00184181" w:rsidRPr="00E435CA">
        <w:t xml:space="preserve"> </w:t>
      </w:r>
      <w:r w:rsidRPr="00E435CA">
        <w:t>issued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previous</w:t>
      </w:r>
      <w:r w:rsidR="00184181" w:rsidRPr="00E435CA">
        <w:t xml:space="preserve"> </w:t>
      </w:r>
      <w:r w:rsidRPr="00E435CA">
        <w:t>years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connection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peoples.</w:t>
      </w:r>
      <w:r w:rsidR="00184181" w:rsidRPr="00E435CA">
        <w:t xml:space="preserve"> </w:t>
      </w:r>
      <w:r w:rsidRPr="00E435CA">
        <w:t>Thus,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Xinka</w:t>
      </w:r>
      <w:r w:rsidR="00184181" w:rsidRPr="00E435CA">
        <w:t xml:space="preserve"> </w:t>
      </w:r>
      <w:r w:rsidRPr="00E435CA">
        <w:t>authorities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village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Quezada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Cofradía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San</w:t>
      </w:r>
      <w:r w:rsidR="00184181" w:rsidRPr="00E435CA">
        <w:t xml:space="preserve"> </w:t>
      </w:r>
      <w:r w:rsidRPr="00E435CA">
        <w:t>José</w:t>
      </w:r>
      <w:r w:rsidR="00184181" w:rsidRPr="00E435CA">
        <w:t xml:space="preserve"> </w:t>
      </w:r>
      <w:r w:rsidRPr="00E435CA">
        <w:t>Poaquil</w:t>
      </w:r>
      <w:r w:rsidR="00184181" w:rsidRPr="00E435CA">
        <w:t xml:space="preserve"> </w:t>
      </w:r>
      <w:r w:rsidRPr="00E435CA">
        <w:t>advanced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tools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build</w:t>
      </w:r>
      <w:r w:rsidR="00184181" w:rsidRPr="00E435CA">
        <w:t xml:space="preserve"> </w:t>
      </w:r>
      <w:r w:rsidRPr="00E435CA">
        <w:t>community-based</w:t>
      </w:r>
      <w:r w:rsidR="00184181" w:rsidRPr="00E435CA">
        <w:t xml:space="preserve"> </w:t>
      </w:r>
      <w:r w:rsidRPr="00E435CA">
        <w:t>cadastres.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Cofradía</w:t>
      </w:r>
      <w:r w:rsidR="00184181" w:rsidRPr="00E435CA">
        <w:t xml:space="preserve"> </w:t>
      </w:r>
      <w:r w:rsidRPr="00E435CA">
        <w:t>presented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compilation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ancestral</w:t>
      </w:r>
      <w:r w:rsidR="00184181" w:rsidRPr="00E435CA">
        <w:t xml:space="preserve"> </w:t>
      </w:r>
      <w:r w:rsidRPr="00E435CA">
        <w:t>practices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management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conservation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communal</w:t>
      </w:r>
      <w:r w:rsidR="00184181" w:rsidRPr="00E435CA">
        <w:t xml:space="preserve"> </w:t>
      </w:r>
      <w:r w:rsidRPr="00E435CA">
        <w:t>lands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municipal</w:t>
      </w:r>
      <w:r w:rsidR="00184181" w:rsidRPr="00E435CA">
        <w:t xml:space="preserve"> </w:t>
      </w:r>
      <w:r w:rsidRPr="00E435CA">
        <w:t>authorities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San</w:t>
      </w:r>
      <w:r w:rsidR="00184181" w:rsidRPr="00E435CA">
        <w:t xml:space="preserve"> </w:t>
      </w:r>
      <w:r w:rsidRPr="00E435CA">
        <w:t>José</w:t>
      </w:r>
      <w:r w:rsidR="00184181" w:rsidRPr="00E435CA">
        <w:t xml:space="preserve"> </w:t>
      </w:r>
      <w:r w:rsidRPr="00E435CA">
        <w:t>Poaquil,</w:t>
      </w:r>
      <w:r w:rsidR="00184181" w:rsidRPr="00E435CA">
        <w:t xml:space="preserve"> </w:t>
      </w:r>
      <w:r w:rsidRPr="00E435CA">
        <w:t>representatives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Forestry</w:t>
      </w:r>
      <w:r w:rsidR="00184181" w:rsidRPr="00E435CA">
        <w:t xml:space="preserve"> </w:t>
      </w:r>
      <w:r w:rsidRPr="00E435CA">
        <w:t>Institute</w:t>
      </w:r>
      <w:r w:rsidR="00184181" w:rsidRPr="00E435CA">
        <w:t xml:space="preserve"> </w:t>
      </w:r>
      <w:r w:rsidRPr="00E435CA">
        <w:t>(INAB)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Sotzil</w:t>
      </w:r>
      <w:r w:rsidR="00184181" w:rsidRPr="00E435CA">
        <w:t xml:space="preserve"> </w:t>
      </w:r>
      <w:r w:rsidRPr="00E435CA">
        <w:t>Association,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view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establishing</w:t>
      </w:r>
      <w:r w:rsidR="00184181" w:rsidRPr="00E435CA">
        <w:t xml:space="preserve"> </w:t>
      </w:r>
      <w:r w:rsidRPr="00E435CA">
        <w:t>inter-institutional</w:t>
      </w:r>
      <w:r w:rsidR="00184181" w:rsidRPr="00E435CA">
        <w:t xml:space="preserve"> </w:t>
      </w:r>
      <w:r w:rsidRPr="00E435CA">
        <w:t>coordination</w:t>
      </w:r>
      <w:r w:rsidR="00184181" w:rsidRPr="00E435CA">
        <w:t xml:space="preserve"> </w:t>
      </w:r>
      <w:r w:rsidRPr="00E435CA">
        <w:t>mechanisms.</w:t>
      </w:r>
    </w:p>
    <w:p w14:paraId="059FC31B" w14:textId="76068FCB" w:rsidR="00467C67" w:rsidRPr="00E435CA" w:rsidRDefault="00467C67" w:rsidP="0049529B">
      <w:pPr>
        <w:pStyle w:val="H1G"/>
      </w:pPr>
      <w:bookmarkStart w:id="42" w:name="_Toc461716682"/>
      <w:bookmarkStart w:id="43" w:name="_Toc461716955"/>
      <w:bookmarkStart w:id="44" w:name="_Toc461717118"/>
      <w:bookmarkStart w:id="45" w:name="_Toc463449208"/>
      <w:bookmarkStart w:id="46" w:name="_Toc466309353"/>
      <w:r w:rsidRPr="00E435CA">
        <w:tab/>
        <w:t>B.</w:t>
      </w:r>
      <w:r w:rsidRPr="00E435CA">
        <w:tab/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girls</w:t>
      </w:r>
      <w:bookmarkEnd w:id="42"/>
      <w:bookmarkEnd w:id="43"/>
      <w:bookmarkEnd w:id="44"/>
      <w:bookmarkEnd w:id="45"/>
      <w:bookmarkEnd w:id="46"/>
    </w:p>
    <w:p w14:paraId="5D0C9EF9" w14:textId="3236616E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38.</w:t>
      </w:r>
      <w:r w:rsidRPr="00E435CA">
        <w:tab/>
        <w:t>Violence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girls</w:t>
      </w:r>
      <w:r w:rsidR="00184181" w:rsidRPr="00E435CA">
        <w:t xml:space="preserve"> </w:t>
      </w:r>
      <w:r w:rsidRPr="00E435CA">
        <w:t>remained</w:t>
      </w:r>
      <w:r w:rsidR="00184181" w:rsidRPr="00E435CA">
        <w:t xml:space="preserve"> </w:t>
      </w:r>
      <w:r w:rsidRPr="00E435CA">
        <w:t>among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most</w:t>
      </w:r>
      <w:r w:rsidR="00184181" w:rsidRPr="00E435CA">
        <w:t xml:space="preserve"> </w:t>
      </w:r>
      <w:r w:rsidRPr="00E435CA">
        <w:t>prevalent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violations.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Attorney</w:t>
      </w:r>
      <w:r w:rsidR="00184181" w:rsidRPr="00E435CA">
        <w:t xml:space="preserve"> </w:t>
      </w:r>
      <w:r w:rsidRPr="00E435CA">
        <w:t>General</w:t>
      </w:r>
      <w:r w:rsidR="00184181" w:rsidRPr="00E435CA">
        <w:t xml:space="preserve"> </w:t>
      </w:r>
      <w:r w:rsidRPr="00E435CA">
        <w:t>received</w:t>
      </w:r>
      <w:r w:rsidR="00184181" w:rsidRPr="00E435CA">
        <w:t xml:space="preserve"> </w:t>
      </w:r>
      <w:r w:rsidRPr="00E435CA">
        <w:t>39,809</w:t>
      </w:r>
      <w:r w:rsidR="00184181" w:rsidRPr="00E435CA">
        <w:t xml:space="preserve"> </w:t>
      </w:r>
      <w:r w:rsidRPr="00E435CA">
        <w:t>complaints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1</w:t>
      </w:r>
      <w:r w:rsidR="00184181" w:rsidRPr="00E435CA">
        <w:t xml:space="preserve"> </w:t>
      </w:r>
      <w:r w:rsidRPr="00E435CA">
        <w:t>January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30</w:t>
      </w:r>
      <w:r w:rsidR="00184181" w:rsidRPr="00E435CA">
        <w:t xml:space="preserve"> </w:t>
      </w:r>
      <w:r w:rsidRPr="00E435CA">
        <w:t>September.</w:t>
      </w:r>
      <w:r w:rsidRPr="00E435CA">
        <w:rPr>
          <w:rStyle w:val="FootnoteReference"/>
        </w:rPr>
        <w:footnoteReference w:id="36"/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20,000</w:t>
      </w:r>
      <w:r w:rsidR="00184181" w:rsidRPr="00E435CA">
        <w:t xml:space="preserve"> </w:t>
      </w:r>
      <w:r w:rsidRPr="00E435CA">
        <w:t>complaints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crimes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law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femicide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forms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filed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peace</w:t>
      </w:r>
      <w:r w:rsidR="00184181" w:rsidRPr="00E435CA">
        <w:t xml:space="preserve"> </w:t>
      </w:r>
      <w:r w:rsidRPr="00E435CA">
        <w:t>courts.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specialized</w:t>
      </w:r>
      <w:r w:rsidR="00184181" w:rsidRPr="00E435CA">
        <w:t xml:space="preserve"> </w:t>
      </w:r>
      <w:r w:rsidRPr="00E435CA">
        <w:t>courts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femicide</w:t>
      </w:r>
      <w:r w:rsidR="00184181" w:rsidRPr="00E435CA">
        <w:t xml:space="preserve"> </w:t>
      </w:r>
      <w:r w:rsidRPr="00E435CA">
        <w:t>obtained</w:t>
      </w:r>
      <w:r w:rsidR="00184181" w:rsidRPr="00E435CA">
        <w:t xml:space="preserve"> </w:t>
      </w:r>
      <w:r w:rsidRPr="00E435CA">
        <w:t>996</w:t>
      </w:r>
      <w:r w:rsidR="00184181" w:rsidRPr="00E435CA">
        <w:t xml:space="preserve"> </w:t>
      </w:r>
      <w:r w:rsidRPr="00E435CA">
        <w:t>convictions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same</w:t>
      </w:r>
      <w:r w:rsidR="00184181" w:rsidRPr="00E435CA">
        <w:t xml:space="preserve"> </w:t>
      </w:r>
      <w:r w:rsidRPr="00E435CA">
        <w:t>period.</w:t>
      </w:r>
      <w:r w:rsidRPr="00E435CA">
        <w:rPr>
          <w:rStyle w:val="FootnoteReference"/>
        </w:rPr>
        <w:footnoteReference w:id="37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recorded</w:t>
      </w:r>
      <w:r w:rsidR="00184181" w:rsidRPr="00E435CA">
        <w:t xml:space="preserve"> </w:t>
      </w:r>
      <w:r w:rsidRPr="00E435CA">
        <w:t>2,794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girls.</w:t>
      </w:r>
      <w:r w:rsidRPr="00E435CA">
        <w:rPr>
          <w:rStyle w:val="FootnoteReference"/>
        </w:rPr>
        <w:footnoteReference w:id="38"/>
      </w:r>
    </w:p>
    <w:p w14:paraId="483BB130" w14:textId="1036F954" w:rsidR="00467C67" w:rsidRPr="00E435CA" w:rsidRDefault="00467C67" w:rsidP="00467C67">
      <w:pPr>
        <w:pStyle w:val="SingleTxtG"/>
      </w:pPr>
      <w:r w:rsidRPr="00E435CA">
        <w:lastRenderedPageBreak/>
        <w:t>39.</w:t>
      </w:r>
      <w:r w:rsidRPr="00E435CA">
        <w:tab/>
        <w:t>The</w:t>
      </w:r>
      <w:r w:rsidR="00184181" w:rsidRPr="00E435CA">
        <w:t xml:space="preserve"> </w:t>
      </w:r>
      <w:r w:rsidRPr="00E435CA">
        <w:t>allocation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resources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prevention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all</w:t>
      </w:r>
      <w:r w:rsidR="00184181" w:rsidRPr="00E435CA">
        <w:t xml:space="preserve"> </w:t>
      </w:r>
      <w:r w:rsidRPr="00E435CA">
        <w:t>forms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victims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inadequate</w:t>
      </w:r>
      <w:r w:rsidR="00184181" w:rsidRPr="00E435CA">
        <w:t xml:space="preserve"> </w:t>
      </w:r>
      <w:r w:rsidRPr="00E435CA">
        <w:t>considering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magnitude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issue.</w:t>
      </w:r>
      <w:r w:rsidR="00184181" w:rsidRPr="00E435CA">
        <w:t xml:space="preserve"> </w:t>
      </w:r>
      <w:r w:rsidRPr="00E435CA">
        <w:t>No</w:t>
      </w:r>
      <w:r w:rsidR="00184181" w:rsidRPr="00E435CA">
        <w:t xml:space="preserve"> </w:t>
      </w:r>
      <w:r w:rsidRPr="00E435CA">
        <w:t>allocation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funding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made</w:t>
      </w:r>
      <w:r w:rsidR="00184181" w:rsidRPr="00E435CA">
        <w:t xml:space="preserve"> </w:t>
      </w:r>
      <w:r w:rsidRPr="00E435CA">
        <w:t>since</w:t>
      </w:r>
      <w:r w:rsidR="00184181" w:rsidRPr="00E435CA">
        <w:t xml:space="preserve"> </w:t>
      </w:r>
      <w:r w:rsidRPr="00E435CA">
        <w:t>2019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network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centres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victims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(CAIMUS)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General</w:t>
      </w:r>
      <w:r w:rsidR="00184181" w:rsidRPr="00E435CA">
        <w:t xml:space="preserve"> </w:t>
      </w:r>
      <w:r w:rsidRPr="00E435CA">
        <w:t>Budget</w:t>
      </w:r>
      <w:r w:rsidR="00184181" w:rsidRPr="00E435CA">
        <w:t xml:space="preserve"> </w:t>
      </w:r>
      <w:r w:rsidRPr="00E435CA">
        <w:t>Law,</w:t>
      </w:r>
      <w:r w:rsidR="00184181" w:rsidRPr="00E435CA">
        <w:t xml:space="preserve"> </w:t>
      </w:r>
      <w:r w:rsidRPr="00E435CA">
        <w:t>imperil</w:t>
      </w:r>
      <w:r w:rsidR="001E208E">
        <w:t>l</w:t>
      </w:r>
      <w:r w:rsidRPr="00E435CA">
        <w:t>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sustainability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work.</w:t>
      </w:r>
    </w:p>
    <w:p w14:paraId="35096C82" w14:textId="1CEEEFAE" w:rsidR="00467C67" w:rsidRPr="00E435CA" w:rsidRDefault="00467C67" w:rsidP="00467C67">
      <w:pPr>
        <w:pStyle w:val="SingleTxtG"/>
      </w:pPr>
      <w:r w:rsidRPr="00E435CA">
        <w:t>40.</w:t>
      </w:r>
      <w:r w:rsidRPr="00E435CA">
        <w:tab/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further</w:t>
      </w:r>
      <w:r w:rsidR="00184181" w:rsidRPr="00E435CA">
        <w:t xml:space="preserve"> </w:t>
      </w:r>
      <w:r w:rsidRPr="00E435CA">
        <w:t>delayed</w:t>
      </w:r>
      <w:r w:rsidR="00184181" w:rsidRPr="00E435CA">
        <w:t xml:space="preserve"> </w:t>
      </w:r>
      <w:r w:rsidRPr="00E435CA">
        <w:t>judicial</w:t>
      </w:r>
      <w:r w:rsidR="00184181" w:rsidRPr="00E435CA">
        <w:t xml:space="preserve"> </w:t>
      </w:r>
      <w:r w:rsidRPr="00E435CA">
        <w:t>proceedings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rPr>
          <w:i/>
          <w:iCs/>
        </w:rPr>
        <w:t>Hogar</w:t>
      </w:r>
      <w:r w:rsidR="00184181" w:rsidRPr="00E435CA">
        <w:rPr>
          <w:i/>
          <w:iCs/>
        </w:rPr>
        <w:t xml:space="preserve"> </w:t>
      </w:r>
      <w:r w:rsidRPr="00E435CA">
        <w:rPr>
          <w:i/>
          <w:iCs/>
        </w:rPr>
        <w:t>Virgen</w:t>
      </w:r>
      <w:r w:rsidR="00184181" w:rsidRPr="00E435CA">
        <w:rPr>
          <w:i/>
          <w:iCs/>
        </w:rPr>
        <w:t xml:space="preserve"> </w:t>
      </w:r>
      <w:r w:rsidRPr="00E435CA">
        <w:rPr>
          <w:i/>
          <w:iCs/>
        </w:rPr>
        <w:t>de</w:t>
      </w:r>
      <w:r w:rsidR="00184181" w:rsidRPr="00E435CA">
        <w:rPr>
          <w:i/>
          <w:iCs/>
        </w:rPr>
        <w:t xml:space="preserve"> </w:t>
      </w:r>
      <w:r w:rsidRPr="00E435CA">
        <w:rPr>
          <w:i/>
          <w:iCs/>
        </w:rPr>
        <w:t>la</w:t>
      </w:r>
      <w:r w:rsidR="00184181" w:rsidRPr="00E435CA">
        <w:rPr>
          <w:i/>
          <w:iCs/>
        </w:rPr>
        <w:t xml:space="preserve"> </w:t>
      </w:r>
      <w:r w:rsidRPr="00E435CA">
        <w:rPr>
          <w:i/>
          <w:iCs/>
        </w:rPr>
        <w:t>Asunción</w:t>
      </w:r>
      <w:r w:rsidR="00184181" w:rsidRPr="00E435CA">
        <w:t xml:space="preserve"> </w:t>
      </w:r>
      <w:r w:rsidRPr="00E435CA">
        <w:t>(safe</w:t>
      </w:r>
      <w:r w:rsidR="00184181" w:rsidRPr="00E435CA">
        <w:t xml:space="preserve"> </w:t>
      </w:r>
      <w:r w:rsidRPr="00E435CA">
        <w:t>house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Virgin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Assumption),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shelter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41</w:t>
      </w:r>
      <w:r w:rsidR="00184181" w:rsidRPr="00E435CA">
        <w:t xml:space="preserve"> </w:t>
      </w:r>
      <w:r w:rsidRPr="00E435CA">
        <w:t>girls</w:t>
      </w:r>
      <w:r w:rsidR="00184181" w:rsidRPr="00E435CA">
        <w:t xml:space="preserve"> </w:t>
      </w:r>
      <w:r w:rsidRPr="00E435CA">
        <w:t>living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died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fire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March</w:t>
      </w:r>
      <w:r w:rsidR="00184181" w:rsidRPr="00E435CA">
        <w:t xml:space="preserve"> </w:t>
      </w:r>
      <w:r w:rsidRPr="00E435CA">
        <w:t>2017.</w:t>
      </w:r>
      <w:r w:rsidRPr="00E435CA">
        <w:rPr>
          <w:rStyle w:val="FootnoteReference"/>
        </w:rPr>
        <w:footnoteReference w:id="39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15</w:t>
      </w:r>
      <w:r w:rsidR="00184181" w:rsidRPr="00E435CA">
        <w:t xml:space="preserve"> </w:t>
      </w:r>
      <w:r w:rsidRPr="00E435CA">
        <w:t>survivors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significant</w:t>
      </w:r>
      <w:r w:rsidR="00184181" w:rsidRPr="00E435CA">
        <w:t xml:space="preserve"> </w:t>
      </w:r>
      <w:r w:rsidRPr="00E435CA">
        <w:t>delays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barriers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pension</w:t>
      </w:r>
      <w:r w:rsidR="00184181" w:rsidRPr="00E435CA">
        <w:t xml:space="preserve"> </w:t>
      </w:r>
      <w:r w:rsidRPr="00E435CA">
        <w:t>granted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2018.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coordinate</w:t>
      </w:r>
      <w:r w:rsidR="00184181" w:rsidRPr="00E435CA">
        <w:t xml:space="preserve"> </w:t>
      </w:r>
      <w:r w:rsidRPr="00E435CA">
        <w:t>actions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Welfare</w:t>
      </w:r>
      <w:r w:rsidR="00184181" w:rsidRPr="00E435CA">
        <w:t xml:space="preserve"> </w:t>
      </w:r>
      <w:r w:rsidRPr="00E435CA">
        <w:t>secretariat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improve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protocols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child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facilities.</w:t>
      </w:r>
    </w:p>
    <w:p w14:paraId="2D8A5CD2" w14:textId="77777777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41.</w:t>
      </w:r>
      <w:r w:rsidRPr="00E435CA">
        <w:tab/>
        <w:t>On</w:t>
      </w:r>
      <w:r w:rsidR="00184181" w:rsidRPr="00E435CA">
        <w:t xml:space="preserve"> </w:t>
      </w:r>
      <w:r w:rsidRPr="00E435CA">
        <w:t>14</w:t>
      </w:r>
      <w:r w:rsidR="00184181" w:rsidRPr="00E435CA">
        <w:t xml:space="preserve"> </w:t>
      </w:r>
      <w:r w:rsidRPr="00E435CA">
        <w:t>July,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announced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replacement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Secretariat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(SEPREM)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lower-ranking</w:t>
      </w:r>
      <w:r w:rsidR="00184181" w:rsidRPr="00E435CA">
        <w:t xml:space="preserve"> </w:t>
      </w:r>
      <w:r w:rsidRPr="00E435CA">
        <w:t>institution.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Committee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Elimination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Discrimination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noted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recommendation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strengthen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institution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elevate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ministerial</w:t>
      </w:r>
      <w:r w:rsidR="00184181" w:rsidRPr="00E435CA">
        <w:t xml:space="preserve"> </w:t>
      </w:r>
      <w:r w:rsidRPr="00E435CA">
        <w:t>status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rejected.</w:t>
      </w:r>
      <w:r w:rsidRPr="00E435CA">
        <w:rPr>
          <w:rStyle w:val="FootnoteReference"/>
        </w:rPr>
        <w:footnoteReference w:id="40"/>
      </w:r>
    </w:p>
    <w:p w14:paraId="6E93F619" w14:textId="54D5EA4D" w:rsidR="00467C67" w:rsidRPr="00E435CA" w:rsidRDefault="00467C67" w:rsidP="00184181">
      <w:pPr>
        <w:pStyle w:val="H1G"/>
      </w:pPr>
      <w:bookmarkStart w:id="47" w:name="_Toc461716683"/>
      <w:bookmarkStart w:id="48" w:name="_Toc461716956"/>
      <w:bookmarkStart w:id="49" w:name="_Toc461717119"/>
      <w:bookmarkStart w:id="50" w:name="_Toc462498998"/>
      <w:bookmarkStart w:id="51" w:name="_Toc466309354"/>
      <w:r w:rsidRPr="00E435CA">
        <w:tab/>
        <w:t>C.</w:t>
      </w:r>
      <w:r w:rsidRPr="00E435CA">
        <w:tab/>
        <w:t>Migrants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asylum</w:t>
      </w:r>
      <w:r w:rsidR="00184181" w:rsidRPr="00E435CA">
        <w:t xml:space="preserve"> </w:t>
      </w:r>
      <w:r w:rsidRPr="00E435CA">
        <w:t>seekers</w:t>
      </w:r>
      <w:bookmarkEnd w:id="47"/>
      <w:bookmarkEnd w:id="48"/>
      <w:bookmarkEnd w:id="49"/>
      <w:bookmarkEnd w:id="50"/>
      <w:bookmarkEnd w:id="51"/>
    </w:p>
    <w:p w14:paraId="3D5503BC" w14:textId="322D3BD2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42.</w:t>
      </w:r>
      <w:r w:rsidRPr="00E435CA">
        <w:tab/>
        <w:t>The</w:t>
      </w:r>
      <w:r w:rsidR="00184181" w:rsidRPr="00E435CA">
        <w:t xml:space="preserve"> </w:t>
      </w:r>
      <w:r w:rsidRPr="00E435CA">
        <w:t>transition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General</w:t>
      </w:r>
      <w:r w:rsidR="00184181" w:rsidRPr="00E435CA">
        <w:t xml:space="preserve"> </w:t>
      </w:r>
      <w:r w:rsidRPr="00E435CA">
        <w:t>Directorate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Migration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Guatemalan</w:t>
      </w:r>
      <w:r w:rsidR="00184181" w:rsidRPr="00E435CA">
        <w:t xml:space="preserve"> </w:t>
      </w:r>
      <w:r w:rsidRPr="00E435CA">
        <w:t>Migration</w:t>
      </w:r>
      <w:r w:rsidR="00184181" w:rsidRPr="00E435CA">
        <w:t xml:space="preserve"> </w:t>
      </w:r>
      <w:r w:rsidRPr="00E435CA">
        <w:t>Institute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completed,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created.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action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pending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years.</w:t>
      </w:r>
      <w:r w:rsidRPr="00E435CA">
        <w:rPr>
          <w:rStyle w:val="FootnoteReference"/>
        </w:rPr>
        <w:footnoteReference w:id="41"/>
      </w:r>
    </w:p>
    <w:p w14:paraId="5D9667BE" w14:textId="77777777" w:rsidR="005328B0" w:rsidRPr="00E435CA" w:rsidRDefault="00467C67" w:rsidP="00467C67">
      <w:pPr>
        <w:pStyle w:val="SingleTxtG"/>
      </w:pPr>
      <w:r w:rsidRPr="00E435CA">
        <w:t>43.</w:t>
      </w:r>
      <w:r w:rsidRPr="00E435CA">
        <w:tab/>
        <w:t>Remittances</w:t>
      </w:r>
      <w:r w:rsidR="00184181" w:rsidRPr="00E435CA">
        <w:t xml:space="preserve"> </w:t>
      </w:r>
      <w:r w:rsidRPr="00E435CA">
        <w:t>reached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record</w:t>
      </w:r>
      <w:r w:rsidR="00184181" w:rsidRPr="00E435CA">
        <w:t xml:space="preserve"> </w:t>
      </w:r>
      <w:r w:rsidRPr="00E435CA">
        <w:t>high,</w:t>
      </w:r>
      <w:r w:rsidR="00184181" w:rsidRPr="00E435CA">
        <w:t xml:space="preserve"> </w:t>
      </w:r>
      <w:r w:rsidRPr="00E435CA">
        <w:t>surpassing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monthly</w:t>
      </w:r>
      <w:r w:rsidR="00184181" w:rsidRPr="00E435CA">
        <w:t xml:space="preserve"> </w:t>
      </w:r>
      <w:r w:rsidRPr="00E435CA">
        <w:t>$1</w:t>
      </w:r>
      <w:r w:rsidR="00184181" w:rsidRPr="00E435CA">
        <w:t xml:space="preserve"> </w:t>
      </w:r>
      <w:r w:rsidRPr="00E435CA">
        <w:t>billion</w:t>
      </w:r>
      <w:r w:rsidR="00184181" w:rsidRPr="00E435CA">
        <w:t xml:space="preserve"> </w:t>
      </w:r>
      <w:r w:rsidRPr="00E435CA">
        <w:t>barrier,</w:t>
      </w:r>
      <w:r w:rsidRPr="00E435CA">
        <w:rPr>
          <w:rStyle w:val="FootnoteReference"/>
        </w:rPr>
        <w:footnoteReference w:id="42"/>
      </w:r>
      <w:r w:rsidR="00184181" w:rsidRPr="00E435CA">
        <w:t xml:space="preserve"> </w:t>
      </w:r>
      <w:r w:rsidRPr="00E435CA">
        <w:t>highlighting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contribution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times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crisis.</w:t>
      </w:r>
      <w:r w:rsidR="00184181" w:rsidRPr="00E435CA">
        <w:t xml:space="preserve"> </w:t>
      </w:r>
      <w:r w:rsidRPr="00E435CA">
        <w:t>All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while,</w:t>
      </w:r>
      <w:r w:rsidR="00184181" w:rsidRPr="00E435CA">
        <w:t xml:space="preserve"> </w:t>
      </w:r>
      <w:r w:rsidRPr="00E435CA">
        <w:t>37,600</w:t>
      </w:r>
      <w:r w:rsidR="00184181" w:rsidRPr="00E435CA">
        <w:t xml:space="preserve"> </w:t>
      </w:r>
      <w:r w:rsidRPr="00E435CA">
        <w:t>nationals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forcibly</w:t>
      </w:r>
      <w:r w:rsidR="00184181" w:rsidRPr="00E435CA">
        <w:t xml:space="preserve"> </w:t>
      </w:r>
      <w:r w:rsidRPr="00E435CA">
        <w:t>returned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Mexico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America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January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October.</w:t>
      </w:r>
      <w:r w:rsidRPr="00E435CA">
        <w:rPr>
          <w:rStyle w:val="FootnoteReference"/>
        </w:rPr>
        <w:footnoteReference w:id="43"/>
      </w:r>
      <w:r w:rsidR="00184181" w:rsidRPr="00E435CA">
        <w:t xml:space="preserve"> </w:t>
      </w:r>
      <w:r w:rsidRPr="00E435CA">
        <w:t>Upon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return,</w:t>
      </w:r>
      <w:r w:rsidR="00184181" w:rsidRPr="00E435CA">
        <w:t xml:space="preserve"> </w:t>
      </w:r>
      <w:r w:rsidRPr="00E435CA">
        <w:t>they</w:t>
      </w:r>
      <w:r w:rsidR="00184181" w:rsidRPr="00E435CA">
        <w:t xml:space="preserve"> </w:t>
      </w:r>
      <w:r w:rsidRPr="00E435CA">
        <w:t>often</w:t>
      </w:r>
      <w:r w:rsidR="00184181" w:rsidRPr="00E435CA">
        <w:t xml:space="preserve"> </w:t>
      </w:r>
      <w:r w:rsidRPr="00E435CA">
        <w:t>found</w:t>
      </w:r>
      <w:r w:rsidR="00184181" w:rsidRPr="00E435CA">
        <w:t xml:space="preserve"> </w:t>
      </w:r>
      <w:r w:rsidRPr="00E435CA">
        <w:t>themselves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vulnerable</w:t>
      </w:r>
      <w:r w:rsidR="00184181" w:rsidRPr="00E435CA">
        <w:t xml:space="preserve"> </w:t>
      </w:r>
      <w:r w:rsidRPr="00E435CA">
        <w:t>situations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absence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adequate</w:t>
      </w:r>
      <w:r w:rsidR="00184181" w:rsidRPr="00E435CA">
        <w:t xml:space="preserve"> </w:t>
      </w:r>
      <w:r w:rsidRPr="00E435CA">
        <w:t>reintegration</w:t>
      </w:r>
      <w:r w:rsidR="00184181" w:rsidRPr="00E435CA">
        <w:t xml:space="preserve"> </w:t>
      </w:r>
      <w:r w:rsidRPr="00E435CA">
        <w:t>mechanisms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due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high</w:t>
      </w:r>
      <w:r w:rsidR="00184181" w:rsidRPr="00E435CA">
        <w:t xml:space="preserve"> </w:t>
      </w:r>
      <w:r w:rsidRPr="00E435CA">
        <w:t>costs</w:t>
      </w:r>
      <w:r w:rsidR="00184181" w:rsidRPr="00E435CA">
        <w:t xml:space="preserve"> </w:t>
      </w:r>
      <w:r w:rsidRPr="00E435CA">
        <w:t>incurred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migratory</w:t>
      </w:r>
      <w:r w:rsidR="00184181" w:rsidRPr="00E435CA">
        <w:t xml:space="preserve"> </w:t>
      </w:r>
      <w:r w:rsidRPr="00E435CA">
        <w:t>journey.</w:t>
      </w:r>
    </w:p>
    <w:p w14:paraId="7B9B00A4" w14:textId="77777777" w:rsidR="005328B0" w:rsidRPr="00E435CA" w:rsidRDefault="00467C67" w:rsidP="00467C67">
      <w:pPr>
        <w:pStyle w:val="SingleTxtG"/>
      </w:pPr>
      <w:r w:rsidRPr="00E435CA">
        <w:t>44.</w:t>
      </w:r>
      <w:r w:rsidRPr="00E435CA">
        <w:tab/>
        <w:t>Between</w:t>
      </w:r>
      <w:r w:rsidR="00184181" w:rsidRPr="00E435CA">
        <w:t xml:space="preserve"> </w:t>
      </w:r>
      <w:r w:rsidRPr="00E435CA">
        <w:t>21</w:t>
      </w:r>
      <w:r w:rsidR="00184181" w:rsidRPr="00E435CA">
        <w:t xml:space="preserve"> </w:t>
      </w:r>
      <w:r w:rsidRPr="00E435CA">
        <w:t>November</w:t>
      </w:r>
      <w:r w:rsidR="00184181" w:rsidRPr="00E435CA">
        <w:t xml:space="preserve"> </w:t>
      </w:r>
      <w:r w:rsidRPr="00E435CA">
        <w:t>2019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16</w:t>
      </w:r>
      <w:r w:rsidR="00184181" w:rsidRPr="00E435CA">
        <w:t xml:space="preserve"> </w:t>
      </w:r>
      <w:r w:rsidRPr="00E435CA">
        <w:t>March</w:t>
      </w:r>
      <w:r w:rsidR="00184181" w:rsidRPr="00E435CA">
        <w:t xml:space="preserve"> </w:t>
      </w:r>
      <w:r w:rsidRPr="00E435CA">
        <w:t>2020,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total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939</w:t>
      </w:r>
      <w:r w:rsidR="00184181" w:rsidRPr="00E435CA">
        <w:t xml:space="preserve"> </w:t>
      </w:r>
      <w:r w:rsidRPr="00E435CA">
        <w:t>asylum</w:t>
      </w:r>
      <w:r w:rsidR="00184181" w:rsidRPr="00E435CA">
        <w:t xml:space="preserve"> </w:t>
      </w:r>
      <w:r w:rsidRPr="00E435CA">
        <w:t>seekers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El</w:t>
      </w:r>
      <w:r w:rsidR="00184181" w:rsidRPr="00E435CA">
        <w:t xml:space="preserve"> </w:t>
      </w:r>
      <w:r w:rsidRPr="00E435CA">
        <w:t>Salvador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Honduras,</w:t>
      </w:r>
      <w:r w:rsidR="00184181" w:rsidRPr="00E435CA">
        <w:t xml:space="preserve"> </w:t>
      </w:r>
      <w:r w:rsidRPr="00E435CA">
        <w:t>mostly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children,</w:t>
      </w:r>
      <w:r w:rsidRPr="00E435CA">
        <w:rPr>
          <w:rStyle w:val="FootnoteReference"/>
        </w:rPr>
        <w:footnoteReference w:id="44"/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transferred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cooperation</w:t>
      </w:r>
      <w:r w:rsidR="00184181" w:rsidRPr="00E435CA">
        <w:t xml:space="preserve"> </w:t>
      </w:r>
      <w:r w:rsidRPr="00E435CA">
        <w:t>agreement</w:t>
      </w:r>
      <w:r w:rsidR="00184181" w:rsidRPr="00E435CA">
        <w:t xml:space="preserve"> </w:t>
      </w:r>
      <w:r w:rsidRPr="00E435CA">
        <w:t>signed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countries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July</w:t>
      </w:r>
      <w:r w:rsidR="00184181" w:rsidRPr="00E435CA">
        <w:t xml:space="preserve"> </w:t>
      </w:r>
      <w:r w:rsidRPr="00E435CA">
        <w:t>2019.</w:t>
      </w:r>
      <w:r w:rsidRPr="00E435CA">
        <w:rPr>
          <w:rStyle w:val="FootnoteReference"/>
        </w:rPr>
        <w:footnoteReference w:id="45"/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20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those</w:t>
      </w:r>
      <w:r w:rsidR="00184181" w:rsidRPr="00E435CA">
        <w:t xml:space="preserve"> </w:t>
      </w:r>
      <w:r w:rsidRPr="00E435CA">
        <w:t>individuals</w:t>
      </w:r>
      <w:r w:rsidR="00184181" w:rsidRPr="00E435CA">
        <w:t xml:space="preserve"> </w:t>
      </w:r>
      <w:r w:rsidRPr="00E435CA">
        <w:t>requested</w:t>
      </w:r>
      <w:r w:rsidR="00184181" w:rsidRPr="00E435CA">
        <w:t xml:space="preserve"> </w:t>
      </w:r>
      <w:r w:rsidRPr="00E435CA">
        <w:t>asylum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Guatemala,</w:t>
      </w:r>
      <w:r w:rsidR="00184181" w:rsidRPr="00E435CA">
        <w:t xml:space="preserve"> </w:t>
      </w:r>
      <w:r w:rsidRPr="00E435CA">
        <w:t>reportedly</w:t>
      </w:r>
      <w:r w:rsidR="00184181" w:rsidRPr="00E435CA">
        <w:t xml:space="preserve"> </w:t>
      </w:r>
      <w:r w:rsidRPr="00E435CA">
        <w:t>owing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fear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persecution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local</w:t>
      </w:r>
      <w:r w:rsidR="00184181" w:rsidRPr="00E435CA">
        <w:t xml:space="preserve"> </w:t>
      </w:r>
      <w:r w:rsidRPr="00E435CA">
        <w:t>insecurity</w:t>
      </w:r>
      <w:r w:rsidR="00184181" w:rsidRPr="00E435CA">
        <w:t xml:space="preserve"> </w:t>
      </w:r>
      <w:r w:rsidRPr="00E435CA">
        <w:t>situation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lack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opportunities.</w:t>
      </w:r>
      <w:r w:rsidRPr="00E435CA">
        <w:rPr>
          <w:rStyle w:val="FootnoteReference"/>
        </w:rPr>
        <w:footnoteReference w:id="46"/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17</w:t>
      </w:r>
      <w:r w:rsidR="00184181" w:rsidRPr="00E435CA">
        <w:t xml:space="preserve"> </w:t>
      </w:r>
      <w:r w:rsidRPr="00E435CA">
        <w:t>March,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temporarily</w:t>
      </w:r>
      <w:r w:rsidR="00184181" w:rsidRPr="00E435CA">
        <w:t xml:space="preserve"> </w:t>
      </w:r>
      <w:r w:rsidRPr="00E435CA">
        <w:t>suspended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agreement</w:t>
      </w:r>
      <w:r w:rsidR="00184181" w:rsidRPr="00E435CA">
        <w:t xml:space="preserve"> </w:t>
      </w:r>
      <w:r w:rsidRPr="00E435CA">
        <w:t>owing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pandemic.</w:t>
      </w:r>
    </w:p>
    <w:p w14:paraId="0EC8D4AB" w14:textId="6AA8C35D" w:rsidR="00467C67" w:rsidRPr="00E435CA" w:rsidRDefault="00467C67" w:rsidP="00467C67">
      <w:pPr>
        <w:pStyle w:val="SingleTxtG"/>
      </w:pPr>
      <w:r w:rsidRPr="00E435CA">
        <w:t>45.</w:t>
      </w:r>
      <w:r w:rsidRPr="00E435CA">
        <w:tab/>
        <w:t>Collective</w:t>
      </w:r>
      <w:r w:rsidR="00184181" w:rsidRPr="00E435CA">
        <w:t xml:space="preserve"> </w:t>
      </w:r>
      <w:r w:rsidRPr="00E435CA">
        <w:t>movements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asylum</w:t>
      </w:r>
      <w:r w:rsidR="00184181" w:rsidRPr="00E435CA">
        <w:t xml:space="preserve"> </w:t>
      </w:r>
      <w:r w:rsidRPr="00E435CA">
        <w:t>seekers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="00BE7FE5">
        <w:t>“</w:t>
      </w:r>
      <w:r w:rsidRPr="00E435CA">
        <w:t>migrant</w:t>
      </w:r>
      <w:r w:rsidR="00184181" w:rsidRPr="00E435CA">
        <w:t xml:space="preserve"> </w:t>
      </w:r>
      <w:r w:rsidRPr="00E435CA">
        <w:t>caravans</w:t>
      </w:r>
      <w:r w:rsidR="00BE7FE5">
        <w:t>”</w:t>
      </w:r>
      <w:r w:rsidR="00184181" w:rsidRPr="00E435CA">
        <w:t xml:space="preserve"> </w:t>
      </w:r>
      <w:r w:rsidRPr="00E435CA">
        <w:t>continued.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undertook</w:t>
      </w:r>
      <w:r w:rsidR="00184181" w:rsidRPr="00E435CA">
        <w:t xml:space="preserve"> </w:t>
      </w:r>
      <w:r w:rsidRPr="00E435CA">
        <w:t>field</w:t>
      </w:r>
      <w:r w:rsidR="00184181" w:rsidRPr="00E435CA">
        <w:t xml:space="preserve"> </w:t>
      </w:r>
      <w:r w:rsidRPr="00E435CA">
        <w:t>missions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monitoring</w:t>
      </w:r>
      <w:r w:rsidR="00184181" w:rsidRPr="00E435CA">
        <w:t xml:space="preserve"> </w:t>
      </w:r>
      <w:r w:rsidRPr="00E435CA">
        <w:t>activities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identify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needs,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advised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authorities,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Nations</w:t>
      </w:r>
      <w:r w:rsidR="00184181" w:rsidRPr="00E435CA">
        <w:t xml:space="preserve"> </w:t>
      </w:r>
      <w:r w:rsidRPr="00E435CA">
        <w:t>agencies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</w:t>
      </w:r>
      <w:r w:rsidR="00184181" w:rsidRPr="00E435CA">
        <w:t xml:space="preserve"> </w:t>
      </w:r>
      <w:r w:rsidRPr="00E435CA">
        <w:t>October,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estimated</w:t>
      </w:r>
      <w:r w:rsidR="00184181" w:rsidRPr="00E435CA">
        <w:t xml:space="preserve"> </w:t>
      </w:r>
      <w:r w:rsidRPr="00E435CA">
        <w:t>4,000</w:t>
      </w:r>
      <w:r w:rsidR="00184181" w:rsidRPr="00E435CA">
        <w:t xml:space="preserve"> </w:t>
      </w:r>
      <w:r w:rsidRPr="00E435CA">
        <w:t>people,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approximately</w:t>
      </w:r>
      <w:r w:rsidR="00184181" w:rsidRPr="00E435CA">
        <w:t xml:space="preserve"> </w:t>
      </w:r>
      <w:r w:rsidRPr="00E435CA">
        <w:t>800</w:t>
      </w:r>
      <w:r w:rsidR="00184181" w:rsidRPr="00E435CA">
        <w:t xml:space="preserve"> </w:t>
      </w:r>
      <w:r w:rsidRPr="00E435CA">
        <w:t>children,</w:t>
      </w:r>
      <w:r w:rsidR="00184181" w:rsidRPr="00E435CA">
        <w:t xml:space="preserve"> </w:t>
      </w:r>
      <w:r w:rsidRPr="00E435CA">
        <w:t>entered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Honduras</w:t>
      </w:r>
      <w:r w:rsidR="00184181" w:rsidRPr="00E435CA">
        <w:t xml:space="preserve"> </w:t>
      </w:r>
      <w:r w:rsidRPr="00E435CA">
        <w:t>without</w:t>
      </w:r>
      <w:r w:rsidR="00184181" w:rsidRPr="00E435CA">
        <w:t xml:space="preserve"> </w:t>
      </w:r>
      <w:r w:rsidRPr="00E435CA">
        <w:t>undergoing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checks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migratory</w:t>
      </w:r>
      <w:r w:rsidR="00184181" w:rsidRPr="00E435CA">
        <w:t xml:space="preserve"> </w:t>
      </w:r>
      <w:r w:rsidRPr="00E435CA">
        <w:t>control</w:t>
      </w:r>
      <w:r w:rsidR="00184181" w:rsidRPr="00E435CA">
        <w:t xml:space="preserve"> </w:t>
      </w:r>
      <w:r w:rsidRPr="00E435CA">
        <w:t>measures.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consequently</w:t>
      </w:r>
      <w:r w:rsidR="00184181" w:rsidRPr="00E435CA">
        <w:t xml:space="preserve"> </w:t>
      </w:r>
      <w:r w:rsidRPr="00E435CA">
        <w:t>declared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="00BE7FE5">
        <w:t>“</w:t>
      </w:r>
      <w:r w:rsidRPr="00E435CA">
        <w:t>state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prevention</w:t>
      </w:r>
      <w:r w:rsidR="00BE7FE5">
        <w:t>”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six</w:t>
      </w:r>
      <w:r w:rsidR="00184181" w:rsidRPr="00E435CA">
        <w:t xml:space="preserve"> </w:t>
      </w:r>
      <w:r w:rsidRPr="00E435CA">
        <w:t>border</w:t>
      </w:r>
      <w:r w:rsidR="00184181" w:rsidRPr="00E435CA">
        <w:t xml:space="preserve"> </w:t>
      </w:r>
      <w:r w:rsidRPr="00E435CA">
        <w:t>regions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deployed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police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forces.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3,700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returned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Honduras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1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4</w:t>
      </w:r>
      <w:r w:rsidR="00184181" w:rsidRPr="00E435CA">
        <w:t xml:space="preserve"> </w:t>
      </w:r>
      <w:r w:rsidRPr="00E435CA">
        <w:t>October.</w:t>
      </w:r>
      <w:r w:rsidRPr="00E435CA">
        <w:rPr>
          <w:rStyle w:val="FootnoteReference"/>
        </w:rPr>
        <w:footnoteReference w:id="47"/>
      </w:r>
      <w:r w:rsidR="00184181" w:rsidRPr="00E435CA">
        <w:t xml:space="preserve"> </w:t>
      </w:r>
      <w:r w:rsidRPr="00E435CA">
        <w:t>Returns</w:t>
      </w:r>
      <w:r w:rsidR="00184181" w:rsidRPr="00E435CA">
        <w:t xml:space="preserve"> </w:t>
      </w:r>
      <w:r w:rsidRPr="00E435CA">
        <w:t>carried</w:t>
      </w:r>
      <w:r w:rsidR="00184181" w:rsidRPr="00E435CA">
        <w:t xml:space="preserve"> </w:t>
      </w:r>
      <w:r w:rsidRPr="00E435CA">
        <w:t>out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pressure</w:t>
      </w:r>
      <w:r w:rsidR="00184181" w:rsidRPr="00E435CA">
        <w:t xml:space="preserve"> </w:t>
      </w:r>
      <w:r w:rsidRPr="00E435CA">
        <w:t>cannot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considered</w:t>
      </w:r>
      <w:r w:rsidR="00184181" w:rsidRPr="00E435CA">
        <w:t xml:space="preserve"> </w:t>
      </w:r>
      <w:r w:rsidRPr="00E435CA">
        <w:t>voluntary,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express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collective</w:t>
      </w:r>
      <w:r w:rsidR="00184181" w:rsidRPr="00E435CA">
        <w:t xml:space="preserve"> </w:t>
      </w:r>
      <w:r w:rsidRPr="00E435CA">
        <w:t>returns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migrants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asylum</w:t>
      </w:r>
      <w:r w:rsidR="00184181" w:rsidRPr="00E435CA">
        <w:t xml:space="preserve"> </w:t>
      </w:r>
      <w:r w:rsidRPr="00E435CA">
        <w:t>seekers</w:t>
      </w:r>
      <w:r w:rsidR="00184181" w:rsidRPr="00E435CA">
        <w:t xml:space="preserve"> </w:t>
      </w:r>
      <w:r w:rsidRPr="00E435CA">
        <w:t>without</w:t>
      </w:r>
      <w:r w:rsidR="00184181" w:rsidRPr="00E435CA">
        <w:t xml:space="preserve"> </w:t>
      </w:r>
      <w:r w:rsidRPr="00E435CA">
        <w:t>evaluating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individual</w:t>
      </w:r>
      <w:r w:rsidR="00184181" w:rsidRPr="00E435CA">
        <w:t xml:space="preserve"> </w:t>
      </w:r>
      <w:r w:rsidRPr="00E435CA">
        <w:t>risks,</w:t>
      </w:r>
      <w:r w:rsidR="00184181" w:rsidRPr="00E435CA">
        <w:t xml:space="preserve"> </w:t>
      </w:r>
      <w:r w:rsidRPr="00E435CA">
        <w:t>exposes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potential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violations.</w:t>
      </w:r>
    </w:p>
    <w:p w14:paraId="062B3EDB" w14:textId="77777777" w:rsidR="005328B0" w:rsidRPr="00E435CA" w:rsidRDefault="00467C67" w:rsidP="00184181">
      <w:pPr>
        <w:pStyle w:val="H1G"/>
      </w:pPr>
      <w:bookmarkStart w:id="52" w:name="_Toc461716684"/>
      <w:bookmarkStart w:id="53" w:name="_Toc461716957"/>
      <w:bookmarkStart w:id="54" w:name="_Toc461717120"/>
      <w:bookmarkStart w:id="55" w:name="_Toc463449210"/>
      <w:bookmarkStart w:id="56" w:name="_Toc466309355"/>
      <w:r w:rsidRPr="00E435CA">
        <w:lastRenderedPageBreak/>
        <w:tab/>
        <w:t>D.</w:t>
      </w:r>
      <w:r w:rsidRPr="00E435CA">
        <w:tab/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bookmarkEnd w:id="52"/>
      <w:bookmarkEnd w:id="53"/>
      <w:bookmarkEnd w:id="54"/>
      <w:bookmarkEnd w:id="55"/>
      <w:bookmarkEnd w:id="56"/>
    </w:p>
    <w:p w14:paraId="4506334F" w14:textId="77777777" w:rsidR="005328B0" w:rsidRPr="00E435CA" w:rsidRDefault="00467C67" w:rsidP="00467C67">
      <w:pPr>
        <w:pStyle w:val="SingleTxtG"/>
      </w:pPr>
      <w:r w:rsidRPr="00E435CA">
        <w:t>46.</w:t>
      </w:r>
      <w:r w:rsidRPr="00E435CA">
        <w:tab/>
        <w:t>Guatemala</w:t>
      </w:r>
      <w:r w:rsidR="00184181" w:rsidRPr="00E435CA">
        <w:t xml:space="preserve"> </w:t>
      </w:r>
      <w:r w:rsidRPr="00E435CA">
        <w:t>made</w:t>
      </w:r>
      <w:r w:rsidR="00184181" w:rsidRPr="00E435CA">
        <w:t xml:space="preserve"> </w:t>
      </w:r>
      <w:r w:rsidRPr="00E435CA">
        <w:t>strides</w:t>
      </w:r>
      <w:r w:rsidR="00184181" w:rsidRPr="00E435CA">
        <w:t xml:space="preserve"> </w:t>
      </w:r>
      <w:r w:rsidRPr="00E435CA">
        <w:t>towards</w:t>
      </w:r>
      <w:r w:rsidR="00184181" w:rsidRPr="00E435CA">
        <w:t xml:space="preserve"> </w:t>
      </w:r>
      <w:r w:rsidRPr="00E435CA">
        <w:t>ensuring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January,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approved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law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recognition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sign</w:t>
      </w:r>
      <w:r w:rsidR="00184181" w:rsidRPr="00E435CA">
        <w:t xml:space="preserve"> </w:t>
      </w:r>
      <w:r w:rsidRPr="00E435CA">
        <w:t>language.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OHCHR,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developed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model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consultation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inclusion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decision-making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matters</w:t>
      </w:r>
      <w:r w:rsidR="00184181" w:rsidRPr="00E435CA">
        <w:t xml:space="preserve"> </w:t>
      </w:r>
      <w:r w:rsidRPr="00E435CA">
        <w:t>affecting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lives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development,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communities,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line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standards.</w:t>
      </w:r>
    </w:p>
    <w:p w14:paraId="70D54E42" w14:textId="77777777" w:rsidR="005328B0" w:rsidRPr="00E435CA" w:rsidRDefault="00467C67" w:rsidP="00467C67">
      <w:pPr>
        <w:pStyle w:val="SingleTxtG"/>
      </w:pPr>
      <w:r w:rsidRPr="00E435CA">
        <w:t>47.</w:t>
      </w:r>
      <w:r w:rsidRPr="00E435CA">
        <w:tab/>
        <w:t>Despite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progress</w:t>
      </w:r>
      <w:r w:rsidR="00184181" w:rsidRPr="00E435CA">
        <w:t xml:space="preserve"> </w:t>
      </w:r>
      <w:r w:rsidRPr="00E435CA">
        <w:t>made,</w:t>
      </w:r>
      <w:r w:rsidR="00184181" w:rsidRPr="00E435CA">
        <w:t xml:space="preserve"> </w:t>
      </w:r>
      <w:r w:rsidRPr="00E435CA">
        <w:t>legal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policy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do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fully</w:t>
      </w:r>
      <w:r w:rsidR="00184181" w:rsidRPr="00E435CA">
        <w:t xml:space="preserve"> </w:t>
      </w:r>
      <w:r w:rsidRPr="00E435CA">
        <w:t>recognize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rights-holders</w:t>
      </w:r>
      <w:r w:rsidR="00184181" w:rsidRPr="00E435CA">
        <w:t xml:space="preserve"> </w:t>
      </w:r>
      <w:r w:rsidRPr="00E435CA">
        <w:t>persist.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Congressional</w:t>
      </w:r>
      <w:r w:rsidR="00184181" w:rsidRPr="00E435CA">
        <w:t xml:space="preserve"> </w:t>
      </w:r>
      <w:r w:rsidRPr="00E435CA">
        <w:t>Committee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Disability</w:t>
      </w:r>
      <w:r w:rsidR="00184181" w:rsidRPr="00E435CA">
        <w:t xml:space="preserve"> </w:t>
      </w:r>
      <w:r w:rsidRPr="00E435CA">
        <w:t>Issues</w:t>
      </w:r>
      <w:r w:rsidR="00184181" w:rsidRPr="00E435CA">
        <w:t xml:space="preserve"> </w:t>
      </w:r>
      <w:r w:rsidRPr="00E435CA">
        <w:t>advanced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discussion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law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care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different</w:t>
      </w:r>
      <w:r w:rsidR="00184181" w:rsidRPr="00E435CA">
        <w:t xml:space="preserve"> </w:t>
      </w:r>
      <w:r w:rsidRPr="00E435CA">
        <w:t>abilities</w:t>
      </w:r>
      <w:r w:rsidR="00184181" w:rsidRPr="00E435CA">
        <w:t xml:space="preserve"> </w:t>
      </w:r>
      <w:r w:rsidRPr="00E435CA">
        <w:t>(Bill</w:t>
      </w:r>
      <w:r w:rsidR="00184181" w:rsidRPr="00E435CA">
        <w:t xml:space="preserve"> </w:t>
      </w:r>
      <w:r w:rsidRPr="00E435CA">
        <w:t>No.</w:t>
      </w:r>
      <w:r w:rsidR="00184181" w:rsidRPr="00E435CA">
        <w:t xml:space="preserve"> </w:t>
      </w:r>
      <w:r w:rsidRPr="00E435CA">
        <w:t>5125),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is</w:t>
      </w:r>
      <w:r w:rsidR="00184181" w:rsidRPr="00E435CA">
        <w:t xml:space="preserve"> </w:t>
      </w:r>
      <w:r w:rsidRPr="00E435CA">
        <w:t>aimed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addressing</w:t>
      </w:r>
      <w:r w:rsidR="00184181" w:rsidRPr="00E435CA">
        <w:t xml:space="preserve"> </w:t>
      </w:r>
      <w:r w:rsidRPr="00E435CA">
        <w:t>intersectional</w:t>
      </w:r>
      <w:r w:rsidR="00184181" w:rsidRPr="00E435CA">
        <w:t xml:space="preserve"> </w:t>
      </w:r>
      <w:r w:rsidRPr="00E435CA">
        <w:t>discrimination,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creating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programmes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registry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disabilities,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line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latest</w:t>
      </w:r>
      <w:r w:rsidR="00184181" w:rsidRPr="00E435CA">
        <w:t xml:space="preserve"> </w:t>
      </w:r>
      <w:r w:rsidRPr="00E435CA">
        <w:t>recommendations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Committee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Disabilities.</w:t>
      </w:r>
      <w:r w:rsidRPr="00E435CA">
        <w:rPr>
          <w:rStyle w:val="FootnoteReference"/>
        </w:rPr>
        <w:footnoteReference w:id="48"/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necessary</w:t>
      </w:r>
      <w:r w:rsidR="00184181" w:rsidRPr="00E435CA">
        <w:t xml:space="preserve"> </w:t>
      </w:r>
      <w:r w:rsidRPr="00E435CA">
        <w:t>consensus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approval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bill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reached.</w:t>
      </w:r>
    </w:p>
    <w:p w14:paraId="6E751460" w14:textId="77777777" w:rsidR="005328B0" w:rsidRPr="00E435CA" w:rsidRDefault="00467C67" w:rsidP="00184181">
      <w:pPr>
        <w:pStyle w:val="H1G"/>
      </w:pPr>
      <w:bookmarkStart w:id="57" w:name="_Toc461716685"/>
      <w:bookmarkStart w:id="58" w:name="_Toc461716958"/>
      <w:bookmarkStart w:id="59" w:name="_Toc461717121"/>
      <w:bookmarkStart w:id="60" w:name="_Toc463449211"/>
      <w:bookmarkStart w:id="61" w:name="_Toc466309356"/>
      <w:r w:rsidRPr="00E435CA">
        <w:tab/>
        <w:t>E.</w:t>
      </w:r>
      <w:r w:rsidRPr="00E435CA">
        <w:tab/>
        <w:t>Sexual</w:t>
      </w:r>
      <w:r w:rsidR="00184181" w:rsidRPr="00E435CA">
        <w:t xml:space="preserve"> </w:t>
      </w:r>
      <w:r w:rsidRPr="00E435CA">
        <w:t>diversity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gender</w:t>
      </w:r>
      <w:r w:rsidR="00184181" w:rsidRPr="00E435CA">
        <w:t xml:space="preserve"> </w:t>
      </w:r>
      <w:r w:rsidRPr="00E435CA">
        <w:t>identity</w:t>
      </w:r>
      <w:bookmarkEnd w:id="57"/>
      <w:bookmarkEnd w:id="58"/>
      <w:bookmarkEnd w:id="59"/>
      <w:bookmarkEnd w:id="60"/>
      <w:bookmarkEnd w:id="61"/>
    </w:p>
    <w:p w14:paraId="6F2ABF93" w14:textId="31323702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48.</w:t>
      </w:r>
      <w:r w:rsidRPr="00E435CA">
        <w:tab/>
        <w:t>Discrimination,</w:t>
      </w:r>
      <w:r w:rsidR="00184181" w:rsidRPr="00E435CA">
        <w:t xml:space="preserve"> </w:t>
      </w:r>
      <w:r w:rsidRPr="00E435CA">
        <w:t>harassment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stigmatization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lesbian,</w:t>
      </w:r>
      <w:r w:rsidR="00184181" w:rsidRPr="00E435CA">
        <w:t xml:space="preserve"> </w:t>
      </w:r>
      <w:r w:rsidRPr="00E435CA">
        <w:t>gay,</w:t>
      </w:r>
      <w:r w:rsidR="00184181" w:rsidRPr="00E435CA">
        <w:t xml:space="preserve"> </w:t>
      </w:r>
      <w:r w:rsidRPr="00E435CA">
        <w:t>bisexual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persisted.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lesbian,</w:t>
      </w:r>
      <w:r w:rsidR="00184181" w:rsidRPr="00E435CA">
        <w:t xml:space="preserve"> </w:t>
      </w:r>
      <w:r w:rsidRPr="00E435CA">
        <w:t>gay,</w:t>
      </w:r>
      <w:r w:rsidR="00184181" w:rsidRPr="00E435CA">
        <w:t xml:space="preserve"> </w:t>
      </w:r>
      <w:r w:rsidRPr="00E435CA">
        <w:t>bisexual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targets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violence.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12</w:t>
      </w:r>
      <w:r w:rsidR="00184181" w:rsidRPr="00E435CA">
        <w:t xml:space="preserve"> </w:t>
      </w:r>
      <w:r w:rsidRPr="00E435CA">
        <w:t>November,</w:t>
      </w:r>
      <w:r w:rsidR="00184181" w:rsidRPr="00E435CA">
        <w:t xml:space="preserve"> </w:t>
      </w:r>
      <w:r w:rsidRPr="00E435CA">
        <w:t>nine</w:t>
      </w:r>
      <w:r w:rsidR="00184181" w:rsidRPr="00E435CA">
        <w:t xml:space="preserve"> </w:t>
      </w:r>
      <w:r w:rsidRPr="00E435CA">
        <w:t>gay</w:t>
      </w:r>
      <w:r w:rsidR="00184181" w:rsidRPr="00E435CA">
        <w:t xml:space="preserve"> </w:t>
      </w:r>
      <w:r w:rsidRPr="00E435CA">
        <w:t>men</w:t>
      </w:r>
      <w:r w:rsidR="00184181" w:rsidRPr="00E435CA">
        <w:t xml:space="preserve"> </w:t>
      </w:r>
      <w:r w:rsidRPr="00E435CA">
        <w:t>(including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witness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murder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woman),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man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murdered.</w:t>
      </w:r>
      <w:r w:rsidR="00184181" w:rsidRPr="00E435CA">
        <w:t xml:space="preserve"> </w:t>
      </w:r>
      <w:r w:rsidRPr="00E435CA">
        <w:t>Five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murders</w:t>
      </w:r>
      <w:r w:rsidR="00184181" w:rsidRPr="00E435CA">
        <w:t xml:space="preserve"> </w:t>
      </w:r>
      <w:r w:rsidRPr="00E435CA">
        <w:t>took</w:t>
      </w:r>
      <w:r w:rsidR="00184181" w:rsidRPr="00E435CA">
        <w:t xml:space="preserve"> </w:t>
      </w:r>
      <w:r w:rsidRPr="00E435CA">
        <w:t>place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Izabal</w:t>
      </w:r>
      <w:r w:rsidR="00184181" w:rsidRPr="00E435CA">
        <w:t xml:space="preserve"> </w:t>
      </w:r>
      <w:r w:rsidRPr="00E435CA">
        <w:t>region.</w:t>
      </w:r>
      <w:r w:rsidRPr="00E435CA">
        <w:rPr>
          <w:rStyle w:val="FootnoteReference"/>
        </w:rPr>
        <w:footnoteReference w:id="49"/>
      </w:r>
    </w:p>
    <w:p w14:paraId="5604638F" w14:textId="4657AD58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49.</w:t>
      </w:r>
      <w:r w:rsidRPr="00E435CA">
        <w:tab/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framework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United</w:t>
      </w:r>
      <w:r w:rsidR="00184181" w:rsidRPr="00E435CA">
        <w:t xml:space="preserve"> </w:t>
      </w:r>
      <w:r w:rsidRPr="00E435CA">
        <w:t>Nations</w:t>
      </w:r>
      <w:r w:rsidR="00184181" w:rsidRPr="00E435CA">
        <w:t xml:space="preserve"> </w:t>
      </w:r>
      <w:r w:rsidRPr="00E435CA">
        <w:t>Free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Equal</w:t>
      </w:r>
      <w:r w:rsidR="00184181" w:rsidRPr="00E435CA">
        <w:t xml:space="preserve"> </w:t>
      </w:r>
      <w:r w:rsidRPr="00E435CA">
        <w:t>campaign,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advocated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free</w:t>
      </w:r>
      <w:r w:rsidR="00184181" w:rsidRPr="00E435CA">
        <w:t xml:space="preserve"> </w:t>
      </w:r>
      <w:r w:rsidRPr="00E435CA">
        <w:t>expression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orientation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gender</w:t>
      </w:r>
      <w:r w:rsidR="00184181" w:rsidRPr="00E435CA">
        <w:t xml:space="preserve"> </w:t>
      </w:r>
      <w:r w:rsidRPr="00E435CA">
        <w:t>identity,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warned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harmful</w:t>
      </w:r>
      <w:r w:rsidR="00184181" w:rsidRPr="00E435CA">
        <w:t xml:space="preserve"> </w:t>
      </w:r>
      <w:r w:rsidRPr="00E435CA">
        <w:t>effects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="00BE7FE5">
        <w:t>“</w:t>
      </w:r>
      <w:r w:rsidRPr="00E435CA">
        <w:t>conversion</w:t>
      </w:r>
      <w:r w:rsidR="00184181" w:rsidRPr="00E435CA">
        <w:t xml:space="preserve"> </w:t>
      </w:r>
      <w:r w:rsidRPr="00E435CA">
        <w:t>therapies</w:t>
      </w:r>
      <w:r w:rsidR="00BE7FE5">
        <w:t>”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attempt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change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gender</w:t>
      </w:r>
      <w:r w:rsidR="00184181" w:rsidRPr="00E435CA">
        <w:t xml:space="preserve"> </w:t>
      </w:r>
      <w:r w:rsidRPr="00E435CA">
        <w:t>identity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orientation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lesbian,</w:t>
      </w:r>
      <w:r w:rsidR="00184181" w:rsidRPr="00E435CA">
        <w:t xml:space="preserve"> </w:t>
      </w:r>
      <w:r w:rsidRPr="00E435CA">
        <w:t>gay,</w:t>
      </w:r>
      <w:r w:rsidR="00184181" w:rsidRPr="00E435CA">
        <w:t xml:space="preserve"> </w:t>
      </w:r>
      <w:r w:rsidRPr="00E435CA">
        <w:t>bisexual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persons.</w:t>
      </w:r>
      <w:r w:rsidRPr="00E435CA">
        <w:rPr>
          <w:rStyle w:val="FootnoteReference"/>
        </w:rPr>
        <w:footnoteReference w:id="50"/>
      </w:r>
    </w:p>
    <w:p w14:paraId="016C5A37" w14:textId="1E4AFC81" w:rsidR="00467C67" w:rsidRPr="00E435CA" w:rsidRDefault="00467C67" w:rsidP="00184181">
      <w:pPr>
        <w:pStyle w:val="H1G"/>
      </w:pPr>
      <w:bookmarkStart w:id="62" w:name="_Toc463449212"/>
      <w:bookmarkStart w:id="63" w:name="_Toc466309357"/>
      <w:r w:rsidRPr="00E435CA">
        <w:tab/>
        <w:t>F.</w:t>
      </w:r>
      <w:r w:rsidRPr="00E435CA">
        <w:tab/>
        <w:t>Young</w:t>
      </w:r>
      <w:bookmarkEnd w:id="62"/>
      <w:bookmarkEnd w:id="63"/>
      <w:r w:rsidR="00184181" w:rsidRPr="00E435CA">
        <w:t xml:space="preserve"> </w:t>
      </w:r>
      <w:r w:rsidRPr="00E435CA">
        <w:t>people</w:t>
      </w:r>
    </w:p>
    <w:p w14:paraId="195A281E" w14:textId="5144B9EB" w:rsidR="005328B0" w:rsidRPr="00E435CA" w:rsidRDefault="00467C67" w:rsidP="00467C67">
      <w:pPr>
        <w:pStyle w:val="SingleTxtG"/>
      </w:pPr>
      <w:r w:rsidRPr="00E435CA">
        <w:t>50.</w:t>
      </w:r>
      <w:r w:rsidRPr="00E435CA">
        <w:tab/>
        <w:t>OHCHR</w:t>
      </w:r>
      <w:r w:rsidR="00184181" w:rsidRPr="00E435CA">
        <w:t xml:space="preserve"> </w:t>
      </w:r>
      <w:r w:rsidRPr="00E435CA">
        <w:t>organized</w:t>
      </w:r>
      <w:r w:rsidR="00184181" w:rsidRPr="00E435CA">
        <w:t xml:space="preserve"> </w:t>
      </w:r>
      <w:r w:rsidR="00765EC0" w:rsidRPr="00E435CA">
        <w:t>2</w:t>
      </w:r>
      <w:r w:rsidR="00184181" w:rsidRPr="00E435CA">
        <w:t xml:space="preserve"> </w:t>
      </w:r>
      <w:r w:rsidRPr="00E435CA">
        <w:t>workshops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young</w:t>
      </w:r>
      <w:r w:rsidR="00184181" w:rsidRPr="00E435CA">
        <w:t xml:space="preserve"> </w:t>
      </w:r>
      <w:r w:rsidRPr="00E435CA">
        <w:t>people,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participated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15</w:t>
      </w:r>
      <w:r w:rsidR="00184181" w:rsidRPr="00E435CA">
        <w:t xml:space="preserve"> </w:t>
      </w:r>
      <w:r w:rsidRPr="00E435CA">
        <w:t>workshops</w:t>
      </w:r>
      <w:r w:rsidR="00184181" w:rsidRPr="00E435CA">
        <w:t xml:space="preserve"> </w:t>
      </w:r>
      <w:r w:rsidRPr="00E435CA">
        <w:t>organized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institutions,</w:t>
      </w:r>
      <w:r w:rsidR="00184181" w:rsidRPr="00E435CA">
        <w:t xml:space="preserve"> </w:t>
      </w:r>
      <w:r w:rsidRPr="00E435CA">
        <w:t>providing</w:t>
      </w:r>
      <w:r w:rsidR="00184181" w:rsidRPr="00E435CA">
        <w:t xml:space="preserve"> </w:t>
      </w:r>
      <w:r w:rsidRPr="00E435CA">
        <w:t>young</w:t>
      </w:r>
      <w:r w:rsidR="00184181" w:rsidRPr="00E435CA">
        <w:t xml:space="preserve"> </w:t>
      </w:r>
      <w:r w:rsidRPr="00E435CA">
        <w:t>leaders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servants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standards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young</w:t>
      </w:r>
      <w:r w:rsidR="00184181" w:rsidRPr="00E435CA">
        <w:t xml:space="preserve"> </w:t>
      </w:r>
      <w:r w:rsidRPr="00E435CA">
        <w:t>people.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led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="00BE7FE5">
        <w:t>“</w:t>
      </w:r>
      <w:r w:rsidRPr="00E435CA">
        <w:t>Connected</w:t>
      </w:r>
      <w:r w:rsidR="00184181" w:rsidRPr="00E435CA">
        <w:t xml:space="preserve"> </w:t>
      </w:r>
      <w:r w:rsidRPr="00E435CA">
        <w:t>Youths</w:t>
      </w:r>
      <w:r w:rsidR="00BE7FE5">
        <w:t>”</w:t>
      </w:r>
      <w:r w:rsidR="00184181" w:rsidRPr="00E435CA">
        <w:t xml:space="preserve"> </w:t>
      </w:r>
      <w:r w:rsidRPr="00E435CA">
        <w:t>initiative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coordination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12</w:t>
      </w:r>
      <w:r w:rsidR="00184181" w:rsidRPr="00E435CA">
        <w:t xml:space="preserve"> </w:t>
      </w:r>
      <w:r w:rsidRPr="00E435CA">
        <w:t>youth</w:t>
      </w:r>
      <w:r w:rsidR="00184181" w:rsidRPr="00E435CA">
        <w:t xml:space="preserve"> </w:t>
      </w:r>
      <w:r w:rsidRPr="00E435CA">
        <w:t>organizations,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gathered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400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virtual</w:t>
      </w:r>
      <w:r w:rsidR="00184181" w:rsidRPr="00E435CA">
        <w:t xml:space="preserve"> </w:t>
      </w:r>
      <w:r w:rsidRPr="00E435CA">
        <w:t>meetings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discuss</w:t>
      </w:r>
      <w:r w:rsidR="00184181" w:rsidRPr="00E435CA">
        <w:t xml:space="preserve"> </w:t>
      </w:r>
      <w:r w:rsidRPr="00E435CA">
        <w:t>proposals</w:t>
      </w:r>
      <w:r w:rsidR="00184181" w:rsidRPr="00E435CA">
        <w:t xml:space="preserve"> </w:t>
      </w:r>
      <w:r w:rsidRPr="00E435CA">
        <w:t>made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young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concerning</w:t>
      </w:r>
      <w:r w:rsidR="00184181" w:rsidRPr="00E435CA">
        <w:t xml:space="preserve"> </w:t>
      </w:r>
      <w:r w:rsidRPr="00E435CA">
        <w:t>digital</w:t>
      </w:r>
      <w:r w:rsidR="00184181" w:rsidRPr="00E435CA">
        <w:t xml:space="preserve"> </w:t>
      </w:r>
      <w:r w:rsidRPr="00E435CA">
        <w:t>security,</w:t>
      </w:r>
      <w:r w:rsidR="00184181" w:rsidRPr="00E435CA">
        <w:t xml:space="preserve"> </w:t>
      </w:r>
      <w:r w:rsidRPr="00E435CA">
        <w:t>education,</w:t>
      </w:r>
      <w:r w:rsidR="00184181" w:rsidRPr="00E435CA">
        <w:t xml:space="preserve"> </w:t>
      </w:r>
      <w:r w:rsidRPr="00E435CA">
        <w:t>economic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fighting</w:t>
      </w:r>
      <w:r w:rsidR="00184181" w:rsidRPr="00E435CA">
        <w:t xml:space="preserve"> </w:t>
      </w:r>
      <w:r w:rsidRPr="00E435CA">
        <w:t>discrimination.</w:t>
      </w:r>
    </w:p>
    <w:p w14:paraId="4B3C292A" w14:textId="77777777" w:rsidR="005328B0" w:rsidRPr="00E435CA" w:rsidRDefault="00467C67" w:rsidP="00184181">
      <w:pPr>
        <w:pStyle w:val="HChG"/>
      </w:pPr>
      <w:bookmarkStart w:id="64" w:name="_Toc461716959"/>
      <w:bookmarkStart w:id="65" w:name="_Toc461717122"/>
      <w:bookmarkStart w:id="66" w:name="_Toc463449213"/>
      <w:bookmarkStart w:id="67" w:name="_Toc466309358"/>
      <w:r w:rsidRPr="00E435CA">
        <w:tab/>
        <w:t>V.</w:t>
      </w:r>
      <w:r w:rsidRPr="00E435CA">
        <w:tab/>
        <w:t>Inclusive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sustainable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development</w:t>
      </w:r>
      <w:bookmarkEnd w:id="64"/>
      <w:bookmarkEnd w:id="65"/>
      <w:bookmarkEnd w:id="66"/>
      <w:bookmarkEnd w:id="67"/>
    </w:p>
    <w:p w14:paraId="5DF0FB42" w14:textId="7B0A0A5A" w:rsidR="00467C67" w:rsidRPr="00E435CA" w:rsidRDefault="00467C67" w:rsidP="00184181">
      <w:pPr>
        <w:pStyle w:val="H1G"/>
      </w:pPr>
      <w:bookmarkStart w:id="68" w:name="_Toc461716960"/>
      <w:bookmarkStart w:id="69" w:name="_Toc461717123"/>
      <w:bookmarkStart w:id="70" w:name="_Toc463449214"/>
      <w:bookmarkStart w:id="71" w:name="_Toc466309359"/>
      <w:r w:rsidRPr="00E435CA">
        <w:tab/>
        <w:t>A.</w:t>
      </w:r>
      <w:r w:rsidRPr="00E435CA">
        <w:tab/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food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water</w:t>
      </w:r>
      <w:bookmarkEnd w:id="68"/>
      <w:bookmarkEnd w:id="69"/>
      <w:bookmarkEnd w:id="70"/>
      <w:bookmarkEnd w:id="71"/>
    </w:p>
    <w:p w14:paraId="00FBC009" w14:textId="388BA162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51.</w:t>
      </w:r>
      <w:r w:rsidRPr="00E435CA">
        <w:tab/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launched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="00BE7FE5">
        <w:t>“</w:t>
      </w:r>
      <w:r w:rsidRPr="00E435CA">
        <w:t>Great</w:t>
      </w:r>
      <w:r w:rsidR="00184181" w:rsidRPr="00E435CA">
        <w:t xml:space="preserve"> </w:t>
      </w:r>
      <w:r w:rsidRPr="00E435CA">
        <w:t>Crusade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Malnutrition</w:t>
      </w:r>
      <w:r w:rsidR="00BE7FE5">
        <w:t>”</w:t>
      </w:r>
      <w:r w:rsidRPr="00E435CA">
        <w:t>,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strategy</w:t>
      </w:r>
      <w:r w:rsidR="00184181" w:rsidRPr="00E435CA">
        <w:t xml:space="preserve"> </w:t>
      </w:r>
      <w:r w:rsidRPr="00E435CA">
        <w:t>focusing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malnutrition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humanitarian</w:t>
      </w:r>
      <w:r w:rsidR="00184181" w:rsidRPr="00E435CA">
        <w:t xml:space="preserve"> </w:t>
      </w:r>
      <w:r w:rsidRPr="00E435CA">
        <w:t>emergency.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Food</w:t>
      </w:r>
      <w:r w:rsidR="00184181" w:rsidRPr="00E435CA">
        <w:t xml:space="preserve"> </w:t>
      </w:r>
      <w:r w:rsidRPr="00E435CA">
        <w:t>Security</w:t>
      </w:r>
      <w:r w:rsidR="00184181" w:rsidRPr="00E435CA">
        <w:t xml:space="preserve"> </w:t>
      </w:r>
      <w:r w:rsidRPr="00E435CA">
        <w:t>adopted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working</w:t>
      </w:r>
      <w:r w:rsidR="00184181" w:rsidRPr="00E435CA">
        <w:t xml:space="preserve"> </w:t>
      </w:r>
      <w:r w:rsidRPr="00E435CA">
        <w:t>plan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compliance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judgment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rPr>
          <w:i/>
          <w:iCs/>
        </w:rPr>
        <w:t>Camotán</w:t>
      </w:r>
      <w:r w:rsidR="00184181" w:rsidRPr="00E435CA">
        <w:t xml:space="preserve"> </w:t>
      </w:r>
      <w:r w:rsidRPr="00E435CA">
        <w:lastRenderedPageBreak/>
        <w:t>case,</w:t>
      </w:r>
      <w:r w:rsidR="00184181" w:rsidRPr="00E435CA">
        <w:t xml:space="preserve"> </w:t>
      </w:r>
      <w:r w:rsidRPr="00E435CA">
        <w:t>based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report</w:t>
      </w:r>
      <w:r w:rsidR="00184181" w:rsidRPr="00E435CA">
        <w:t xml:space="preserve"> </w:t>
      </w:r>
      <w:r w:rsidRPr="00E435CA">
        <w:t>developed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OHCHR.</w:t>
      </w:r>
      <w:r w:rsidRPr="00E435CA">
        <w:rPr>
          <w:rStyle w:val="FootnoteReference"/>
        </w:rPr>
        <w:footnoteReference w:id="51"/>
      </w:r>
    </w:p>
    <w:p w14:paraId="4565240D" w14:textId="435C1662" w:rsidR="00467C67" w:rsidRPr="00E435CA" w:rsidRDefault="00467C67" w:rsidP="00467C67">
      <w:pPr>
        <w:pStyle w:val="SingleTxtG"/>
      </w:pPr>
      <w:r w:rsidRPr="00E435CA">
        <w:t>52.</w:t>
      </w:r>
      <w:r w:rsidRPr="00E435CA">
        <w:tab/>
        <w:t>Despite</w:t>
      </w:r>
      <w:r w:rsidR="00184181" w:rsidRPr="00E435CA">
        <w:t xml:space="preserve"> </w:t>
      </w:r>
      <w:r w:rsidRPr="00E435CA">
        <w:t>these</w:t>
      </w:r>
      <w:r w:rsidR="00184181" w:rsidRPr="00E435CA">
        <w:t xml:space="preserve"> </w:t>
      </w:r>
      <w:r w:rsidRPr="00E435CA">
        <w:t>efforts,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14</w:t>
      </w:r>
      <w:r w:rsidR="00184181" w:rsidRPr="00E435CA">
        <w:t xml:space="preserve"> </w:t>
      </w:r>
      <w:r w:rsidRPr="00E435CA">
        <w:t>November,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recorded</w:t>
      </w:r>
      <w:r w:rsidR="00184181" w:rsidRPr="00E435CA">
        <w:t xml:space="preserve"> </w:t>
      </w:r>
      <w:r w:rsidRPr="00E435CA">
        <w:t>25,292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acute</w:t>
      </w:r>
      <w:r w:rsidR="00184181" w:rsidRPr="00E435CA">
        <w:t xml:space="preserve"> </w:t>
      </w:r>
      <w:r w:rsidRPr="00E435CA">
        <w:t>malnutrition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children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age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="006B2136" w:rsidRPr="00E435CA">
        <w:t>5</w:t>
      </w:r>
      <w:r w:rsidRPr="00E435CA">
        <w:t>.</w:t>
      </w:r>
      <w:r w:rsidRPr="00E435CA">
        <w:rPr>
          <w:rStyle w:val="FootnoteReference"/>
        </w:rPr>
        <w:footnoteReference w:id="52"/>
      </w:r>
      <w:r w:rsidR="00184181" w:rsidRPr="00E435CA">
        <w:t xml:space="preserve"> </w:t>
      </w:r>
      <w:r w:rsidRPr="00E435CA">
        <w:t>Malnutrition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food</w:t>
      </w:r>
      <w:r w:rsidR="00184181" w:rsidRPr="00E435CA">
        <w:t xml:space="preserve"> </w:t>
      </w:r>
      <w:r w:rsidRPr="00E435CA">
        <w:t>insecurity</w:t>
      </w:r>
      <w:r w:rsidR="00184181" w:rsidRPr="00E435CA">
        <w:t xml:space="preserve"> </w:t>
      </w:r>
      <w:r w:rsidRPr="00E435CA">
        <w:t>remained</w:t>
      </w:r>
      <w:r w:rsidR="00184181" w:rsidRPr="00E435CA">
        <w:t xml:space="preserve"> </w:t>
      </w:r>
      <w:r w:rsidRPr="00E435CA">
        <w:t>high,</w:t>
      </w:r>
      <w:r w:rsidR="00184181" w:rsidRPr="00E435CA">
        <w:t xml:space="preserve"> </w:t>
      </w:r>
      <w:r w:rsidRPr="00E435CA">
        <w:t>driven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poverty</w:t>
      </w:r>
      <w:r w:rsidR="00184181" w:rsidRPr="00E435CA">
        <w:t xml:space="preserve"> </w:t>
      </w:r>
      <w:r w:rsidRPr="00E435CA">
        <w:t>rates,</w:t>
      </w:r>
      <w:r w:rsidR="00184181" w:rsidRPr="00E435CA">
        <w:t xml:space="preserve"> </w:t>
      </w:r>
      <w:r w:rsidRPr="00E435CA">
        <w:t>lack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decent</w:t>
      </w:r>
      <w:r w:rsidR="00184181" w:rsidRPr="00E435CA">
        <w:t xml:space="preserve"> </w:t>
      </w:r>
      <w:r w:rsidRPr="00E435CA">
        <w:t>work</w:t>
      </w:r>
      <w:r w:rsidR="00184181" w:rsidRPr="00E435CA">
        <w:t xml:space="preserve"> </w:t>
      </w:r>
      <w:r w:rsidRPr="00E435CA">
        <w:t>opportunities,</w:t>
      </w:r>
      <w:r w:rsidR="00184181" w:rsidRPr="00E435CA">
        <w:t xml:space="preserve"> </w:t>
      </w:r>
      <w:r w:rsidRPr="00E435CA">
        <w:t>unequal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land,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diminishing</w:t>
      </w:r>
      <w:r w:rsidR="00184181" w:rsidRPr="00E435CA">
        <w:t xml:space="preserve"> </w:t>
      </w:r>
      <w:r w:rsidRPr="00E435CA">
        <w:t>returns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small-scale</w:t>
      </w:r>
      <w:r w:rsidR="00184181" w:rsidRPr="00E435CA">
        <w:t xml:space="preserve"> </w:t>
      </w:r>
      <w:r w:rsidRPr="00E435CA">
        <w:t>farming</w:t>
      </w:r>
      <w:r w:rsidR="00184181" w:rsidRPr="00E435CA">
        <w:t xml:space="preserve"> </w:t>
      </w:r>
      <w:r w:rsidRPr="00E435CA">
        <w:t>due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climate</w:t>
      </w:r>
      <w:r w:rsidR="00184181" w:rsidRPr="00E435CA">
        <w:t xml:space="preserve"> </w:t>
      </w:r>
      <w:r w:rsidRPr="00E435CA">
        <w:t>change.</w:t>
      </w:r>
      <w:r w:rsidRPr="00E435CA">
        <w:rPr>
          <w:rStyle w:val="FootnoteReference"/>
        </w:rPr>
        <w:footnoteReference w:id="53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economic</w:t>
      </w:r>
      <w:r w:rsidR="00184181" w:rsidRPr="00E435CA">
        <w:t xml:space="preserve"> </w:t>
      </w:r>
      <w:r w:rsidRPr="00E435CA">
        <w:t>fallout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worsened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situation,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white</w:t>
      </w:r>
      <w:r w:rsidR="00184181" w:rsidRPr="00E435CA">
        <w:t xml:space="preserve"> </w:t>
      </w:r>
      <w:r w:rsidRPr="00E435CA">
        <w:t>flags,</w:t>
      </w:r>
      <w:r w:rsidR="00184181" w:rsidRPr="00E435CA">
        <w:t xml:space="preserve"> </w:t>
      </w:r>
      <w:r w:rsidRPr="00E435CA">
        <w:t>signalling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need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food,</w:t>
      </w:r>
      <w:r w:rsidR="00184181" w:rsidRPr="00E435CA">
        <w:t xml:space="preserve"> </w:t>
      </w:r>
      <w:r w:rsidRPr="00E435CA">
        <w:t>became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common</w:t>
      </w:r>
      <w:r w:rsidR="00184181" w:rsidRPr="00E435CA">
        <w:t xml:space="preserve"> </w:t>
      </w:r>
      <w:r w:rsidRPr="00E435CA">
        <w:t>sight</w:t>
      </w:r>
      <w:r w:rsidR="00184181" w:rsidRPr="00E435CA">
        <w:t xml:space="preserve"> </w:t>
      </w:r>
      <w:r w:rsidRPr="00E435CA">
        <w:t>across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country.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address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situation,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launched</w:t>
      </w:r>
      <w:r w:rsidR="00184181" w:rsidRPr="00E435CA">
        <w:t xml:space="preserve"> </w:t>
      </w:r>
      <w:r w:rsidRPr="00E435CA">
        <w:t>several</w:t>
      </w:r>
      <w:r w:rsidR="00184181" w:rsidRPr="00E435CA">
        <w:t xml:space="preserve"> </w:t>
      </w:r>
      <w:r w:rsidRPr="00E435CA">
        <w:t>initiatives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paras.</w:t>
      </w:r>
      <w:r w:rsidR="00184181" w:rsidRPr="00E435CA">
        <w:t xml:space="preserve"> </w:t>
      </w:r>
      <w:r w:rsidRPr="00E435CA">
        <w:t>31–32).</w:t>
      </w:r>
    </w:p>
    <w:p w14:paraId="66EE8A22" w14:textId="77777777" w:rsidR="005328B0" w:rsidRPr="00E435CA" w:rsidRDefault="00467C67" w:rsidP="00467C67">
      <w:pPr>
        <w:pStyle w:val="SingleTxtG"/>
      </w:pPr>
      <w:r w:rsidRPr="00E435CA">
        <w:t>53.</w:t>
      </w:r>
      <w:r w:rsidRPr="00E435CA">
        <w:tab/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highlighted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importance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water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sanitation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determining</w:t>
      </w:r>
      <w:r w:rsidR="00184181" w:rsidRPr="00E435CA">
        <w:t xml:space="preserve"> </w:t>
      </w:r>
      <w:r w:rsidRPr="00E435CA">
        <w:t>factors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preventing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spread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diseases.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households</w:t>
      </w:r>
      <w:r w:rsidR="00184181" w:rsidRPr="00E435CA">
        <w:t xml:space="preserve"> </w:t>
      </w:r>
      <w:r w:rsidRPr="00E435CA">
        <w:t>does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running</w:t>
      </w:r>
      <w:r w:rsidR="00184181" w:rsidRPr="00E435CA">
        <w:t xml:space="preserve"> </w:t>
      </w:r>
      <w:r w:rsidRPr="00E435CA">
        <w:t>water,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figure</w:t>
      </w:r>
      <w:r w:rsidR="00184181" w:rsidRPr="00E435CA">
        <w:t xml:space="preserve"> </w:t>
      </w:r>
      <w:r w:rsidRPr="00E435CA">
        <w:t>rises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regions</w:t>
      </w:r>
      <w:r w:rsidR="00184181" w:rsidRPr="00E435CA">
        <w:t xml:space="preserve"> </w:t>
      </w:r>
      <w:r w:rsidRPr="00E435CA">
        <w:t>where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majority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population</w:t>
      </w:r>
      <w:r w:rsidR="00184181" w:rsidRPr="00E435CA">
        <w:t xml:space="preserve"> </w:t>
      </w:r>
      <w:r w:rsidRPr="00E435CA">
        <w:t>is</w:t>
      </w:r>
      <w:r w:rsidR="00184181" w:rsidRPr="00E435CA">
        <w:t xml:space="preserve"> </w:t>
      </w:r>
      <w:r w:rsidRPr="00E435CA">
        <w:t>indigenous.</w:t>
      </w:r>
      <w:r w:rsidRPr="00E435CA">
        <w:rPr>
          <w:rStyle w:val="FootnoteReference"/>
        </w:rPr>
        <w:footnoteReference w:id="54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provision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drinking</w:t>
      </w:r>
      <w:r w:rsidR="00184181" w:rsidRPr="00E435CA">
        <w:t xml:space="preserve"> </w:t>
      </w:r>
      <w:r w:rsidRPr="00E435CA">
        <w:t>water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basic</w:t>
      </w:r>
      <w:r w:rsidR="00184181" w:rsidRPr="00E435CA">
        <w:t xml:space="preserve"> </w:t>
      </w:r>
      <w:r w:rsidRPr="00E435CA">
        <w:t>sanitation</w:t>
      </w:r>
      <w:r w:rsidR="00184181" w:rsidRPr="00E435CA">
        <w:t xml:space="preserve"> </w:t>
      </w:r>
      <w:r w:rsidRPr="00E435CA">
        <w:t>is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responsibility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municipalities.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held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capacity-building</w:t>
      </w:r>
      <w:r w:rsidR="00184181" w:rsidRPr="00E435CA">
        <w:t xml:space="preserve"> </w:t>
      </w:r>
      <w:r w:rsidRPr="00E435CA">
        <w:t>forums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technicians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125</w:t>
      </w:r>
      <w:r w:rsidR="00184181" w:rsidRPr="00E435CA">
        <w:t xml:space="preserve"> </w:t>
      </w:r>
      <w:r w:rsidRPr="00E435CA">
        <w:t>municipalities,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participation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Rapporteur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safe</w:t>
      </w:r>
      <w:r w:rsidR="00184181" w:rsidRPr="00E435CA">
        <w:t xml:space="preserve"> </w:t>
      </w:r>
      <w:r w:rsidRPr="00E435CA">
        <w:t>drinking</w:t>
      </w:r>
      <w:r w:rsidR="00184181" w:rsidRPr="00E435CA">
        <w:t xml:space="preserve"> </w:t>
      </w:r>
      <w:r w:rsidRPr="00E435CA">
        <w:t>water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sanitation.</w:t>
      </w:r>
    </w:p>
    <w:p w14:paraId="2665EA56" w14:textId="5502C93A" w:rsidR="00467C67" w:rsidRPr="00E435CA" w:rsidRDefault="00467C67" w:rsidP="00467C67">
      <w:pPr>
        <w:pStyle w:val="SingleTxtG"/>
      </w:pPr>
      <w:r w:rsidRPr="00E435CA">
        <w:t>54.</w:t>
      </w:r>
      <w:r w:rsidRPr="00E435CA">
        <w:tab/>
        <w:t>OHCHR</w:t>
      </w:r>
      <w:r w:rsidR="00184181" w:rsidRPr="00E435CA">
        <w:t xml:space="preserve"> </w:t>
      </w:r>
      <w:r w:rsidRPr="00E435CA">
        <w:t>followed</w:t>
      </w:r>
      <w:r w:rsidR="00184181" w:rsidRPr="00E435CA">
        <w:t xml:space="preserve"> </w:t>
      </w:r>
      <w:r w:rsidRPr="00E435CA">
        <w:t>eight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contamination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water</w:t>
      </w:r>
      <w:r w:rsidR="00184181" w:rsidRPr="00E435CA">
        <w:t xml:space="preserve"> </w:t>
      </w:r>
      <w:r w:rsidRPr="00E435CA">
        <w:t>sources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damaged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environment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negatively</w:t>
      </w:r>
      <w:r w:rsidR="00184181" w:rsidRPr="00E435CA">
        <w:t xml:space="preserve"> </w:t>
      </w:r>
      <w:r w:rsidRPr="00E435CA">
        <w:t>affected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water.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protected</w:t>
      </w:r>
      <w:r w:rsidR="00184181" w:rsidRPr="00E435CA">
        <w:t xml:space="preserve"> </w:t>
      </w:r>
      <w:r w:rsidRPr="00E435CA">
        <w:t>area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Manchón</w:t>
      </w:r>
      <w:r w:rsidR="00184181" w:rsidRPr="00E435CA">
        <w:t xml:space="preserve"> </w:t>
      </w:r>
      <w:r w:rsidRPr="00E435CA">
        <w:t>Guamuchal,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Protected</w:t>
      </w:r>
      <w:r w:rsidR="00184181" w:rsidRPr="00E435CA">
        <w:t xml:space="preserve"> </w:t>
      </w:r>
      <w:r w:rsidRPr="00E435CA">
        <w:t>Areas</w:t>
      </w:r>
      <w:r w:rsidR="00184181" w:rsidRPr="00E435CA">
        <w:t xml:space="preserve"> </w:t>
      </w:r>
      <w:r w:rsidRPr="00E435CA">
        <w:t>(CONAP)</w:t>
      </w:r>
      <w:r w:rsidR="00184181" w:rsidRPr="00E435CA">
        <w:t xml:space="preserve"> </w:t>
      </w:r>
      <w:r w:rsidRPr="00E435CA">
        <w:t>denounced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severe</w:t>
      </w:r>
      <w:r w:rsidR="00184181" w:rsidRPr="00E435CA">
        <w:t xml:space="preserve"> </w:t>
      </w:r>
      <w:r w:rsidRPr="00E435CA">
        <w:t>contamination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Ocosito</w:t>
      </w:r>
      <w:r w:rsidR="00184181" w:rsidRPr="00E435CA">
        <w:t xml:space="preserve"> </w:t>
      </w:r>
      <w:r w:rsidRPr="00E435CA">
        <w:t>River.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contamination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likely</w:t>
      </w:r>
      <w:r w:rsidR="00184181" w:rsidRPr="00E435CA">
        <w:t xml:space="preserve"> </w:t>
      </w:r>
      <w:r w:rsidRPr="00E435CA">
        <w:t>caused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dumping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waste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agricultural</w:t>
      </w:r>
      <w:r w:rsidR="00184181" w:rsidRPr="00E435CA">
        <w:t xml:space="preserve"> </w:t>
      </w:r>
      <w:r w:rsidRPr="00E435CA">
        <w:t>industry.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charged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investigation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environmental</w:t>
      </w:r>
      <w:r w:rsidR="00184181" w:rsidRPr="00E435CA">
        <w:t xml:space="preserve"> </w:t>
      </w:r>
      <w:r w:rsidRPr="00E435CA">
        <w:t>pollution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limited</w:t>
      </w:r>
      <w:r w:rsidR="00184181" w:rsidRPr="00E435CA">
        <w:t xml:space="preserve"> </w:t>
      </w:r>
      <w:r w:rsidRPr="00E435CA">
        <w:t>capacity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carry</w:t>
      </w:r>
      <w:r w:rsidR="00184181" w:rsidRPr="00E435CA">
        <w:t xml:space="preserve"> </w:t>
      </w:r>
      <w:r w:rsidRPr="00E435CA">
        <w:t>out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required</w:t>
      </w:r>
      <w:r w:rsidR="00184181" w:rsidRPr="00E435CA">
        <w:t xml:space="preserve"> </w:t>
      </w:r>
      <w:r w:rsidRPr="00E435CA">
        <w:t>scientific</w:t>
      </w:r>
      <w:r w:rsidR="00184181" w:rsidRPr="00E435CA">
        <w:t xml:space="preserve"> </w:t>
      </w:r>
      <w:r w:rsidRPr="00E435CA">
        <w:t>tests,</w:t>
      </w:r>
      <w:r w:rsidR="00184181" w:rsidRPr="00E435CA">
        <w:t xml:space="preserve"> </w:t>
      </w:r>
      <w:r w:rsidRPr="00E435CA">
        <w:t>analyse</w:t>
      </w:r>
      <w:r w:rsidR="00184181" w:rsidRPr="00E435CA">
        <w:t xml:space="preserve"> </w:t>
      </w:r>
      <w:r w:rsidRPr="00E435CA">
        <w:t>environmental</w:t>
      </w:r>
      <w:r w:rsidR="00184181" w:rsidRPr="00E435CA">
        <w:t xml:space="preserve"> </w:t>
      </w:r>
      <w:r w:rsidRPr="00E435CA">
        <w:t>impact</w:t>
      </w:r>
      <w:r w:rsidR="00184181" w:rsidRPr="00E435CA">
        <w:t xml:space="preserve"> </w:t>
      </w:r>
      <w:r w:rsidRPr="00E435CA">
        <w:t>studies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follow</w:t>
      </w:r>
      <w:r w:rsidR="00184181" w:rsidRPr="00E435CA">
        <w:t xml:space="preserve"> </w:t>
      </w:r>
      <w:r w:rsidRPr="00E435CA">
        <w:t>up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sanctions.</w:t>
      </w:r>
    </w:p>
    <w:p w14:paraId="2EDBBA23" w14:textId="2774FA74" w:rsidR="00467C67" w:rsidRPr="00E435CA" w:rsidRDefault="00467C67" w:rsidP="002F25F6">
      <w:pPr>
        <w:pStyle w:val="H1G"/>
      </w:pPr>
      <w:bookmarkStart w:id="72" w:name="_Toc461716961"/>
      <w:bookmarkStart w:id="73" w:name="_Toc461717124"/>
      <w:bookmarkStart w:id="74" w:name="_Toc463449215"/>
      <w:bookmarkStart w:id="75" w:name="_Toc466309360"/>
      <w:r w:rsidRPr="00E435CA">
        <w:tab/>
        <w:t>B.</w:t>
      </w:r>
      <w:r w:rsidRPr="00E435CA">
        <w:tab/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lands,</w:t>
      </w:r>
      <w:r w:rsidR="00184181" w:rsidRPr="00E435CA">
        <w:t xml:space="preserve"> </w:t>
      </w:r>
      <w:r w:rsidRPr="00E435CA">
        <w:t>territories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natural</w:t>
      </w:r>
      <w:r w:rsidR="00184181" w:rsidRPr="00E435CA">
        <w:t xml:space="preserve"> </w:t>
      </w:r>
      <w:r w:rsidRPr="00E435CA">
        <w:t>resources</w:t>
      </w:r>
      <w:bookmarkEnd w:id="72"/>
      <w:bookmarkEnd w:id="73"/>
      <w:bookmarkEnd w:id="74"/>
      <w:bookmarkEnd w:id="75"/>
    </w:p>
    <w:p w14:paraId="3E80A2D6" w14:textId="15339E27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55.</w:t>
      </w:r>
      <w:r w:rsidRPr="00E435CA">
        <w:tab/>
        <w:t>The</w:t>
      </w:r>
      <w:r w:rsidR="00184181" w:rsidRPr="00E435CA">
        <w:t xml:space="preserve"> </w:t>
      </w:r>
      <w:r w:rsidRPr="00E435CA">
        <w:t>distribution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land</w:t>
      </w:r>
      <w:r w:rsidR="00184181" w:rsidRPr="00E435CA">
        <w:t xml:space="preserve"> </w:t>
      </w:r>
      <w:r w:rsidRPr="00E435CA">
        <w:t>remained</w:t>
      </w:r>
      <w:r w:rsidR="00184181" w:rsidRPr="00E435CA">
        <w:t xml:space="preserve"> </w:t>
      </w:r>
      <w:r w:rsidRPr="00E435CA">
        <w:t>highly</w:t>
      </w:r>
      <w:r w:rsidR="00184181" w:rsidRPr="00E435CA">
        <w:t xml:space="preserve"> </w:t>
      </w:r>
      <w:r w:rsidRPr="00E435CA">
        <w:t>unequal.</w:t>
      </w:r>
      <w:r w:rsidRPr="00E435CA">
        <w:rPr>
          <w:rStyle w:val="FootnoteReference"/>
        </w:rPr>
        <w:footnoteReference w:id="55"/>
      </w:r>
      <w:r w:rsidR="00184181" w:rsidRPr="00E435CA">
        <w:t xml:space="preserve"> </w:t>
      </w:r>
      <w:r w:rsidRPr="00E435CA">
        <w:t>Border</w:t>
      </w:r>
      <w:r w:rsidR="00184181" w:rsidRPr="00E435CA">
        <w:t xml:space="preserve"> </w:t>
      </w:r>
      <w:r w:rsidRPr="00E435CA">
        <w:t>disputes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lack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security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tenure,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BE7FE5">
        <w:t>’</w:t>
      </w:r>
      <w:r w:rsidR="00184181" w:rsidRPr="00E435CA">
        <w:t xml:space="preserve"> </w:t>
      </w:r>
      <w:r w:rsidRPr="00E435CA">
        <w:t>lands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territories,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source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conflicts.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documented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violent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unlawful</w:t>
      </w:r>
      <w:r w:rsidR="00184181" w:rsidRPr="00E435CA">
        <w:t xml:space="preserve"> </w:t>
      </w:r>
      <w:r w:rsidRPr="00E435CA">
        <w:t>evictions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private</w:t>
      </w:r>
      <w:r w:rsidR="00184181" w:rsidRPr="00E435CA">
        <w:t xml:space="preserve"> </w:t>
      </w:r>
      <w:r w:rsidRPr="00E435CA">
        <w:t>actors: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expulsions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Maya</w:t>
      </w:r>
      <w:r w:rsidR="00184181" w:rsidRPr="00E435CA">
        <w:t xml:space="preserve"> </w:t>
      </w:r>
      <w:r w:rsidRPr="00E435CA">
        <w:t>Poqomchi</w:t>
      </w:r>
      <w:r w:rsidR="00BE7FE5">
        <w:t>’</w:t>
      </w:r>
      <w:r w:rsidR="00184181" w:rsidRPr="00E435CA">
        <w:t xml:space="preserve"> </w:t>
      </w:r>
      <w:r w:rsidR="00BE7FE5">
        <w:t>“</w:t>
      </w:r>
      <w:r w:rsidRPr="00E435CA">
        <w:t>Washington</w:t>
      </w:r>
      <w:r w:rsidR="00BE7FE5">
        <w:t>”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Baja</w:t>
      </w:r>
      <w:r w:rsidR="00184181" w:rsidRPr="00E435CA">
        <w:t xml:space="preserve"> </w:t>
      </w:r>
      <w:r w:rsidRPr="00E435CA">
        <w:t>Verapaz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April,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Q</w:t>
      </w:r>
      <w:r w:rsidR="00BE7FE5">
        <w:t>’</w:t>
      </w:r>
      <w:r w:rsidRPr="00E435CA">
        <w:t>eqchi</w:t>
      </w:r>
      <w:r w:rsidR="00BE7FE5">
        <w:t>’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Cubilgüitz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Alta</w:t>
      </w:r>
      <w:r w:rsidR="00184181" w:rsidRPr="00E435CA">
        <w:t xml:space="preserve"> </w:t>
      </w:r>
      <w:r w:rsidRPr="00E435CA">
        <w:t>Verapaz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August.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21</w:t>
      </w:r>
      <w:r w:rsidR="00184181" w:rsidRPr="00E435CA">
        <w:t xml:space="preserve"> </w:t>
      </w:r>
      <w:r w:rsidRPr="00E435CA">
        <w:t>October,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Inter-American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granted</w:t>
      </w:r>
      <w:r w:rsidR="00184181" w:rsidRPr="00E435CA">
        <w:t xml:space="preserve"> </w:t>
      </w:r>
      <w:r w:rsidRPr="00E435CA">
        <w:t>precautionary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76</w:t>
      </w:r>
      <w:r w:rsidR="00184181" w:rsidRPr="00E435CA">
        <w:t xml:space="preserve"> </w:t>
      </w:r>
      <w:r w:rsidRPr="00E435CA">
        <w:t>families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Washington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Dos</w:t>
      </w:r>
      <w:r w:rsidR="00184181" w:rsidRPr="00E435CA">
        <w:t xml:space="preserve"> </w:t>
      </w:r>
      <w:r w:rsidRPr="00E435CA">
        <w:t>Fuentes</w:t>
      </w:r>
      <w:r w:rsidR="00184181" w:rsidRPr="00E435CA">
        <w:t xml:space="preserve"> </w:t>
      </w:r>
      <w:r w:rsidRPr="00E435CA">
        <w:t>communities.</w:t>
      </w:r>
      <w:r w:rsidRPr="00E435CA">
        <w:rPr>
          <w:rStyle w:val="FootnoteReference"/>
        </w:rPr>
        <w:footnoteReference w:id="56"/>
      </w:r>
    </w:p>
    <w:p w14:paraId="7F6EF96C" w14:textId="1177021B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56.</w:t>
      </w:r>
      <w:r w:rsidRPr="00E435CA">
        <w:tab/>
        <w:t>As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regulatory</w:t>
      </w:r>
      <w:r w:rsidR="00184181" w:rsidRPr="00E435CA">
        <w:t xml:space="preserve"> </w:t>
      </w:r>
      <w:r w:rsidRPr="00E435CA">
        <w:t>framework</w:t>
      </w:r>
      <w:r w:rsidR="00184181" w:rsidRPr="00E435CA">
        <w:t xml:space="preserve"> </w:t>
      </w:r>
      <w:r w:rsidRPr="00E435CA">
        <w:t>does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guarantee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all</w:t>
      </w:r>
      <w:r w:rsidR="00184181" w:rsidRPr="00E435CA">
        <w:t xml:space="preserve"> </w:t>
      </w:r>
      <w:r w:rsidRPr="00E435CA">
        <w:t>parties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agrarian</w:t>
      </w:r>
      <w:r w:rsidR="00184181" w:rsidRPr="00E435CA">
        <w:t xml:space="preserve"> </w:t>
      </w:r>
      <w:r w:rsidRPr="00E435CA">
        <w:t>conflicts,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regional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mechanisms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called</w:t>
      </w:r>
      <w:r w:rsidR="00184181" w:rsidRPr="00E435CA">
        <w:t xml:space="preserve"> </w:t>
      </w:r>
      <w:r w:rsidRPr="00E435CA">
        <w:t>upon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resolve</w:t>
      </w:r>
      <w:r w:rsidR="00184181" w:rsidRPr="00E435CA">
        <w:t xml:space="preserve"> </w:t>
      </w:r>
      <w:r w:rsidRPr="00E435CA">
        <w:t>such</w:t>
      </w:r>
      <w:r w:rsidR="00184181" w:rsidRPr="00E435CA">
        <w:t xml:space="preserve"> </w:t>
      </w:r>
      <w:r w:rsidRPr="00E435CA">
        <w:t>matters.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issued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decisions</w:t>
      </w:r>
      <w:r w:rsidR="00184181" w:rsidRPr="00E435CA">
        <w:t xml:space="preserve"> </w:t>
      </w:r>
      <w:r w:rsidRPr="00E435CA">
        <w:t>recognizing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claims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territorial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decisions</w:t>
      </w:r>
      <w:r w:rsidR="00184181" w:rsidRPr="00E435CA">
        <w:t xml:space="preserve"> </w:t>
      </w:r>
      <w:r w:rsidRPr="00E435CA">
        <w:t>pertained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Maya</w:t>
      </w:r>
      <w:r w:rsidR="00184181" w:rsidRPr="00E435CA">
        <w:t xml:space="preserve"> </w:t>
      </w:r>
      <w:r w:rsidRPr="00E435CA">
        <w:t>Ch</w:t>
      </w:r>
      <w:r w:rsidR="00BE7FE5">
        <w:t>’</w:t>
      </w:r>
      <w:r w:rsidRPr="00E435CA">
        <w:t>orti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Morola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="00163B1D" w:rsidRPr="00E435CA">
        <w:t>6</w:t>
      </w:r>
      <w:r w:rsidR="00184181" w:rsidRPr="00E435CA">
        <w:t xml:space="preserve"> </w:t>
      </w:r>
      <w:r w:rsidRPr="00E435CA">
        <w:t>communities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Jocotán;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12</w:t>
      </w:r>
      <w:r w:rsidR="00184181" w:rsidRPr="00E435CA">
        <w:t xml:space="preserve"> </w:t>
      </w:r>
      <w:r w:rsidRPr="00E435CA">
        <w:t>Maya</w:t>
      </w:r>
      <w:r w:rsidR="00184181" w:rsidRPr="00E435CA">
        <w:t xml:space="preserve"> </w:t>
      </w:r>
      <w:r w:rsidRPr="00E435CA">
        <w:t>Ixil</w:t>
      </w:r>
      <w:r w:rsidR="00184181" w:rsidRPr="00E435CA">
        <w:t xml:space="preserve"> </w:t>
      </w:r>
      <w:r w:rsidRPr="00E435CA">
        <w:t>communities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Tzalbal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Ak</w:t>
      </w:r>
      <w:r w:rsidR="00BE7FE5">
        <w:t>’</w:t>
      </w:r>
      <w:r w:rsidRPr="00E435CA">
        <w:t>ul</w:t>
      </w:r>
      <w:r w:rsidR="00184181" w:rsidRPr="00E435CA">
        <w:t xml:space="preserve"> </w:t>
      </w:r>
      <w:r w:rsidRPr="00E435CA">
        <w:t>villages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Santa</w:t>
      </w:r>
      <w:r w:rsidR="00184181" w:rsidRPr="00E435CA">
        <w:t xml:space="preserve"> </w:t>
      </w:r>
      <w:r w:rsidRPr="00E435CA">
        <w:t>María</w:t>
      </w:r>
      <w:r w:rsidR="00184181" w:rsidRPr="00E435CA">
        <w:t xml:space="preserve"> </w:t>
      </w:r>
      <w:r w:rsidRPr="00E435CA">
        <w:t>Nebaj,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stripped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lands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internal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conflict.</w:t>
      </w:r>
      <w:r w:rsidRPr="00E435CA">
        <w:rPr>
          <w:rStyle w:val="FootnoteReference"/>
        </w:rPr>
        <w:footnoteReference w:id="57"/>
      </w:r>
    </w:p>
    <w:p w14:paraId="0E62B1A2" w14:textId="68361FCD" w:rsidR="00467C67" w:rsidRPr="00E435CA" w:rsidRDefault="00467C67" w:rsidP="00467C67">
      <w:pPr>
        <w:pStyle w:val="SingleTxtG"/>
      </w:pPr>
      <w:r w:rsidRPr="00E435CA">
        <w:t>57.</w:t>
      </w:r>
      <w:r w:rsidRPr="00E435CA">
        <w:tab/>
        <w:t>To</w:t>
      </w:r>
      <w:r w:rsidR="00184181" w:rsidRPr="00E435CA">
        <w:t xml:space="preserve"> </w:t>
      </w:r>
      <w:r w:rsidRPr="00E435CA">
        <w:t>guarantee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Xinka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Quezada,</w:t>
      </w:r>
      <w:r w:rsidR="00184181" w:rsidRPr="00E435CA">
        <w:t xml:space="preserve"> </w:t>
      </w:r>
      <w:r w:rsidRPr="00E435CA">
        <w:t>Jutiapa,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healthy</w:t>
      </w:r>
      <w:r w:rsidR="00184181" w:rsidRPr="00E435CA">
        <w:t xml:space="preserve"> </w:t>
      </w:r>
      <w:r w:rsidRPr="00E435CA">
        <w:t>environment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water,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suspended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implementation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project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electricity</w:t>
      </w:r>
      <w:r w:rsidR="00184181" w:rsidRPr="00E435CA">
        <w:t xml:space="preserve"> </w:t>
      </w:r>
      <w:r w:rsidRPr="00E435CA">
        <w:t>generation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biomass.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ordered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company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implement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reforestation</w:t>
      </w:r>
      <w:r w:rsidR="00184181" w:rsidRPr="00E435CA">
        <w:t xml:space="preserve"> </w:t>
      </w:r>
      <w:r w:rsidRPr="00E435CA">
        <w:t>plan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plant</w:t>
      </w:r>
      <w:r w:rsidR="00184181" w:rsidRPr="00E435CA">
        <w:t xml:space="preserve"> </w:t>
      </w:r>
      <w:r w:rsidRPr="00E435CA">
        <w:t>native</w:t>
      </w:r>
      <w:r w:rsidR="00184181" w:rsidRPr="00E435CA">
        <w:t xml:space="preserve"> </w:t>
      </w:r>
      <w:r w:rsidRPr="00E435CA">
        <w:t>trees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region,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supervision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lastRenderedPageBreak/>
        <w:t>Forest</w:t>
      </w:r>
      <w:r w:rsidR="00184181" w:rsidRPr="00E435CA">
        <w:t xml:space="preserve"> </w:t>
      </w:r>
      <w:r w:rsidRPr="00E435CA">
        <w:t>Institute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Council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Protected</w:t>
      </w:r>
      <w:r w:rsidR="00184181" w:rsidRPr="00E435CA">
        <w:t xml:space="preserve"> </w:t>
      </w:r>
      <w:r w:rsidRPr="00E435CA">
        <w:t>Areas,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participation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community.</w:t>
      </w:r>
    </w:p>
    <w:p w14:paraId="7B453B7C" w14:textId="0C57F20D" w:rsidR="00467C67" w:rsidRPr="00E435CA" w:rsidRDefault="00467C67" w:rsidP="002F25F6">
      <w:pPr>
        <w:pStyle w:val="H1G"/>
      </w:pPr>
      <w:bookmarkStart w:id="76" w:name="_Toc466309361"/>
      <w:r w:rsidRPr="00E435CA">
        <w:tab/>
        <w:t>C.</w:t>
      </w:r>
      <w:r w:rsidRPr="00E435CA">
        <w:tab/>
        <w:t>Right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work</w:t>
      </w:r>
      <w:bookmarkEnd w:id="76"/>
    </w:p>
    <w:p w14:paraId="0E9977FD" w14:textId="77777777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58.</w:t>
      </w:r>
      <w:r w:rsidRPr="00E435CA">
        <w:tab/>
        <w:t>Challenges</w:t>
      </w:r>
      <w:r w:rsidR="00184181" w:rsidRPr="00E435CA">
        <w:t xml:space="preserve"> </w:t>
      </w:r>
      <w:r w:rsidRPr="00E435CA">
        <w:t>persisted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terms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conditions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decent</w:t>
      </w:r>
      <w:r w:rsidR="00184181" w:rsidRPr="00E435CA">
        <w:t xml:space="preserve"> </w:t>
      </w:r>
      <w:r w:rsidRPr="00E435CA">
        <w:t>work.</w:t>
      </w:r>
      <w:r w:rsidR="00184181" w:rsidRPr="00E435CA">
        <w:t xml:space="preserve"> </w:t>
      </w:r>
      <w:r w:rsidRPr="00E435CA">
        <w:t>Minimum</w:t>
      </w:r>
      <w:r w:rsidR="00184181" w:rsidRPr="00E435CA">
        <w:t xml:space="preserve"> </w:t>
      </w:r>
      <w:r w:rsidRPr="00E435CA">
        <w:t>legal</w:t>
      </w:r>
      <w:r w:rsidR="00184181" w:rsidRPr="00E435CA">
        <w:t xml:space="preserve"> </w:t>
      </w:r>
      <w:r w:rsidRPr="00E435CA">
        <w:t>wages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sufficient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cover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monthly</w:t>
      </w:r>
      <w:r w:rsidR="00184181" w:rsidRPr="00E435CA">
        <w:t xml:space="preserve"> </w:t>
      </w:r>
      <w:r w:rsidRPr="00E435CA">
        <w:t>cost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basic</w:t>
      </w:r>
      <w:r w:rsidR="00184181" w:rsidRPr="00E435CA">
        <w:t xml:space="preserve"> </w:t>
      </w:r>
      <w:r w:rsidRPr="00E435CA">
        <w:t>food</w:t>
      </w:r>
      <w:r w:rsidR="00184181" w:rsidRPr="00E435CA">
        <w:t xml:space="preserve"> </w:t>
      </w:r>
      <w:r w:rsidRPr="00E435CA">
        <w:t>basket,</w:t>
      </w:r>
      <w:r w:rsidRPr="00E435CA">
        <w:rPr>
          <w:rStyle w:val="FootnoteReference"/>
        </w:rPr>
        <w:footnoteReference w:id="58"/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most</w:t>
      </w:r>
      <w:r w:rsidR="00184181" w:rsidRPr="00E435CA">
        <w:t xml:space="preserve"> </w:t>
      </w:r>
      <w:r w:rsidRPr="00E435CA">
        <w:t>workers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paid</w:t>
      </w:r>
      <w:r w:rsidR="00184181" w:rsidRPr="00E435CA">
        <w:t xml:space="preserve"> </w:t>
      </w:r>
      <w:r w:rsidRPr="00E435CA">
        <w:t>below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minimum</w:t>
      </w:r>
      <w:r w:rsidR="00184181" w:rsidRPr="00E435CA">
        <w:t xml:space="preserve"> </w:t>
      </w:r>
      <w:r w:rsidRPr="00E435CA">
        <w:t>wage.</w:t>
      </w:r>
      <w:r w:rsidRPr="00E435CA">
        <w:rPr>
          <w:rStyle w:val="FootnoteReference"/>
        </w:rPr>
        <w:footnoteReference w:id="59"/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agricultural</w:t>
      </w:r>
      <w:r w:rsidR="00184181" w:rsidRPr="00E435CA">
        <w:t xml:space="preserve"> </w:t>
      </w:r>
      <w:r w:rsidRPr="00E435CA">
        <w:t>sector,</w:t>
      </w:r>
      <w:r w:rsidR="00184181" w:rsidRPr="00E435CA">
        <w:t xml:space="preserve"> </w:t>
      </w:r>
      <w:r w:rsidRPr="00E435CA">
        <w:t>estimated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employ</w:t>
      </w:r>
      <w:r w:rsidR="00184181" w:rsidRPr="00E435CA">
        <w:t xml:space="preserve"> </w:t>
      </w:r>
      <w:r w:rsidRPr="00E435CA">
        <w:t>30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workers,</w:t>
      </w:r>
      <w:r w:rsidR="00184181" w:rsidRPr="00E435CA">
        <w:t xml:space="preserve"> </w:t>
      </w:r>
      <w:r w:rsidRPr="00E435CA">
        <w:t>wages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even</w:t>
      </w:r>
      <w:r w:rsidR="00184181" w:rsidRPr="00E435CA">
        <w:t xml:space="preserve"> </w:t>
      </w:r>
      <w:r w:rsidRPr="00E435CA">
        <w:t>lower.</w:t>
      </w:r>
      <w:r w:rsidRPr="00E435CA">
        <w:rPr>
          <w:rStyle w:val="FootnoteReference"/>
        </w:rPr>
        <w:footnoteReference w:id="60"/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5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agricultural</w:t>
      </w:r>
      <w:r w:rsidR="00184181" w:rsidRPr="00E435CA">
        <w:t xml:space="preserve"> </w:t>
      </w:r>
      <w:r w:rsidRPr="00E435CA">
        <w:t>workers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0.1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domestic</w:t>
      </w:r>
      <w:r w:rsidR="00184181" w:rsidRPr="00E435CA">
        <w:t xml:space="preserve"> </w:t>
      </w:r>
      <w:r w:rsidRPr="00E435CA">
        <w:t>workers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security</w:t>
      </w:r>
      <w:r w:rsidR="00184181" w:rsidRPr="00E435CA">
        <w:t xml:space="preserve"> </w:t>
      </w:r>
      <w:r w:rsidRPr="00E435CA">
        <w:t>benefits.</w:t>
      </w:r>
      <w:r w:rsidRPr="00E435CA">
        <w:rPr>
          <w:rStyle w:val="FootnoteReference"/>
        </w:rPr>
        <w:footnoteReference w:id="61"/>
      </w:r>
    </w:p>
    <w:p w14:paraId="0E7924DF" w14:textId="77777777" w:rsidR="005328B0" w:rsidRPr="00E435CA" w:rsidRDefault="00467C67" w:rsidP="00467C67">
      <w:pPr>
        <w:pStyle w:val="SingleTxtG"/>
      </w:pPr>
      <w:r w:rsidRPr="00E435CA">
        <w:t>59.</w:t>
      </w:r>
      <w:r w:rsidRPr="00E435CA">
        <w:tab/>
        <w:t>The</w:t>
      </w:r>
      <w:r w:rsidR="00184181" w:rsidRPr="00E435CA">
        <w:t xml:space="preserve"> </w:t>
      </w:r>
      <w:r w:rsidRPr="00E435CA">
        <w:t>President</w:t>
      </w:r>
      <w:r w:rsidR="00184181" w:rsidRPr="00E435CA">
        <w:t xml:space="preserve"> </w:t>
      </w:r>
      <w:r w:rsidRPr="00E435CA">
        <w:t>created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child</w:t>
      </w:r>
      <w:r w:rsidR="00184181" w:rsidRPr="00E435CA">
        <w:t xml:space="preserve"> </w:t>
      </w:r>
      <w:r w:rsidRPr="00E435CA">
        <w:t>labour,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allegations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practices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coffee</w:t>
      </w:r>
      <w:r w:rsidR="00184181" w:rsidRPr="00E435CA">
        <w:t xml:space="preserve"> </w:t>
      </w:r>
      <w:r w:rsidRPr="00E435CA">
        <w:t>farms</w:t>
      </w:r>
      <w:r w:rsidR="00184181" w:rsidRPr="00E435CA">
        <w:t xml:space="preserve"> </w:t>
      </w:r>
      <w:r w:rsidRPr="00E435CA">
        <w:t>supplying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brands.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bill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prevention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eradication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child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advanced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Congress</w:t>
      </w:r>
      <w:r w:rsidRPr="00E435CA">
        <w:rPr>
          <w:rStyle w:val="FootnoteReference"/>
        </w:rPr>
        <w:footnoteReference w:id="62"/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prohibit</w:t>
      </w:r>
      <w:r w:rsidR="00184181" w:rsidRPr="00E435CA">
        <w:t xml:space="preserve"> </w:t>
      </w:r>
      <w:r w:rsidRPr="00E435CA">
        <w:t>work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could</w:t>
      </w:r>
      <w:r w:rsidR="00184181" w:rsidRPr="00E435CA">
        <w:t xml:space="preserve"> </w:t>
      </w:r>
      <w:r w:rsidRPr="00E435CA">
        <w:t>harm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children,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raise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minimum</w:t>
      </w:r>
      <w:r w:rsidR="00184181" w:rsidRPr="00E435CA">
        <w:t xml:space="preserve"> </w:t>
      </w:r>
      <w:r w:rsidRPr="00E435CA">
        <w:t>working</w:t>
      </w:r>
      <w:r w:rsidR="00184181" w:rsidRPr="00E435CA">
        <w:t xml:space="preserve"> </w:t>
      </w:r>
      <w:r w:rsidRPr="00E435CA">
        <w:t>age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14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16.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bill</w:t>
      </w:r>
      <w:r w:rsidR="00184181" w:rsidRPr="00E435CA">
        <w:t xml:space="preserve"> </w:t>
      </w:r>
      <w:r w:rsidRPr="00E435CA">
        <w:t>does</w:t>
      </w:r>
      <w:r w:rsidR="00184181" w:rsidRPr="00E435CA">
        <w:t xml:space="preserve"> </w:t>
      </w:r>
      <w:r w:rsidRPr="00E435CA">
        <w:t>not</w:t>
      </w:r>
      <w:r w:rsidR="00184181" w:rsidRPr="00E435CA">
        <w:t xml:space="preserve"> </w:t>
      </w:r>
      <w:r w:rsidRPr="00E435CA">
        <w:t>envisage</w:t>
      </w:r>
      <w:r w:rsidR="00184181" w:rsidRPr="00E435CA">
        <w:t xml:space="preserve"> </w:t>
      </w:r>
      <w:r w:rsidRPr="00E435CA">
        <w:t>strengthened</w:t>
      </w:r>
      <w:r w:rsidR="00184181" w:rsidRPr="00E435CA">
        <w:t xml:space="preserve"> </w:t>
      </w:r>
      <w:r w:rsidRPr="00E435CA">
        <w:t>penalties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violations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employers,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enhance</w:t>
      </w:r>
      <w:r w:rsidR="00184181" w:rsidRPr="00E435CA">
        <w:t xml:space="preserve"> </w:t>
      </w:r>
      <w:r w:rsidRPr="00E435CA">
        <w:t>protections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discrimination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compensation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victims.</w:t>
      </w:r>
    </w:p>
    <w:p w14:paraId="0F63C035" w14:textId="309CE7E6" w:rsidR="00467C67" w:rsidRPr="00E435CA" w:rsidRDefault="00467C67" w:rsidP="00467C67">
      <w:pPr>
        <w:pStyle w:val="SingleTxtG"/>
      </w:pPr>
      <w:r w:rsidRPr="00E435CA">
        <w:t>60.</w:t>
      </w:r>
      <w:r w:rsidRPr="00E435CA">
        <w:tab/>
        <w:t>OHCHR</w:t>
      </w:r>
      <w:r w:rsidR="00184181" w:rsidRPr="00E435CA">
        <w:t xml:space="preserve"> </w:t>
      </w:r>
      <w:r w:rsidRPr="00E435CA">
        <w:t>monitored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situation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="002F25F6" w:rsidRPr="00E435CA">
        <w:rPr>
          <w:i/>
          <w:iCs/>
        </w:rPr>
        <w:t>mozos colonos</w:t>
      </w:r>
      <w:r w:rsidRPr="00E435CA">
        <w:t>,</w:t>
      </w:r>
      <w:r w:rsidR="00184181" w:rsidRPr="00E435CA">
        <w:t xml:space="preserve"> </w:t>
      </w:r>
      <w:r w:rsidRPr="00E435CA">
        <w:t>rural</w:t>
      </w:r>
      <w:r w:rsidR="00184181" w:rsidRPr="00E435CA">
        <w:t xml:space="preserve"> </w:t>
      </w:r>
      <w:r w:rsidRPr="00E435CA">
        <w:t>workers</w:t>
      </w:r>
      <w:r w:rsidR="00184181" w:rsidRPr="00E435CA">
        <w:t xml:space="preserve"> </w:t>
      </w:r>
      <w:r w:rsidRPr="00E435CA">
        <w:t>who,</w:t>
      </w:r>
      <w:r w:rsidR="00184181" w:rsidRPr="00E435CA">
        <w:t xml:space="preserve"> </w:t>
      </w:r>
      <w:r w:rsidRPr="00E435CA">
        <w:t>like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ancestors,</w:t>
      </w:r>
      <w:r w:rsidR="00184181" w:rsidRPr="00E435CA">
        <w:t xml:space="preserve"> </w:t>
      </w:r>
      <w:r w:rsidRPr="00E435CA">
        <w:t>live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conditions</w:t>
      </w:r>
      <w:r w:rsidR="00184181" w:rsidRPr="00E435CA">
        <w:t xml:space="preserve"> </w:t>
      </w:r>
      <w:r w:rsidRPr="00E435CA">
        <w:t>amounting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servitude.</w:t>
      </w:r>
      <w:r w:rsidR="00184181" w:rsidRPr="00E435CA">
        <w:t xml:space="preserve"> </w:t>
      </w:r>
      <w:r w:rsidRPr="00E435CA">
        <w:t>There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estimated</w:t>
      </w:r>
      <w:r w:rsidR="00184181" w:rsidRPr="00E435CA">
        <w:t xml:space="preserve"> </w:t>
      </w:r>
      <w:r w:rsidRPr="00E435CA">
        <w:t>37,000</w:t>
      </w:r>
      <w:r w:rsidR="00184181" w:rsidRPr="00E435CA">
        <w:t xml:space="preserve"> </w:t>
      </w:r>
      <w:r w:rsidRPr="00E435CA">
        <w:t>families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mostly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="002F25F6" w:rsidRPr="00E435CA">
        <w:rPr>
          <w:i/>
          <w:iCs/>
        </w:rPr>
        <w:t>mozos colonos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Guatemala.</w:t>
      </w:r>
      <w:r w:rsidRPr="00E435CA">
        <w:rPr>
          <w:rStyle w:val="FootnoteReference"/>
        </w:rPr>
        <w:footnoteReference w:id="63"/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documented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communities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="002F25F6" w:rsidRPr="00E435CA">
        <w:rPr>
          <w:i/>
          <w:iCs/>
        </w:rPr>
        <w:t>mozos colonos</w:t>
      </w:r>
      <w:r w:rsidR="00184181" w:rsidRPr="00E435CA">
        <w:t xml:space="preserve"> </w:t>
      </w:r>
      <w:r w:rsidRPr="00E435CA">
        <w:t>who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evicted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lands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homes,</w:t>
      </w:r>
      <w:r w:rsidR="00184181" w:rsidRPr="00E435CA">
        <w:t xml:space="preserve"> </w:t>
      </w:r>
      <w:r w:rsidRPr="00E435CA">
        <w:t>often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generations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55).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strengthened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capacity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Inspectorate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recognize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address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contemporary</w:t>
      </w:r>
      <w:r w:rsidR="00184181" w:rsidRPr="00E435CA">
        <w:t xml:space="preserve"> </w:t>
      </w:r>
      <w:r w:rsidRPr="00E435CA">
        <w:t>forms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slavery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trafficking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agricultural</w:t>
      </w:r>
      <w:r w:rsidR="00184181" w:rsidRPr="00E435CA">
        <w:t xml:space="preserve"> </w:t>
      </w:r>
      <w:r w:rsidRPr="00E435CA">
        <w:t>activities.</w:t>
      </w:r>
    </w:p>
    <w:p w14:paraId="7A98A781" w14:textId="77777777" w:rsidR="005328B0" w:rsidRPr="00E435CA" w:rsidRDefault="00467C67" w:rsidP="00467C67">
      <w:pPr>
        <w:pStyle w:val="SingleTxtG"/>
      </w:pPr>
      <w:r w:rsidRPr="00E435CA">
        <w:t>61.</w:t>
      </w:r>
      <w:r w:rsidRPr="00E435CA">
        <w:tab/>
        <w:t>The</w:t>
      </w:r>
      <w:r w:rsidR="00184181" w:rsidRPr="00E435CA">
        <w:t xml:space="preserve"> </w:t>
      </w:r>
      <w:r w:rsidRPr="00E435CA">
        <w:t>capacity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Inspectorate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enforce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remained</w:t>
      </w:r>
      <w:r w:rsidR="00184181" w:rsidRPr="00E435CA">
        <w:t xml:space="preserve"> </w:t>
      </w:r>
      <w:r w:rsidRPr="00E435CA">
        <w:t>limited,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171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inspectors</w:t>
      </w:r>
      <w:r w:rsidR="00184181" w:rsidRPr="00E435CA">
        <w:t xml:space="preserve"> </w:t>
      </w:r>
      <w:r w:rsidRPr="00E435CA">
        <w:t>nationwide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40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City</w:t>
      </w:r>
      <w:r w:rsidR="00184181" w:rsidRPr="00E435CA">
        <w:t xml:space="preserve"> </w:t>
      </w:r>
      <w:r w:rsidRPr="00E435CA">
        <w:t>area.</w:t>
      </w:r>
      <w:r w:rsidRPr="00E435CA">
        <w:rPr>
          <w:rStyle w:val="FootnoteReference"/>
        </w:rPr>
        <w:footnoteReference w:id="64"/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work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Inspectorate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capacity-building</w:t>
      </w:r>
      <w:r w:rsidR="00184181" w:rsidRPr="00E435CA">
        <w:t xml:space="preserve"> </w:t>
      </w:r>
      <w:r w:rsidRPr="00E435CA">
        <w:t>programme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labour</w:t>
      </w:r>
      <w:r w:rsidR="00184181" w:rsidRPr="00E435CA">
        <w:t xml:space="preserve"> </w:t>
      </w:r>
      <w:r w:rsidRPr="00E435CA">
        <w:t>inspection,</w:t>
      </w:r>
      <w:r w:rsidR="00184181" w:rsidRPr="00E435CA">
        <w:t xml:space="preserve"> </w:t>
      </w:r>
      <w:r w:rsidRPr="00E435CA">
        <w:t>building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verification</w:t>
      </w:r>
      <w:r w:rsidR="00184181" w:rsidRPr="00E435CA">
        <w:t xml:space="preserve"> </w:t>
      </w:r>
      <w:r w:rsidRPr="00E435CA">
        <w:t>protocols</w:t>
      </w:r>
      <w:r w:rsidR="00184181" w:rsidRPr="00E435CA">
        <w:t xml:space="preserve"> </w:t>
      </w:r>
      <w:r w:rsidRPr="00E435CA">
        <w:t>developed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previous</w:t>
      </w:r>
      <w:r w:rsidR="00184181" w:rsidRPr="00E435CA">
        <w:t xml:space="preserve"> </w:t>
      </w:r>
      <w:r w:rsidRPr="00E435CA">
        <w:t>years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support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OHCHR.</w:t>
      </w:r>
    </w:p>
    <w:p w14:paraId="7CDB628D" w14:textId="588828F8" w:rsidR="00467C67" w:rsidRPr="00E435CA" w:rsidRDefault="00467C67" w:rsidP="002F25F6">
      <w:pPr>
        <w:pStyle w:val="H1G"/>
      </w:pPr>
      <w:bookmarkStart w:id="77" w:name="_Toc461716963"/>
      <w:bookmarkStart w:id="78" w:name="_Toc461717126"/>
      <w:bookmarkStart w:id="79" w:name="_Toc463449217"/>
      <w:bookmarkStart w:id="80" w:name="_Toc466309362"/>
      <w:r w:rsidRPr="00E435CA">
        <w:tab/>
        <w:t>D.</w:t>
      </w:r>
      <w:r w:rsidRPr="00E435CA">
        <w:tab/>
        <w:t>Business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bookmarkEnd w:id="77"/>
      <w:bookmarkEnd w:id="78"/>
      <w:bookmarkEnd w:id="79"/>
      <w:bookmarkEnd w:id="80"/>
    </w:p>
    <w:p w14:paraId="0760A70D" w14:textId="5B5BC2E5" w:rsidR="00467C67" w:rsidRPr="00E435CA" w:rsidRDefault="00467C67" w:rsidP="00467C67">
      <w:pPr>
        <w:pStyle w:val="SingleTxtG"/>
      </w:pPr>
      <w:r w:rsidRPr="00E435CA">
        <w:t>62.</w:t>
      </w:r>
      <w:r w:rsidRPr="00E435CA">
        <w:tab/>
        <w:t>Three</w:t>
      </w:r>
      <w:r w:rsidR="00184181" w:rsidRPr="00E435CA">
        <w:t xml:space="preserve"> </w:t>
      </w:r>
      <w:r w:rsidRPr="00E435CA">
        <w:t>important</w:t>
      </w:r>
      <w:r w:rsidR="00184181" w:rsidRPr="00E435CA">
        <w:t xml:space="preserve"> </w:t>
      </w:r>
      <w:r w:rsidRPr="00E435CA">
        <w:t>business</w:t>
      </w:r>
      <w:r w:rsidR="00184181" w:rsidRPr="00E435CA">
        <w:t xml:space="preserve"> </w:t>
      </w:r>
      <w:r w:rsidRPr="00E435CA">
        <w:t>sector</w:t>
      </w:r>
      <w:r w:rsidR="00184181" w:rsidRPr="00E435CA">
        <w:t xml:space="preserve"> </w:t>
      </w:r>
      <w:r w:rsidRPr="00E435CA">
        <w:t>associations</w:t>
      </w:r>
      <w:r w:rsidR="00184181" w:rsidRPr="00E435CA">
        <w:t xml:space="preserve"> </w:t>
      </w:r>
      <w:r w:rsidRPr="00E435CA">
        <w:t>developed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policies: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Guatemalan</w:t>
      </w:r>
      <w:r w:rsidR="00184181" w:rsidRPr="00E435CA">
        <w:t xml:space="preserve"> </w:t>
      </w:r>
      <w:r w:rsidRPr="00E435CA">
        <w:t>Exporters</w:t>
      </w:r>
      <w:r w:rsidR="00BE7FE5">
        <w:t>’</w:t>
      </w:r>
      <w:r w:rsidR="00184181" w:rsidRPr="00E435CA">
        <w:t xml:space="preserve"> </w:t>
      </w:r>
      <w:r w:rsidRPr="00E435CA">
        <w:t>Association</w:t>
      </w:r>
      <w:r w:rsidR="00184181" w:rsidRPr="00E435CA">
        <w:t xml:space="preserve"> </w:t>
      </w:r>
      <w:r w:rsidRPr="00E435CA">
        <w:t>(AGEXPORT),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Association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Renewable</w:t>
      </w:r>
      <w:r w:rsidR="00184181" w:rsidRPr="00E435CA">
        <w:t xml:space="preserve"> </w:t>
      </w:r>
      <w:r w:rsidRPr="00E435CA">
        <w:t>Energy</w:t>
      </w:r>
      <w:r w:rsidR="00184181" w:rsidRPr="00E435CA">
        <w:t xml:space="preserve"> </w:t>
      </w:r>
      <w:r w:rsidRPr="00E435CA">
        <w:t>Generators</w:t>
      </w:r>
      <w:r w:rsidR="00184181" w:rsidRPr="00E435CA">
        <w:t xml:space="preserve"> </w:t>
      </w:r>
      <w:r w:rsidRPr="00E435CA">
        <w:t>(AGER),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Guatemalan</w:t>
      </w:r>
      <w:r w:rsidR="00184181" w:rsidRPr="00E435CA">
        <w:t xml:space="preserve"> </w:t>
      </w:r>
      <w:r w:rsidRPr="00E435CA">
        <w:t>Palm</w:t>
      </w:r>
      <w:r w:rsidR="00184181" w:rsidRPr="00E435CA">
        <w:t xml:space="preserve"> </w:t>
      </w:r>
      <w:r w:rsidRPr="00E435CA">
        <w:t>Growers</w:t>
      </w:r>
      <w:r w:rsidR="00BE7FE5">
        <w:t>’</w:t>
      </w:r>
      <w:r w:rsidR="00184181" w:rsidRPr="00E435CA">
        <w:t xml:space="preserve"> </w:t>
      </w:r>
      <w:r w:rsidRPr="00E435CA">
        <w:t>Union</w:t>
      </w:r>
      <w:r w:rsidR="00184181" w:rsidRPr="00E435CA">
        <w:t xml:space="preserve"> </w:t>
      </w:r>
      <w:r w:rsidRPr="00E435CA">
        <w:t>(GEPALMA).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harmonization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policies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Guatemalan</w:t>
      </w:r>
      <w:r w:rsidR="00184181" w:rsidRPr="00E435CA">
        <w:t xml:space="preserve"> </w:t>
      </w:r>
      <w:r w:rsidRPr="00E435CA">
        <w:t>Exporters</w:t>
      </w:r>
      <w:r w:rsidR="00BE7FE5">
        <w:t>’</w:t>
      </w:r>
      <w:r w:rsidR="00184181" w:rsidRPr="00E435CA">
        <w:t xml:space="preserve"> </w:t>
      </w:r>
      <w:r w:rsidRPr="00E435CA">
        <w:t>Association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Association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Renewable</w:t>
      </w:r>
      <w:r w:rsidR="00184181" w:rsidRPr="00E435CA">
        <w:t xml:space="preserve"> </w:t>
      </w:r>
      <w:r w:rsidRPr="00E435CA">
        <w:t>Energy</w:t>
      </w:r>
      <w:r w:rsidR="00184181" w:rsidRPr="00E435CA">
        <w:t xml:space="preserve"> </w:t>
      </w:r>
      <w:r w:rsidRPr="00E435CA">
        <w:t>Generators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standards</w:t>
      </w:r>
      <w:r w:rsidR="00184181" w:rsidRPr="00E435CA">
        <w:t xml:space="preserve"> </w:t>
      </w:r>
      <w:r w:rsidRPr="00E435CA">
        <w:t>related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business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rights.</w:t>
      </w:r>
    </w:p>
    <w:p w14:paraId="634D1F65" w14:textId="327BF9B8" w:rsidR="005328B0" w:rsidRPr="00E435CA" w:rsidRDefault="00467C67" w:rsidP="00467C67">
      <w:pPr>
        <w:pStyle w:val="SingleTxtG"/>
      </w:pPr>
      <w:r w:rsidRPr="00E435CA">
        <w:t>63.</w:t>
      </w:r>
      <w:r w:rsidRPr="00E435CA">
        <w:tab/>
        <w:t>Between</w:t>
      </w:r>
      <w:r w:rsidR="00184181" w:rsidRPr="00E435CA">
        <w:t xml:space="preserve"> </w:t>
      </w:r>
      <w:r w:rsidRPr="00E435CA">
        <w:t>January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July,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Presidential</w:t>
      </w:r>
      <w:r w:rsidR="00184181" w:rsidRPr="00E435CA">
        <w:t xml:space="preserve"> </w:t>
      </w:r>
      <w:r w:rsidRPr="00E435CA">
        <w:t>Commission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played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important</w:t>
      </w:r>
      <w:r w:rsidR="00184181" w:rsidRPr="00E435CA">
        <w:t xml:space="preserve"> </w:t>
      </w:r>
      <w:r w:rsidRPr="00E435CA">
        <w:t>role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action</w:t>
      </w:r>
      <w:r w:rsidR="00184181" w:rsidRPr="00E435CA">
        <w:t xml:space="preserve"> </w:t>
      </w:r>
      <w:r w:rsidRPr="00E435CA">
        <w:t>plan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business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September,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Vice</w:t>
      </w:r>
      <w:r w:rsidR="00184181" w:rsidRPr="00E435CA">
        <w:t xml:space="preserve"> </w:t>
      </w:r>
      <w:r w:rsidRPr="00E435CA">
        <w:t>Minister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Foreign</w:t>
      </w:r>
      <w:r w:rsidR="00184181" w:rsidRPr="00E435CA">
        <w:t xml:space="preserve"> </w:t>
      </w:r>
      <w:r w:rsidRPr="00E435CA">
        <w:t>Affairs</w:t>
      </w:r>
      <w:r w:rsidR="00184181" w:rsidRPr="00E435CA">
        <w:t xml:space="preserve"> </w:t>
      </w:r>
      <w:r w:rsidRPr="00E435CA">
        <w:t>participated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fifth</w:t>
      </w:r>
      <w:r w:rsidR="00184181" w:rsidRPr="00E435CA">
        <w:t xml:space="preserve"> </w:t>
      </w:r>
      <w:r w:rsidRPr="00E435CA">
        <w:t>Regional</w:t>
      </w:r>
      <w:r w:rsidR="00184181" w:rsidRPr="00E435CA">
        <w:t xml:space="preserve"> </w:t>
      </w:r>
      <w:r w:rsidRPr="00E435CA">
        <w:t>Forum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Business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Latin</w:t>
      </w:r>
      <w:r w:rsidR="00184181" w:rsidRPr="00E435CA">
        <w:t xml:space="preserve"> </w:t>
      </w:r>
      <w:r w:rsidRPr="00E435CA">
        <w:t>America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Caribbean,</w:t>
      </w:r>
      <w:r w:rsidR="00184181" w:rsidRPr="00E435CA">
        <w:t xml:space="preserve"> </w:t>
      </w:r>
      <w:r w:rsidRPr="00E435CA">
        <w:t>organized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OHCHR,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reinstated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commitment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developing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action</w:t>
      </w:r>
      <w:r w:rsidR="00184181" w:rsidRPr="00E435CA">
        <w:t xml:space="preserve"> </w:t>
      </w:r>
      <w:r w:rsidRPr="00E435CA">
        <w:t>plan.</w:t>
      </w:r>
    </w:p>
    <w:p w14:paraId="1612F1DD" w14:textId="77777777" w:rsidR="005328B0" w:rsidRPr="00E435CA" w:rsidRDefault="00467C67" w:rsidP="002F25F6">
      <w:pPr>
        <w:pStyle w:val="HChG"/>
      </w:pPr>
      <w:bookmarkStart w:id="81" w:name="_Toc461716964"/>
      <w:bookmarkStart w:id="82" w:name="_Toc461717127"/>
      <w:bookmarkStart w:id="83" w:name="_Toc463449218"/>
      <w:bookmarkStart w:id="84" w:name="_Toc466309363"/>
      <w:r w:rsidRPr="00E435CA">
        <w:lastRenderedPageBreak/>
        <w:tab/>
        <w:t>VI.</w:t>
      </w:r>
      <w:r w:rsidRPr="00E435CA">
        <w:tab/>
        <w:t>Justice</w:t>
      </w:r>
      <w:r w:rsidR="00184181" w:rsidRPr="00E435CA">
        <w:t xml:space="preserve"> </w:t>
      </w:r>
      <w:r w:rsidRPr="00E435CA">
        <w:t>and</w:t>
      </w:r>
      <w:bookmarkEnd w:id="81"/>
      <w:bookmarkEnd w:id="82"/>
      <w:bookmarkEnd w:id="83"/>
      <w:r w:rsidR="00184181" w:rsidRPr="00E435CA">
        <w:t xml:space="preserve"> </w:t>
      </w:r>
      <w:r w:rsidRPr="00E435CA">
        <w:t>accountability</w:t>
      </w:r>
      <w:bookmarkEnd w:id="84"/>
    </w:p>
    <w:p w14:paraId="67E1F2A1" w14:textId="586E2F21" w:rsidR="00467C67" w:rsidRPr="00E435CA" w:rsidRDefault="00467C67" w:rsidP="002F25F6">
      <w:pPr>
        <w:pStyle w:val="H1G"/>
      </w:pPr>
      <w:bookmarkStart w:id="85" w:name="_Toc463449219"/>
      <w:bookmarkStart w:id="86" w:name="_Toc466309364"/>
      <w:bookmarkStart w:id="87" w:name="_Toc461716965"/>
      <w:bookmarkStart w:id="88" w:name="_Toc461717128"/>
      <w:r w:rsidRPr="00E435CA">
        <w:tab/>
        <w:t>A.</w:t>
      </w:r>
      <w:r w:rsidRPr="00E435CA">
        <w:tab/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justice</w:t>
      </w:r>
      <w:bookmarkEnd w:id="85"/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independence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judiciary</w:t>
      </w:r>
      <w:bookmarkEnd w:id="86"/>
    </w:p>
    <w:p w14:paraId="3031550A" w14:textId="66BCAE44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64.</w:t>
      </w:r>
      <w:r w:rsidRPr="00E435CA">
        <w:tab/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justice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largely</w:t>
      </w:r>
      <w:r w:rsidR="00184181" w:rsidRPr="00E435CA">
        <w:t xml:space="preserve"> </w:t>
      </w:r>
      <w:r w:rsidRPr="00E435CA">
        <w:t>conditioned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suspension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activities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judiciary</w:t>
      </w:r>
      <w:r w:rsidR="00184181" w:rsidRPr="00E435CA">
        <w:t xml:space="preserve"> </w:t>
      </w:r>
      <w:r w:rsidRPr="00E435CA">
        <w:t>owing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33).</w:t>
      </w:r>
      <w:r w:rsidR="00184181" w:rsidRPr="00E435CA">
        <w:t xml:space="preserve"> </w:t>
      </w:r>
      <w:r w:rsidRPr="00E435CA">
        <w:t>Judicial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undertook</w:t>
      </w:r>
      <w:r w:rsidR="00184181" w:rsidRPr="00E435CA">
        <w:t xml:space="preserve"> </w:t>
      </w:r>
      <w:r w:rsidRPr="00E435CA">
        <w:t>efforts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promote</w:t>
      </w:r>
      <w:r w:rsidR="00184181" w:rsidRPr="00E435CA">
        <w:t xml:space="preserve"> </w:t>
      </w:r>
      <w:r w:rsidRPr="00E435CA">
        <w:t>access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justice.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instance,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secretariat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developed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online</w:t>
      </w:r>
      <w:r w:rsidR="00184181" w:rsidRPr="00E435CA">
        <w:t xml:space="preserve"> </w:t>
      </w:r>
      <w:r w:rsidRPr="00E435CA">
        <w:t>training</w:t>
      </w:r>
      <w:r w:rsidR="00184181" w:rsidRPr="00E435CA">
        <w:t xml:space="preserve"> </w:t>
      </w:r>
      <w:r w:rsidRPr="00E435CA">
        <w:t>course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justice</w:t>
      </w:r>
      <w:r w:rsidR="00184181" w:rsidRPr="00E435CA">
        <w:t xml:space="preserve"> </w:t>
      </w:r>
      <w:r w:rsidRPr="00E435CA">
        <w:t>sector</w:t>
      </w:r>
      <w:r w:rsidR="00184181" w:rsidRPr="00E435CA">
        <w:t xml:space="preserve"> </w:t>
      </w:r>
      <w:r w:rsidRPr="00E435CA">
        <w:t>professionals,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OHCHR.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face</w:t>
      </w:r>
      <w:r w:rsidR="00184181" w:rsidRPr="00E435CA">
        <w:t xml:space="preserve"> </w:t>
      </w:r>
      <w:r w:rsidRPr="00E435CA">
        <w:t>barriers.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instance,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judiciary</w:t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employed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total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106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interpreters,</w:t>
      </w:r>
      <w:r w:rsidR="00184181" w:rsidRPr="00E435CA">
        <w:t xml:space="preserve"> </w:t>
      </w:r>
      <w:r w:rsidRPr="00E435CA">
        <w:t>resulting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limited</w:t>
      </w:r>
      <w:r w:rsidR="00184181" w:rsidRPr="00E435CA">
        <w:t xml:space="preserve"> </w:t>
      </w:r>
      <w:r w:rsidRPr="00E435CA">
        <w:t>availability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interpretation</w:t>
      </w:r>
      <w:r w:rsidR="00184181" w:rsidRPr="00E435CA">
        <w:t xml:space="preserve"> </w:t>
      </w:r>
      <w:r w:rsidRPr="00E435CA">
        <w:t>services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certain</w:t>
      </w:r>
      <w:r w:rsidR="00184181" w:rsidRPr="00E435CA">
        <w:t xml:space="preserve"> </w:t>
      </w:r>
      <w:r w:rsidRPr="00E435CA">
        <w:t>regions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languages.</w:t>
      </w:r>
      <w:r w:rsidRPr="00E435CA">
        <w:rPr>
          <w:rStyle w:val="FootnoteReference"/>
        </w:rPr>
        <w:footnoteReference w:id="65"/>
      </w:r>
      <w:bookmarkEnd w:id="87"/>
      <w:bookmarkEnd w:id="88"/>
    </w:p>
    <w:p w14:paraId="3C0B3C85" w14:textId="4B889F1F" w:rsidR="005328B0" w:rsidRPr="00E435CA" w:rsidRDefault="00467C67" w:rsidP="00467C67">
      <w:pPr>
        <w:pStyle w:val="SingleTxtG"/>
      </w:pPr>
      <w:r w:rsidRPr="00E435CA">
        <w:t>65.</w:t>
      </w:r>
      <w:r w:rsidRPr="00E435CA">
        <w:tab/>
        <w:t>Patterns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judges,</w:t>
      </w:r>
      <w:r w:rsidR="00184181" w:rsidRPr="00E435CA">
        <w:t xml:space="preserve"> </w:t>
      </w:r>
      <w:r w:rsidRPr="00E435CA">
        <w:t>prosecutors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lawyers</w:t>
      </w:r>
      <w:r w:rsidR="00184181" w:rsidRPr="00E435CA">
        <w:t xml:space="preserve"> </w:t>
      </w:r>
      <w:r w:rsidRPr="00E435CA">
        <w:t>persisted.</w:t>
      </w:r>
      <w:r w:rsidRPr="00E435CA">
        <w:rPr>
          <w:rStyle w:val="FootnoteReference"/>
        </w:rPr>
        <w:footnoteReference w:id="66"/>
      </w:r>
      <w:r w:rsidR="00184181" w:rsidRPr="00E435CA">
        <w:t xml:space="preserve"> </w:t>
      </w:r>
      <w:bookmarkStart w:id="89" w:name="_heading=h.gjdgxs" w:colFirst="0" w:colLast="0"/>
      <w:bookmarkEnd w:id="89"/>
      <w:r w:rsidRPr="00E435CA">
        <w:t>OHCHR</w:t>
      </w:r>
      <w:r w:rsidR="00184181" w:rsidRPr="00E435CA">
        <w:t xml:space="preserve"> </w:t>
      </w:r>
      <w:r w:rsidRPr="00E435CA">
        <w:t>recorded</w:t>
      </w:r>
      <w:r w:rsidR="00184181" w:rsidRPr="00E435CA">
        <w:t xml:space="preserve"> </w:t>
      </w:r>
      <w:r w:rsidRPr="00E435CA">
        <w:t>acts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intimidation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reprisals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judges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jurisdiction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high-risk</w:t>
      </w:r>
      <w:r w:rsidR="00184181" w:rsidRPr="00E435CA">
        <w:t xml:space="preserve"> </w:t>
      </w:r>
      <w:r w:rsidRPr="00E435CA">
        <w:t>cases,</w:t>
      </w:r>
      <w:r w:rsidR="00184181" w:rsidRPr="00E435CA">
        <w:t xml:space="preserve"> </w:t>
      </w:r>
      <w:r w:rsidRPr="00E435CA">
        <w:t>six</w:t>
      </w:r>
      <w:r w:rsidR="00184181" w:rsidRPr="00E435CA">
        <w:t xml:space="preserve"> </w:t>
      </w:r>
      <w:r w:rsidRPr="00E435CA">
        <w:t>magistrates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Court,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magistrates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Prosecutor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Impunity</w:t>
      </w:r>
      <w:r w:rsidR="00184181" w:rsidRPr="00E435CA">
        <w:t xml:space="preserve"> </w:t>
      </w:r>
      <w:r w:rsidRPr="00E435CA">
        <w:t>(FECI).</w:t>
      </w:r>
      <w:r w:rsidR="00184181" w:rsidRPr="00E435CA">
        <w:t xml:space="preserve"> </w:t>
      </w:r>
      <w:r w:rsidRPr="00E435CA">
        <w:t>It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documented</w:t>
      </w:r>
      <w:r w:rsidR="00184181" w:rsidRPr="00E435CA">
        <w:t xml:space="preserve"> </w:t>
      </w:r>
      <w:r w:rsidRPr="00E435CA">
        <w:t>death</w:t>
      </w:r>
      <w:r w:rsidR="00184181" w:rsidRPr="00E435CA">
        <w:t xml:space="preserve"> </w:t>
      </w:r>
      <w:r w:rsidRPr="00E435CA">
        <w:t>threats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agents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Prosecutor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crimes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journalists.</w:t>
      </w:r>
    </w:p>
    <w:p w14:paraId="480D3E60" w14:textId="53A8EB28" w:rsidR="00467C67" w:rsidRPr="00E435CA" w:rsidRDefault="00467C67" w:rsidP="00467C67">
      <w:pPr>
        <w:pStyle w:val="SingleTxtG"/>
      </w:pPr>
      <w:r w:rsidRPr="00E435CA">
        <w:t>66.</w:t>
      </w:r>
      <w:r w:rsidRPr="00E435CA">
        <w:tab/>
        <w:t>In</w:t>
      </w:r>
      <w:r w:rsidR="00184181" w:rsidRPr="00E435CA">
        <w:t xml:space="preserve"> </w:t>
      </w:r>
      <w:r w:rsidRPr="00E435CA">
        <w:t>April,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prosecutors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Prosecutor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Impunity</w:t>
      </w:r>
      <w:r w:rsidR="00184181" w:rsidRPr="00E435CA">
        <w:t xml:space="preserve"> </w:t>
      </w:r>
      <w:r w:rsidRPr="00E435CA">
        <w:t>received</w:t>
      </w:r>
      <w:r w:rsidR="00184181" w:rsidRPr="00E435CA">
        <w:t xml:space="preserve"> </w:t>
      </w:r>
      <w:r w:rsidRPr="00E435CA">
        <w:t>precautionary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Inter-American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Rights.</w:t>
      </w:r>
      <w:r w:rsidRPr="00E435CA">
        <w:rPr>
          <w:rStyle w:val="FootnoteReference"/>
        </w:rPr>
        <w:footnoteReference w:id="67"/>
      </w:r>
      <w:r w:rsidR="00184181" w:rsidRPr="00E435CA">
        <w:t xml:space="preserve"> </w:t>
      </w:r>
      <w:r w:rsidRPr="00E435CA">
        <w:t>Despite</w:t>
      </w:r>
      <w:r w:rsidR="00184181" w:rsidRPr="00E435CA">
        <w:t xml:space="preserve"> </w:t>
      </w:r>
      <w:r w:rsidRPr="00E435CA">
        <w:t>threats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staff,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Prosecutor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make</w:t>
      </w:r>
      <w:r w:rsidR="00184181" w:rsidRPr="00E435CA">
        <w:t xml:space="preserve"> </w:t>
      </w:r>
      <w:r w:rsidRPr="00E435CA">
        <w:t>progress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fight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impunity.</w:t>
      </w:r>
    </w:p>
    <w:p w14:paraId="07CF53F3" w14:textId="685E25C4" w:rsidR="005328B0" w:rsidRPr="00E435CA" w:rsidRDefault="00467C67" w:rsidP="00467C67">
      <w:pPr>
        <w:pStyle w:val="SingleTxtG"/>
      </w:pPr>
      <w:r w:rsidRPr="00E435CA">
        <w:t>67.</w:t>
      </w:r>
      <w:r w:rsidRPr="00E435CA">
        <w:tab/>
        <w:t>OHCHR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document</w:t>
      </w:r>
      <w:r w:rsidR="00184181" w:rsidRPr="00E435CA">
        <w:t xml:space="preserve"> </w:t>
      </w:r>
      <w:r w:rsidRPr="00E435CA">
        <w:t>challenges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appointment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magistrates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Justice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Appeals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period</w:t>
      </w:r>
      <w:r w:rsidR="00184181" w:rsidRPr="00E435CA">
        <w:t xml:space="preserve"> </w:t>
      </w:r>
      <w:r w:rsidRPr="00E435CA">
        <w:t>2019–2024.</w:t>
      </w:r>
      <w:r w:rsidRPr="00E435CA">
        <w:rPr>
          <w:rStyle w:val="FootnoteReference"/>
        </w:rPr>
        <w:footnoteReference w:id="68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Rapporteur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independence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judges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lawyers</w:t>
      </w:r>
      <w:r w:rsidR="00184181" w:rsidRPr="00E435CA">
        <w:t xml:space="preserve"> </w:t>
      </w:r>
      <w:r w:rsidRPr="00E435CA">
        <w:t>expressed</w:t>
      </w:r>
      <w:r w:rsidR="00184181" w:rsidRPr="00E435CA">
        <w:t xml:space="preserve"> </w:t>
      </w:r>
      <w:r w:rsidRPr="00E435CA">
        <w:t>concern</w:t>
      </w:r>
      <w:r w:rsidR="00184181" w:rsidRPr="00E435CA">
        <w:t xml:space="preserve"> </w:t>
      </w:r>
      <w:r w:rsidRPr="00E435CA">
        <w:t>about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lack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transparency,</w:t>
      </w:r>
      <w:r w:rsidR="00184181" w:rsidRPr="00E435CA">
        <w:t xml:space="preserve"> </w:t>
      </w:r>
      <w:r w:rsidRPr="00E435CA">
        <w:t>independence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objectivity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process.</w:t>
      </w:r>
      <w:r w:rsidRPr="00E435CA">
        <w:rPr>
          <w:rStyle w:val="FootnoteReference"/>
        </w:rPr>
        <w:footnoteReference w:id="69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Prosecutor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Impunity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played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important</w:t>
      </w:r>
      <w:r w:rsidR="00184181" w:rsidRPr="00E435CA">
        <w:t xml:space="preserve"> </w:t>
      </w:r>
      <w:r w:rsidRPr="00E435CA">
        <w:t>role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ensuring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transparency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probity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nomination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appointment</w:t>
      </w:r>
      <w:r w:rsidR="00184181" w:rsidRPr="00E435CA">
        <w:t xml:space="preserve"> </w:t>
      </w:r>
      <w:r w:rsidRPr="00E435CA">
        <w:t>process.</w:t>
      </w:r>
      <w:r w:rsidR="00184181" w:rsidRPr="00E435CA">
        <w:t xml:space="preserve"> </w:t>
      </w:r>
      <w:r w:rsidRPr="00E435CA">
        <w:t>Following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investigation</w:t>
      </w:r>
      <w:r w:rsidR="00184181" w:rsidRPr="00E435CA">
        <w:t xml:space="preserve"> </w:t>
      </w:r>
      <w:r w:rsidRPr="00E435CA">
        <w:t>into</w:t>
      </w:r>
      <w:r w:rsidR="00184181" w:rsidRPr="00E435CA">
        <w:t xml:space="preserve"> </w:t>
      </w:r>
      <w:r w:rsidRPr="00E435CA">
        <w:t>alleged</w:t>
      </w:r>
      <w:r w:rsidR="00184181" w:rsidRPr="00E435CA">
        <w:t xml:space="preserve"> </w:t>
      </w:r>
      <w:r w:rsidRPr="00E435CA">
        <w:t>influence</w:t>
      </w:r>
      <w:r w:rsidR="00184181" w:rsidRPr="00E435CA">
        <w:t xml:space="preserve"> </w:t>
      </w:r>
      <w:r w:rsidRPr="00E435CA">
        <w:t>peddling,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Attorney</w:t>
      </w:r>
      <w:r w:rsidR="00184181" w:rsidRPr="00E435CA">
        <w:t xml:space="preserve"> </w:t>
      </w:r>
      <w:r w:rsidRPr="00E435CA">
        <w:t>General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filed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injunction</w:t>
      </w:r>
      <w:r w:rsidR="00184181" w:rsidRPr="00E435CA">
        <w:t xml:space="preserve"> </w:t>
      </w:r>
      <w:r w:rsidRPr="00E435CA">
        <w:t>before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denouncing</w:t>
      </w:r>
      <w:r w:rsidR="00184181" w:rsidRPr="00E435CA">
        <w:t xml:space="preserve"> </w:t>
      </w:r>
      <w:r w:rsidRPr="00E435CA">
        <w:t>flaws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process.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granted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motion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6</w:t>
      </w:r>
      <w:r w:rsidR="00184181" w:rsidRPr="00E435CA">
        <w:t xml:space="preserve"> </w:t>
      </w:r>
      <w:r w:rsidRPr="00E435CA">
        <w:t>May,</w:t>
      </w:r>
      <w:r w:rsidR="00184181" w:rsidRPr="00E435CA">
        <w:t xml:space="preserve"> </w:t>
      </w:r>
      <w:r w:rsidRPr="00E435CA">
        <w:t>ordering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dismiss</w:t>
      </w:r>
      <w:r w:rsidR="00184181" w:rsidRPr="00E435CA">
        <w:t xml:space="preserve"> </w:t>
      </w:r>
      <w:r w:rsidRPr="00E435CA">
        <w:t>unsuitable</w:t>
      </w:r>
      <w:r w:rsidR="00184181" w:rsidRPr="00E435CA">
        <w:t xml:space="preserve"> </w:t>
      </w:r>
      <w:r w:rsidRPr="00E435CA">
        <w:t>candidates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select</w:t>
      </w:r>
      <w:r w:rsidR="00184181" w:rsidRPr="00E435CA">
        <w:t xml:space="preserve"> </w:t>
      </w:r>
      <w:r w:rsidRPr="00E435CA">
        <w:t>magistrates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23</w:t>
      </w:r>
      <w:r w:rsidR="00184181" w:rsidRPr="00E435CA">
        <w:t xml:space="preserve"> </w:t>
      </w:r>
      <w:r w:rsidRPr="00E435CA">
        <w:t>June.</w:t>
      </w:r>
      <w:r w:rsidR="00184181" w:rsidRPr="00E435CA">
        <w:t xml:space="preserve"> </w:t>
      </w:r>
      <w:r w:rsidRPr="00E435CA">
        <w:t>Yet,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30</w:t>
      </w:r>
      <w:r w:rsidR="00184181" w:rsidRPr="00E435CA">
        <w:t xml:space="preserve"> </w:t>
      </w:r>
      <w:r w:rsidRPr="00E435CA">
        <w:t>November,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postponed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voting</w:t>
      </w:r>
      <w:r w:rsidR="00184181" w:rsidRPr="00E435CA">
        <w:t xml:space="preserve"> </w:t>
      </w:r>
      <w:r w:rsidRPr="00E435CA">
        <w:t>procedure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31</w:t>
      </w:r>
      <w:r w:rsidR="00184181" w:rsidRPr="00E435CA">
        <w:t xml:space="preserve"> </w:t>
      </w:r>
      <w:r w:rsidRPr="00E435CA">
        <w:t>occasions.</w:t>
      </w:r>
    </w:p>
    <w:p w14:paraId="641100C9" w14:textId="4C9E5397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68.</w:t>
      </w:r>
      <w:r w:rsidRPr="00E435CA">
        <w:tab/>
        <w:t>Attacks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judges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prosecutors</w:t>
      </w:r>
      <w:r w:rsidR="00184181" w:rsidRPr="00E435CA">
        <w:t xml:space="preserve"> </w:t>
      </w:r>
      <w:r w:rsidRPr="00E435CA">
        <w:t>increased</w:t>
      </w:r>
      <w:r w:rsidR="00184181" w:rsidRPr="00E435CA">
        <w:t xml:space="preserve"> </w:t>
      </w:r>
      <w:r w:rsidRPr="00E435CA">
        <w:t>following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judgment.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least</w:t>
      </w:r>
      <w:r w:rsidR="00184181" w:rsidRPr="00E435CA">
        <w:t xml:space="preserve"> </w:t>
      </w:r>
      <w:r w:rsidRPr="00E435CA">
        <w:t>eight</w:t>
      </w:r>
      <w:r w:rsidR="00184181" w:rsidRPr="00E435CA">
        <w:t xml:space="preserve"> </w:t>
      </w:r>
      <w:r w:rsidRPr="00E435CA">
        <w:t>criminal</w:t>
      </w:r>
      <w:r w:rsidR="00184181" w:rsidRPr="00E435CA">
        <w:t xml:space="preserve"> </w:t>
      </w:r>
      <w:r w:rsidRPr="00E435CA">
        <w:t>complaints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filed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June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August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four</w:t>
      </w:r>
      <w:r w:rsidR="00184181" w:rsidRPr="00E435CA">
        <w:t xml:space="preserve"> </w:t>
      </w:r>
      <w:r w:rsidRPr="00E435CA">
        <w:t>magistrates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relation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decision,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initiated</w:t>
      </w:r>
      <w:r w:rsidR="00184181" w:rsidRPr="00E435CA">
        <w:t xml:space="preserve"> </w:t>
      </w:r>
      <w:r w:rsidRPr="00E435CA">
        <w:t>procedures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lift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immunities.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granted</w:t>
      </w:r>
      <w:r w:rsidR="00184181" w:rsidRPr="00E435CA">
        <w:t xml:space="preserve"> </w:t>
      </w:r>
      <w:r w:rsidRPr="00E435CA">
        <w:t>injunctions</w:t>
      </w:r>
      <w:r w:rsidR="00184181" w:rsidRPr="00E435CA">
        <w:t xml:space="preserve"> </w:t>
      </w:r>
      <w:r w:rsidRPr="00E435CA">
        <w:t>invalidating</w:t>
      </w:r>
      <w:r w:rsidR="00184181" w:rsidRPr="00E435CA">
        <w:t xml:space="preserve"> </w:t>
      </w:r>
      <w:r w:rsidRPr="00E435CA">
        <w:t>these</w:t>
      </w:r>
      <w:r w:rsidR="00184181" w:rsidRPr="00E435CA">
        <w:t xml:space="preserve"> </w:t>
      </w:r>
      <w:r w:rsidRPr="00E435CA">
        <w:t>procedures,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Board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Directors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refused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recognize.</w:t>
      </w:r>
      <w:r w:rsidRPr="00E435CA">
        <w:rPr>
          <w:rStyle w:val="FootnoteReference"/>
        </w:rPr>
        <w:footnoteReference w:id="70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Special</w:t>
      </w:r>
      <w:r w:rsidR="00184181" w:rsidRPr="00E435CA">
        <w:t xml:space="preserve"> </w:t>
      </w:r>
      <w:r w:rsidRPr="00E435CA">
        <w:t>Rapporteur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independence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judges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lawyers</w:t>
      </w:r>
      <w:r w:rsidR="00184181" w:rsidRPr="00E435CA">
        <w:t xml:space="preserve"> </w:t>
      </w:r>
      <w:r w:rsidRPr="00E435CA">
        <w:t>called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authorities,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Court,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cease</w:t>
      </w:r>
      <w:r w:rsidR="00184181" w:rsidRPr="00E435CA">
        <w:t xml:space="preserve"> </w:t>
      </w:r>
      <w:r w:rsidRPr="00E435CA">
        <w:t>harassment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threats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Judge</w:t>
      </w:r>
      <w:r w:rsidR="00184181" w:rsidRPr="00E435CA">
        <w:t xml:space="preserve"> </w:t>
      </w:r>
      <w:r w:rsidRPr="00E435CA">
        <w:t>Erika</w:t>
      </w:r>
      <w:r w:rsidR="00184181" w:rsidRPr="00E435CA">
        <w:t xml:space="preserve"> </w:t>
      </w:r>
      <w:r w:rsidRPr="00E435CA">
        <w:t>Aifán</w:t>
      </w:r>
      <w:r w:rsidRPr="00E435CA">
        <w:rPr>
          <w:rStyle w:val="FootnoteReference"/>
        </w:rPr>
        <w:footnoteReference w:id="71"/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magistrates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Court.</w:t>
      </w:r>
      <w:r w:rsidRPr="00E435CA">
        <w:rPr>
          <w:rStyle w:val="FootnoteReference"/>
        </w:rPr>
        <w:footnoteReference w:id="72"/>
      </w:r>
    </w:p>
    <w:p w14:paraId="42C77240" w14:textId="37D43C10" w:rsidR="00467C67" w:rsidRPr="00E435CA" w:rsidRDefault="00467C67" w:rsidP="00172445">
      <w:pPr>
        <w:pStyle w:val="H1G"/>
      </w:pPr>
      <w:bookmarkStart w:id="90" w:name="_Toc461716968"/>
      <w:bookmarkStart w:id="91" w:name="_Toc461717131"/>
      <w:bookmarkStart w:id="92" w:name="_Toc463449223"/>
      <w:bookmarkStart w:id="93" w:name="_Toc466309365"/>
      <w:r w:rsidRPr="00E435CA">
        <w:lastRenderedPageBreak/>
        <w:tab/>
        <w:t>B.</w:t>
      </w:r>
      <w:r w:rsidRPr="00E435CA">
        <w:tab/>
        <w:t>Transitional</w:t>
      </w:r>
      <w:r w:rsidR="00184181" w:rsidRPr="00E435CA">
        <w:t xml:space="preserve"> </w:t>
      </w:r>
      <w:r w:rsidRPr="00E435CA">
        <w:t>justice</w:t>
      </w:r>
      <w:bookmarkEnd w:id="90"/>
      <w:bookmarkEnd w:id="91"/>
      <w:bookmarkEnd w:id="92"/>
      <w:bookmarkEnd w:id="93"/>
    </w:p>
    <w:p w14:paraId="0E2BA6A2" w14:textId="77777777" w:rsidR="005328B0" w:rsidRPr="00E435CA" w:rsidRDefault="00467C67" w:rsidP="00467C67">
      <w:pPr>
        <w:pStyle w:val="SingleTxtG"/>
      </w:pPr>
      <w:r w:rsidRPr="00E435CA">
        <w:t>69.</w:t>
      </w:r>
      <w:r w:rsidRPr="00E435CA">
        <w:tab/>
        <w:t>Hearings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related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violations</w:t>
      </w:r>
      <w:r w:rsidR="00184181" w:rsidRPr="00E435CA">
        <w:t xml:space="preserve"> </w:t>
      </w:r>
      <w:r w:rsidRPr="00E435CA">
        <w:t>committed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internal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conflict</w:t>
      </w:r>
      <w:r w:rsidR="00184181" w:rsidRPr="00E435CA">
        <w:t xml:space="preserve"> </w:t>
      </w:r>
      <w:r w:rsidRPr="00E435CA">
        <w:t>(1960–1996)</w:t>
      </w:r>
      <w:r w:rsidR="00184181" w:rsidRPr="00E435CA">
        <w:t xml:space="preserve"> </w:t>
      </w:r>
      <w:r w:rsidRPr="00E435CA">
        <w:t>suffered</w:t>
      </w:r>
      <w:r w:rsidR="00184181" w:rsidRPr="00E435CA">
        <w:t xml:space="preserve"> </w:t>
      </w:r>
      <w:r w:rsidRPr="00E435CA">
        <w:t>significant</w:t>
      </w:r>
      <w:r w:rsidR="00184181" w:rsidRPr="00E435CA">
        <w:t xml:space="preserve"> </w:t>
      </w:r>
      <w:r w:rsidRPr="00E435CA">
        <w:t>delays</w:t>
      </w:r>
      <w:r w:rsidR="00184181" w:rsidRPr="00E435CA">
        <w:t xml:space="preserve"> </w:t>
      </w:r>
      <w:r w:rsidRPr="00E435CA">
        <w:t>due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pandemic,</w:t>
      </w:r>
      <w:r w:rsidR="00184181" w:rsidRPr="00E435CA">
        <w:t xml:space="preserve"> </w:t>
      </w:r>
      <w:r w:rsidRPr="00E435CA">
        <w:t>notably</w:t>
      </w:r>
      <w:r w:rsidR="00184181" w:rsidRPr="00E435CA">
        <w:t xml:space="preserve"> </w:t>
      </w:r>
      <w:r w:rsidRPr="00E435CA">
        <w:t>for: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genocide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Mayan</w:t>
      </w:r>
      <w:r w:rsidR="00184181" w:rsidRPr="00E435CA">
        <w:t xml:space="preserve"> </w:t>
      </w:r>
      <w:r w:rsidRPr="00E435CA">
        <w:t>Ixil</w:t>
      </w:r>
      <w:r w:rsidR="00184181" w:rsidRPr="00E435CA">
        <w:t xml:space="preserve"> </w:t>
      </w:r>
      <w:r w:rsidRPr="00E435CA">
        <w:t>people,</w:t>
      </w:r>
      <w:r w:rsidR="00184181" w:rsidRPr="00E435CA">
        <w:t xml:space="preserve"> </w:t>
      </w:r>
      <w:r w:rsidRPr="00E435CA">
        <w:t>committed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periods</w:t>
      </w:r>
      <w:r w:rsidR="00184181" w:rsidRPr="00E435CA">
        <w:t xml:space="preserve"> </w:t>
      </w:r>
      <w:r w:rsidRPr="00E435CA">
        <w:t>1978–1982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1982–1984;</w:t>
      </w:r>
      <w:r w:rsidR="00184181" w:rsidRPr="00E435CA">
        <w:t xml:space="preserve"> </w:t>
      </w:r>
      <w:r w:rsidRPr="00E435CA">
        <w:t>cases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serious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violations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Mayan</w:t>
      </w:r>
      <w:r w:rsidR="00184181" w:rsidRPr="00E435CA">
        <w:t xml:space="preserve"> </w:t>
      </w:r>
      <w:r w:rsidRPr="00E435CA">
        <w:t>Achí</w:t>
      </w:r>
      <w:r w:rsidR="00184181" w:rsidRPr="00E435CA">
        <w:t xml:space="preserve"> </w:t>
      </w:r>
      <w:r w:rsidRPr="00E435CA">
        <w:t>women;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Dos</w:t>
      </w:r>
      <w:r w:rsidR="00184181" w:rsidRPr="00E435CA">
        <w:t xml:space="preserve"> </w:t>
      </w:r>
      <w:r w:rsidRPr="00E435CA">
        <w:t>Erres</w:t>
      </w:r>
      <w:r w:rsidR="00184181" w:rsidRPr="00E435CA">
        <w:t xml:space="preserve"> </w:t>
      </w:r>
      <w:r w:rsidRPr="00E435CA">
        <w:t>massacre;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judgment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former</w:t>
      </w:r>
      <w:r w:rsidR="00184181" w:rsidRPr="00E435CA">
        <w:t xml:space="preserve"> </w:t>
      </w:r>
      <w:r w:rsidRPr="00E435CA">
        <w:t>paramilitary</w:t>
      </w:r>
      <w:r w:rsidR="00184181" w:rsidRPr="00E435CA">
        <w:t xml:space="preserve"> </w:t>
      </w:r>
      <w:r w:rsidRPr="00E435CA">
        <w:t>group</w:t>
      </w:r>
      <w:r w:rsidR="00184181" w:rsidRPr="00E435CA">
        <w:t xml:space="preserve"> </w:t>
      </w:r>
      <w:r w:rsidRPr="00E435CA">
        <w:t>member</w:t>
      </w:r>
      <w:r w:rsidR="00184181" w:rsidRPr="00E435CA">
        <w:t xml:space="preserve"> </w:t>
      </w:r>
      <w:r w:rsidRPr="00E435CA">
        <w:t>Juan</w:t>
      </w:r>
      <w:r w:rsidR="00184181" w:rsidRPr="00E435CA">
        <w:t xml:space="preserve"> </w:t>
      </w:r>
      <w:r w:rsidRPr="00E435CA">
        <w:t>Alecio</w:t>
      </w:r>
      <w:r w:rsidR="00184181" w:rsidRPr="00E435CA">
        <w:t xml:space="preserve"> </w:t>
      </w:r>
      <w:r w:rsidRPr="00E435CA">
        <w:t>Samayoa.</w:t>
      </w:r>
    </w:p>
    <w:p w14:paraId="2AE47441" w14:textId="4C250DFE" w:rsidR="005328B0" w:rsidRPr="00E435CA" w:rsidRDefault="00467C67" w:rsidP="00467C67">
      <w:pPr>
        <w:pStyle w:val="SingleTxtG"/>
      </w:pPr>
      <w:r w:rsidRPr="00E435CA">
        <w:t>70.</w:t>
      </w:r>
      <w:r w:rsidRPr="00E435CA">
        <w:tab/>
        <w:t>OHCHR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strengthen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capacities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judges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prosecutors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prosecute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violations</w:t>
      </w:r>
      <w:r w:rsidR="00184181" w:rsidRPr="00E435CA">
        <w:t xml:space="preserve"> </w:t>
      </w:r>
      <w:r w:rsidRPr="00E435CA">
        <w:t>committed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internal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conflict.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coordination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School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Judicial</w:t>
      </w:r>
      <w:r w:rsidR="00184181" w:rsidRPr="00E435CA">
        <w:t xml:space="preserve"> </w:t>
      </w:r>
      <w:r w:rsidRPr="00E435CA">
        <w:t>Studies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Training</w:t>
      </w:r>
      <w:r w:rsidR="00184181" w:rsidRPr="00E435CA">
        <w:t xml:space="preserve"> </w:t>
      </w:r>
      <w:r w:rsidRPr="00E435CA">
        <w:t>Unit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Attorney</w:t>
      </w:r>
      <w:r w:rsidR="00184181" w:rsidRPr="00E435CA">
        <w:t xml:space="preserve"> </w:t>
      </w:r>
      <w:r w:rsidRPr="00E435CA">
        <w:t>General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Office,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delivered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course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transitional</w:t>
      </w:r>
      <w:r w:rsidR="00184181" w:rsidRPr="00E435CA">
        <w:t xml:space="preserve"> </w:t>
      </w:r>
      <w:r w:rsidRPr="00E435CA">
        <w:t>justice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23</w:t>
      </w:r>
      <w:r w:rsidR="00184181" w:rsidRPr="00E435CA">
        <w:t xml:space="preserve"> </w:t>
      </w:r>
      <w:r w:rsidRPr="00E435CA">
        <w:t>judges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35</w:t>
      </w:r>
      <w:r w:rsidR="00184181" w:rsidRPr="00E435CA">
        <w:t xml:space="preserve"> </w:t>
      </w:r>
      <w:r w:rsidRPr="00E435CA">
        <w:t>prosecutors.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facilitated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exchanges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judicial</w:t>
      </w:r>
      <w:r w:rsidR="00184181" w:rsidRPr="00E435CA">
        <w:t xml:space="preserve"> </w:t>
      </w:r>
      <w:r w:rsidRPr="00E435CA">
        <w:t>officials,</w:t>
      </w:r>
      <w:r w:rsidR="00184181" w:rsidRPr="00E435CA">
        <w:t xml:space="preserve"> </w:t>
      </w:r>
      <w:r w:rsidRPr="00E435CA">
        <w:t>victims</w:t>
      </w:r>
      <w:r w:rsidR="00BE7FE5">
        <w:t>’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experts.</w:t>
      </w:r>
    </w:p>
    <w:p w14:paraId="2E83F10A" w14:textId="367A1B51" w:rsidR="005328B0" w:rsidRPr="00E435CA" w:rsidRDefault="00467C67" w:rsidP="00467C67">
      <w:pPr>
        <w:pStyle w:val="SingleTxtG"/>
      </w:pPr>
      <w:r w:rsidRPr="00E435CA">
        <w:t>71.</w:t>
      </w:r>
      <w:r w:rsidRPr="00E435CA">
        <w:tab/>
        <w:t>OHCHR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document</w:t>
      </w:r>
      <w:r w:rsidR="00184181" w:rsidRPr="00E435CA">
        <w:t xml:space="preserve"> </w:t>
      </w:r>
      <w:r w:rsidRPr="00E435CA">
        <w:t>setbacks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accessing</w:t>
      </w:r>
      <w:r w:rsidR="00184181" w:rsidRPr="00E435CA">
        <w:t xml:space="preserve"> </w:t>
      </w:r>
      <w:r w:rsidRPr="00E435CA">
        <w:t>victims</w:t>
      </w:r>
      <w:r w:rsidR="00BE7FE5">
        <w:t>’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reparation,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regards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functioning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Reparations</w:t>
      </w:r>
      <w:r w:rsidR="00184181" w:rsidRPr="00E435CA">
        <w:t xml:space="preserve"> </w:t>
      </w:r>
      <w:r w:rsidRPr="00E435CA">
        <w:t>Programme.</w:t>
      </w:r>
      <w:r w:rsidRPr="00E435CA">
        <w:rPr>
          <w:rStyle w:val="FootnoteReference"/>
        </w:rPr>
        <w:footnoteReference w:id="73"/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March,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regional</w:t>
      </w:r>
      <w:r w:rsidR="00184181" w:rsidRPr="00E435CA">
        <w:t xml:space="preserve"> </w:t>
      </w:r>
      <w:r w:rsidRPr="00E435CA">
        <w:t>offices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closed,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implementation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ongoing</w:t>
      </w:r>
      <w:r w:rsidR="00184181" w:rsidRPr="00E435CA">
        <w:t xml:space="preserve"> </w:t>
      </w:r>
      <w:r w:rsidRPr="00E435CA">
        <w:t>reparation</w:t>
      </w:r>
      <w:r w:rsidR="00184181" w:rsidRPr="00E435CA">
        <w:t xml:space="preserve"> </w:t>
      </w:r>
      <w:r w:rsidRPr="00E435CA">
        <w:t>processes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halted.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31</w:t>
      </w:r>
      <w:r w:rsidR="00184181" w:rsidRPr="00E435CA">
        <w:t xml:space="preserve"> </w:t>
      </w:r>
      <w:r w:rsidRPr="00E435CA">
        <w:t>July,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announced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programme</w:t>
      </w:r>
      <w:r w:rsidR="00184181" w:rsidRPr="00E435CA">
        <w:t xml:space="preserve"> </w:t>
      </w:r>
      <w:r w:rsidRPr="00E435CA">
        <w:t>would</w:t>
      </w:r>
      <w:r w:rsidR="00184181" w:rsidRPr="00E435CA">
        <w:t xml:space="preserve"> </w:t>
      </w:r>
      <w:r w:rsidRPr="00E435CA">
        <w:t>become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welfare</w:t>
      </w:r>
      <w:r w:rsidR="00184181" w:rsidRPr="00E435CA">
        <w:t xml:space="preserve"> </w:t>
      </w:r>
      <w:r w:rsidRPr="00E435CA">
        <w:t>programme</w:t>
      </w:r>
      <w:r w:rsidR="00184181" w:rsidRPr="00E435CA">
        <w:t xml:space="preserve"> </w:t>
      </w:r>
      <w:r w:rsidRPr="00E435CA">
        <w:t>within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Development.</w:t>
      </w:r>
      <w:r w:rsidR="00184181" w:rsidRPr="00E435CA">
        <w:t xml:space="preserve"> </w:t>
      </w:r>
      <w:r w:rsidRPr="00E435CA">
        <w:t>Victims</w:t>
      </w:r>
      <w:r w:rsidR="00BE7FE5">
        <w:t>’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</w:t>
      </w:r>
      <w:r w:rsidR="00184181" w:rsidRPr="00E435CA">
        <w:t xml:space="preserve"> </w:t>
      </w:r>
      <w:r w:rsidRPr="00E435CA">
        <w:t>filed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injunction</w:t>
      </w:r>
      <w:r w:rsidR="00184181" w:rsidRPr="00E435CA">
        <w:t xml:space="preserve"> </w:t>
      </w:r>
      <w:r w:rsidRPr="00E435CA">
        <w:t>before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Constitutional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concerning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decision.</w:t>
      </w:r>
    </w:p>
    <w:p w14:paraId="4CF10E90" w14:textId="77777777" w:rsidR="005328B0" w:rsidRPr="00E435CA" w:rsidRDefault="00467C67" w:rsidP="00467C67">
      <w:pPr>
        <w:pStyle w:val="SingleTxtG"/>
      </w:pPr>
      <w:r w:rsidRPr="00E435CA">
        <w:t>72.</w:t>
      </w:r>
      <w:r w:rsidRPr="00E435CA">
        <w:tab/>
        <w:t>On</w:t>
      </w:r>
      <w:r w:rsidR="00184181" w:rsidRPr="00E435CA">
        <w:t xml:space="preserve"> </w:t>
      </w:r>
      <w:r w:rsidRPr="00E435CA">
        <w:t>26</w:t>
      </w:r>
      <w:r w:rsidR="00184181" w:rsidRPr="00E435CA">
        <w:t xml:space="preserve"> </w:t>
      </w:r>
      <w:r w:rsidRPr="00E435CA">
        <w:t>January,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Supreme</w:t>
      </w:r>
      <w:r w:rsidR="00184181" w:rsidRPr="00E435CA">
        <w:t xml:space="preserve"> </w:t>
      </w:r>
      <w:r w:rsidRPr="00E435CA">
        <w:t>Court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Justice</w:t>
      </w:r>
      <w:r w:rsidR="00184181" w:rsidRPr="00E435CA">
        <w:t xml:space="preserve"> </w:t>
      </w:r>
      <w:r w:rsidRPr="00E435CA">
        <w:t>granted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injunction</w:t>
      </w:r>
      <w:r w:rsidR="00184181" w:rsidRPr="00E435CA">
        <w:t xml:space="preserve"> </w:t>
      </w:r>
      <w:r w:rsidRPr="00E435CA">
        <w:t>filed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organizations,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ordered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Culture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protect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Historical</w:t>
      </w:r>
      <w:r w:rsidR="00184181" w:rsidRPr="00E435CA">
        <w:t xml:space="preserve"> </w:t>
      </w:r>
      <w:r w:rsidRPr="00E435CA">
        <w:t>Archive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Police.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7</w:t>
      </w:r>
      <w:r w:rsidR="00184181" w:rsidRPr="00E435CA">
        <w:t xml:space="preserve"> </w:t>
      </w:r>
      <w:r w:rsidRPr="00E435CA">
        <w:t>October,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Ministry</w:t>
      </w:r>
      <w:r w:rsidR="00184181" w:rsidRPr="00E435CA">
        <w:t xml:space="preserve"> </w:t>
      </w:r>
      <w:r w:rsidRPr="00E435CA">
        <w:t>declared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archive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have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cultural</w:t>
      </w:r>
      <w:r w:rsidR="00184181" w:rsidRPr="00E435CA">
        <w:t xml:space="preserve"> </w:t>
      </w:r>
      <w:r w:rsidRPr="00E435CA">
        <w:t>heritage</w:t>
      </w:r>
      <w:r w:rsidR="00184181" w:rsidRPr="00E435CA">
        <w:t xml:space="preserve"> </w:t>
      </w:r>
      <w:r w:rsidRPr="00E435CA">
        <w:t>status.</w:t>
      </w:r>
    </w:p>
    <w:p w14:paraId="4E1DA25C" w14:textId="77777777" w:rsidR="005328B0" w:rsidRPr="00E435CA" w:rsidRDefault="00467C67" w:rsidP="003D38CA">
      <w:pPr>
        <w:pStyle w:val="H1G"/>
      </w:pPr>
      <w:bookmarkStart w:id="94" w:name="_Toc466309366"/>
      <w:bookmarkStart w:id="95" w:name="_Toc461716969"/>
      <w:bookmarkStart w:id="96" w:name="_Toc461717132"/>
      <w:bookmarkStart w:id="97" w:name="_Toc463449224"/>
      <w:r w:rsidRPr="00E435CA">
        <w:tab/>
        <w:t>C.</w:t>
      </w:r>
      <w:r w:rsidRPr="00E435CA">
        <w:tab/>
        <w:t>Security</w:t>
      </w:r>
      <w:bookmarkEnd w:id="94"/>
      <w:bookmarkEnd w:id="95"/>
      <w:bookmarkEnd w:id="96"/>
      <w:bookmarkEnd w:id="97"/>
    </w:p>
    <w:p w14:paraId="7AC3314B" w14:textId="4FB24AC5" w:rsidR="005328B0" w:rsidRPr="00E435CA" w:rsidRDefault="00467C67" w:rsidP="00467C67">
      <w:pPr>
        <w:pStyle w:val="SingleTxtG"/>
      </w:pPr>
      <w:r w:rsidRPr="00E435CA">
        <w:t>73.</w:t>
      </w:r>
      <w:r w:rsidRPr="00E435CA">
        <w:tab/>
        <w:t>Congress</w:t>
      </w:r>
      <w:r w:rsidR="00184181" w:rsidRPr="00E435CA">
        <w:t xml:space="preserve"> </w:t>
      </w:r>
      <w:r w:rsidRPr="00E435CA">
        <w:t>considered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bills</w:t>
      </w:r>
      <w:r w:rsidR="00184181" w:rsidRPr="00E435CA">
        <w:t xml:space="preserve"> </w:t>
      </w:r>
      <w:r w:rsidRPr="00E435CA">
        <w:t>seeking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amend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Criminal</w:t>
      </w:r>
      <w:r w:rsidR="00184181" w:rsidRPr="00E435CA">
        <w:t xml:space="preserve"> </w:t>
      </w:r>
      <w:r w:rsidRPr="00E435CA">
        <w:t>Code.</w:t>
      </w:r>
      <w:r w:rsidR="00184181" w:rsidRPr="00E435CA">
        <w:t xml:space="preserve"> </w:t>
      </w:r>
      <w:r w:rsidRPr="00E435CA">
        <w:t>If</w:t>
      </w:r>
      <w:r w:rsidR="00184181" w:rsidRPr="00E435CA">
        <w:t xml:space="preserve"> </w:t>
      </w:r>
      <w:r w:rsidRPr="00E435CA">
        <w:t>adopted,</w:t>
      </w:r>
      <w:r w:rsidR="00184181" w:rsidRPr="00E435CA">
        <w:t xml:space="preserve"> </w:t>
      </w:r>
      <w:r w:rsidRPr="00E435CA">
        <w:t>Bill</w:t>
      </w:r>
      <w:r w:rsidR="00184181" w:rsidRPr="00E435CA">
        <w:t xml:space="preserve"> </w:t>
      </w:r>
      <w:r w:rsidRPr="00E435CA">
        <w:t>No.</w:t>
      </w:r>
      <w:r w:rsidR="00184181" w:rsidRPr="00E435CA">
        <w:t xml:space="preserve"> </w:t>
      </w:r>
      <w:r w:rsidRPr="00E435CA">
        <w:t>5692</w:t>
      </w:r>
      <w:r w:rsidR="00184181" w:rsidRPr="00E435CA">
        <w:t xml:space="preserve"> </w:t>
      </w:r>
      <w:r w:rsidRPr="00E435CA">
        <w:t>would</w:t>
      </w:r>
      <w:r w:rsidR="00184181" w:rsidRPr="00E435CA">
        <w:t xml:space="preserve"> </w:t>
      </w:r>
      <w:r w:rsidRPr="00E435CA">
        <w:t>expand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definition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terrorism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include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actions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criminal</w:t>
      </w:r>
      <w:r w:rsidR="00184181" w:rsidRPr="00E435CA">
        <w:t xml:space="preserve"> </w:t>
      </w:r>
      <w:r w:rsidRPr="00E435CA">
        <w:t>groups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dedicated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altering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public-social</w:t>
      </w:r>
      <w:r w:rsidR="00184181" w:rsidRPr="00E435CA">
        <w:t xml:space="preserve"> </w:t>
      </w:r>
      <w:r w:rsidRPr="00E435CA">
        <w:t>order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State,</w:t>
      </w:r>
      <w:r w:rsidR="00184181" w:rsidRPr="00E435CA">
        <w:t xml:space="preserve"> </w:t>
      </w:r>
      <w:r w:rsidRPr="00E435CA">
        <w:t>thereby</w:t>
      </w:r>
      <w:r w:rsidR="00184181" w:rsidRPr="00E435CA">
        <w:t xml:space="preserve"> </w:t>
      </w:r>
      <w:r w:rsidRPr="00E435CA">
        <w:t>threatening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life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integrity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citizens,</w:t>
      </w:r>
      <w:r w:rsidR="00184181" w:rsidRPr="00E435CA">
        <w:t xml:space="preserve"> </w:t>
      </w:r>
      <w:r w:rsidRPr="00E435CA">
        <w:t>commerce,</w:t>
      </w:r>
      <w:r w:rsidR="00184181" w:rsidRPr="00E435CA">
        <w:t xml:space="preserve"> </w:t>
      </w:r>
      <w:r w:rsidRPr="00E435CA">
        <w:t>heritage,</w:t>
      </w:r>
      <w:r w:rsidR="00184181" w:rsidRPr="00E435CA">
        <w:t xml:space="preserve"> </w:t>
      </w:r>
      <w:r w:rsidRPr="00E435CA">
        <w:t>peace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coexistence.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broad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vague</w:t>
      </w:r>
      <w:r w:rsidR="00184181" w:rsidRPr="00E435CA">
        <w:t xml:space="preserve"> </w:t>
      </w:r>
      <w:r w:rsidRPr="00E435CA">
        <w:t>formulation</w:t>
      </w:r>
      <w:r w:rsidR="00184181" w:rsidRPr="00E435CA">
        <w:t xml:space="preserve"> </w:t>
      </w:r>
      <w:r w:rsidRPr="00E435CA">
        <w:t>could</w:t>
      </w:r>
      <w:r w:rsidR="00184181" w:rsidRPr="00E435CA">
        <w:t xml:space="preserve"> </w:t>
      </w:r>
      <w:r w:rsidRPr="00E435CA">
        <w:t>increase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risk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criminalization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defenders.</w:t>
      </w:r>
      <w:r w:rsidR="00184181" w:rsidRPr="00E435CA">
        <w:t xml:space="preserve"> </w:t>
      </w:r>
      <w:r w:rsidRPr="00E435CA">
        <w:t>Bill</w:t>
      </w:r>
      <w:r w:rsidR="00184181" w:rsidRPr="00E435CA">
        <w:t xml:space="preserve"> </w:t>
      </w:r>
      <w:r w:rsidRPr="00E435CA">
        <w:t>No.</w:t>
      </w:r>
      <w:r w:rsidR="00184181" w:rsidRPr="00E435CA">
        <w:t xml:space="preserve"> </w:t>
      </w:r>
      <w:r w:rsidRPr="00E435CA">
        <w:t>5693</w:t>
      </w:r>
      <w:r w:rsidR="00184181" w:rsidRPr="00E435CA">
        <w:t xml:space="preserve"> </w:t>
      </w:r>
      <w:r w:rsidRPr="00E435CA">
        <w:t>seeks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modify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concept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="00BE7FE5">
        <w:t>“</w:t>
      </w:r>
      <w:r w:rsidRPr="00E435CA">
        <w:t>legitimate</w:t>
      </w:r>
      <w:r w:rsidR="00184181" w:rsidRPr="00E435CA">
        <w:t xml:space="preserve"> </w:t>
      </w:r>
      <w:r w:rsidRPr="00E435CA">
        <w:t>defence</w:t>
      </w:r>
      <w:r w:rsidR="00BE7FE5">
        <w:t>”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allow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firearms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private</w:t>
      </w:r>
      <w:r w:rsidR="00184181" w:rsidRPr="00E435CA">
        <w:t xml:space="preserve"> </w:t>
      </w:r>
      <w:r w:rsidRPr="00E435CA">
        <w:t>citizens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law</w:t>
      </w:r>
      <w:r w:rsidR="00184181" w:rsidRPr="00E435CA">
        <w:t xml:space="preserve"> </w:t>
      </w:r>
      <w:r w:rsidRPr="00E435CA">
        <w:t>enforcement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instances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trespassing,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if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person</w:t>
      </w:r>
      <w:r w:rsidR="00BE7FE5">
        <w:t>’</w:t>
      </w:r>
      <w:r w:rsidRPr="00E435CA">
        <w:t>s</w:t>
      </w:r>
      <w:r w:rsidR="00184181" w:rsidRPr="00E435CA">
        <w:t xml:space="preserve"> </w:t>
      </w:r>
      <w:r w:rsidR="00BE7FE5">
        <w:t>“</w:t>
      </w:r>
      <w:r w:rsidRPr="00E435CA">
        <w:t>attitude</w:t>
      </w:r>
      <w:r w:rsidR="00BE7FE5">
        <w:t>”</w:t>
      </w:r>
      <w:r w:rsidR="00184181" w:rsidRPr="00E435CA">
        <w:t xml:space="preserve"> </w:t>
      </w:r>
      <w:r w:rsidRPr="00E435CA">
        <w:t>represents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threat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life,</w:t>
      </w:r>
      <w:r w:rsidR="00184181" w:rsidRPr="00E435CA">
        <w:t xml:space="preserve"> </w:t>
      </w:r>
      <w:r w:rsidRPr="00E435CA">
        <w:t>property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other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broadening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circumstances</w:t>
      </w:r>
      <w:r w:rsidR="00184181" w:rsidRPr="00E435CA">
        <w:t xml:space="preserve"> </w:t>
      </w:r>
      <w:r w:rsidRPr="00E435CA">
        <w:t>under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firearms</w:t>
      </w:r>
      <w:r w:rsidR="00184181" w:rsidRPr="00E435CA">
        <w:t xml:space="preserve"> </w:t>
      </w:r>
      <w:r w:rsidRPr="00E435CA">
        <w:t>is</w:t>
      </w:r>
      <w:r w:rsidR="00184181" w:rsidRPr="00E435CA">
        <w:t xml:space="preserve"> </w:t>
      </w:r>
      <w:r w:rsidRPr="00E435CA">
        <w:t>considered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legitimate</w:t>
      </w:r>
      <w:r w:rsidR="00184181" w:rsidRPr="00E435CA">
        <w:t xml:space="preserve"> </w:t>
      </w:r>
      <w:r w:rsidRPr="00E435CA">
        <w:t>defence</w:t>
      </w:r>
      <w:r w:rsidR="00184181" w:rsidRPr="00E435CA">
        <w:t xml:space="preserve"> </w:t>
      </w:r>
      <w:r w:rsidRPr="00E435CA">
        <w:t>could</w:t>
      </w:r>
      <w:r w:rsidR="00184181" w:rsidRPr="00E435CA">
        <w:t xml:space="preserve"> </w:t>
      </w:r>
      <w:r w:rsidRPr="00E435CA">
        <w:t>encourage</w:t>
      </w:r>
      <w:r w:rsidR="00184181" w:rsidRPr="00E435CA">
        <w:t xml:space="preserve"> </w:t>
      </w:r>
      <w:r w:rsidRPr="00E435CA">
        <w:t>vigilante</w:t>
      </w:r>
      <w:r w:rsidR="00184181" w:rsidRPr="00E435CA">
        <w:t xml:space="preserve"> </w:t>
      </w:r>
      <w:r w:rsidRPr="00E435CA">
        <w:t>activity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generate</w:t>
      </w:r>
      <w:r w:rsidR="00184181" w:rsidRPr="00E435CA">
        <w:t xml:space="preserve"> </w:t>
      </w:r>
      <w:r w:rsidRPr="00E435CA">
        <w:t>impunity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extrajudicial</w:t>
      </w:r>
      <w:r w:rsidR="00184181" w:rsidRPr="00E435CA">
        <w:t xml:space="preserve"> </w:t>
      </w:r>
      <w:r w:rsidRPr="00E435CA">
        <w:t>killings.</w:t>
      </w:r>
    </w:p>
    <w:p w14:paraId="4B22B664" w14:textId="0B834ABF" w:rsidR="00467C67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74.</w:t>
      </w:r>
      <w:r w:rsidRPr="00E435CA">
        <w:tab/>
        <w:t>In</w:t>
      </w:r>
      <w:r w:rsidR="00184181" w:rsidRPr="00E435CA">
        <w:t xml:space="preserve"> </w:t>
      </w:r>
      <w:r w:rsidRPr="00E435CA">
        <w:t>2020,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t>declared</w:t>
      </w:r>
      <w:r w:rsidR="00184181" w:rsidRPr="00E435CA">
        <w:t xml:space="preserve"> </w:t>
      </w:r>
      <w:r w:rsidRPr="00E435CA">
        <w:t>11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exception</w:t>
      </w:r>
      <w:r w:rsidR="00184181" w:rsidRPr="00E435CA">
        <w:t xml:space="preserve"> </w:t>
      </w:r>
      <w:r w:rsidRPr="00E435CA">
        <w:t>establishing</w:t>
      </w:r>
      <w:r w:rsidR="00184181" w:rsidRPr="00E435CA">
        <w:t xml:space="preserve"> </w:t>
      </w:r>
      <w:r w:rsidRPr="00E435CA">
        <w:t>limitations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freedoms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movement,</w:t>
      </w:r>
      <w:r w:rsidR="00184181" w:rsidRPr="00E435CA">
        <w:t xml:space="preserve"> </w:t>
      </w:r>
      <w:r w:rsidRPr="00E435CA">
        <w:t>peaceful</w:t>
      </w:r>
      <w:r w:rsidR="00184181" w:rsidRPr="00E435CA">
        <w:t xml:space="preserve"> </w:t>
      </w:r>
      <w:r w:rsidRPr="00E435CA">
        <w:t>assembly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due</w:t>
      </w:r>
      <w:r w:rsidR="00184181" w:rsidRPr="00E435CA">
        <w:t xml:space="preserve"> </w:t>
      </w:r>
      <w:r w:rsidRPr="00E435CA">
        <w:t>process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length,</w:t>
      </w:r>
      <w:r w:rsidR="00184181" w:rsidRPr="00E435CA">
        <w:t xml:space="preserve"> </w:t>
      </w:r>
      <w:r w:rsidRPr="00E435CA">
        <w:t>scope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geographic</w:t>
      </w:r>
      <w:r w:rsidR="00184181" w:rsidRPr="00E435CA">
        <w:t xml:space="preserve"> </w:t>
      </w:r>
      <w:r w:rsidRPr="00E435CA">
        <w:t>span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fundamental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varied.</w:t>
      </w:r>
      <w:r w:rsidR="00184181" w:rsidRPr="00E435CA">
        <w:t xml:space="preserve"> </w:t>
      </w:r>
      <w:r w:rsidRPr="00E435CA">
        <w:t>Less</w:t>
      </w:r>
      <w:r w:rsidR="00184181" w:rsidRPr="00E435CA">
        <w:t xml:space="preserve"> </w:t>
      </w:r>
      <w:r w:rsidRPr="00E435CA">
        <w:t>restrictive</w:t>
      </w:r>
      <w:r w:rsidR="00184181" w:rsidRPr="00E435CA">
        <w:t xml:space="preserve"> </w:t>
      </w:r>
      <w:r w:rsidR="00BE7FE5">
        <w:t>“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prevention</w:t>
      </w:r>
      <w:r w:rsidR="00BE7FE5">
        <w:t>”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used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seven</w:t>
      </w:r>
      <w:r w:rsidR="00184181" w:rsidRPr="00E435CA">
        <w:t xml:space="preserve"> </w:t>
      </w:r>
      <w:r w:rsidRPr="00E435CA">
        <w:t>occasions,</w:t>
      </w:r>
      <w:r w:rsidR="00184181" w:rsidRPr="00E435CA">
        <w:t xml:space="preserve"> </w:t>
      </w:r>
      <w:r w:rsidRPr="00E435CA">
        <w:t>affecting</w:t>
      </w:r>
      <w:r w:rsidR="00184181" w:rsidRPr="00E435CA">
        <w:t xml:space="preserve"> </w:t>
      </w:r>
      <w:r w:rsidRPr="00E435CA">
        <w:t>80</w:t>
      </w:r>
      <w:r w:rsidR="00184181" w:rsidRPr="00E435CA">
        <w:t xml:space="preserve"> </w:t>
      </w:r>
      <w:r w:rsidRPr="00E435CA">
        <w:t>municipalities.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calamity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declared:</w:t>
      </w:r>
      <w:r w:rsidR="00184181" w:rsidRPr="00E435CA">
        <w:t xml:space="preserve"> </w:t>
      </w:r>
      <w:r w:rsidRPr="00E435CA">
        <w:t>one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calamity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declared</w:t>
      </w:r>
      <w:r w:rsidR="00184181" w:rsidRPr="00E435CA">
        <w:t xml:space="preserve"> </w:t>
      </w:r>
      <w:r w:rsidRPr="00E435CA">
        <w:t>nationwide</w:t>
      </w:r>
      <w:r w:rsidR="00184181" w:rsidRPr="00E435CA">
        <w:t xml:space="preserve"> </w:t>
      </w:r>
      <w:r w:rsidRPr="00E435CA">
        <w:t>owing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COVID-19</w:t>
      </w:r>
      <w:r w:rsidR="00184181" w:rsidRPr="00E435CA">
        <w:t xml:space="preserve"> </w:t>
      </w:r>
      <w:r w:rsidRPr="00E435CA">
        <w:t>health</w:t>
      </w:r>
      <w:r w:rsidR="00184181" w:rsidRPr="00E435CA">
        <w:t xml:space="preserve"> </w:t>
      </w:r>
      <w:r w:rsidRPr="00E435CA">
        <w:t>emergency,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second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emergency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declared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10</w:t>
      </w:r>
      <w:r w:rsidR="00184181" w:rsidRPr="00E435CA">
        <w:t xml:space="preserve"> </w:t>
      </w:r>
      <w:r w:rsidRPr="00E435CA">
        <w:t>regions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response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tropical</w:t>
      </w:r>
      <w:r w:rsidR="00184181" w:rsidRPr="00E435CA">
        <w:t xml:space="preserve"> </w:t>
      </w:r>
      <w:r w:rsidRPr="00E435CA">
        <w:t>storm</w:t>
      </w:r>
      <w:r w:rsidR="00184181" w:rsidRPr="00E435CA">
        <w:t xml:space="preserve"> </w:t>
      </w:r>
      <w:r w:rsidRPr="00E435CA">
        <w:t>Eta.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more</w:t>
      </w:r>
      <w:r w:rsidR="00184181" w:rsidRPr="00E435CA">
        <w:t xml:space="preserve"> </w:t>
      </w:r>
      <w:r w:rsidRPr="00E435CA">
        <w:t>severe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siege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declared</w:t>
      </w:r>
      <w:r w:rsidR="00184181" w:rsidRPr="00E435CA">
        <w:t xml:space="preserve"> </w:t>
      </w:r>
      <w:r w:rsidRPr="00E435CA">
        <w:t>twice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predominantly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areas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respond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conflict</w:t>
      </w:r>
      <w:r w:rsidR="00184181" w:rsidRPr="00E435CA">
        <w:t xml:space="preserve"> </w:t>
      </w:r>
      <w:r w:rsidRPr="00E435CA">
        <w:t>situations.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each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these</w:t>
      </w:r>
      <w:r w:rsidR="00184181" w:rsidRPr="00E435CA">
        <w:t xml:space="preserve"> </w:t>
      </w:r>
      <w:r w:rsidRPr="00E435CA">
        <w:t>instances,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forces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deployed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perform</w:t>
      </w:r>
      <w:r w:rsidR="00184181" w:rsidRPr="00E435CA">
        <w:t xml:space="preserve"> </w:t>
      </w:r>
      <w:r w:rsidRPr="00E435CA">
        <w:t>citizen</w:t>
      </w:r>
      <w:r w:rsidR="00184181" w:rsidRPr="00E435CA">
        <w:t xml:space="preserve"> </w:t>
      </w:r>
      <w:r w:rsidRPr="00E435CA">
        <w:t>security</w:t>
      </w:r>
      <w:r w:rsidR="00184181" w:rsidRPr="00E435CA">
        <w:t xml:space="preserve"> </w:t>
      </w:r>
      <w:r w:rsidRPr="00E435CA">
        <w:t>tasks,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territories,</w:t>
      </w:r>
      <w:r w:rsidR="00184181" w:rsidRPr="00E435CA">
        <w:t xml:space="preserve"> </w:t>
      </w:r>
      <w:r w:rsidRPr="00E435CA">
        <w:t>where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violations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perpetrated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internal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conflict.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some</w:t>
      </w:r>
      <w:r w:rsidR="00184181" w:rsidRPr="00E435CA">
        <w:t xml:space="preserve"> </w:t>
      </w:r>
      <w:r w:rsidRPr="00E435CA">
        <w:t>cases,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population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unaware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exact</w:t>
      </w:r>
      <w:r w:rsidR="00184181" w:rsidRPr="00E435CA">
        <w:t xml:space="preserve"> </w:t>
      </w:r>
      <w:r w:rsidRPr="00E435CA">
        <w:t>scope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adopted,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generated</w:t>
      </w:r>
      <w:r w:rsidR="00184181" w:rsidRPr="00E435CA">
        <w:t xml:space="preserve"> </w:t>
      </w:r>
      <w:r w:rsidRPr="00E435CA">
        <w:t>uncertainty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fear.</w:t>
      </w:r>
      <w:r w:rsidRPr="00E435CA">
        <w:rPr>
          <w:rStyle w:val="FootnoteReference"/>
        </w:rPr>
        <w:footnoteReference w:id="74"/>
      </w:r>
    </w:p>
    <w:p w14:paraId="1A8542CC" w14:textId="77777777" w:rsidR="005328B0" w:rsidRPr="00E435CA" w:rsidRDefault="00467C67" w:rsidP="00467C67">
      <w:pPr>
        <w:pStyle w:val="SingleTxtG"/>
      </w:pPr>
      <w:r w:rsidRPr="00E435CA">
        <w:lastRenderedPageBreak/>
        <w:t>75.</w:t>
      </w:r>
      <w:r w:rsidRPr="00E435CA">
        <w:tab/>
        <w:t>There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various</w:t>
      </w:r>
      <w:r w:rsidR="00184181" w:rsidRPr="00E435CA">
        <w:t xml:space="preserve"> </w:t>
      </w:r>
      <w:r w:rsidRPr="00E435CA">
        <w:t>security</w:t>
      </w:r>
      <w:r w:rsidR="00184181" w:rsidRPr="00E435CA">
        <w:t xml:space="preserve"> </w:t>
      </w:r>
      <w:r w:rsidRPr="00E435CA">
        <w:t>operations</w:t>
      </w:r>
      <w:r w:rsidR="00184181" w:rsidRPr="00E435CA">
        <w:t xml:space="preserve"> </w:t>
      </w:r>
      <w:r w:rsidRPr="00E435CA">
        <w:t>led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police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forces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exception.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notes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according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international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law,</w:t>
      </w:r>
      <w:r w:rsidR="00184181" w:rsidRPr="00E435CA">
        <w:t xml:space="preserve"> </w:t>
      </w:r>
      <w:r w:rsidRPr="00E435CA">
        <w:t>states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emergency</w:t>
      </w:r>
      <w:r w:rsidR="00184181" w:rsidRPr="00E435CA">
        <w:t xml:space="preserve"> </w:t>
      </w:r>
      <w:r w:rsidRPr="00E435CA">
        <w:t>should</w:t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used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clear</w:t>
      </w:r>
      <w:r w:rsidR="00184181" w:rsidRPr="00E435CA">
        <w:t xml:space="preserve"> </w:t>
      </w:r>
      <w:r w:rsidRPr="00E435CA">
        <w:t>justification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necessity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proportionality.</w:t>
      </w:r>
      <w:r w:rsidRPr="00E435CA">
        <w:rPr>
          <w:rStyle w:val="FootnoteReference"/>
        </w:rPr>
        <w:footnoteReference w:id="75"/>
      </w:r>
      <w:r w:rsidR="00184181" w:rsidRPr="00E435CA">
        <w:t xml:space="preserve"> </w:t>
      </w:r>
      <w:r w:rsidRPr="00E435CA">
        <w:t>Efforts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Vice-President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establish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space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dialogue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historical</w:t>
      </w:r>
      <w:r w:rsidR="00184181" w:rsidRPr="00E435CA">
        <w:t xml:space="preserve"> </w:t>
      </w:r>
      <w:r w:rsidRPr="00E435CA">
        <w:t>land</w:t>
      </w:r>
      <w:r w:rsidR="00184181" w:rsidRPr="00E435CA">
        <w:t xml:space="preserve"> </w:t>
      </w:r>
      <w:r w:rsidRPr="00E435CA">
        <w:t>conflict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Nahualá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Santa</w:t>
      </w:r>
      <w:r w:rsidR="00184181" w:rsidRPr="00E435CA">
        <w:t xml:space="preserve"> </w:t>
      </w:r>
      <w:r w:rsidRPr="00E435CA">
        <w:t>Catarina</w:t>
      </w:r>
      <w:r w:rsidR="00184181" w:rsidRPr="00E435CA">
        <w:t xml:space="preserve"> </w:t>
      </w:r>
      <w:r w:rsidRPr="00E435CA">
        <w:t>Ixtahuacán,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encouraging</w:t>
      </w:r>
      <w:r w:rsidR="00184181" w:rsidRPr="00E435CA">
        <w:t xml:space="preserve"> </w:t>
      </w:r>
      <w:r w:rsidRPr="00E435CA">
        <w:t>steps</w:t>
      </w:r>
      <w:r w:rsidR="00184181" w:rsidRPr="00E435CA">
        <w:t xml:space="preserve"> </w:t>
      </w:r>
      <w:r w:rsidRPr="00E435CA">
        <w:t>towards</w:t>
      </w:r>
      <w:r w:rsidR="00184181" w:rsidRPr="00E435CA">
        <w:t xml:space="preserve"> </w:t>
      </w:r>
      <w:r w:rsidRPr="00E435CA">
        <w:t>negotiated</w:t>
      </w:r>
      <w:r w:rsidR="00184181" w:rsidRPr="00E435CA">
        <w:t xml:space="preserve"> </w:t>
      </w:r>
      <w:r w:rsidRPr="00E435CA">
        <w:t>solutions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conflicts.</w:t>
      </w:r>
    </w:p>
    <w:p w14:paraId="49DCC095" w14:textId="77777777" w:rsidR="005328B0" w:rsidRPr="00E435CA" w:rsidRDefault="00467C67" w:rsidP="003D38CA">
      <w:pPr>
        <w:pStyle w:val="HChG"/>
      </w:pPr>
      <w:bookmarkStart w:id="98" w:name="_Toc461716970"/>
      <w:bookmarkStart w:id="99" w:name="_Toc461717133"/>
      <w:bookmarkStart w:id="100" w:name="_Toc462499014"/>
      <w:bookmarkStart w:id="101" w:name="_Toc466309367"/>
      <w:r w:rsidRPr="00E435CA">
        <w:tab/>
        <w:t>VII.</w:t>
      </w:r>
      <w:r w:rsidRPr="00E435CA">
        <w:tab/>
        <w:t>Democratic</w:t>
      </w:r>
      <w:r w:rsidR="00184181" w:rsidRPr="00E435CA">
        <w:t xml:space="preserve"> </w:t>
      </w:r>
      <w:r w:rsidRPr="00E435CA">
        <w:t>space</w:t>
      </w:r>
      <w:bookmarkEnd w:id="98"/>
      <w:bookmarkEnd w:id="99"/>
      <w:bookmarkEnd w:id="100"/>
      <w:bookmarkEnd w:id="101"/>
    </w:p>
    <w:p w14:paraId="29813BCC" w14:textId="0C418D77" w:rsidR="00467C67" w:rsidRPr="00E435CA" w:rsidRDefault="00467C67" w:rsidP="00467C67">
      <w:pPr>
        <w:pStyle w:val="SingleTxtG"/>
      </w:pPr>
      <w:r w:rsidRPr="00E435CA">
        <w:t>76.</w:t>
      </w:r>
      <w:r w:rsidRPr="00E435CA">
        <w:tab/>
        <w:t>The</w:t>
      </w:r>
      <w:r w:rsidR="00184181" w:rsidRPr="00E435CA">
        <w:t xml:space="preserve"> </w:t>
      </w:r>
      <w:r w:rsidRPr="00E435CA">
        <w:t>erosion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civic</w:t>
      </w:r>
      <w:r w:rsidR="00184181" w:rsidRPr="00E435CA">
        <w:t xml:space="preserve"> </w:t>
      </w:r>
      <w:r w:rsidRPr="00E435CA">
        <w:t>space</w:t>
      </w:r>
      <w:r w:rsidR="00184181" w:rsidRPr="00E435CA">
        <w:t xml:space="preserve"> </w:t>
      </w:r>
      <w:r w:rsidRPr="00E435CA">
        <w:t>continued,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increasing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intimidation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journalists,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reduced</w:t>
      </w:r>
      <w:r w:rsidR="00184181" w:rsidRPr="00E435CA">
        <w:t xml:space="preserve"> </w:t>
      </w:r>
      <w:r w:rsidRPr="00E435CA">
        <w:t>space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dialogue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State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large.</w:t>
      </w:r>
      <w:r w:rsidR="00184181" w:rsidRPr="00E435CA">
        <w:t xml:space="preserve"> </w:t>
      </w:r>
      <w:r w:rsidRPr="00E435CA">
        <w:t>Restrictions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freedom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movement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gatherings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pandemic</w:t>
      </w:r>
      <w:r w:rsidR="00184181" w:rsidRPr="00E435CA">
        <w:t xml:space="preserve"> </w:t>
      </w:r>
      <w:r w:rsidRPr="00E435CA">
        <w:t>posed</w:t>
      </w:r>
      <w:r w:rsidR="00184181" w:rsidRPr="00E435CA">
        <w:t xml:space="preserve"> </w:t>
      </w:r>
      <w:r w:rsidRPr="00E435CA">
        <w:t>challenges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traditional</w:t>
      </w:r>
      <w:r w:rsidR="00184181" w:rsidRPr="00E435CA">
        <w:t xml:space="preserve"> </w:t>
      </w:r>
      <w:r w:rsidRPr="00E435CA">
        <w:t>forms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organization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collective</w:t>
      </w:r>
      <w:r w:rsidR="00184181" w:rsidRPr="00E435CA">
        <w:t xml:space="preserve"> </w:t>
      </w:r>
      <w:r w:rsidRPr="00E435CA">
        <w:t>action,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moved</w:t>
      </w:r>
      <w:r w:rsidR="00184181" w:rsidRPr="00E435CA">
        <w:t xml:space="preserve"> </w:t>
      </w:r>
      <w:r w:rsidRPr="00E435CA">
        <w:t>advocacy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activism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online</w:t>
      </w:r>
      <w:r w:rsidR="00184181" w:rsidRPr="00E435CA">
        <w:t xml:space="preserve"> </w:t>
      </w:r>
      <w:r w:rsidRPr="00E435CA">
        <w:t>platforms.</w:t>
      </w:r>
      <w:r w:rsidR="00184181" w:rsidRPr="00E435CA">
        <w:t xml:space="preserve"> </w:t>
      </w:r>
      <w:r w:rsidRPr="00E435CA">
        <w:t>People</w:t>
      </w:r>
      <w:r w:rsidR="00184181" w:rsidRPr="00E435CA">
        <w:t xml:space="preserve"> </w:t>
      </w:r>
      <w:r w:rsidRPr="00E435CA">
        <w:t>living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rural</w:t>
      </w:r>
      <w:r w:rsidR="00184181" w:rsidRPr="00E435CA">
        <w:t xml:space="preserve"> </w:t>
      </w:r>
      <w:r w:rsidRPr="00E435CA">
        <w:t>areas,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technological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connectivity</w:t>
      </w:r>
      <w:r w:rsidR="00184181" w:rsidRPr="00E435CA">
        <w:t xml:space="preserve"> </w:t>
      </w:r>
      <w:r w:rsidRPr="00E435CA">
        <w:t>barriers</w:t>
      </w:r>
      <w:r w:rsidR="00184181" w:rsidRPr="00E435CA">
        <w:t xml:space="preserve"> </w:t>
      </w:r>
      <w:r w:rsidRPr="00E435CA">
        <w:t>that</w:t>
      </w:r>
      <w:r w:rsidR="00184181" w:rsidRPr="00E435CA">
        <w:t xml:space="preserve"> </w:t>
      </w:r>
      <w:r w:rsidRPr="00E435CA">
        <w:t>hindered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participation.</w:t>
      </w:r>
    </w:p>
    <w:p w14:paraId="5DDFCAC3" w14:textId="092E3414" w:rsidR="00467C67" w:rsidRPr="00E435CA" w:rsidRDefault="00467C67" w:rsidP="00467C67">
      <w:pPr>
        <w:pStyle w:val="SingleTxtG"/>
      </w:pPr>
      <w:r w:rsidRPr="00E435CA">
        <w:t>77.</w:t>
      </w:r>
      <w:r w:rsidRPr="00E435CA">
        <w:tab/>
        <w:t>OHCHR</w:t>
      </w:r>
      <w:r w:rsidR="00184181" w:rsidRPr="00E435CA">
        <w:t xml:space="preserve"> </w:t>
      </w:r>
      <w:r w:rsidRPr="00E435CA">
        <w:t>observed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increase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discourse</w:t>
      </w:r>
      <w:r w:rsidR="00184181" w:rsidRPr="00E435CA">
        <w:t xml:space="preserve"> </w:t>
      </w:r>
      <w:r w:rsidRPr="00E435CA">
        <w:t>stigmatizing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defenders,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view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discrediting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silencing</w:t>
      </w:r>
      <w:r w:rsidR="00184181" w:rsidRPr="00E435CA">
        <w:t xml:space="preserve"> </w:t>
      </w:r>
      <w:r w:rsidRPr="00E435CA">
        <w:t>them.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lesbian,</w:t>
      </w:r>
      <w:r w:rsidR="00184181" w:rsidRPr="00E435CA">
        <w:t xml:space="preserve"> </w:t>
      </w:r>
      <w:r w:rsidRPr="00E435CA">
        <w:t>gay,</w:t>
      </w:r>
      <w:r w:rsidR="00184181" w:rsidRPr="00E435CA">
        <w:t xml:space="preserve"> </w:t>
      </w:r>
      <w:r w:rsidRPr="00E435CA">
        <w:t>bisexual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harassed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basis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gender,</w:t>
      </w:r>
      <w:r w:rsidR="00184181" w:rsidRPr="00E435CA">
        <w:t xml:space="preserve"> </w:t>
      </w:r>
      <w:r w:rsidRPr="00E435CA">
        <w:t>gender</w:t>
      </w:r>
      <w:r w:rsidR="00184181" w:rsidRPr="00E435CA">
        <w:t xml:space="preserve"> </w:t>
      </w:r>
      <w:r w:rsidRPr="00E435CA">
        <w:t>identity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orientation,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targets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racist</w:t>
      </w:r>
      <w:r w:rsidR="00184181" w:rsidRPr="00E435CA">
        <w:t xml:space="preserve"> </w:t>
      </w:r>
      <w:r w:rsidRPr="00E435CA">
        <w:t>hate</w:t>
      </w:r>
      <w:r w:rsidR="00184181" w:rsidRPr="00E435CA">
        <w:t xml:space="preserve"> </w:t>
      </w:r>
      <w:r w:rsidRPr="00E435CA">
        <w:t>speech.</w:t>
      </w:r>
      <w:r w:rsidR="00184181" w:rsidRPr="00E435CA">
        <w:t xml:space="preserve"> </w:t>
      </w:r>
      <w:r w:rsidRPr="00E435CA">
        <w:t>Campesino</w:t>
      </w:r>
      <w:r w:rsidR="00184181" w:rsidRPr="00E435CA">
        <w:t xml:space="preserve"> </w:t>
      </w:r>
      <w:r w:rsidRPr="00E435CA">
        <w:t>movements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denouncing</w:t>
      </w:r>
      <w:r w:rsidR="00184181" w:rsidRPr="00E435CA">
        <w:t xml:space="preserve"> </w:t>
      </w:r>
      <w:r w:rsidRPr="00E435CA">
        <w:t>corruption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branded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="00BE7FE5">
        <w:t>“</w:t>
      </w:r>
      <w:r w:rsidRPr="00E435CA">
        <w:t>criminals</w:t>
      </w:r>
      <w:r w:rsidR="00BE7FE5">
        <w:t>”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="00BE7FE5">
        <w:t>“</w:t>
      </w:r>
      <w:r w:rsidRPr="00E435CA">
        <w:t>terrorists</w:t>
      </w:r>
      <w:r w:rsidR="00BE7FE5">
        <w:t>”</w:t>
      </w:r>
      <w:r w:rsidRPr="00E435CA">
        <w:t>.</w:t>
      </w:r>
    </w:p>
    <w:p w14:paraId="681610A0" w14:textId="508EB3F2" w:rsidR="005328B0" w:rsidRPr="00E435CA" w:rsidRDefault="00467C67" w:rsidP="00467C67">
      <w:pPr>
        <w:pStyle w:val="SingleTxtG"/>
      </w:pPr>
      <w:r w:rsidRPr="00E435CA">
        <w:t>78.</w:t>
      </w:r>
      <w:r w:rsidRPr="00E435CA">
        <w:tab/>
        <w:t>OHCHR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identified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growing</w:t>
      </w:r>
      <w:r w:rsidR="00184181" w:rsidRPr="00E435CA">
        <w:t xml:space="preserve"> </w:t>
      </w:r>
      <w:r w:rsidRPr="00E435CA">
        <w:t>trend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digital</w:t>
      </w:r>
      <w:r w:rsidR="00184181" w:rsidRPr="00E435CA">
        <w:t xml:space="preserve"> </w:t>
      </w:r>
      <w:r w:rsidRPr="00E435CA">
        <w:t>smear</w:t>
      </w:r>
      <w:r w:rsidR="00184181" w:rsidRPr="00E435CA">
        <w:t xml:space="preserve"> </w:t>
      </w:r>
      <w:r w:rsidRPr="00E435CA">
        <w:t>campaigns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journalists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networks,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="00BE7FE5">
        <w:t>“</w:t>
      </w:r>
      <w:r w:rsidRPr="00E435CA">
        <w:t>net</w:t>
      </w:r>
      <w:r w:rsidR="00184181" w:rsidRPr="00E435CA">
        <w:t xml:space="preserve"> </w:t>
      </w:r>
      <w:r w:rsidRPr="00E435CA">
        <w:t>centres</w:t>
      </w:r>
      <w:r w:rsidR="00BE7FE5">
        <w:t>”</w:t>
      </w:r>
      <w:r w:rsidR="00184181" w:rsidRPr="00E435CA">
        <w:t xml:space="preserve"> </w:t>
      </w:r>
      <w:r w:rsidRPr="00E435CA">
        <w:t>(trolls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bots)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fake</w:t>
      </w:r>
      <w:r w:rsidR="00184181" w:rsidRPr="00E435CA">
        <w:t xml:space="preserve"> </w:t>
      </w:r>
      <w:r w:rsidRPr="00E435CA">
        <w:t>accounts.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instance,</w:t>
      </w:r>
      <w:r w:rsidR="00184181" w:rsidRPr="00E435CA">
        <w:t xml:space="preserve"> </w:t>
      </w:r>
      <w:r w:rsidRPr="00E435CA">
        <w:t>after</w:t>
      </w:r>
      <w:r w:rsidR="00184181" w:rsidRPr="00E435CA">
        <w:t xml:space="preserve"> </w:t>
      </w:r>
      <w:r w:rsidRPr="00E435CA">
        <w:t>denouncing</w:t>
      </w:r>
      <w:r w:rsidR="00184181" w:rsidRPr="00E435CA">
        <w:t xml:space="preserve"> </w:t>
      </w:r>
      <w:r w:rsidRPr="00E435CA">
        <w:t>racism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sexism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platforms,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artist</w:t>
      </w:r>
      <w:r w:rsidR="00184181" w:rsidRPr="00E435CA">
        <w:t xml:space="preserve"> </w:t>
      </w:r>
      <w:r w:rsidRPr="00E435CA">
        <w:t>Sara</w:t>
      </w:r>
      <w:r w:rsidR="00184181" w:rsidRPr="00E435CA">
        <w:t xml:space="preserve"> </w:t>
      </w:r>
      <w:r w:rsidRPr="00E435CA">
        <w:t>Curruchich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anthropologist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writer</w:t>
      </w:r>
      <w:r w:rsidR="00184181" w:rsidRPr="00E435CA">
        <w:t xml:space="preserve"> </w:t>
      </w:r>
      <w:r w:rsidRPr="00E435CA">
        <w:t>Sandra</w:t>
      </w:r>
      <w:r w:rsidR="00184181" w:rsidRPr="00E435CA">
        <w:t xml:space="preserve"> </w:t>
      </w:r>
      <w:r w:rsidRPr="00E435CA">
        <w:t>Xinico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targets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defamation,</w:t>
      </w:r>
      <w:r w:rsidR="00184181" w:rsidRPr="00E435CA">
        <w:t xml:space="preserve"> </w:t>
      </w:r>
      <w:r w:rsidRPr="00E435CA">
        <w:t>racist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sexist</w:t>
      </w:r>
      <w:r w:rsidR="00184181" w:rsidRPr="00E435CA">
        <w:t xml:space="preserve"> </w:t>
      </w:r>
      <w:r w:rsidRPr="00E435CA">
        <w:t>hate</w:t>
      </w:r>
      <w:r w:rsidR="00184181" w:rsidRPr="00E435CA">
        <w:t xml:space="preserve"> </w:t>
      </w:r>
      <w:r w:rsidRPr="00E435CA">
        <w:t>speech,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threats.</w:t>
      </w:r>
    </w:p>
    <w:p w14:paraId="6531A7EE" w14:textId="77777777" w:rsidR="005328B0" w:rsidRPr="00E435CA" w:rsidRDefault="00467C67" w:rsidP="00467C67">
      <w:pPr>
        <w:pStyle w:val="SingleTxtG"/>
      </w:pPr>
      <w:r w:rsidRPr="00E435CA">
        <w:t>79.</w:t>
      </w:r>
      <w:r w:rsidRPr="00E435CA">
        <w:tab/>
        <w:t>OHCHR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strengthen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participation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enhance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capacities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promote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rights.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total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1,778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(1,093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685</w:t>
      </w:r>
      <w:r w:rsidR="00184181" w:rsidRPr="00E435CA">
        <w:t xml:space="preserve"> </w:t>
      </w:r>
      <w:r w:rsidRPr="00E435CA">
        <w:t>men)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101</w:t>
      </w:r>
      <w:r w:rsidR="00184181" w:rsidRPr="00E435CA">
        <w:t xml:space="preserve"> </w:t>
      </w:r>
      <w:r w:rsidRPr="00E435CA">
        <w:t>civil</w:t>
      </w:r>
      <w:r w:rsidR="00184181" w:rsidRPr="00E435CA">
        <w:t xml:space="preserve"> </w:t>
      </w:r>
      <w:r w:rsidRPr="00E435CA">
        <w:t>society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academic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participated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training</w:t>
      </w:r>
      <w:r w:rsidR="00184181" w:rsidRPr="00E435CA">
        <w:t xml:space="preserve"> </w:t>
      </w:r>
      <w:r w:rsidRPr="00E435CA">
        <w:t>activities</w:t>
      </w:r>
      <w:r w:rsidR="00184181" w:rsidRPr="00E435CA">
        <w:t xml:space="preserve"> </w:t>
      </w:r>
      <w:r w:rsidRPr="00E435CA">
        <w:t>conducted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Office.</w:t>
      </w:r>
    </w:p>
    <w:p w14:paraId="207FAEA0" w14:textId="3188B918" w:rsidR="00467C67" w:rsidRPr="00E435CA" w:rsidRDefault="00467C67" w:rsidP="00A22EF5">
      <w:pPr>
        <w:pStyle w:val="H1G"/>
      </w:pPr>
      <w:bookmarkStart w:id="102" w:name="_Toc461716971"/>
      <w:bookmarkStart w:id="103" w:name="_Toc461717134"/>
      <w:bookmarkStart w:id="104" w:name="_Toc462499015"/>
      <w:bookmarkStart w:id="105" w:name="_Toc466309368"/>
      <w:r w:rsidRPr="00E435CA">
        <w:tab/>
        <w:t>A.</w:t>
      </w:r>
      <w:r w:rsidRPr="00E435CA">
        <w:tab/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bookmarkEnd w:id="102"/>
      <w:bookmarkEnd w:id="103"/>
      <w:bookmarkEnd w:id="104"/>
      <w:bookmarkEnd w:id="105"/>
    </w:p>
    <w:p w14:paraId="5D5AFC40" w14:textId="2B961329" w:rsidR="00467C67" w:rsidRPr="00E435CA" w:rsidRDefault="00467C67" w:rsidP="00A22EF5">
      <w:pPr>
        <w:pStyle w:val="H23G"/>
      </w:pPr>
      <w:r w:rsidRPr="00E435CA">
        <w:tab/>
        <w:t>1.</w:t>
      </w:r>
      <w:r w:rsidRPr="00E435CA">
        <w:tab/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</w:p>
    <w:p w14:paraId="3345F1C1" w14:textId="77777777" w:rsidR="005328B0" w:rsidRPr="00E435CA" w:rsidRDefault="00467C67" w:rsidP="00467C67">
      <w:pPr>
        <w:pStyle w:val="SingleTxtG"/>
        <w:rPr>
          <w:rStyle w:val="FootnoteReference"/>
        </w:rPr>
      </w:pPr>
      <w:r w:rsidRPr="00E435CA">
        <w:t>80.</w:t>
      </w:r>
      <w:r w:rsidRPr="00E435CA">
        <w:tab/>
        <w:t>The</w:t>
      </w:r>
      <w:r w:rsidR="00184181" w:rsidRPr="00E435CA">
        <w:t xml:space="preserve"> </w:t>
      </w:r>
      <w:r w:rsidRPr="00E435CA">
        <w:t>frequency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severity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continued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alarming,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they</w:t>
      </w:r>
      <w:r w:rsidR="00184181" w:rsidRPr="00E435CA">
        <w:t xml:space="preserve"> </w:t>
      </w:r>
      <w:r w:rsidRPr="00E435CA">
        <w:t>included</w:t>
      </w:r>
      <w:r w:rsidR="00184181" w:rsidRPr="00E435CA">
        <w:t xml:space="preserve"> </w:t>
      </w:r>
      <w:r w:rsidRPr="00E435CA">
        <w:t>physical</w:t>
      </w:r>
      <w:r w:rsidR="00184181" w:rsidRPr="00E435CA">
        <w:t xml:space="preserve"> </w:t>
      </w:r>
      <w:r w:rsidRPr="00E435CA">
        <w:t>attacks,</w:t>
      </w:r>
      <w:r w:rsidR="00184181" w:rsidRPr="00E435CA">
        <w:t xml:space="preserve"> </w:t>
      </w:r>
      <w:r w:rsidRPr="00E435CA">
        <w:t>gender-based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violence,</w:t>
      </w:r>
      <w:r w:rsidR="00184181" w:rsidRPr="00E435CA">
        <w:t xml:space="preserve"> </w:t>
      </w:r>
      <w:r w:rsidRPr="00E435CA">
        <w:t>threats,</w:t>
      </w:r>
      <w:r w:rsidR="00184181" w:rsidRPr="00E435CA">
        <w:t xml:space="preserve"> </w:t>
      </w:r>
      <w:r w:rsidRPr="00E435CA">
        <w:t>intimidation,</w:t>
      </w:r>
      <w:r w:rsidR="00184181" w:rsidRPr="00E435CA">
        <w:t xml:space="preserve"> </w:t>
      </w:r>
      <w:r w:rsidRPr="00E435CA">
        <w:t>surveillance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stigmatization.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peoples,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lesbian,</w:t>
      </w:r>
      <w:r w:rsidR="00184181" w:rsidRPr="00E435CA">
        <w:t xml:space="preserve"> </w:t>
      </w:r>
      <w:r w:rsidRPr="00E435CA">
        <w:t>gay,</w:t>
      </w:r>
      <w:r w:rsidR="00184181" w:rsidRPr="00E435CA">
        <w:t xml:space="preserve"> </w:t>
      </w:r>
      <w:r w:rsidRPr="00E435CA">
        <w:t>bisexual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transgender</w:t>
      </w:r>
      <w:r w:rsidR="00184181" w:rsidRPr="00E435CA">
        <w:t xml:space="preserve"> </w:t>
      </w:r>
      <w:r w:rsidRPr="00E435CA">
        <w:t>defenders,</w:t>
      </w:r>
      <w:r w:rsidR="00184181" w:rsidRPr="00E435CA">
        <w:t xml:space="preserve"> </w:t>
      </w:r>
      <w:r w:rsidRPr="00E435CA">
        <w:t>journalists,</w:t>
      </w:r>
      <w:r w:rsidR="00184181" w:rsidRPr="00E435CA">
        <w:t xml:space="preserve"> </w:t>
      </w:r>
      <w:r w:rsidRPr="00E435CA">
        <w:t>judges,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victims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internal</w:t>
      </w:r>
      <w:r w:rsidR="00184181" w:rsidRPr="00E435CA">
        <w:t xml:space="preserve"> </w:t>
      </w:r>
      <w:r w:rsidRPr="00E435CA">
        <w:t>armed</w:t>
      </w:r>
      <w:r w:rsidR="00184181" w:rsidRPr="00E435CA">
        <w:t xml:space="preserve"> </w:t>
      </w:r>
      <w:r w:rsidRPr="00E435CA">
        <w:t>conflict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particular</w:t>
      </w:r>
      <w:r w:rsidR="00184181" w:rsidRPr="00E435CA">
        <w:t xml:space="preserve"> </w:t>
      </w:r>
      <w:r w:rsidRPr="00E435CA">
        <w:t>risks.</w:t>
      </w:r>
      <w:r w:rsidRPr="00E435CA">
        <w:rPr>
          <w:rStyle w:val="FootnoteReference"/>
        </w:rPr>
        <w:footnoteReference w:id="76"/>
      </w:r>
    </w:p>
    <w:p w14:paraId="469E08D1" w14:textId="71A3D633" w:rsidR="00467C67" w:rsidRPr="00E435CA" w:rsidRDefault="00467C67" w:rsidP="00467C67">
      <w:pPr>
        <w:pStyle w:val="SingleTxtG"/>
      </w:pPr>
      <w:r w:rsidRPr="00E435CA">
        <w:t>81.</w:t>
      </w:r>
      <w:r w:rsidRPr="00E435CA">
        <w:tab/>
        <w:t>The</w:t>
      </w:r>
      <w:r w:rsidR="00184181" w:rsidRPr="00E435CA">
        <w:t xml:space="preserve"> </w:t>
      </w:r>
      <w:r w:rsidRPr="00E435CA">
        <w:t>non-governmental</w:t>
      </w:r>
      <w:r w:rsidR="00184181" w:rsidRPr="00E435CA">
        <w:t xml:space="preserve"> </w:t>
      </w:r>
      <w:r w:rsidRPr="00E435CA">
        <w:t>organization</w:t>
      </w:r>
      <w:r w:rsidR="00184181" w:rsidRPr="00E435CA">
        <w:t xml:space="preserve"> </w:t>
      </w:r>
      <w:r w:rsidRPr="00E435CA">
        <w:t>Udefegua</w:t>
      </w:r>
      <w:r w:rsidR="00184181" w:rsidRPr="00E435CA">
        <w:t xml:space="preserve"> </w:t>
      </w:r>
      <w:r w:rsidRPr="00E435CA">
        <w:t>registered</w:t>
      </w:r>
      <w:r w:rsidR="00184181" w:rsidRPr="00E435CA">
        <w:t xml:space="preserve"> </w:t>
      </w:r>
      <w:r w:rsidRPr="00E435CA">
        <w:t>844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–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310</w:t>
      </w:r>
      <w:r w:rsidR="00184181" w:rsidRPr="00E435CA">
        <w:t xml:space="preserve"> </w:t>
      </w:r>
      <w:r w:rsidRPr="00E435CA">
        <w:t>men,</w:t>
      </w:r>
      <w:r w:rsidR="00184181" w:rsidRPr="00E435CA">
        <w:t xml:space="preserve"> </w:t>
      </w:r>
      <w:r w:rsidRPr="00E435CA">
        <w:t>297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70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–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1</w:t>
      </w:r>
      <w:r w:rsidR="00184181" w:rsidRPr="00E435CA">
        <w:t xml:space="preserve"> </w:t>
      </w:r>
      <w:r w:rsidRPr="00E435CA">
        <w:t>January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30</w:t>
      </w:r>
      <w:r w:rsidR="00184181" w:rsidRPr="00E435CA">
        <w:t xml:space="preserve"> </w:t>
      </w:r>
      <w:r w:rsidRPr="00E435CA">
        <w:t>September,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sharp</w:t>
      </w:r>
      <w:r w:rsidR="00184181" w:rsidRPr="00E435CA">
        <w:t xml:space="preserve"> </w:t>
      </w:r>
      <w:r w:rsidRPr="00E435CA">
        <w:t>increase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71</w:t>
      </w:r>
      <w:r w:rsidR="00184181" w:rsidRPr="00E435CA">
        <w:t xml:space="preserve"> </w:t>
      </w:r>
      <w:r w:rsidRPr="00E435CA">
        <w:t>per</w:t>
      </w:r>
      <w:r w:rsidR="00184181" w:rsidRPr="00E435CA">
        <w:t xml:space="preserve"> </w:t>
      </w:r>
      <w:r w:rsidRPr="00E435CA">
        <w:t>cent</w:t>
      </w:r>
      <w:r w:rsidR="00184181" w:rsidRPr="00E435CA">
        <w:t xml:space="preserve"> </w:t>
      </w:r>
      <w:r w:rsidRPr="00E435CA">
        <w:t>compared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registered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same</w:t>
      </w:r>
      <w:r w:rsidR="00184181" w:rsidRPr="00E435CA">
        <w:t xml:space="preserve"> </w:t>
      </w:r>
      <w:r w:rsidRPr="00E435CA">
        <w:t>period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2019.</w:t>
      </w:r>
      <w:r w:rsidRPr="00E435CA">
        <w:rPr>
          <w:rStyle w:val="FootnoteReference"/>
        </w:rPr>
        <w:footnoteReference w:id="77"/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December,</w:t>
      </w:r>
      <w:r w:rsidR="00184181" w:rsidRPr="00E435CA">
        <w:t xml:space="preserve"> </w:t>
      </w:r>
      <w:r w:rsidRPr="00E435CA">
        <w:t>14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killed,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="00DD3E03" w:rsidRPr="00E435CA">
        <w:t>5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campesino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organizations:</w:t>
      </w:r>
      <w:r w:rsidR="00184181" w:rsidRPr="00E435CA">
        <w:t xml:space="preserve"> </w:t>
      </w:r>
      <w:r w:rsidR="00DD3E03" w:rsidRPr="00E435CA">
        <w:t>3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Comité</w:t>
      </w:r>
      <w:r w:rsidR="00184181" w:rsidRPr="00E435CA">
        <w:t xml:space="preserve"> </w:t>
      </w:r>
      <w:r w:rsidRPr="00E435CA">
        <w:t>de</w:t>
      </w:r>
      <w:r w:rsidR="00184181" w:rsidRPr="00E435CA">
        <w:t xml:space="preserve"> </w:t>
      </w:r>
      <w:r w:rsidRPr="00E435CA">
        <w:t>Desarrollo</w:t>
      </w:r>
      <w:r w:rsidR="00184181" w:rsidRPr="00E435CA">
        <w:t xml:space="preserve"> </w:t>
      </w:r>
      <w:r w:rsidRPr="00E435CA">
        <w:t>Campesino</w:t>
      </w:r>
      <w:r w:rsidR="00184181" w:rsidRPr="00E435CA">
        <w:t xml:space="preserve"> </w:t>
      </w:r>
      <w:r w:rsidRPr="00E435CA">
        <w:t>(Campesino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Committee)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="00DD3E03" w:rsidRPr="00E435CA">
        <w:t>2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Nuevo</w:t>
      </w:r>
      <w:r w:rsidR="00184181" w:rsidRPr="00E435CA">
        <w:t xml:space="preserve"> </w:t>
      </w:r>
      <w:r w:rsidRPr="00E435CA">
        <w:t>Día</w:t>
      </w:r>
      <w:r w:rsidR="00184181" w:rsidRPr="00E435CA">
        <w:t xml:space="preserve"> </w:t>
      </w:r>
      <w:r w:rsidRPr="00E435CA">
        <w:t>(New</w:t>
      </w:r>
      <w:r w:rsidR="00184181" w:rsidRPr="00E435CA">
        <w:t xml:space="preserve"> </w:t>
      </w:r>
      <w:r w:rsidRPr="00E435CA">
        <w:t>Day).</w:t>
      </w:r>
    </w:p>
    <w:p w14:paraId="37C51052" w14:textId="33D8EDFE" w:rsidR="00467C67" w:rsidRPr="00E435CA" w:rsidRDefault="00467C67" w:rsidP="003B052B">
      <w:pPr>
        <w:pStyle w:val="SingleTxtG"/>
        <w:spacing w:after="240"/>
      </w:pPr>
      <w:r w:rsidRPr="00E435CA">
        <w:lastRenderedPageBreak/>
        <w:t>82.</w:t>
      </w:r>
      <w:r w:rsidRPr="00E435CA">
        <w:tab/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Attorney</w:t>
      </w:r>
      <w:r w:rsidR="00184181" w:rsidRPr="00E435CA">
        <w:t xml:space="preserve"> </w:t>
      </w:r>
      <w:r w:rsidRPr="00E435CA">
        <w:t>General</w:t>
      </w:r>
      <w:r w:rsidR="00184181" w:rsidRPr="00E435CA">
        <w:t xml:space="preserve"> </w:t>
      </w:r>
      <w:r w:rsidRPr="00E435CA">
        <w:t>recorded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following</w:t>
      </w:r>
      <w:r w:rsidR="00184181" w:rsidRPr="00E435CA">
        <w:t xml:space="preserve"> </w:t>
      </w:r>
      <w:r w:rsidRPr="00E435CA">
        <w:t>figures</w:t>
      </w:r>
      <w:r w:rsidR="00184181" w:rsidRPr="00E435CA">
        <w:t xml:space="preserve"> </w:t>
      </w:r>
      <w:r w:rsidRPr="00E435CA">
        <w:t>concerning</w:t>
      </w:r>
      <w:r w:rsidR="00184181" w:rsidRPr="00E435CA">
        <w:t xml:space="preserve"> </w:t>
      </w:r>
      <w:r w:rsidRPr="00E435CA">
        <w:t>crimes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between</w:t>
      </w:r>
      <w:r w:rsidR="00184181" w:rsidRPr="00E435CA">
        <w:t xml:space="preserve"> </w:t>
      </w:r>
      <w:r w:rsidRPr="00E435CA">
        <w:t>1</w:t>
      </w:r>
      <w:r w:rsidR="00184181" w:rsidRPr="00E435CA">
        <w:t xml:space="preserve"> </w:t>
      </w:r>
      <w:r w:rsidRPr="00E435CA">
        <w:t>January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30</w:t>
      </w:r>
      <w:r w:rsidR="00184181" w:rsidRPr="00E435CA">
        <w:t xml:space="preserve"> </w:t>
      </w:r>
      <w:r w:rsidRPr="00E435CA">
        <w:t>September.</w:t>
      </w:r>
      <w:r w:rsidRPr="00E435CA">
        <w:rPr>
          <w:rStyle w:val="FootnoteReference"/>
        </w:rPr>
        <w:footnoteReference w:id="78"/>
      </w:r>
      <w:r w:rsidR="00184181" w:rsidRPr="00E435CA">
        <w:rPr>
          <w:rStyle w:val="FootnoteReference"/>
        </w:rPr>
        <w:t xml:space="preserve"> </w:t>
      </w:r>
    </w:p>
    <w:tbl>
      <w:tblPr>
        <w:tblW w:w="7370" w:type="dxa"/>
        <w:tblInd w:w="1134" w:type="dxa"/>
        <w:tblBorders>
          <w:top w:val="single" w:sz="4" w:space="0" w:color="auto"/>
          <w:bottom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2"/>
        <w:gridCol w:w="1842"/>
        <w:gridCol w:w="1843"/>
      </w:tblGrid>
      <w:tr w:rsidR="003B052B" w:rsidRPr="00E435CA" w14:paraId="6A2B2BC2" w14:textId="77777777" w:rsidTr="003B052B">
        <w:trPr>
          <w:tblHeader/>
        </w:trPr>
        <w:tc>
          <w:tcPr>
            <w:tcW w:w="24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1E0FDDD4" w14:textId="71BE7442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80" w:after="80" w:line="200" w:lineRule="exact"/>
              <w:ind w:left="0" w:right="113"/>
              <w:jc w:val="left"/>
              <w:rPr>
                <w:i/>
                <w:sz w:val="16"/>
              </w:rPr>
            </w:pPr>
            <w:r w:rsidRPr="00E435CA">
              <w:rPr>
                <w:i/>
                <w:sz w:val="16"/>
              </w:rPr>
              <w:t>Type</w:t>
            </w:r>
            <w:r w:rsidR="00184181" w:rsidRPr="00E435CA">
              <w:rPr>
                <w:i/>
                <w:sz w:val="16"/>
              </w:rPr>
              <w:t xml:space="preserve"> </w:t>
            </w:r>
            <w:r w:rsidRPr="00E435CA">
              <w:rPr>
                <w:i/>
                <w:sz w:val="16"/>
              </w:rPr>
              <w:t>of</w:t>
            </w:r>
            <w:r w:rsidR="00184181" w:rsidRPr="00E435CA">
              <w:rPr>
                <w:i/>
                <w:sz w:val="16"/>
              </w:rPr>
              <w:t xml:space="preserve"> </w:t>
            </w:r>
            <w:r w:rsidRPr="00E435CA">
              <w:rPr>
                <w:i/>
                <w:sz w:val="16"/>
              </w:rPr>
              <w:t>defender</w:t>
            </w:r>
            <w:r w:rsidRPr="00E435CA">
              <w:rPr>
                <w:i/>
                <w:sz w:val="16"/>
              </w:rPr>
              <w:tab/>
            </w:r>
          </w:p>
        </w:tc>
        <w:tc>
          <w:tcPr>
            <w:tcW w:w="24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1BDBECB" w14:textId="4F21962E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80" w:after="80" w:line="200" w:lineRule="exact"/>
              <w:ind w:left="0" w:right="113"/>
              <w:jc w:val="right"/>
              <w:rPr>
                <w:i/>
                <w:sz w:val="16"/>
              </w:rPr>
            </w:pPr>
            <w:r w:rsidRPr="00E435CA">
              <w:rPr>
                <w:i/>
                <w:sz w:val="16"/>
              </w:rPr>
              <w:t>Complaints</w:t>
            </w:r>
            <w:r w:rsidR="00184181" w:rsidRPr="00E435CA">
              <w:rPr>
                <w:i/>
                <w:sz w:val="16"/>
              </w:rPr>
              <w:t xml:space="preserve"> </w:t>
            </w:r>
            <w:r w:rsidRPr="00E435CA">
              <w:rPr>
                <w:i/>
                <w:sz w:val="16"/>
              </w:rPr>
              <w:t>received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74D551A" w14:textId="446DE0F9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80" w:after="80" w:line="200" w:lineRule="exact"/>
              <w:ind w:left="0" w:right="113"/>
              <w:jc w:val="right"/>
              <w:rPr>
                <w:i/>
                <w:sz w:val="16"/>
              </w:rPr>
            </w:pPr>
            <w:r w:rsidRPr="00E435CA">
              <w:rPr>
                <w:i/>
                <w:sz w:val="16"/>
              </w:rPr>
              <w:t>Arrest</w:t>
            </w:r>
            <w:r w:rsidR="00184181" w:rsidRPr="00E435CA">
              <w:rPr>
                <w:i/>
                <w:sz w:val="16"/>
              </w:rPr>
              <w:t xml:space="preserve"> </w:t>
            </w:r>
            <w:r w:rsidRPr="00E435CA">
              <w:rPr>
                <w:i/>
                <w:sz w:val="16"/>
              </w:rPr>
              <w:t>warrants</w:t>
            </w:r>
            <w:r w:rsidR="00184181" w:rsidRPr="00E435CA">
              <w:rPr>
                <w:i/>
                <w:sz w:val="16"/>
              </w:rPr>
              <w:t xml:space="preserve"> </w:t>
            </w:r>
            <w:r w:rsidRPr="00E435CA">
              <w:rPr>
                <w:i/>
                <w:sz w:val="16"/>
              </w:rPr>
              <w:t>issued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7CC69ABC" w14:textId="65E20669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80" w:after="80" w:line="200" w:lineRule="exact"/>
              <w:ind w:left="0" w:right="113"/>
              <w:jc w:val="right"/>
              <w:rPr>
                <w:i/>
                <w:sz w:val="16"/>
              </w:rPr>
            </w:pPr>
            <w:r w:rsidRPr="00E435CA">
              <w:rPr>
                <w:i/>
                <w:sz w:val="16"/>
              </w:rPr>
              <w:t>Convictions</w:t>
            </w:r>
            <w:r w:rsidR="00184181" w:rsidRPr="00E435CA">
              <w:rPr>
                <w:i/>
                <w:sz w:val="16"/>
              </w:rPr>
              <w:t xml:space="preserve"> </w:t>
            </w:r>
            <w:r w:rsidRPr="00E435CA">
              <w:rPr>
                <w:i/>
                <w:sz w:val="16"/>
              </w:rPr>
              <w:t>obtained</w:t>
            </w:r>
          </w:p>
        </w:tc>
      </w:tr>
      <w:tr w:rsidR="003B052B" w:rsidRPr="00E435CA" w14:paraId="1B6173F2" w14:textId="77777777" w:rsidTr="003B052B">
        <w:tc>
          <w:tcPr>
            <w:tcW w:w="2407" w:type="dxa"/>
            <w:tcBorders>
              <w:top w:val="single" w:sz="12" w:space="0" w:color="auto"/>
            </w:tcBorders>
            <w:shd w:val="clear" w:color="auto" w:fill="auto"/>
          </w:tcPr>
          <w:p w14:paraId="153AAF49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left"/>
              <w:rPr>
                <w:sz w:val="18"/>
              </w:rPr>
            </w:pPr>
            <w:r w:rsidRPr="00E435CA">
              <w:rPr>
                <w:sz w:val="18"/>
              </w:rPr>
              <w:t>Activists</w:t>
            </w:r>
          </w:p>
        </w:tc>
        <w:tc>
          <w:tcPr>
            <w:tcW w:w="240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633606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E435CA">
              <w:rPr>
                <w:sz w:val="18"/>
              </w:rPr>
              <w:t>65</w:t>
            </w:r>
          </w:p>
        </w:tc>
        <w:tc>
          <w:tcPr>
            <w:tcW w:w="240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41C47FE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E435CA">
              <w:rPr>
                <w:sz w:val="18"/>
              </w:rPr>
              <w:t>2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C029D82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E435CA">
              <w:rPr>
                <w:sz w:val="18"/>
              </w:rPr>
              <w:t>1</w:t>
            </w:r>
          </w:p>
        </w:tc>
      </w:tr>
      <w:tr w:rsidR="003B052B" w:rsidRPr="00E435CA" w14:paraId="0CC6D76D" w14:textId="77777777" w:rsidTr="003B052B">
        <w:tc>
          <w:tcPr>
            <w:tcW w:w="2407" w:type="dxa"/>
            <w:shd w:val="clear" w:color="auto" w:fill="auto"/>
          </w:tcPr>
          <w:p w14:paraId="04A9DE17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left"/>
              <w:rPr>
                <w:sz w:val="18"/>
              </w:rPr>
            </w:pPr>
            <w:r w:rsidRPr="00E435CA">
              <w:rPr>
                <w:sz w:val="18"/>
              </w:rPr>
              <w:t>Journalists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3B9BD4D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E435CA">
              <w:rPr>
                <w:sz w:val="18"/>
              </w:rPr>
              <w:t>139</w:t>
            </w:r>
          </w:p>
        </w:tc>
        <w:tc>
          <w:tcPr>
            <w:tcW w:w="2407" w:type="dxa"/>
            <w:shd w:val="clear" w:color="auto" w:fill="auto"/>
            <w:vAlign w:val="bottom"/>
          </w:tcPr>
          <w:p w14:paraId="079FD525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E435CA">
              <w:rPr>
                <w:sz w:val="18"/>
              </w:rPr>
              <w:t>2</w:t>
            </w:r>
          </w:p>
        </w:tc>
        <w:tc>
          <w:tcPr>
            <w:tcW w:w="2408" w:type="dxa"/>
            <w:shd w:val="clear" w:color="auto" w:fill="auto"/>
            <w:vAlign w:val="bottom"/>
          </w:tcPr>
          <w:p w14:paraId="19C09953" w14:textId="77777777" w:rsidR="00467C67" w:rsidRPr="00E435CA" w:rsidRDefault="00467C67" w:rsidP="003B052B">
            <w:pPr>
              <w:pStyle w:val="SingleTxtG"/>
              <w:tabs>
                <w:tab w:val="clear" w:pos="1701"/>
                <w:tab w:val="clear" w:pos="2268"/>
              </w:tabs>
              <w:suppressAutoHyphens w:val="0"/>
              <w:spacing w:before="40" w:after="40" w:line="220" w:lineRule="exact"/>
              <w:ind w:left="0" w:right="113"/>
              <w:jc w:val="right"/>
              <w:rPr>
                <w:sz w:val="18"/>
              </w:rPr>
            </w:pPr>
            <w:r w:rsidRPr="00E435CA">
              <w:rPr>
                <w:sz w:val="18"/>
              </w:rPr>
              <w:t>1</w:t>
            </w:r>
          </w:p>
        </w:tc>
      </w:tr>
    </w:tbl>
    <w:p w14:paraId="5EFA9D41" w14:textId="77777777" w:rsidR="005328B0" w:rsidRPr="00E435CA" w:rsidRDefault="00467C67" w:rsidP="003B052B">
      <w:pPr>
        <w:pStyle w:val="SingleTxtG"/>
        <w:spacing w:before="240"/>
      </w:pPr>
      <w:r w:rsidRPr="00E435CA">
        <w:t>83.</w:t>
      </w:r>
      <w:r w:rsidRPr="00E435CA">
        <w:tab/>
        <w:t>The</w:t>
      </w:r>
      <w:r w:rsidR="00184181" w:rsidRPr="00E435CA">
        <w:t xml:space="preserve"> </w:t>
      </w:r>
      <w:r w:rsidRPr="00E435CA">
        <w:t>task</w:t>
      </w:r>
      <w:r w:rsidR="00184181" w:rsidRPr="00E435CA">
        <w:t xml:space="preserve"> </w:t>
      </w:r>
      <w:r w:rsidRPr="00E435CA">
        <w:t>force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analysis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–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only</w:t>
      </w:r>
      <w:r w:rsidR="00184181" w:rsidRPr="00E435CA">
        <w:t xml:space="preserve"> </w:t>
      </w:r>
      <w:r w:rsidRPr="00E435CA">
        <w:t>inter-institutional</w:t>
      </w:r>
      <w:r w:rsidR="00184181" w:rsidRPr="00E435CA">
        <w:t xml:space="preserve"> </w:t>
      </w:r>
      <w:r w:rsidRPr="00E435CA">
        <w:t>mechanism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coordination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measures</w:t>
      </w:r>
      <w:r w:rsidR="00184181" w:rsidRPr="00E435CA">
        <w:t xml:space="preserve"> </w:t>
      </w:r>
      <w:r w:rsidRPr="00E435CA">
        <w:t>–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remained</w:t>
      </w:r>
      <w:r w:rsidR="00184181" w:rsidRPr="00E435CA">
        <w:t xml:space="preserve"> </w:t>
      </w:r>
      <w:r w:rsidRPr="00E435CA">
        <w:t>inoperative</w:t>
      </w:r>
      <w:r w:rsidR="00184181" w:rsidRPr="00E435CA">
        <w:t xml:space="preserve"> </w:t>
      </w:r>
      <w:r w:rsidRPr="00E435CA">
        <w:t>since</w:t>
      </w:r>
      <w:r w:rsidR="00184181" w:rsidRPr="00E435CA">
        <w:t xml:space="preserve"> </w:t>
      </w:r>
      <w:r w:rsidRPr="00E435CA">
        <w:t>2018.</w:t>
      </w:r>
      <w:r w:rsidRPr="00E435CA">
        <w:rPr>
          <w:rStyle w:val="FootnoteReference"/>
        </w:rPr>
        <w:footnoteReference w:id="79"/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loss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key</w:t>
      </w:r>
      <w:r w:rsidR="00184181" w:rsidRPr="00E435CA">
        <w:t xml:space="preserve"> </w:t>
      </w:r>
      <w:r w:rsidRPr="00E435CA">
        <w:t>space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coordination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exchange</w:t>
      </w:r>
      <w:r w:rsidR="00184181" w:rsidRPr="00E435CA">
        <w:t xml:space="preserve"> </w:t>
      </w:r>
      <w:r w:rsidRPr="00E435CA">
        <w:t>heightens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vulnerability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attacks.</w:t>
      </w:r>
    </w:p>
    <w:p w14:paraId="0455615A" w14:textId="1D584924" w:rsidR="00467C67" w:rsidRPr="00E435CA" w:rsidRDefault="00467C67" w:rsidP="00467C67">
      <w:pPr>
        <w:pStyle w:val="SingleTxtG"/>
      </w:pPr>
      <w:r w:rsidRPr="00E435CA">
        <w:t>84.</w:t>
      </w:r>
      <w:r w:rsidRPr="00E435CA">
        <w:tab/>
        <w:t>The</w:t>
      </w:r>
      <w:r w:rsidR="00184181" w:rsidRPr="00E435CA">
        <w:t xml:space="preserve"> </w:t>
      </w:r>
      <w:r w:rsidRPr="00E435CA">
        <w:t>efforts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new</w:t>
      </w:r>
      <w:r w:rsidR="00184181" w:rsidRPr="00E435CA">
        <w:t xml:space="preserve"> </w:t>
      </w:r>
      <w:r w:rsidRPr="00E435CA">
        <w:t>specialized</w:t>
      </w:r>
      <w:r w:rsidR="00184181" w:rsidRPr="00E435CA">
        <w:t xml:space="preserve"> </w:t>
      </w:r>
      <w:r w:rsidRPr="00E435CA">
        <w:t>unit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journalists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Ombudsperson,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playing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active</w:t>
      </w:r>
      <w:r w:rsidR="00184181" w:rsidRPr="00E435CA">
        <w:t xml:space="preserve"> </w:t>
      </w:r>
      <w:r w:rsidRPr="00E435CA">
        <w:t>role</w:t>
      </w:r>
      <w:r w:rsidR="00184181" w:rsidRPr="00E435CA">
        <w:t xml:space="preserve"> </w:t>
      </w:r>
      <w:r w:rsidRPr="00E435CA">
        <w:t>since</w:t>
      </w:r>
      <w:r w:rsidR="00184181" w:rsidRPr="00E435CA">
        <w:t xml:space="preserve"> </w:t>
      </w:r>
      <w:r w:rsidRPr="00E435CA">
        <w:t>its</w:t>
      </w:r>
      <w:r w:rsidR="00184181" w:rsidRPr="00E435CA">
        <w:t xml:space="preserve"> </w:t>
      </w:r>
      <w:r w:rsidRPr="00E435CA">
        <w:t>creation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December</w:t>
      </w:r>
      <w:r w:rsidR="00184181" w:rsidRPr="00E435CA">
        <w:t xml:space="preserve"> </w:t>
      </w:r>
      <w:r w:rsidRPr="00E435CA">
        <w:t>2019,</w:t>
      </w:r>
      <w:r w:rsidR="00184181" w:rsidRPr="00E435CA">
        <w:t xml:space="preserve"> </w:t>
      </w:r>
      <w:r w:rsidRPr="00E435CA">
        <w:t>are</w:t>
      </w:r>
      <w:r w:rsidR="00184181" w:rsidRPr="00E435CA">
        <w:t xml:space="preserve"> </w:t>
      </w:r>
      <w:r w:rsidRPr="00E435CA">
        <w:t>noted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appreciation.</w:t>
      </w:r>
    </w:p>
    <w:p w14:paraId="08C46FCF" w14:textId="77777777" w:rsidR="005328B0" w:rsidRPr="00E435CA" w:rsidRDefault="00467C67" w:rsidP="00467C67">
      <w:pPr>
        <w:pStyle w:val="SingleTxtG"/>
      </w:pPr>
      <w:r w:rsidRPr="00E435CA">
        <w:t>85.</w:t>
      </w:r>
      <w:r w:rsidRPr="00E435CA">
        <w:tab/>
        <w:t>In</w:t>
      </w:r>
      <w:r w:rsidR="00184181" w:rsidRPr="00E435CA">
        <w:t xml:space="preserve"> </w:t>
      </w:r>
      <w:r w:rsidRPr="00E435CA">
        <w:t>early</w:t>
      </w:r>
      <w:r w:rsidR="00184181" w:rsidRPr="00E435CA">
        <w:t xml:space="preserve"> </w:t>
      </w:r>
      <w:r w:rsidRPr="00E435CA">
        <w:t>2020,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provided</w:t>
      </w:r>
      <w:r w:rsidR="00184181" w:rsidRPr="00E435CA">
        <w:t xml:space="preserve"> </w:t>
      </w:r>
      <w:r w:rsidRPr="00E435CA">
        <w:t>technical</w:t>
      </w:r>
      <w:r w:rsidR="00184181" w:rsidRPr="00E435CA">
        <w:t xml:space="preserve"> </w:t>
      </w:r>
      <w:r w:rsidRPr="00E435CA">
        <w:t>assistance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development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public</w:t>
      </w:r>
      <w:r w:rsidR="00184181" w:rsidRPr="00E435CA">
        <w:t xml:space="preserve"> </w:t>
      </w:r>
      <w:r w:rsidRPr="00E435CA">
        <w:t>policy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protection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process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delayed</w:t>
      </w:r>
      <w:r w:rsidR="00184181" w:rsidRPr="00E435CA">
        <w:t xml:space="preserve"> </w:t>
      </w:r>
      <w:r w:rsidRPr="00E435CA">
        <w:t>owing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changes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institutions</w:t>
      </w:r>
      <w:r w:rsidR="00184181" w:rsidRPr="00E435CA">
        <w:t xml:space="preserve"> </w:t>
      </w:r>
      <w:r w:rsidRPr="00E435CA">
        <w:t>(see</w:t>
      </w:r>
      <w:r w:rsidR="00184181" w:rsidRPr="00E435CA">
        <w:t xml:space="preserve"> </w:t>
      </w:r>
      <w:r w:rsidRPr="00E435CA">
        <w:t>para.</w:t>
      </w:r>
      <w:r w:rsidR="00184181" w:rsidRPr="00E435CA">
        <w:t xml:space="preserve"> </w:t>
      </w:r>
      <w:r w:rsidRPr="00E435CA">
        <w:t>12).</w:t>
      </w:r>
    </w:p>
    <w:p w14:paraId="23B395CC" w14:textId="4F6FA2C6" w:rsidR="00467C67" w:rsidRPr="00E435CA" w:rsidRDefault="00467C67" w:rsidP="003B052B">
      <w:pPr>
        <w:pStyle w:val="H23G"/>
      </w:pPr>
      <w:r w:rsidRPr="00E435CA">
        <w:tab/>
        <w:t>2.</w:t>
      </w:r>
      <w:r w:rsidRPr="00E435CA">
        <w:tab/>
        <w:t>Criminalization</w:t>
      </w:r>
    </w:p>
    <w:p w14:paraId="3B86889A" w14:textId="3650DDC8" w:rsidR="00467C67" w:rsidRPr="00E435CA" w:rsidRDefault="00467C67" w:rsidP="00467C67">
      <w:pPr>
        <w:pStyle w:val="SingleTxtG"/>
      </w:pPr>
      <w:r w:rsidRPr="00E435CA">
        <w:t>86.</w:t>
      </w:r>
      <w:r w:rsidRPr="00E435CA">
        <w:tab/>
        <w:t>The</w:t>
      </w:r>
      <w:r w:rsidR="00184181" w:rsidRPr="00E435CA">
        <w:t xml:space="preserve"> </w:t>
      </w:r>
      <w:r w:rsidRPr="00E435CA">
        <w:t>misuse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criminal</w:t>
      </w:r>
      <w:r w:rsidR="00184181" w:rsidRPr="00E435CA">
        <w:t xml:space="preserve"> </w:t>
      </w:r>
      <w:r w:rsidRPr="00E435CA">
        <w:t>law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journalists</w:t>
      </w:r>
      <w:r w:rsidR="00184181" w:rsidRPr="00E435CA">
        <w:t xml:space="preserve"> </w:t>
      </w:r>
      <w:r w:rsidRPr="00E435CA">
        <w:t>persisted,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form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penalizing</w:t>
      </w:r>
      <w:r w:rsidR="00184181" w:rsidRPr="00E435CA">
        <w:t xml:space="preserve"> </w:t>
      </w:r>
      <w:r w:rsidRPr="00E435CA">
        <w:t>them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impeding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work.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documented</w:t>
      </w:r>
      <w:r w:rsidR="00184181" w:rsidRPr="00E435CA">
        <w:t xml:space="preserve"> </w:t>
      </w:r>
      <w:r w:rsidRPr="00E435CA">
        <w:t>delays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irregularities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criminal</w:t>
      </w:r>
      <w:r w:rsidR="00184181" w:rsidRPr="00E435CA">
        <w:t xml:space="preserve"> </w:t>
      </w:r>
      <w:r w:rsidRPr="00E435CA">
        <w:t>procedures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defenders,</w:t>
      </w:r>
      <w:r w:rsidR="00184181" w:rsidRPr="00E435CA">
        <w:t xml:space="preserve"> </w:t>
      </w:r>
      <w:r w:rsidRPr="00E435CA">
        <w:t>such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case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María</w:t>
      </w:r>
      <w:r w:rsidR="00184181" w:rsidRPr="00E435CA">
        <w:t xml:space="preserve"> </w:t>
      </w:r>
      <w:r w:rsidRPr="00E435CA">
        <w:t>Cuc</w:t>
      </w:r>
      <w:r w:rsidR="00184181" w:rsidRPr="00E435CA">
        <w:t xml:space="preserve"> </w:t>
      </w:r>
      <w:r w:rsidRPr="00E435CA">
        <w:t>Choc,</w:t>
      </w:r>
      <w:r w:rsidRPr="00E435CA">
        <w:rPr>
          <w:rStyle w:val="FootnoteReference"/>
        </w:rPr>
        <w:footnoteReference w:id="80"/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Q</w:t>
      </w:r>
      <w:r w:rsidR="00BE7FE5">
        <w:t>’</w:t>
      </w:r>
      <w:r w:rsidRPr="00E435CA">
        <w:t>eqchi</w:t>
      </w:r>
      <w:r w:rsidR="00BE7FE5">
        <w:t>’</w:t>
      </w:r>
      <w:r w:rsidR="00184181" w:rsidRPr="00E435CA">
        <w:t xml:space="preserve"> </w:t>
      </w:r>
      <w:r w:rsidRPr="00E435CA">
        <w:t>defender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environment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land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territories,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has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delayed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two</w:t>
      </w:r>
      <w:r w:rsidR="00184181" w:rsidRPr="00E435CA">
        <w:t xml:space="preserve"> </w:t>
      </w:r>
      <w:r w:rsidRPr="00E435CA">
        <w:t>years.</w:t>
      </w:r>
    </w:p>
    <w:p w14:paraId="2E8FB427" w14:textId="0ED17C36" w:rsidR="005328B0" w:rsidRPr="00E435CA" w:rsidRDefault="00467C67" w:rsidP="00467C67">
      <w:pPr>
        <w:pStyle w:val="SingleTxtG"/>
        <w:rPr>
          <w:rStyle w:val="FootnoteReference"/>
          <w:sz w:val="20"/>
          <w:vertAlign w:val="baseline"/>
        </w:rPr>
      </w:pPr>
      <w:r w:rsidRPr="00E435CA">
        <w:t>87.</w:t>
      </w:r>
      <w:r w:rsidRPr="00E435CA">
        <w:tab/>
        <w:t>Indigenous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campesino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communities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subjected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high</w:t>
      </w:r>
      <w:r w:rsidR="00184181" w:rsidRPr="00E435CA">
        <w:t xml:space="preserve"> </w:t>
      </w:r>
      <w:r w:rsidRPr="00E435CA">
        <w:t>levels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criminalization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context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claims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ancestral</w:t>
      </w:r>
      <w:r w:rsidR="00184181" w:rsidRPr="00E435CA">
        <w:t xml:space="preserve"> </w:t>
      </w:r>
      <w:r w:rsidRPr="00E435CA">
        <w:t>land</w:t>
      </w:r>
      <w:r w:rsidR="00184181" w:rsidRPr="00E435CA">
        <w:t xml:space="preserve"> </w:t>
      </w:r>
      <w:r w:rsidRPr="00E435CA">
        <w:t>ownership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defence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environment.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October,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least</w:t>
      </w:r>
      <w:r w:rsidR="00184181" w:rsidRPr="00E435CA">
        <w:t xml:space="preserve"> </w:t>
      </w:r>
      <w:r w:rsidRPr="00E435CA">
        <w:t>881</w:t>
      </w:r>
      <w:r w:rsidR="00184181" w:rsidRPr="00E435CA">
        <w:t xml:space="preserve"> </w:t>
      </w:r>
      <w:r w:rsidRPr="00E435CA">
        <w:t>arrest</w:t>
      </w:r>
      <w:r w:rsidR="00184181" w:rsidRPr="00E435CA">
        <w:t xml:space="preserve"> </w:t>
      </w:r>
      <w:r w:rsidRPr="00E435CA">
        <w:t>warrants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issued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members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Comité</w:t>
      </w:r>
      <w:r w:rsidR="00184181" w:rsidRPr="00E435CA">
        <w:t xml:space="preserve"> </w:t>
      </w:r>
      <w:r w:rsidRPr="00E435CA">
        <w:t>Campesino</w:t>
      </w:r>
      <w:r w:rsidR="00184181" w:rsidRPr="00E435CA">
        <w:t xml:space="preserve"> </w:t>
      </w:r>
      <w:r w:rsidRPr="00E435CA">
        <w:t>del</w:t>
      </w:r>
      <w:r w:rsidR="00184181" w:rsidRPr="00E435CA">
        <w:t xml:space="preserve"> </w:t>
      </w:r>
      <w:r w:rsidRPr="00E435CA">
        <w:t>Altiplano</w:t>
      </w:r>
      <w:r w:rsidR="00184181" w:rsidRPr="00E435CA">
        <w:t xml:space="preserve"> </w:t>
      </w:r>
      <w:r w:rsidRPr="00E435CA">
        <w:t>(Campesino</w:t>
      </w:r>
      <w:r w:rsidR="00184181" w:rsidRPr="00E435CA">
        <w:t xml:space="preserve"> </w:t>
      </w:r>
      <w:r w:rsidRPr="00E435CA">
        <w:t>Committee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Highlands).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7</w:t>
      </w:r>
      <w:r w:rsidR="00184181" w:rsidRPr="00E435CA">
        <w:t xml:space="preserve"> </w:t>
      </w:r>
      <w:r w:rsidRPr="00E435CA">
        <w:t>September,</w:t>
      </w:r>
      <w:r w:rsidR="00184181" w:rsidRPr="00E435CA">
        <w:t xml:space="preserve"> </w:t>
      </w:r>
      <w:r w:rsidRPr="00E435CA">
        <w:t>after</w:t>
      </w:r>
      <w:r w:rsidR="00184181" w:rsidRPr="00E435CA">
        <w:t xml:space="preserve"> </w:t>
      </w:r>
      <w:r w:rsidRPr="00E435CA">
        <w:t>several</w:t>
      </w:r>
      <w:r w:rsidR="00184181" w:rsidRPr="00E435CA">
        <w:t xml:space="preserve"> </w:t>
      </w:r>
      <w:r w:rsidRPr="00E435CA">
        <w:t>suspensions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hearings,</w:t>
      </w:r>
      <w:r w:rsidR="00184181" w:rsidRPr="00E435CA">
        <w:t xml:space="preserve"> </w:t>
      </w:r>
      <w:r w:rsidRPr="00E435CA">
        <w:t>Bernardo</w:t>
      </w:r>
      <w:r w:rsidR="00184181" w:rsidRPr="00E435CA">
        <w:t xml:space="preserve"> </w:t>
      </w:r>
      <w:r w:rsidRPr="00E435CA">
        <w:t>Caal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request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appeal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denied.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December</w:t>
      </w:r>
      <w:r w:rsidR="00184181" w:rsidRPr="00E435CA">
        <w:t xml:space="preserve"> </w:t>
      </w:r>
      <w:r w:rsidRPr="00E435CA">
        <w:t>2020,</w:t>
      </w:r>
      <w:r w:rsidR="00184181" w:rsidRPr="00E435CA">
        <w:t xml:space="preserve"> </w:t>
      </w:r>
      <w:r w:rsidRPr="00E435CA">
        <w:t>he</w:t>
      </w:r>
      <w:r w:rsidR="00184181" w:rsidRPr="00E435CA">
        <w:t xml:space="preserve"> </w:t>
      </w:r>
      <w:r w:rsidRPr="00E435CA">
        <w:t>had</w:t>
      </w:r>
      <w:r w:rsidR="00184181" w:rsidRPr="00E435CA">
        <w:t xml:space="preserve"> </w:t>
      </w:r>
      <w:r w:rsidRPr="00E435CA">
        <w:t>served</w:t>
      </w:r>
      <w:r w:rsidR="00184181" w:rsidRPr="00E435CA">
        <w:t xml:space="preserve"> </w:t>
      </w:r>
      <w:r w:rsidRPr="00E435CA">
        <w:t>almost</w:t>
      </w:r>
      <w:r w:rsidR="00184181" w:rsidRPr="00E435CA">
        <w:t xml:space="preserve"> </w:t>
      </w:r>
      <w:r w:rsidRPr="00E435CA">
        <w:t>three</w:t>
      </w:r>
      <w:r w:rsidR="00184181" w:rsidRPr="00E435CA">
        <w:t xml:space="preserve"> </w:t>
      </w:r>
      <w:r w:rsidRPr="00E435CA">
        <w:t>years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sentence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88</w:t>
      </w:r>
      <w:r w:rsidR="00184181" w:rsidRPr="00E435CA">
        <w:t xml:space="preserve"> </w:t>
      </w:r>
      <w:r w:rsidRPr="00E435CA">
        <w:t>months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illegal</w:t>
      </w:r>
      <w:r w:rsidR="00184181" w:rsidRPr="00E435CA">
        <w:t xml:space="preserve"> </w:t>
      </w:r>
      <w:r w:rsidRPr="00E435CA">
        <w:t>detention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aggravated</w:t>
      </w:r>
      <w:r w:rsidR="00184181" w:rsidRPr="00E435CA">
        <w:t xml:space="preserve"> </w:t>
      </w:r>
      <w:r w:rsidRPr="00E435CA">
        <w:t>robbery.</w:t>
      </w:r>
      <w:bookmarkStart w:id="106" w:name="_Toc461716972"/>
      <w:bookmarkStart w:id="107" w:name="_Toc461717135"/>
      <w:bookmarkStart w:id="108" w:name="_Toc462499016"/>
      <w:r w:rsidRPr="00E435CA">
        <w:rPr>
          <w:rStyle w:val="FootnoteReference"/>
        </w:rPr>
        <w:footnoteReference w:id="81"/>
      </w:r>
    </w:p>
    <w:p w14:paraId="063F74D4" w14:textId="77777777" w:rsidR="005328B0" w:rsidRPr="00E435CA" w:rsidRDefault="00467C67" w:rsidP="003B052B">
      <w:pPr>
        <w:pStyle w:val="H1G"/>
      </w:pPr>
      <w:bookmarkStart w:id="109" w:name="_Toc466309369"/>
      <w:r w:rsidRPr="00E435CA">
        <w:tab/>
        <w:t>B.</w:t>
      </w:r>
      <w:r w:rsidRPr="00E435CA">
        <w:tab/>
        <w:t>Freedom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expression</w:t>
      </w:r>
      <w:bookmarkEnd w:id="106"/>
      <w:bookmarkEnd w:id="107"/>
      <w:bookmarkEnd w:id="108"/>
      <w:bookmarkEnd w:id="109"/>
    </w:p>
    <w:p w14:paraId="6EEAA895" w14:textId="6C61FD4D" w:rsidR="00467C67" w:rsidRPr="00E435CA" w:rsidRDefault="00467C67" w:rsidP="00467C67">
      <w:pPr>
        <w:pStyle w:val="SingleTxtG"/>
      </w:pPr>
      <w:r w:rsidRPr="00E435CA">
        <w:t>88.</w:t>
      </w:r>
      <w:r w:rsidRPr="00E435CA">
        <w:tab/>
        <w:t>Indigenous</w:t>
      </w:r>
      <w:r w:rsidR="00184181" w:rsidRPr="00E435CA">
        <w:t xml:space="preserve"> </w:t>
      </w:r>
      <w:r w:rsidRPr="00E435CA">
        <w:t>journalists,</w:t>
      </w:r>
      <w:r w:rsidR="00184181" w:rsidRPr="00E435CA">
        <w:t xml:space="preserve"> </w:t>
      </w:r>
      <w:r w:rsidRPr="00E435CA">
        <w:t>organizations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radios</w:t>
      </w:r>
      <w:r w:rsidR="00184181" w:rsidRPr="00E435CA">
        <w:t xml:space="preserve"> </w:t>
      </w:r>
      <w:r w:rsidRPr="00E435CA">
        <w:t>undertook</w:t>
      </w:r>
      <w:r w:rsidR="00184181" w:rsidRPr="00E435CA">
        <w:t xml:space="preserve"> </w:t>
      </w:r>
      <w:r w:rsidRPr="00E435CA">
        <w:t>critical</w:t>
      </w:r>
      <w:r w:rsidR="00184181" w:rsidRPr="00E435CA">
        <w:t xml:space="preserve"> </w:t>
      </w:r>
      <w:r w:rsidRPr="00E435CA">
        <w:t>work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disseminate</w:t>
      </w:r>
      <w:r w:rsidR="00184181" w:rsidRPr="00E435CA">
        <w:t xml:space="preserve"> </w:t>
      </w:r>
      <w:r w:rsidRPr="00E435CA">
        <w:t>information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indigenous</w:t>
      </w:r>
      <w:r w:rsidR="00184181" w:rsidRPr="00E435CA">
        <w:t xml:space="preserve"> </w:t>
      </w:r>
      <w:r w:rsidRPr="00E435CA">
        <w:t>communities.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trained</w:t>
      </w:r>
      <w:r w:rsidR="00184181" w:rsidRPr="00E435CA">
        <w:t xml:space="preserve"> </w:t>
      </w:r>
      <w:r w:rsidRPr="00E435CA">
        <w:t>community</w:t>
      </w:r>
      <w:r w:rsidR="00184181" w:rsidRPr="00E435CA">
        <w:t xml:space="preserve"> </w:t>
      </w:r>
      <w:r w:rsidRPr="00E435CA">
        <w:t>reporters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human</w:t>
      </w:r>
      <w:r w:rsidR="00184181" w:rsidRPr="00E435CA">
        <w:t xml:space="preserve"> </w:t>
      </w:r>
      <w:r w:rsidRPr="00E435CA">
        <w:t>rights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communication</w:t>
      </w:r>
      <w:r w:rsidR="00184181" w:rsidRPr="00E435CA">
        <w:t xml:space="preserve"> </w:t>
      </w:r>
      <w:r w:rsidRPr="00E435CA">
        <w:t>tools.</w:t>
      </w:r>
    </w:p>
    <w:p w14:paraId="3B525AAF" w14:textId="22E69541" w:rsidR="00467C67" w:rsidRPr="00E435CA" w:rsidRDefault="00467C67" w:rsidP="00467C67">
      <w:pPr>
        <w:pStyle w:val="SingleTxtG"/>
      </w:pPr>
      <w:r w:rsidRPr="00E435CA">
        <w:t>89.</w:t>
      </w:r>
      <w:r w:rsidRPr="00E435CA">
        <w:tab/>
        <w:t>Harassment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online</w:t>
      </w:r>
      <w:r w:rsidR="00184181" w:rsidRPr="00E435CA">
        <w:t xml:space="preserve"> </w:t>
      </w:r>
      <w:r w:rsidRPr="00E435CA">
        <w:t>abuse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journalists</w:t>
      </w:r>
      <w:r w:rsidR="00184181" w:rsidRPr="00E435CA">
        <w:t xml:space="preserve"> </w:t>
      </w:r>
      <w:r w:rsidRPr="00E435CA">
        <w:t>proliferated.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February,</w:t>
      </w:r>
      <w:r w:rsidR="00184181" w:rsidRPr="00E435CA">
        <w:t xml:space="preserve"> </w:t>
      </w:r>
      <w:r w:rsidRPr="00E435CA">
        <w:t>over</w:t>
      </w:r>
      <w:r w:rsidR="00184181" w:rsidRPr="00E435CA">
        <w:t xml:space="preserve"> </w:t>
      </w:r>
      <w:r w:rsidRPr="00E435CA">
        <w:t>15</w:t>
      </w:r>
      <w:r w:rsidR="00184181" w:rsidRPr="00E435CA">
        <w:t xml:space="preserve"> </w:t>
      </w:r>
      <w:r w:rsidRPr="00E435CA">
        <w:t>women</w:t>
      </w:r>
      <w:r w:rsidR="00184181" w:rsidRPr="00E435CA">
        <w:t xml:space="preserve"> </w:t>
      </w:r>
      <w:r w:rsidRPr="00E435CA">
        <w:t>journalists</w:t>
      </w:r>
      <w:r w:rsidR="00184181" w:rsidRPr="00E435CA">
        <w:t xml:space="preserve"> </w:t>
      </w:r>
      <w:r w:rsidRPr="00E435CA">
        <w:t>reported</w:t>
      </w:r>
      <w:r w:rsidR="00184181" w:rsidRPr="00E435CA">
        <w:t xml:space="preserve"> </w:t>
      </w:r>
      <w:r w:rsidRPr="00E435CA">
        <w:t>having</w:t>
      </w:r>
      <w:r w:rsidR="00184181" w:rsidRPr="00E435CA">
        <w:t xml:space="preserve"> </w:t>
      </w:r>
      <w:r w:rsidRPr="00E435CA">
        <w:t>been</w:t>
      </w:r>
      <w:r w:rsidR="00184181" w:rsidRPr="00E435CA">
        <w:t xml:space="preserve"> </w:t>
      </w:r>
      <w:r w:rsidRPr="00E435CA">
        <w:t>harassed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same</w:t>
      </w:r>
      <w:r w:rsidR="00184181" w:rsidRPr="00E435CA">
        <w:t xml:space="preserve"> </w:t>
      </w:r>
      <w:r w:rsidRPr="00E435CA">
        <w:t>person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phone</w:t>
      </w:r>
      <w:r w:rsidR="00184181" w:rsidRPr="00E435CA">
        <w:t xml:space="preserve"> </w:t>
      </w:r>
      <w:r w:rsidRPr="00E435CA">
        <w:t>calls.</w:t>
      </w:r>
      <w:r w:rsidRPr="00E435CA">
        <w:rPr>
          <w:rStyle w:val="FootnoteReference"/>
        </w:rPr>
        <w:footnoteReference w:id="82"/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September,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documented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five</w:t>
      </w:r>
      <w:r w:rsidR="00184181" w:rsidRPr="00E435CA">
        <w:t xml:space="preserve"> </w:t>
      </w:r>
      <w:r w:rsidRPr="00E435CA">
        <w:t>female</w:t>
      </w:r>
      <w:r w:rsidR="00184181" w:rsidRPr="00E435CA">
        <w:t xml:space="preserve"> </w:t>
      </w:r>
      <w:r w:rsidRPr="00E435CA">
        <w:t>journalists,</w:t>
      </w:r>
      <w:r w:rsidR="00184181" w:rsidRPr="00E435CA">
        <w:t xml:space="preserve"> </w:t>
      </w:r>
      <w:r w:rsidRPr="00E435CA">
        <w:t>perpetrated</w:t>
      </w:r>
      <w:r w:rsidR="00184181" w:rsidRPr="00E435CA">
        <w:t xml:space="preserve"> </w:t>
      </w:r>
      <w:r w:rsidRPr="00E435CA">
        <w:t>through</w:t>
      </w:r>
      <w:r w:rsidR="00184181" w:rsidRPr="00E435CA">
        <w:t xml:space="preserve"> </w:t>
      </w:r>
      <w:r w:rsidRPr="00E435CA">
        <w:t>social</w:t>
      </w:r>
      <w:r w:rsidR="00184181" w:rsidRPr="00E435CA">
        <w:t xml:space="preserve"> </w:t>
      </w:r>
      <w:r w:rsidRPr="00E435CA">
        <w:t>networks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fake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anonymous</w:t>
      </w:r>
      <w:r w:rsidR="00184181" w:rsidRPr="00E435CA">
        <w:t xml:space="preserve"> </w:t>
      </w:r>
      <w:r w:rsidRPr="00E435CA">
        <w:t>accounts.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few</w:t>
      </w:r>
      <w:r w:rsidR="00184181" w:rsidRPr="00E435CA">
        <w:t xml:space="preserve"> </w:t>
      </w:r>
      <w:r w:rsidRPr="00E435CA">
        <w:t>occasions,</w:t>
      </w:r>
      <w:r w:rsidR="00184181" w:rsidRPr="00E435CA">
        <w:t xml:space="preserve"> </w:t>
      </w:r>
      <w:r w:rsidRPr="00E435CA">
        <w:t>victims</w:t>
      </w:r>
      <w:r w:rsidR="00184181" w:rsidRPr="00E435CA">
        <w:t xml:space="preserve"> </w:t>
      </w:r>
      <w:r w:rsidRPr="00E435CA">
        <w:t>received</w:t>
      </w:r>
      <w:r w:rsidR="00184181" w:rsidRPr="00E435CA">
        <w:t xml:space="preserve"> </w:t>
      </w:r>
      <w:r w:rsidRPr="00E435CA">
        <w:t>threats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personal</w:t>
      </w:r>
      <w:r w:rsidR="00184181" w:rsidRPr="00E435CA">
        <w:t xml:space="preserve"> </w:t>
      </w:r>
      <w:r w:rsidRPr="00E435CA">
        <w:t>telephone</w:t>
      </w:r>
      <w:r w:rsidR="00184181" w:rsidRPr="00E435CA">
        <w:t xml:space="preserve"> </w:t>
      </w:r>
      <w:r w:rsidRPr="00E435CA">
        <w:t>numbers.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attacks</w:t>
      </w:r>
      <w:r w:rsidR="00184181" w:rsidRPr="00E435CA">
        <w:t xml:space="preserve"> </w:t>
      </w:r>
      <w:r w:rsidRPr="00E435CA">
        <w:t>often</w:t>
      </w:r>
      <w:r w:rsidR="00184181" w:rsidRPr="00E435CA">
        <w:t xml:space="preserve"> </w:t>
      </w:r>
      <w:r w:rsidRPr="00E435CA">
        <w:t>consisted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defamatory</w:t>
      </w:r>
      <w:r w:rsidR="00184181" w:rsidRPr="00E435CA">
        <w:t xml:space="preserve"> </w:t>
      </w:r>
      <w:r w:rsidRPr="00E435CA">
        <w:t>comments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abusive</w:t>
      </w:r>
      <w:r w:rsidR="00184181" w:rsidRPr="00E435CA">
        <w:t xml:space="preserve"> </w:t>
      </w:r>
      <w:r w:rsidRPr="00E435CA">
        <w:t>language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sexual</w:t>
      </w:r>
      <w:r w:rsidR="00184181" w:rsidRPr="00E435CA">
        <w:t xml:space="preserve"> </w:t>
      </w:r>
      <w:r w:rsidRPr="00E435CA">
        <w:t>or</w:t>
      </w:r>
      <w:r w:rsidR="00184181" w:rsidRPr="00E435CA">
        <w:t xml:space="preserve"> </w:t>
      </w:r>
      <w:r w:rsidRPr="00E435CA">
        <w:t>misogynistic</w:t>
      </w:r>
      <w:r w:rsidR="00184181" w:rsidRPr="00E435CA">
        <w:t xml:space="preserve"> </w:t>
      </w:r>
      <w:r w:rsidRPr="00E435CA">
        <w:t>connotations.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most</w:t>
      </w:r>
      <w:r w:rsidR="00184181" w:rsidRPr="00E435CA">
        <w:t xml:space="preserve"> </w:t>
      </w:r>
      <w:r w:rsidRPr="00E435CA">
        <w:t>serious</w:t>
      </w:r>
      <w:r w:rsidR="00184181" w:rsidRPr="00E435CA">
        <w:t xml:space="preserve"> </w:t>
      </w:r>
      <w:r w:rsidRPr="00E435CA">
        <w:t>cases,</w:t>
      </w:r>
      <w:r w:rsidR="00184181" w:rsidRPr="00E435CA">
        <w:t xml:space="preserve"> </w:t>
      </w:r>
      <w:r w:rsidRPr="00E435CA">
        <w:t>victims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threatened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death,</w:t>
      </w:r>
      <w:r w:rsidR="00184181" w:rsidRPr="00E435CA">
        <w:t xml:space="preserve"> </w:t>
      </w:r>
      <w:r w:rsidRPr="00E435CA">
        <w:t>violence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rape.</w:t>
      </w:r>
    </w:p>
    <w:p w14:paraId="616DBD78" w14:textId="2E72799D" w:rsidR="00467C67" w:rsidRPr="00E435CA" w:rsidRDefault="00467C67" w:rsidP="00467C67">
      <w:pPr>
        <w:pStyle w:val="SingleTxtG"/>
      </w:pPr>
      <w:r w:rsidRPr="00E435CA">
        <w:t>90.</w:t>
      </w:r>
      <w:r w:rsidRPr="00E435CA">
        <w:tab/>
        <w:t>Journalists</w:t>
      </w:r>
      <w:r w:rsidR="00184181" w:rsidRPr="00E435CA">
        <w:t xml:space="preserve"> </w:t>
      </w:r>
      <w:r w:rsidRPr="00E435CA">
        <w:t>also</w:t>
      </w:r>
      <w:r w:rsidR="00184181" w:rsidRPr="00E435CA">
        <w:t xml:space="preserve"> </w:t>
      </w:r>
      <w:r w:rsidRPr="00E435CA">
        <w:t>faced</w:t>
      </w:r>
      <w:r w:rsidR="00184181" w:rsidRPr="00E435CA">
        <w:t xml:space="preserve"> </w:t>
      </w:r>
      <w:r w:rsidRPr="00E435CA">
        <w:t>reprisals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their</w:t>
      </w:r>
      <w:r w:rsidR="00184181" w:rsidRPr="00E435CA">
        <w:t xml:space="preserve"> </w:t>
      </w:r>
      <w:r w:rsidRPr="00E435CA">
        <w:t>investigative</w:t>
      </w:r>
      <w:r w:rsidR="00184181" w:rsidRPr="00E435CA">
        <w:t xml:space="preserve"> </w:t>
      </w:r>
      <w:r w:rsidRPr="00E435CA">
        <w:t>work.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documented</w:t>
      </w:r>
      <w:r w:rsidR="00184181" w:rsidRPr="00E435CA">
        <w:t xml:space="preserve"> </w:t>
      </w:r>
      <w:r w:rsidRPr="00E435CA">
        <w:t>harassment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threats</w:t>
      </w:r>
      <w:r w:rsidR="00184181" w:rsidRPr="00E435CA">
        <w:t xml:space="preserve"> </w:t>
      </w:r>
      <w:r w:rsidRPr="00E435CA">
        <w:t>with</w:t>
      </w:r>
      <w:r w:rsidR="00184181" w:rsidRPr="00E435CA">
        <w:t xml:space="preserve"> </w:t>
      </w:r>
      <w:r w:rsidRPr="00E435CA">
        <w:t>prosecution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Sonny</w:t>
      </w:r>
      <w:r w:rsidR="00184181" w:rsidRPr="00E435CA">
        <w:t xml:space="preserve"> </w:t>
      </w:r>
      <w:r w:rsidRPr="00E435CA">
        <w:t>Figueroa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Marvin</w:t>
      </w:r>
      <w:r w:rsidR="00184181" w:rsidRPr="00E435CA">
        <w:t xml:space="preserve"> </w:t>
      </w:r>
      <w:r w:rsidRPr="00E435CA">
        <w:t>Del</w:t>
      </w:r>
      <w:r w:rsidR="00184181" w:rsidRPr="00E435CA">
        <w:t xml:space="preserve"> </w:t>
      </w:r>
      <w:r w:rsidRPr="00E435CA">
        <w:t>Cid,</w:t>
      </w:r>
      <w:r w:rsidR="00184181" w:rsidRPr="00E435CA">
        <w:t xml:space="preserve"> </w:t>
      </w:r>
      <w:r w:rsidRPr="00E435CA">
        <w:t>following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publication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investigations</w:t>
      </w:r>
      <w:r w:rsidR="00184181" w:rsidRPr="00E435CA">
        <w:t xml:space="preserve"> </w:t>
      </w:r>
      <w:r w:rsidRPr="00E435CA">
        <w:t>into</w:t>
      </w:r>
      <w:r w:rsidR="00184181" w:rsidRPr="00E435CA">
        <w:t xml:space="preserve"> </w:t>
      </w:r>
      <w:r w:rsidRPr="00E435CA">
        <w:t>alleged</w:t>
      </w:r>
      <w:r w:rsidR="00184181" w:rsidRPr="00E435CA">
        <w:t xml:space="preserve"> </w:t>
      </w:r>
      <w:r w:rsidRPr="00E435CA">
        <w:t>acts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corruption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Government</w:t>
      </w:r>
      <w:r w:rsidR="00184181" w:rsidRPr="00E435CA">
        <w:t xml:space="preserve"> </w:t>
      </w:r>
      <w:r w:rsidRPr="00E435CA">
        <w:lastRenderedPageBreak/>
        <w:t>officials.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11</w:t>
      </w:r>
      <w:r w:rsidR="00184181" w:rsidRPr="00E435CA">
        <w:t xml:space="preserve"> </w:t>
      </w:r>
      <w:r w:rsidRPr="00E435CA">
        <w:t>September,</w:t>
      </w:r>
      <w:r w:rsidR="00184181" w:rsidRPr="00E435CA">
        <w:t xml:space="preserve"> </w:t>
      </w:r>
      <w:r w:rsidRPr="00E435CA">
        <w:t>Sonny</w:t>
      </w:r>
      <w:r w:rsidR="00184181" w:rsidRPr="00E435CA">
        <w:t xml:space="preserve"> </w:t>
      </w:r>
      <w:r w:rsidRPr="00E435CA">
        <w:t>Figueroa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detained</w:t>
      </w:r>
      <w:r w:rsidR="00184181" w:rsidRPr="00E435CA">
        <w:t xml:space="preserve"> </w:t>
      </w:r>
      <w:r w:rsidRPr="00E435CA">
        <w:t>for</w:t>
      </w:r>
      <w:r w:rsidR="00184181" w:rsidRPr="00E435CA">
        <w:t xml:space="preserve"> </w:t>
      </w:r>
      <w:r w:rsidRPr="00E435CA">
        <w:t>24</w:t>
      </w:r>
      <w:r w:rsidR="00184181" w:rsidRPr="00E435CA">
        <w:t xml:space="preserve"> </w:t>
      </w:r>
      <w:r w:rsidRPr="00E435CA">
        <w:t>hours,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released</w:t>
      </w:r>
      <w:r w:rsidR="00184181" w:rsidRPr="00E435CA">
        <w:t xml:space="preserve"> </w:t>
      </w:r>
      <w:r w:rsidRPr="00E435CA">
        <w:t>without</w:t>
      </w:r>
      <w:r w:rsidR="00184181" w:rsidRPr="00E435CA">
        <w:t xml:space="preserve"> </w:t>
      </w:r>
      <w:r w:rsidRPr="00E435CA">
        <w:t>charges.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positive</w:t>
      </w:r>
      <w:r w:rsidR="00184181" w:rsidRPr="00E435CA">
        <w:t xml:space="preserve"> </w:t>
      </w:r>
      <w:r w:rsidRPr="00E435CA">
        <w:t>step,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Office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Attorney</w:t>
      </w:r>
      <w:r w:rsidR="00184181" w:rsidRPr="00E435CA">
        <w:t xml:space="preserve"> </w:t>
      </w:r>
      <w:r w:rsidRPr="00E435CA">
        <w:t>General</w:t>
      </w:r>
      <w:r w:rsidR="00184181" w:rsidRPr="00E435CA">
        <w:t xml:space="preserve"> </w:t>
      </w:r>
      <w:r w:rsidRPr="00E435CA">
        <w:t>promptly</w:t>
      </w:r>
      <w:r w:rsidR="00184181" w:rsidRPr="00E435CA">
        <w:t xml:space="preserve"> </w:t>
      </w:r>
      <w:r w:rsidRPr="00E435CA">
        <w:t>initiated</w:t>
      </w:r>
      <w:r w:rsidR="00184181" w:rsidRPr="00E435CA">
        <w:t xml:space="preserve"> </w:t>
      </w:r>
      <w:r w:rsidRPr="00E435CA">
        <w:t>an</w:t>
      </w:r>
      <w:r w:rsidR="00184181" w:rsidRPr="00E435CA">
        <w:t xml:space="preserve"> </w:t>
      </w:r>
      <w:r w:rsidRPr="00E435CA">
        <w:t>investigation</w:t>
      </w:r>
      <w:r w:rsidR="00184181" w:rsidRPr="00E435CA">
        <w:t xml:space="preserve"> </w:t>
      </w:r>
      <w:r w:rsidRPr="00E435CA">
        <w:t>into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planting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false</w:t>
      </w:r>
      <w:r w:rsidR="00184181" w:rsidRPr="00E435CA">
        <w:t xml:space="preserve"> </w:t>
      </w:r>
      <w:r w:rsidRPr="00E435CA">
        <w:t>evidence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excessive</w:t>
      </w:r>
      <w:r w:rsidR="00184181" w:rsidRPr="00E435CA">
        <w:t xml:space="preserve"> </w:t>
      </w:r>
      <w:r w:rsidRPr="00E435CA">
        <w:t>use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force</w:t>
      </w:r>
      <w:r w:rsidR="00184181" w:rsidRPr="00E435CA">
        <w:t xml:space="preserve"> </w:t>
      </w:r>
      <w:r w:rsidRPr="00E435CA">
        <w:t>by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police</w:t>
      </w:r>
      <w:r w:rsidR="00184181" w:rsidRPr="00E435CA">
        <w:t xml:space="preserve"> </w:t>
      </w:r>
      <w:r w:rsidRPr="00E435CA">
        <w:t>officers</w:t>
      </w:r>
      <w:r w:rsidR="00184181" w:rsidRPr="00E435CA">
        <w:t xml:space="preserve"> </w:t>
      </w:r>
      <w:r w:rsidRPr="00E435CA">
        <w:t>involved.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22</w:t>
      </w:r>
      <w:r w:rsidR="00184181" w:rsidRPr="00E435CA">
        <w:t xml:space="preserve"> </w:t>
      </w:r>
      <w:r w:rsidRPr="00E435CA">
        <w:t>September,</w:t>
      </w:r>
      <w:r w:rsidR="00184181" w:rsidRPr="00E435CA">
        <w:t xml:space="preserve"> </w:t>
      </w:r>
      <w:r w:rsidRPr="00E435CA">
        <w:t>Anastasia</w:t>
      </w:r>
      <w:r w:rsidR="00184181" w:rsidRPr="00E435CA">
        <w:t xml:space="preserve"> </w:t>
      </w:r>
      <w:r w:rsidRPr="00E435CA">
        <w:t>Mejía,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Mayan</w:t>
      </w:r>
      <w:r w:rsidR="00184181" w:rsidRPr="00E435CA">
        <w:t xml:space="preserve"> </w:t>
      </w:r>
      <w:r w:rsidRPr="00E435CA">
        <w:t>K</w:t>
      </w:r>
      <w:r w:rsidR="00BE7FE5">
        <w:t>’</w:t>
      </w:r>
      <w:r w:rsidRPr="00E435CA">
        <w:t>iche</w:t>
      </w:r>
      <w:r w:rsidR="00BE7FE5">
        <w:t>’</w:t>
      </w:r>
      <w:r w:rsidR="00184181" w:rsidRPr="00E435CA">
        <w:t xml:space="preserve"> </w:t>
      </w:r>
      <w:r w:rsidRPr="00E435CA">
        <w:t>communicator</w:t>
      </w:r>
      <w:r w:rsidR="00184181" w:rsidRPr="00E435CA">
        <w:t xml:space="preserve"> </w:t>
      </w:r>
      <w:r w:rsidRPr="00E435CA">
        <w:t>from</w:t>
      </w:r>
      <w:r w:rsidR="00184181" w:rsidRPr="00E435CA">
        <w:t xml:space="preserve"> </w:t>
      </w:r>
      <w:r w:rsidRPr="00E435CA">
        <w:t>Joyabaj,</w:t>
      </w:r>
      <w:r w:rsidR="00184181" w:rsidRPr="00E435CA">
        <w:t xml:space="preserve"> </w:t>
      </w:r>
      <w:r w:rsidRPr="00E435CA">
        <w:t>Quiché,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arrested</w:t>
      </w:r>
      <w:r w:rsidR="00184181" w:rsidRPr="00E435CA">
        <w:t xml:space="preserve"> </w:t>
      </w:r>
      <w:r w:rsidRPr="00E435CA">
        <w:t>after</w:t>
      </w:r>
      <w:r w:rsidR="00184181" w:rsidRPr="00E435CA">
        <w:t xml:space="preserve"> </w:t>
      </w:r>
      <w:r w:rsidRPr="00E435CA">
        <w:t>she</w:t>
      </w:r>
      <w:r w:rsidR="00184181" w:rsidRPr="00E435CA">
        <w:t xml:space="preserve"> </w:t>
      </w:r>
      <w:r w:rsidRPr="00E435CA">
        <w:t>live-broadcast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demonstration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local</w:t>
      </w:r>
      <w:r w:rsidR="00184181" w:rsidRPr="00E435CA">
        <w:t xml:space="preserve"> </w:t>
      </w:r>
      <w:r w:rsidRPr="00E435CA">
        <w:t>mayor.</w:t>
      </w:r>
    </w:p>
    <w:p w14:paraId="5F512DAB" w14:textId="77777777" w:rsidR="005328B0" w:rsidRPr="00E435CA" w:rsidRDefault="00467C67" w:rsidP="00F041C6">
      <w:pPr>
        <w:pStyle w:val="H1G"/>
      </w:pPr>
      <w:r w:rsidRPr="00E435CA">
        <w:tab/>
        <w:t>C.</w:t>
      </w:r>
      <w:r w:rsidRPr="00E435CA">
        <w:tab/>
        <w:t>Freedom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assembly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association</w:t>
      </w:r>
    </w:p>
    <w:p w14:paraId="0AB743C3" w14:textId="1F0C4D5C" w:rsidR="005328B0" w:rsidRPr="00E435CA" w:rsidRDefault="00467C67" w:rsidP="00467C67">
      <w:pPr>
        <w:pStyle w:val="SingleTxtG"/>
      </w:pPr>
      <w:r w:rsidRPr="00E435CA">
        <w:t>91.</w:t>
      </w:r>
      <w:r w:rsidRPr="00E435CA">
        <w:tab/>
        <w:t>The</w:t>
      </w:r>
      <w:r w:rsidR="00184181" w:rsidRPr="00E435CA">
        <w:t xml:space="preserve"> </w:t>
      </w:r>
      <w:r w:rsidRPr="00E435CA">
        <w:t>approval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2021</w:t>
      </w:r>
      <w:r w:rsidR="00184181" w:rsidRPr="00E435CA">
        <w:t xml:space="preserve"> </w:t>
      </w:r>
      <w:r w:rsidRPr="00E435CA">
        <w:t>national</w:t>
      </w:r>
      <w:r w:rsidR="00184181" w:rsidRPr="00E435CA">
        <w:t xml:space="preserve"> </w:t>
      </w:r>
      <w:r w:rsidRPr="00E435CA">
        <w:t>budget</w:t>
      </w:r>
      <w:r w:rsidR="00184181" w:rsidRPr="00E435CA">
        <w:t xml:space="preserve"> </w:t>
      </w:r>
      <w:r w:rsidRPr="00E435CA">
        <w:t>triggered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wave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protests</w:t>
      </w:r>
      <w:r w:rsidR="00184181" w:rsidRPr="00E435CA">
        <w:t xml:space="preserve"> </w:t>
      </w:r>
      <w:r w:rsidRPr="00E435CA">
        <w:t>across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country,</w:t>
      </w:r>
      <w:r w:rsidR="00184181" w:rsidRPr="00E435CA">
        <w:t xml:space="preserve"> </w:t>
      </w:r>
      <w:r w:rsidRPr="00E435CA">
        <w:t>as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budget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perceived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be</w:t>
      </w:r>
      <w:r w:rsidR="00184181" w:rsidRPr="00E435CA">
        <w:t xml:space="preserve"> </w:t>
      </w:r>
      <w:r w:rsidRPr="00E435CA">
        <w:t>inadequate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respond</w:t>
      </w:r>
      <w:r w:rsidR="00184181" w:rsidRPr="00E435CA">
        <w:t xml:space="preserve"> </w:t>
      </w:r>
      <w:r w:rsidRPr="00E435CA">
        <w:t>to</w:t>
      </w:r>
      <w:r w:rsidR="00184181" w:rsidRPr="00E435CA">
        <w:t xml:space="preserve"> </w:t>
      </w:r>
      <w:r w:rsidRPr="00E435CA">
        <w:t>various</w:t>
      </w:r>
      <w:r w:rsidR="00184181" w:rsidRPr="00E435CA">
        <w:t xml:space="preserve"> </w:t>
      </w:r>
      <w:r w:rsidRPr="00E435CA">
        <w:t>issues.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observed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protests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City,</w:t>
      </w:r>
      <w:r w:rsidR="00184181" w:rsidRPr="00E435CA">
        <w:t xml:space="preserve"> </w:t>
      </w:r>
      <w:r w:rsidRPr="00E435CA">
        <w:t>which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largely</w:t>
      </w:r>
      <w:r w:rsidR="00184181" w:rsidRPr="00E435CA">
        <w:t xml:space="preserve"> </w:t>
      </w:r>
      <w:r w:rsidRPr="00E435CA">
        <w:t>peaceful.</w:t>
      </w:r>
      <w:r w:rsidR="00184181" w:rsidRPr="00E435CA">
        <w:t xml:space="preserve"> </w:t>
      </w:r>
      <w:r w:rsidRPr="00E435CA">
        <w:t>However,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21</w:t>
      </w:r>
      <w:r w:rsidR="00184181" w:rsidRPr="00E435CA">
        <w:t xml:space="preserve"> </w:t>
      </w:r>
      <w:r w:rsidRPr="00E435CA">
        <w:t>November,</w:t>
      </w:r>
      <w:r w:rsidR="00184181" w:rsidRPr="00E435CA">
        <w:t xml:space="preserve"> </w:t>
      </w:r>
      <w:r w:rsidRPr="00E435CA">
        <w:t>part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building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Congress</w:t>
      </w:r>
      <w:r w:rsidR="00184181" w:rsidRPr="00E435CA">
        <w:t xml:space="preserve"> </w:t>
      </w:r>
      <w:r w:rsidRPr="00E435CA">
        <w:t>was</w:t>
      </w:r>
      <w:r w:rsidR="00184181" w:rsidRPr="00E435CA">
        <w:t xml:space="preserve"> </w:t>
      </w:r>
      <w:r w:rsidRPr="00E435CA">
        <w:t>set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fire</w:t>
      </w:r>
      <w:r w:rsidR="00184181" w:rsidRPr="00E435CA">
        <w:t xml:space="preserve"> </w:t>
      </w:r>
      <w:r w:rsidRPr="00E435CA">
        <w:t>during</w:t>
      </w:r>
      <w:r w:rsidR="00184181" w:rsidRPr="00E435CA">
        <w:t xml:space="preserve"> </w:t>
      </w:r>
      <w:r w:rsidRPr="00E435CA">
        <w:t>a</w:t>
      </w:r>
      <w:r w:rsidR="00184181" w:rsidRPr="00E435CA">
        <w:t xml:space="preserve"> </w:t>
      </w:r>
      <w:r w:rsidRPr="00E435CA">
        <w:t>protest.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aftermath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this</w:t>
      </w:r>
      <w:r w:rsidR="00184181" w:rsidRPr="00E435CA">
        <w:t xml:space="preserve"> </w:t>
      </w:r>
      <w:r w:rsidRPr="00E435CA">
        <w:t>incident,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police</w:t>
      </w:r>
      <w:r w:rsidR="00184181" w:rsidRPr="00E435CA">
        <w:t xml:space="preserve"> </w:t>
      </w:r>
      <w:r w:rsidRPr="00E435CA">
        <w:t>detained</w:t>
      </w:r>
      <w:r w:rsidR="00184181" w:rsidRPr="00E435CA">
        <w:t xml:space="preserve"> </w:t>
      </w:r>
      <w:r w:rsidRPr="00E435CA">
        <w:t>dozens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protesters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journalists</w:t>
      </w:r>
      <w:r w:rsidR="00184181" w:rsidRPr="00E435CA">
        <w:t xml:space="preserve"> </w:t>
      </w:r>
      <w:r w:rsidRPr="00E435CA">
        <w:t>in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City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Quetzaltenango.</w:t>
      </w:r>
      <w:r w:rsidR="00184181" w:rsidRPr="00E435CA">
        <w:t xml:space="preserve"> </w:t>
      </w:r>
      <w:r w:rsidRPr="00E435CA">
        <w:t>OHCHR</w:t>
      </w:r>
      <w:r w:rsidR="00184181" w:rsidRPr="00E435CA">
        <w:t xml:space="preserve"> </w:t>
      </w:r>
      <w:r w:rsidRPr="00E435CA">
        <w:t>recorded</w:t>
      </w:r>
      <w:r w:rsidR="00184181" w:rsidRPr="00E435CA">
        <w:t xml:space="preserve"> </w:t>
      </w:r>
      <w:r w:rsidRPr="00E435CA">
        <w:t>instances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excessive</w:t>
      </w:r>
      <w:r w:rsidR="00184181" w:rsidRPr="00E435CA">
        <w:t xml:space="preserve"> </w:t>
      </w:r>
      <w:r w:rsidRPr="00E435CA">
        <w:t>use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force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protesters,</w:t>
      </w:r>
      <w:r w:rsidR="00184181" w:rsidRPr="00E435CA">
        <w:t xml:space="preserve"> </w:t>
      </w:r>
      <w:r w:rsidRPr="00E435CA">
        <w:t>including</w:t>
      </w:r>
      <w:r w:rsidR="00184181" w:rsidRPr="00E435CA">
        <w:t xml:space="preserve"> </w:t>
      </w:r>
      <w:r w:rsidRPr="00E435CA">
        <w:t>the</w:t>
      </w:r>
      <w:r w:rsidR="00184181" w:rsidRPr="00E435CA">
        <w:t xml:space="preserve"> </w:t>
      </w:r>
      <w:r w:rsidRPr="00E435CA">
        <w:t>use</w:t>
      </w:r>
      <w:r w:rsidR="00184181" w:rsidRPr="00E435CA">
        <w:t xml:space="preserve"> </w:t>
      </w:r>
      <w:r w:rsidRPr="00E435CA">
        <w:t>of</w:t>
      </w:r>
      <w:r w:rsidR="00184181" w:rsidRPr="00E435CA">
        <w:t xml:space="preserve"> </w:t>
      </w:r>
      <w:r w:rsidRPr="00E435CA">
        <w:t>tear</w:t>
      </w:r>
      <w:r w:rsidR="00184181" w:rsidRPr="00E435CA">
        <w:t xml:space="preserve"> </w:t>
      </w:r>
      <w:r w:rsidRPr="00E435CA">
        <w:t>gas</w:t>
      </w:r>
      <w:r w:rsidR="00184181" w:rsidRPr="00E435CA">
        <w:t xml:space="preserve"> </w:t>
      </w:r>
      <w:r w:rsidRPr="00E435CA">
        <w:t>against</w:t>
      </w:r>
      <w:r w:rsidR="00184181" w:rsidRPr="00E435CA">
        <w:t xml:space="preserve"> </w:t>
      </w:r>
      <w:r w:rsidRPr="00E435CA">
        <w:t>persons</w:t>
      </w:r>
      <w:r w:rsidR="00184181" w:rsidRPr="00E435CA">
        <w:t xml:space="preserve"> </w:t>
      </w:r>
      <w:r w:rsidRPr="00E435CA">
        <w:t>peacefully</w:t>
      </w:r>
      <w:r w:rsidR="00184181" w:rsidRPr="00E435CA">
        <w:t xml:space="preserve"> </w:t>
      </w:r>
      <w:r w:rsidRPr="00E435CA">
        <w:t>gathering</w:t>
      </w:r>
      <w:r w:rsidR="00184181" w:rsidRPr="00E435CA">
        <w:t xml:space="preserve"> </w:t>
      </w:r>
      <w:r w:rsidRPr="00E435CA">
        <w:t>at</w:t>
      </w:r>
      <w:r w:rsidR="00184181" w:rsidRPr="00E435CA">
        <w:t xml:space="preserve"> </w:t>
      </w:r>
      <w:r w:rsidRPr="00E435CA">
        <w:t>Guatemala</w:t>
      </w:r>
      <w:r w:rsidR="00184181" w:rsidRPr="00E435CA">
        <w:t xml:space="preserve"> </w:t>
      </w:r>
      <w:r w:rsidRPr="00E435CA">
        <w:t>City</w:t>
      </w:r>
      <w:r w:rsidR="00BE7FE5">
        <w:t>’</w:t>
      </w:r>
      <w:r w:rsidRPr="00E435CA">
        <w:t>s</w:t>
      </w:r>
      <w:r w:rsidR="00184181" w:rsidRPr="00E435CA">
        <w:t xml:space="preserve"> </w:t>
      </w:r>
      <w:r w:rsidRPr="00E435CA">
        <w:t>Constitution</w:t>
      </w:r>
      <w:r w:rsidR="00184181" w:rsidRPr="00E435CA">
        <w:t xml:space="preserve"> </w:t>
      </w:r>
      <w:r w:rsidRPr="00E435CA">
        <w:t>Plaza,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21</w:t>
      </w:r>
      <w:r w:rsidR="00184181" w:rsidRPr="00E435CA">
        <w:t xml:space="preserve"> </w:t>
      </w:r>
      <w:r w:rsidRPr="00E435CA">
        <w:t>November.</w:t>
      </w:r>
      <w:r w:rsidR="00184181" w:rsidRPr="00E435CA">
        <w:t xml:space="preserve"> </w:t>
      </w:r>
      <w:r w:rsidRPr="00E435CA">
        <w:t>Demonstrations</w:t>
      </w:r>
      <w:r w:rsidR="00184181" w:rsidRPr="00E435CA">
        <w:t xml:space="preserve"> </w:t>
      </w:r>
      <w:r w:rsidRPr="00E435CA">
        <w:t>held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28</w:t>
      </w:r>
      <w:r w:rsidR="00184181" w:rsidRPr="00E435CA">
        <w:t xml:space="preserve"> </w:t>
      </w:r>
      <w:r w:rsidRPr="00E435CA">
        <w:t>November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on</w:t>
      </w:r>
      <w:r w:rsidR="00184181" w:rsidRPr="00E435CA">
        <w:t xml:space="preserve"> </w:t>
      </w:r>
      <w:r w:rsidRPr="00E435CA">
        <w:t>5</w:t>
      </w:r>
      <w:r w:rsidR="00184181" w:rsidRPr="00E435CA">
        <w:t xml:space="preserve"> </w:t>
      </w:r>
      <w:r w:rsidRPr="00E435CA">
        <w:t>December</w:t>
      </w:r>
      <w:r w:rsidR="00184181" w:rsidRPr="00E435CA">
        <w:t xml:space="preserve"> </w:t>
      </w:r>
      <w:r w:rsidRPr="00E435CA">
        <w:t>were</w:t>
      </w:r>
      <w:r w:rsidR="00184181" w:rsidRPr="00E435CA">
        <w:t xml:space="preserve"> </w:t>
      </w:r>
      <w:r w:rsidRPr="00E435CA">
        <w:t>largely</w:t>
      </w:r>
      <w:r w:rsidR="00184181" w:rsidRPr="00E435CA">
        <w:t xml:space="preserve"> </w:t>
      </w:r>
      <w:r w:rsidRPr="00E435CA">
        <w:t>peaceful.</w:t>
      </w:r>
    </w:p>
    <w:p w14:paraId="5051B12D" w14:textId="4851F1D5" w:rsidR="00467C67" w:rsidRPr="00E435CA" w:rsidRDefault="00467C67" w:rsidP="00B86FD6">
      <w:pPr>
        <w:pStyle w:val="HChG"/>
      </w:pPr>
      <w:bookmarkStart w:id="110" w:name="_Toc463949991"/>
      <w:bookmarkStart w:id="111" w:name="_Toc466309370"/>
      <w:r w:rsidRPr="00E435CA">
        <w:tab/>
        <w:t>VIII.</w:t>
      </w:r>
      <w:r w:rsidRPr="00E435CA">
        <w:tab/>
        <w:t>Conclusions</w:t>
      </w:r>
      <w:r w:rsidR="00184181" w:rsidRPr="00E435CA">
        <w:t xml:space="preserve"> </w:t>
      </w:r>
      <w:r w:rsidRPr="00E435CA">
        <w:t>and</w:t>
      </w:r>
      <w:r w:rsidR="00184181" w:rsidRPr="00E435CA">
        <w:t xml:space="preserve"> </w:t>
      </w:r>
      <w:r w:rsidRPr="00E435CA">
        <w:t>recommendations</w:t>
      </w:r>
      <w:bookmarkEnd w:id="110"/>
      <w:bookmarkEnd w:id="111"/>
    </w:p>
    <w:p w14:paraId="71DABBA5" w14:textId="77777777" w:rsidR="005328B0" w:rsidRPr="00E435CA" w:rsidRDefault="00467C67" w:rsidP="00467C67">
      <w:pPr>
        <w:pStyle w:val="SingleTxtG"/>
      </w:pPr>
      <w:r w:rsidRPr="00E435CA">
        <w:t>92.</w:t>
      </w:r>
      <w:r w:rsidRPr="00E435CA">
        <w:tab/>
      </w:r>
      <w:r w:rsidRPr="00E435CA">
        <w:rPr>
          <w:b/>
          <w:bCs/>
        </w:rPr>
        <w:t>Systemic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structural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challenges,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notably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poverty,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inequality,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discrimination,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impunity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insecurity,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continued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hamper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effective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implementation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obligations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Guatemala.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COVID-19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pandemic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has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underscored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urgency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addressing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these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issues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exacerbated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concerns,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particularly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concerning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most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vulnerable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groups.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same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time,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pandemic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revealed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potential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joint,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innovative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actions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benefit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population.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OHCHR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salutes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immense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efforts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health-care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professionals,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State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institutions,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civil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society,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volunteers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communities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combating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pandemic.</w:t>
      </w:r>
    </w:p>
    <w:p w14:paraId="4AA9DC0E" w14:textId="54CDAFB6" w:rsidR="00467C67" w:rsidRPr="00E435CA" w:rsidRDefault="00467C67" w:rsidP="00467C67">
      <w:pPr>
        <w:pStyle w:val="SingleTxtG"/>
        <w:rPr>
          <w:b/>
          <w:bCs/>
        </w:rPr>
      </w:pPr>
      <w:r w:rsidRPr="00E435CA">
        <w:t>93.</w:t>
      </w:r>
      <w:r w:rsidRPr="00E435CA">
        <w:tab/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United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Nations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High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Commissioner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reiterates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her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commitment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supporting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Guatemala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enhancing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protection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all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all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people.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basis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activities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OHCHR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Guatemala,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addition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previous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recommendations,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High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Commissioner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recommends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that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Government:</w:t>
      </w:r>
    </w:p>
    <w:p w14:paraId="765CEBB3" w14:textId="77777777" w:rsidR="005328B0" w:rsidRPr="00E435CA" w:rsidRDefault="00B86FD6" w:rsidP="00467C67">
      <w:pPr>
        <w:pStyle w:val="SingleTxtG"/>
      </w:pPr>
      <w:r w:rsidRPr="00E435CA">
        <w:tab/>
      </w:r>
      <w:r w:rsidR="00467C67" w:rsidRPr="00E435CA">
        <w:t>(a)</w:t>
      </w:r>
      <w:r w:rsidR="00467C67" w:rsidRPr="00E435CA">
        <w:tab/>
      </w:r>
      <w:r w:rsidR="00467C67" w:rsidRPr="00E435CA">
        <w:rPr>
          <w:b/>
          <w:bCs/>
        </w:rPr>
        <w:t>Promote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social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dialogue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consultations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strengthen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inclusion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all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groups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decision-making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processes,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including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indigenous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peoples,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women,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young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people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persons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with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disabilities;</w:t>
      </w:r>
    </w:p>
    <w:p w14:paraId="40724640" w14:textId="77777777" w:rsidR="005328B0" w:rsidRPr="00E435CA" w:rsidRDefault="00B86FD6" w:rsidP="00467C67">
      <w:pPr>
        <w:pStyle w:val="SingleTxtG"/>
      </w:pPr>
      <w:r w:rsidRPr="00E435CA">
        <w:tab/>
      </w:r>
      <w:r w:rsidR="00467C67" w:rsidRPr="00E435CA">
        <w:t>(b)</w:t>
      </w:r>
      <w:r w:rsidR="00467C67" w:rsidRPr="00E435CA">
        <w:tab/>
      </w:r>
      <w:r w:rsidR="00467C67" w:rsidRPr="00E435CA">
        <w:rPr>
          <w:b/>
          <w:bCs/>
        </w:rPr>
        <w:t>Ensure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that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newly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formed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Presidential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Commission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Peace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continues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further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strengthens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implementation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activities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previously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performed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by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Presidential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Secretariat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Peace,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Presidential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Commission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Secretary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Agricultural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Affairs;</w:t>
      </w:r>
    </w:p>
    <w:p w14:paraId="340835AB" w14:textId="65CB39B8" w:rsidR="00467C67" w:rsidRPr="00E435CA" w:rsidRDefault="00B86FD6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(c)</w:t>
      </w:r>
      <w:r w:rsidR="00467C67" w:rsidRPr="00E435CA">
        <w:tab/>
      </w:r>
      <w:r w:rsidR="00467C67" w:rsidRPr="00E435CA">
        <w:rPr>
          <w:b/>
          <w:bCs/>
        </w:rPr>
        <w:t>Continue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strengthen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dialogue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coordination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between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traditional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health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systems,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enhance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access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health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services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with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cultural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adequacy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indigenous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peoples,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including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women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girls;</w:t>
      </w:r>
    </w:p>
    <w:p w14:paraId="39FFBEC8" w14:textId="1E09FB2F" w:rsidR="00467C67" w:rsidRPr="00E435CA" w:rsidRDefault="00B86FD6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(d)</w:t>
      </w:r>
      <w:r w:rsidR="00467C67" w:rsidRPr="00E435CA">
        <w:tab/>
      </w:r>
      <w:r w:rsidR="00467C67" w:rsidRPr="00E435CA">
        <w:rPr>
          <w:b/>
          <w:bCs/>
        </w:rPr>
        <w:t>Strengthen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social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protection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with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further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emphasis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persons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situations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vulnerability;</w:t>
      </w:r>
    </w:p>
    <w:p w14:paraId="751A0CEB" w14:textId="77777777" w:rsidR="005328B0" w:rsidRPr="00E435CA" w:rsidRDefault="00B86FD6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(e)</w:t>
      </w:r>
      <w:r w:rsidR="00467C67" w:rsidRPr="00E435CA">
        <w:tab/>
      </w:r>
      <w:r w:rsidR="00467C67" w:rsidRPr="00E435CA">
        <w:rPr>
          <w:b/>
          <w:bCs/>
        </w:rPr>
        <w:t>Review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reform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policies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programmes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land,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encourage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all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relevant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authorities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strengthen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their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capacities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address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land-related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conflicts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line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with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international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standards;</w:t>
      </w:r>
    </w:p>
    <w:p w14:paraId="70370E72" w14:textId="7AFDC922" w:rsidR="00467C67" w:rsidRPr="00E435CA" w:rsidRDefault="00B86FD6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(f)</w:t>
      </w:r>
      <w:r w:rsidR="00467C67" w:rsidRPr="00E435CA">
        <w:tab/>
      </w:r>
      <w:r w:rsidR="00467C67" w:rsidRPr="00E435CA">
        <w:rPr>
          <w:b/>
          <w:bCs/>
        </w:rPr>
        <w:t>Pursue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development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action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plan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business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based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Guiding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Principles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Business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international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standards,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consultation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with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all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relevant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stakeholders;</w:t>
      </w:r>
    </w:p>
    <w:p w14:paraId="0B320CC0" w14:textId="26536754" w:rsidR="00467C67" w:rsidRPr="00E435CA" w:rsidRDefault="00B86FD6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(g)</w:t>
      </w:r>
      <w:r w:rsidR="00467C67" w:rsidRPr="00E435CA">
        <w:tab/>
      </w:r>
      <w:r w:rsidR="00467C67" w:rsidRPr="00E435CA">
        <w:rPr>
          <w:b/>
          <w:bCs/>
        </w:rPr>
        <w:t>Strengthen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legislation,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policies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institutional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structures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protection,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including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from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criminalization,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defenders,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including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lastRenderedPageBreak/>
        <w:t>journalists,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judges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prosecutors,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ensure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implementation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recommendations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contained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report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OHCHR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Office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Ombudsperson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situation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defenders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Guatemala;</w:t>
      </w:r>
    </w:p>
    <w:p w14:paraId="410CA396" w14:textId="77777777" w:rsidR="005328B0" w:rsidRPr="00E435CA" w:rsidRDefault="00B86FD6" w:rsidP="00467C67">
      <w:pPr>
        <w:pStyle w:val="SingleTxtG"/>
      </w:pPr>
      <w:r w:rsidRPr="00E435CA">
        <w:tab/>
      </w:r>
      <w:r w:rsidR="00467C67" w:rsidRPr="00E435CA">
        <w:t>(h)</w:t>
      </w:r>
      <w:r w:rsidR="00467C67" w:rsidRPr="00E435CA">
        <w:tab/>
      </w:r>
      <w:r w:rsidR="00467C67" w:rsidRPr="00E435CA">
        <w:rPr>
          <w:b/>
          <w:bCs/>
        </w:rPr>
        <w:t>Strengthen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capacities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Civil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Police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apply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international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standards;</w:t>
      </w:r>
    </w:p>
    <w:p w14:paraId="51FEE6D8" w14:textId="036E7F0C" w:rsidR="00467C67" w:rsidRPr="00E435CA" w:rsidRDefault="00B86FD6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(i)</w:t>
      </w:r>
      <w:r w:rsidR="00467C67" w:rsidRPr="00E435CA">
        <w:tab/>
      </w:r>
      <w:r w:rsidR="00467C67" w:rsidRPr="00E435CA">
        <w:rPr>
          <w:b/>
          <w:bCs/>
        </w:rPr>
        <w:t>Guarantee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persons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move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regardless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their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migratory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status,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including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ensuring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access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asylum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protection,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non-refoulement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access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humanitarian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aid,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harmonize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regulations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Migration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Code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with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international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standards;</w:t>
      </w:r>
    </w:p>
    <w:p w14:paraId="3AEADC0A" w14:textId="2DAD817C" w:rsidR="00467C67" w:rsidRPr="00E435CA" w:rsidRDefault="00B86FD6" w:rsidP="00467C67">
      <w:pPr>
        <w:pStyle w:val="SingleTxtG"/>
      </w:pPr>
      <w:r w:rsidRPr="00E435CA">
        <w:tab/>
      </w:r>
      <w:r w:rsidR="00467C67" w:rsidRPr="00E435CA">
        <w:t>(j)</w:t>
      </w:r>
      <w:r w:rsidR="00467C67" w:rsidRPr="00E435CA">
        <w:tab/>
      </w:r>
      <w:r w:rsidR="00467C67" w:rsidRPr="00E435CA">
        <w:rPr>
          <w:b/>
          <w:bCs/>
        </w:rPr>
        <w:t>Further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strengthen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work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Presidential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Secretariat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Women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by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appointing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its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officials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allocating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adequate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resources,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as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recommended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by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Committee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Elimination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Discrimination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against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Women.</w:t>
      </w:r>
    </w:p>
    <w:p w14:paraId="5F0830DD" w14:textId="590BB6BA" w:rsidR="00467C67" w:rsidRPr="00E435CA" w:rsidRDefault="00467C67" w:rsidP="00467C67">
      <w:pPr>
        <w:pStyle w:val="SingleTxtG"/>
        <w:rPr>
          <w:b/>
          <w:bCs/>
        </w:rPr>
      </w:pPr>
      <w:r w:rsidRPr="00E435CA">
        <w:t>94.</w:t>
      </w:r>
      <w:r w:rsidRPr="00E435CA">
        <w:tab/>
      </w:r>
      <w:r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United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Nations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High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Commissioner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for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Rights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recommends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that</w:t>
      </w:r>
      <w:r w:rsidR="00184181" w:rsidRPr="00E435CA">
        <w:rPr>
          <w:b/>
          <w:bCs/>
        </w:rPr>
        <w:t xml:space="preserve"> </w:t>
      </w:r>
      <w:r w:rsidRPr="00E435CA">
        <w:rPr>
          <w:b/>
          <w:bCs/>
        </w:rPr>
        <w:t>Congress:</w:t>
      </w:r>
    </w:p>
    <w:p w14:paraId="58478831" w14:textId="744D5027" w:rsidR="00467C67" w:rsidRPr="00E435CA" w:rsidRDefault="005328B0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(a)</w:t>
      </w:r>
      <w:r w:rsidR="00467C67" w:rsidRPr="00E435CA">
        <w:tab/>
      </w:r>
      <w:r w:rsidR="00467C67" w:rsidRPr="00E435CA">
        <w:rPr>
          <w:b/>
          <w:bCs/>
        </w:rPr>
        <w:t>Prioritize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legislative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agenda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aimed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at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strengthening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promotion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protection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human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rights,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and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avoid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adoption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of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regressive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legislation;</w:t>
      </w:r>
    </w:p>
    <w:p w14:paraId="376287CE" w14:textId="77777777" w:rsidR="005328B0" w:rsidRPr="00E435CA" w:rsidRDefault="005328B0" w:rsidP="00467C67">
      <w:pPr>
        <w:pStyle w:val="SingleTxtG"/>
        <w:rPr>
          <w:b/>
          <w:bCs/>
        </w:rPr>
      </w:pPr>
      <w:r w:rsidRPr="00E435CA">
        <w:tab/>
      </w:r>
      <w:r w:rsidR="00467C67" w:rsidRPr="00E435CA">
        <w:t>(b)</w:t>
      </w:r>
      <w:r w:rsidR="00467C67" w:rsidRPr="00E435CA">
        <w:tab/>
      </w:r>
      <w:r w:rsidR="00467C67" w:rsidRPr="00E435CA">
        <w:rPr>
          <w:b/>
          <w:bCs/>
        </w:rPr>
        <w:t>Reform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the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law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on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public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order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according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to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international</w:t>
      </w:r>
      <w:r w:rsidR="00184181" w:rsidRPr="00E435CA">
        <w:rPr>
          <w:b/>
          <w:bCs/>
        </w:rPr>
        <w:t xml:space="preserve"> </w:t>
      </w:r>
      <w:r w:rsidR="00467C67" w:rsidRPr="00E435CA">
        <w:rPr>
          <w:b/>
          <w:bCs/>
        </w:rPr>
        <w:t>standards.</w:t>
      </w:r>
    </w:p>
    <w:p w14:paraId="6B12CA76" w14:textId="1CEC7C20" w:rsidR="005328B0" w:rsidRPr="00E435CA" w:rsidRDefault="005328B0" w:rsidP="005328B0">
      <w:pPr>
        <w:spacing w:before="240"/>
        <w:jc w:val="center"/>
        <w:rPr>
          <w:u w:val="single"/>
        </w:rPr>
      </w:pPr>
      <w:r w:rsidRPr="00E435CA">
        <w:rPr>
          <w:u w:val="single"/>
        </w:rPr>
        <w:tab/>
      </w:r>
      <w:r w:rsidRPr="00E435CA">
        <w:rPr>
          <w:u w:val="single"/>
        </w:rPr>
        <w:tab/>
      </w:r>
      <w:r w:rsidRPr="00E435CA">
        <w:rPr>
          <w:u w:val="single"/>
        </w:rPr>
        <w:tab/>
      </w:r>
    </w:p>
    <w:sectPr w:rsidR="005328B0" w:rsidRPr="00E435CA" w:rsidSect="00CA1B04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7" w:h="16840" w:code="9"/>
      <w:pgMar w:top="1417" w:right="1134" w:bottom="1134" w:left="1134" w:header="85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BD18C" w14:textId="77777777" w:rsidR="00BE7FE5" w:rsidRPr="00C47B2E" w:rsidRDefault="00BE7FE5" w:rsidP="00C47B2E">
      <w:pPr>
        <w:pStyle w:val="Footer"/>
      </w:pPr>
    </w:p>
  </w:endnote>
  <w:endnote w:type="continuationSeparator" w:id="0">
    <w:p w14:paraId="64DD9009" w14:textId="77777777" w:rsidR="00BE7FE5" w:rsidRPr="00C47B2E" w:rsidRDefault="00BE7FE5" w:rsidP="00C47B2E">
      <w:pPr>
        <w:pStyle w:val="Footer"/>
      </w:pPr>
    </w:p>
  </w:endnote>
  <w:endnote w:type="continuationNotice" w:id="1">
    <w:p w14:paraId="445029F5" w14:textId="77777777" w:rsidR="00BE7FE5" w:rsidRPr="00C47B2E" w:rsidRDefault="00BE7FE5" w:rsidP="00C47B2E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CE7A3" w14:textId="7FA06274" w:rsidR="00BE7FE5" w:rsidRDefault="00BE7FE5" w:rsidP="00467C67">
    <w:pPr>
      <w:pStyle w:val="Footer"/>
      <w:tabs>
        <w:tab w:val="right" w:pos="9638"/>
      </w:tabs>
    </w:pPr>
    <w:r w:rsidRPr="00467C67">
      <w:rPr>
        <w:b/>
        <w:bCs/>
        <w:sz w:val="18"/>
      </w:rPr>
      <w:fldChar w:fldCharType="begin"/>
    </w:r>
    <w:r w:rsidRPr="00467C67">
      <w:rPr>
        <w:b/>
        <w:bCs/>
        <w:sz w:val="18"/>
      </w:rPr>
      <w:instrText xml:space="preserve"> PAGE  \* MERGEFORMAT </w:instrText>
    </w:r>
    <w:r w:rsidRPr="00467C67">
      <w:rPr>
        <w:b/>
        <w:bCs/>
        <w:sz w:val="18"/>
      </w:rPr>
      <w:fldChar w:fldCharType="separate"/>
    </w:r>
    <w:r w:rsidR="00FB70FD">
      <w:rPr>
        <w:b/>
        <w:bCs/>
        <w:noProof/>
        <w:sz w:val="18"/>
      </w:rPr>
      <w:t>2</w:t>
    </w:r>
    <w:r w:rsidRPr="00467C67">
      <w:rPr>
        <w:b/>
        <w:bCs/>
        <w:sz w:val="18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5E50E" w14:textId="387A7288" w:rsidR="00BE7FE5" w:rsidRDefault="00BE7FE5" w:rsidP="00467C67">
    <w:pPr>
      <w:pStyle w:val="Footer"/>
      <w:tabs>
        <w:tab w:val="right" w:pos="9638"/>
      </w:tabs>
    </w:pPr>
    <w:r>
      <w:tab/>
    </w:r>
    <w:r w:rsidRPr="00467C67">
      <w:rPr>
        <w:b/>
        <w:bCs/>
        <w:sz w:val="18"/>
      </w:rPr>
      <w:fldChar w:fldCharType="begin"/>
    </w:r>
    <w:r w:rsidRPr="00467C67">
      <w:rPr>
        <w:b/>
        <w:bCs/>
        <w:sz w:val="18"/>
      </w:rPr>
      <w:instrText xml:space="preserve"> PAGE  \* MERGEFORMAT </w:instrText>
    </w:r>
    <w:r w:rsidRPr="00467C67">
      <w:rPr>
        <w:b/>
        <w:bCs/>
        <w:sz w:val="18"/>
      </w:rPr>
      <w:fldChar w:fldCharType="separate"/>
    </w:r>
    <w:r w:rsidR="00FB70FD">
      <w:rPr>
        <w:b/>
        <w:bCs/>
        <w:noProof/>
        <w:sz w:val="18"/>
      </w:rPr>
      <w:t>17</w:t>
    </w:r>
    <w:r w:rsidRPr="00467C67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4A66E" w14:textId="77777777" w:rsidR="00BE7FE5" w:rsidRPr="00C47B2E" w:rsidRDefault="00BE7FE5" w:rsidP="00C47B2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Separator" w:id="0">
    <w:p w14:paraId="5B41E443" w14:textId="77777777" w:rsidR="00BE7FE5" w:rsidRPr="00C47B2E" w:rsidRDefault="00BE7FE5" w:rsidP="005E716E">
      <w:pPr>
        <w:tabs>
          <w:tab w:val="right" w:pos="2155"/>
        </w:tabs>
        <w:spacing w:after="80" w:line="240" w:lineRule="auto"/>
        <w:ind w:left="680"/>
      </w:pPr>
      <w:r>
        <w:rPr>
          <w:u w:val="single"/>
        </w:rPr>
        <w:tab/>
      </w:r>
    </w:p>
  </w:footnote>
  <w:footnote w:type="continuationNotice" w:id="1">
    <w:p w14:paraId="4490DD3D" w14:textId="77777777" w:rsidR="00BE7FE5" w:rsidRPr="00C47B2E" w:rsidRDefault="00BE7FE5" w:rsidP="00C47B2E">
      <w:pPr>
        <w:pStyle w:val="Footer"/>
      </w:pPr>
    </w:p>
  </w:footnote>
  <w:footnote w:id="2">
    <w:p w14:paraId="7A186C46" w14:textId="22A6878C" w:rsidR="00BE7FE5" w:rsidRPr="00F11C7A" w:rsidRDefault="00BE7FE5" w:rsidP="00467C67">
      <w:pPr>
        <w:pStyle w:val="FootnoteText"/>
      </w:pPr>
      <w:r w:rsidRPr="00F11C7A">
        <w:rPr>
          <w:rStyle w:val="FootnoteReference"/>
        </w:rPr>
        <w:tab/>
      </w:r>
      <w:r w:rsidRPr="00F11C7A">
        <w:rPr>
          <w:rStyle w:val="FootnoteReference"/>
          <w:sz w:val="20"/>
          <w:vertAlign w:val="baseline"/>
        </w:rPr>
        <w:t>*</w:t>
      </w:r>
      <w:r w:rsidRPr="00F11C7A">
        <w:rPr>
          <w:rStyle w:val="FootnoteReference"/>
          <w:sz w:val="20"/>
          <w:vertAlign w:val="baseline"/>
        </w:rPr>
        <w:tab/>
      </w:r>
      <w:r w:rsidRPr="00F11C7A">
        <w:rPr>
          <w:lang w:eastAsia="en-GB"/>
        </w:rPr>
        <w:t>The present report was submitted after the deadline in order to reflect the most recent developments.</w:t>
      </w:r>
    </w:p>
  </w:footnote>
  <w:footnote w:id="3">
    <w:p w14:paraId="78A6B695" w14:textId="29F15A18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bCs/>
          <w:szCs w:val="18"/>
        </w:rPr>
        <w:t>Government Agreement No. 137-2020 (in Spanish)</w:t>
      </w:r>
      <w:r w:rsidRPr="00F11C7A">
        <w:rPr>
          <w:szCs w:val="18"/>
        </w:rPr>
        <w:t>. Available at: https://sgp.gob.gt/wp-content/uploads/2020/10/AG-137-2020.pdf.</w:t>
      </w:r>
    </w:p>
  </w:footnote>
  <w:footnote w:id="4">
    <w:p w14:paraId="2EB7757B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https://issuu.com/oacnudhgt/stacks.</w:t>
      </w:r>
    </w:p>
  </w:footnote>
  <w:footnote w:id="5">
    <w:p w14:paraId="4F22B332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https://soundcloud.com/user-792902998/tracks.</w:t>
      </w:r>
    </w:p>
  </w:footnote>
  <w:footnote w:id="6">
    <w:p w14:paraId="014151E5" w14:textId="69824E40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Guatemala, </w:t>
      </w:r>
      <w:r w:rsidRPr="00F11C7A">
        <w:rPr>
          <w:i/>
          <w:iCs/>
          <w:szCs w:val="18"/>
        </w:rPr>
        <w:t>Política General de Gobierno 2020–2024</w:t>
      </w:r>
      <w:r w:rsidRPr="00F11C7A">
        <w:rPr>
          <w:szCs w:val="18"/>
        </w:rPr>
        <w:t>, p. 88.</w:t>
      </w:r>
    </w:p>
  </w:footnote>
  <w:footnote w:id="7">
    <w:p w14:paraId="41EF71AB" w14:textId="099F17C2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Guatemala, Ministry of Social Development, </w:t>
      </w:r>
      <w:r w:rsidRPr="00F11C7A">
        <w:rPr>
          <w:i/>
          <w:iCs/>
          <w:szCs w:val="18"/>
        </w:rPr>
        <w:t>Índice de Pobreza Multidimensional</w:t>
      </w:r>
      <w:r w:rsidRPr="00F11C7A">
        <w:rPr>
          <w:szCs w:val="18"/>
        </w:rPr>
        <w:t>, December 2018. Available at: https://mppn.org/wp-content/uploads/2019/10/Guatemala-Report-IPM-gt_29jul19-v1.1.pdf.</w:t>
      </w:r>
    </w:p>
  </w:footnote>
  <w:footnote w:id="8">
    <w:p w14:paraId="19E87ECC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https://conred.gob.gt/atencion-a-mas-de-2-mil-400-incidentes-tras-el-paso-de-fenomenos-iota-eta/.</w:t>
      </w:r>
    </w:p>
  </w:footnote>
  <w:footnote w:id="9">
    <w:p w14:paraId="0755169A" w14:textId="3D808702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Communication GTM 2/2020, dated 21 February 2020 (in Spanish).</w:t>
      </w:r>
    </w:p>
  </w:footnote>
  <w:footnote w:id="10">
    <w:p w14:paraId="6650D827" w14:textId="694B880A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Government Agreement No. 100-2020 (in Spanish). Available at https://sgp.gob.gt/wp-content/uploads/2020/07/AG-100-2020.pdf.</w:t>
      </w:r>
    </w:p>
  </w:footnote>
  <w:footnote w:id="11">
    <w:p w14:paraId="46813193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www.mspas.gob.gt/index.php/component/jdownloads/send/483-documentos-tecnicos/4539-guia-sociocultural?option=com_jdownloads.</w:t>
      </w:r>
    </w:p>
  </w:footnote>
  <w:footnote w:id="12">
    <w:p w14:paraId="6557B356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www.mspas.gob.gt/noticias/noticias-ultimas/5-noticias-mspas/1091-mspas-con-el-apoyo-de-la-onu-entrega-insumos-de-protecci%C3%B3n-personal-a-comadronas.html.</w:t>
      </w:r>
    </w:p>
  </w:footnote>
  <w:footnote w:id="13">
    <w:p w14:paraId="7087C966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https://twitter.com/oacnudh_gt/status/1250499237583912963?lang=en.</w:t>
      </w:r>
    </w:p>
  </w:footnote>
  <w:footnote w:id="14">
    <w:p w14:paraId="2446421F" w14:textId="461BBB2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Guatemala, Ministry of Social Development, </w:t>
      </w:r>
      <w:r w:rsidRPr="00F11C7A">
        <w:rPr>
          <w:i/>
          <w:iCs/>
          <w:szCs w:val="18"/>
        </w:rPr>
        <w:t>Índice de Pobreza Multidimensional</w:t>
      </w:r>
      <w:r w:rsidRPr="00F11C7A">
        <w:rPr>
          <w:szCs w:val="18"/>
        </w:rPr>
        <w:t>, December 2018.</w:t>
      </w:r>
    </w:p>
  </w:footnote>
  <w:footnote w:id="15">
    <w:p w14:paraId="366360AD" w14:textId="11711DE5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OHCHR, Human Rights Case Database, press statement of the Office of the Ombudsperson, dated 24 May 2020 (in Spanish): https://twitter.com/PDHgt/status/1264655559351046144/photo/1.</w:t>
      </w:r>
    </w:p>
  </w:footnote>
  <w:footnote w:id="16">
    <w:p w14:paraId="1D809648" w14:textId="5066034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Communication GTM 7/2020, dated 1 July 2020 (in Spanish).</w:t>
      </w:r>
    </w:p>
  </w:footnote>
  <w:footnote w:id="17">
    <w:p w14:paraId="6911FBEE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hyperlink r:id="rId1" w:history="1">
        <w:r w:rsidRPr="00F11C7A">
          <w:rPr>
            <w:szCs w:val="18"/>
          </w:rPr>
          <w:t>www.youtube.com/watch?v=INsJAno4IcQ&amp;list=PL6C0JjQhnzymsz4rK9TuqfWhHpn4Ze</w:t>
        </w:r>
      </w:hyperlink>
      <w:r w:rsidRPr="00F11C7A">
        <w:rPr>
          <w:szCs w:val="18"/>
        </w:rPr>
        <w:br/>
        <w:t>MJS&amp;index.</w:t>
      </w:r>
    </w:p>
  </w:footnote>
  <w:footnote w:id="18">
    <w:p w14:paraId="71FAC701" w14:textId="7BB388EC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http://conadi.gob.gt/web/documentos-sobre-discapacidad-ante-el-covid19-guatemala.</w:t>
      </w:r>
    </w:p>
  </w:footnote>
  <w:footnote w:id="19">
    <w:p w14:paraId="3CB160A2" w14:textId="4CFCB936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http://aprendoencasa.mineduc.gob.gt.</w:t>
      </w:r>
    </w:p>
  </w:footnote>
  <w:footnote w:id="20">
    <w:p w14:paraId="7BD4F6A6" w14:textId="765C16AC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Census 2018: www.censopoblacion.gt/.</w:t>
      </w:r>
    </w:p>
  </w:footnote>
  <w:footnote w:id="21">
    <w:p w14:paraId="3407294E" w14:textId="0830F6A6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Ministry of the Interior, document reference </w:t>
      </w:r>
      <w:r w:rsidRPr="00F11C7A">
        <w:rPr>
          <w:bCs/>
          <w:szCs w:val="18"/>
        </w:rPr>
        <w:t xml:space="preserve">MGCA/lq. </w:t>
      </w:r>
      <w:r w:rsidRPr="00F11C7A">
        <w:rPr>
          <w:szCs w:val="18"/>
        </w:rPr>
        <w:t>As at 2 October 2020, the prison system was overcrowded by 270 per cent, with some prisons operating at up to 10 times their capacity.</w:t>
      </w:r>
    </w:p>
  </w:footnote>
  <w:footnote w:id="22">
    <w:p w14:paraId="11C85780" w14:textId="057A902E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Government Decree 5-2020; and 23 presidential directives issued between 16 March and 14 September.</w:t>
      </w:r>
    </w:p>
  </w:footnote>
  <w:footnote w:id="23">
    <w:p w14:paraId="4DD18BE3" w14:textId="08A489D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  <w:lang w:eastAsia="en-GB"/>
        </w:rPr>
        <w:t xml:space="preserve">In place between 22 March </w:t>
      </w:r>
      <w:r w:rsidRPr="00F11C7A">
        <w:rPr>
          <w:szCs w:val="18"/>
          <w:shd w:val="clear" w:color="auto" w:fill="FFFFFF"/>
        </w:rPr>
        <w:t xml:space="preserve">and </w:t>
      </w:r>
      <w:r w:rsidRPr="00F11C7A">
        <w:rPr>
          <w:szCs w:val="18"/>
          <w:lang w:eastAsia="en-GB"/>
        </w:rPr>
        <w:t>30 September.</w:t>
      </w:r>
    </w:p>
  </w:footnote>
  <w:footnote w:id="24">
    <w:p w14:paraId="7AF05AC1" w14:textId="05C9A12F" w:rsidR="00BE7FE5" w:rsidRPr="00F11C7A" w:rsidRDefault="00BE7FE5" w:rsidP="00467C67">
      <w:pPr>
        <w:pStyle w:val="FootnoteText"/>
        <w:rPr>
          <w:szCs w:val="18"/>
          <w:shd w:val="clear" w:color="auto" w:fill="FFFFFF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  <w:shd w:val="clear" w:color="auto" w:fill="FFFFFF"/>
        </w:rPr>
        <w:t>San Pedro Sacatepéquez (15 March–17 April); Patzún (5 April–6 May); Ixcanal, San Agustín Acasaguastlán (18 April–19 June); Mayuelas, Gualán (3 May–5 June); villages of Tzanjuyup 1 and Tzanjuyup 2 in Chipuac (7 May–5 June), village of Lo De Mejía in San Juan Sacatepéquez (10 May–3 June), Malacatán (19 May–21 June); and Sipacapa (8–15 July).</w:t>
      </w:r>
    </w:p>
  </w:footnote>
  <w:footnote w:id="25">
    <w:p w14:paraId="71D68F67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https://mingob.gob.gt/mas-de-41-mil-personas-detenidas-a-nivel-nacional-por-incumplimiento-de-restricciones-en-estado-de-calamidad/.</w:t>
      </w:r>
    </w:p>
  </w:footnote>
  <w:footnote w:id="26">
    <w:p w14:paraId="4F4854D5" w14:textId="132453B9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Public statement of the Minister of Labour on 8 September 2020.</w:t>
      </w:r>
    </w:p>
  </w:footnote>
  <w:footnote w:id="27">
    <w:p w14:paraId="24EB574E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www.ine.gob.gt/estadisticasine/index.php/usuario/enei_menu.</w:t>
      </w:r>
    </w:p>
  </w:footnote>
  <w:footnote w:id="28">
    <w:p w14:paraId="738122B3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Ibid.</w:t>
      </w:r>
    </w:p>
  </w:footnote>
  <w:footnote w:id="29">
    <w:p w14:paraId="3C1D254A" w14:textId="7D416804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Guatemala, Ministry of Social Development, </w:t>
      </w:r>
      <w:r w:rsidRPr="00F11C7A">
        <w:rPr>
          <w:i/>
          <w:iCs/>
          <w:szCs w:val="18"/>
        </w:rPr>
        <w:t>Índice de Pobreza Multidimensional</w:t>
      </w:r>
      <w:r w:rsidRPr="00F11C7A">
        <w:rPr>
          <w:szCs w:val="18"/>
        </w:rPr>
        <w:t>, December 2018.</w:t>
      </w:r>
    </w:p>
  </w:footnote>
  <w:footnote w:id="30">
    <w:p w14:paraId="452C4FE4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https://twitter.com/midesgt/status/1321912684644847618.</w:t>
      </w:r>
    </w:p>
  </w:footnote>
  <w:footnote w:id="31">
    <w:p w14:paraId="5001A6A8" w14:textId="5F1FF7AD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Guatemalan Social Security Institution, </w:t>
      </w:r>
      <w:r w:rsidRPr="00F11C7A">
        <w:rPr>
          <w:i/>
          <w:iCs/>
          <w:szCs w:val="18"/>
        </w:rPr>
        <w:t>Boletín estadístico de afiliaciones</w:t>
      </w:r>
      <w:r w:rsidRPr="00F11C7A">
        <w:rPr>
          <w:szCs w:val="18"/>
        </w:rPr>
        <w:t>, 2019, p. 6.</w:t>
      </w:r>
    </w:p>
  </w:footnote>
  <w:footnote w:id="32">
    <w:p w14:paraId="6A636A26" w14:textId="1E1A2A4E" w:rsidR="00BE7FE5" w:rsidRPr="00F11C7A" w:rsidRDefault="00BE7FE5" w:rsidP="005328B0">
      <w:pPr>
        <w:pStyle w:val="FootnoteText"/>
        <w:rPr>
          <w:color w:val="212121"/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www.pdh.org.gt/index.php/comunicacion/noticias/pdh-verifica-ejecucion-del-programa-de-apoyo-al-comercio-informal.html.</w:t>
      </w:r>
    </w:p>
  </w:footnote>
  <w:footnote w:id="33">
    <w:p w14:paraId="02EC1BF6" w14:textId="658951FC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  <w:vertAlign w:val="superscript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According to judicial information provided by the Development and Statistics Centre, 2 October 2020.</w:t>
      </w:r>
    </w:p>
  </w:footnote>
  <w:footnote w:id="34">
    <w:p w14:paraId="36F94BEA" w14:textId="627B8A74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Communication GTM 6/2020, dated 17 June 2020 (in Spanish).</w:t>
      </w:r>
    </w:p>
  </w:footnote>
  <w:footnote w:id="35">
    <w:p w14:paraId="14E2158C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hyperlink r:id="rId2" w:history="1">
        <w:r w:rsidRPr="00F11C7A">
          <w:rPr>
            <w:szCs w:val="18"/>
          </w:rPr>
          <w:t>https://twitter.com/oacnudh_gt/status/1270140945242128385</w:t>
        </w:r>
      </w:hyperlink>
      <w:r w:rsidRPr="00F11C7A">
        <w:rPr>
          <w:szCs w:val="18"/>
        </w:rPr>
        <w:t>.</w:t>
      </w:r>
    </w:p>
  </w:footnote>
  <w:footnote w:id="36">
    <w:p w14:paraId="4061558E" w14:textId="7FC1C485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Information provided by the Attorney General</w:t>
      </w:r>
      <w:r>
        <w:rPr>
          <w:szCs w:val="18"/>
        </w:rPr>
        <w:t>’</w:t>
      </w:r>
      <w:r w:rsidRPr="00F11C7A">
        <w:rPr>
          <w:szCs w:val="18"/>
        </w:rPr>
        <w:t>s Office on 2 December.</w:t>
      </w:r>
    </w:p>
  </w:footnote>
  <w:footnote w:id="37">
    <w:p w14:paraId="711BFD2D" w14:textId="071B95A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Information provided by the judiciary on 2 October.</w:t>
      </w:r>
    </w:p>
  </w:footnote>
  <w:footnote w:id="38">
    <w:p w14:paraId="59CCAA52" w14:textId="1215836A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Ministry of Health, reference </w:t>
      </w:r>
      <w:r w:rsidRPr="00F11C7A">
        <w:rPr>
          <w:color w:val="212121"/>
          <w:szCs w:val="18"/>
        </w:rPr>
        <w:t>VT-NLRS-1269-5-2020.</w:t>
      </w:r>
    </w:p>
  </w:footnote>
  <w:footnote w:id="39">
    <w:p w14:paraId="1BAEF91D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hyperlink r:id="rId3" w:history="1">
        <w:r w:rsidRPr="00F11C7A">
          <w:rPr>
            <w:szCs w:val="18"/>
          </w:rPr>
          <w:t>www.oacnudh.org.gt/images/CONTENIDOS/ARTICULOS/PUBLICACIONES/InformeHSVA.pdf</w:t>
        </w:r>
      </w:hyperlink>
      <w:r w:rsidRPr="00F11C7A">
        <w:rPr>
          <w:szCs w:val="18"/>
        </w:rPr>
        <w:t>.</w:t>
      </w:r>
    </w:p>
  </w:footnote>
  <w:footnote w:id="40">
    <w:p w14:paraId="2297818A" w14:textId="77777777" w:rsidR="00BE7FE5" w:rsidRPr="00F11C7A" w:rsidRDefault="00BE7FE5" w:rsidP="00467C67">
      <w:pPr>
        <w:pStyle w:val="FootnoteText"/>
        <w:rPr>
          <w:iCs/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rFonts w:eastAsia="Symbol"/>
          <w:bCs/>
          <w:szCs w:val="18"/>
          <w:shd w:val="clear" w:color="auto" w:fill="FFFFFF"/>
        </w:rPr>
        <w:t>CEDAW</w:t>
      </w:r>
      <w:r w:rsidRPr="00F11C7A">
        <w:rPr>
          <w:iCs/>
          <w:szCs w:val="18"/>
          <w:shd w:val="clear" w:color="auto" w:fill="FFFFFF"/>
        </w:rPr>
        <w:t>/C/GTM/CO/8-9.</w:t>
      </w:r>
    </w:p>
  </w:footnote>
  <w:footnote w:id="41">
    <w:p w14:paraId="295140DC" w14:textId="2D415F70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A/HRC/43/3/Add.1, para. 77.</w:t>
      </w:r>
    </w:p>
  </w:footnote>
  <w:footnote w:id="42">
    <w:p w14:paraId="2D31F477" w14:textId="6BB930AC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According to </w:t>
      </w:r>
      <w:r w:rsidRPr="00F11C7A">
        <w:rPr>
          <w:rFonts w:eastAsiaTheme="majorEastAsia"/>
          <w:szCs w:val="18"/>
        </w:rPr>
        <w:t>Bank of Guatemala family remittances for 2010–2020.</w:t>
      </w:r>
    </w:p>
  </w:footnote>
  <w:footnote w:id="43">
    <w:p w14:paraId="707C4A13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https://igm.gob.gt/informe-estadistico-2017/.</w:t>
      </w:r>
    </w:p>
  </w:footnote>
  <w:footnote w:id="44">
    <w:p w14:paraId="6B32BABA" w14:textId="71CF98B8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Guatemalan Migration Institute, data of 16 March 2020.</w:t>
      </w:r>
    </w:p>
  </w:footnote>
  <w:footnote w:id="45">
    <w:p w14:paraId="14326D48" w14:textId="245C1A0C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A/HRC/43/3/Add.1, para. 81.</w:t>
      </w:r>
    </w:p>
  </w:footnote>
  <w:footnote w:id="46">
    <w:p w14:paraId="6D97126F" w14:textId="14A3BF35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Refugee International and Human Rights Watch, </w:t>
      </w:r>
      <w:r>
        <w:rPr>
          <w:szCs w:val="18"/>
        </w:rPr>
        <w:t>“</w:t>
      </w:r>
      <w:r w:rsidRPr="00F11C7A">
        <w:rPr>
          <w:szCs w:val="18"/>
        </w:rPr>
        <w:t>Deportation without a layover</w:t>
      </w:r>
      <w:r>
        <w:rPr>
          <w:szCs w:val="18"/>
        </w:rPr>
        <w:t>”</w:t>
      </w:r>
      <w:r w:rsidRPr="00F11C7A">
        <w:rPr>
          <w:szCs w:val="18"/>
        </w:rPr>
        <w:t>, 19 May 2020.</w:t>
      </w:r>
    </w:p>
  </w:footnote>
  <w:footnote w:id="47">
    <w:p w14:paraId="57AB1DC4" w14:textId="7504AE45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According to data from the Guatemalan Migration Institute, 5 October 2020.</w:t>
      </w:r>
    </w:p>
  </w:footnote>
  <w:footnote w:id="48">
    <w:p w14:paraId="5AA1C257" w14:textId="7F0076F5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CRPD/C/GTM/CO/1, para. 12.</w:t>
      </w:r>
    </w:p>
  </w:footnote>
  <w:footnote w:id="49">
    <w:p w14:paraId="0AA97127" w14:textId="7EF0B212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Data on violent deaths due to sexual orientation and gender identity provided by the national network of sexual diversity and HIV of Guatemala (REDNADS).</w:t>
      </w:r>
    </w:p>
  </w:footnote>
  <w:footnote w:id="50">
    <w:p w14:paraId="2166AE13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www.facebook.com/LibreseIgualesGT/.</w:t>
      </w:r>
    </w:p>
  </w:footnote>
  <w:footnote w:id="51">
    <w:p w14:paraId="7B30DE9F" w14:textId="7CFBEFB9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Office of the Ombudsperson and others, </w:t>
      </w:r>
      <w:r>
        <w:rPr>
          <w:szCs w:val="18"/>
        </w:rPr>
        <w:t>“</w:t>
      </w:r>
      <w:r w:rsidRPr="00F11C7A">
        <w:rPr>
          <w:szCs w:val="18"/>
        </w:rPr>
        <w:t>Informe sobre el cumplimiento de las sentencias de Camotán</w:t>
      </w:r>
      <w:r>
        <w:rPr>
          <w:szCs w:val="18"/>
        </w:rPr>
        <w:t>”</w:t>
      </w:r>
      <w:r w:rsidRPr="00F11C7A">
        <w:rPr>
          <w:szCs w:val="18"/>
        </w:rPr>
        <w:t>, 2019.</w:t>
      </w:r>
    </w:p>
  </w:footnote>
  <w:footnote w:id="52">
    <w:p w14:paraId="1CD98428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www.siinsan.gob.gt/siinsan/desnutricion-aguda/.</w:t>
      </w:r>
    </w:p>
  </w:footnote>
  <w:footnote w:id="53">
    <w:p w14:paraId="5FAFB8E3" w14:textId="7B1EAE2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A/HRC/43/3/Add.1, paras. 60–63.</w:t>
      </w:r>
    </w:p>
  </w:footnote>
  <w:footnote w:id="54">
    <w:p w14:paraId="7354CBCE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www.censopoblacion.gt.</w:t>
      </w:r>
    </w:p>
  </w:footnote>
  <w:footnote w:id="55">
    <w:p w14:paraId="171B9AE5" w14:textId="20D13C76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A/HRC/43/3/Add.1, paras. 53–54.</w:t>
      </w:r>
    </w:p>
  </w:footnote>
  <w:footnote w:id="56">
    <w:p w14:paraId="1911FCD0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www.oas.org/es/cidh/prensa/comunicados/2020/255.asp.</w:t>
      </w:r>
    </w:p>
  </w:footnote>
  <w:footnote w:id="57">
    <w:p w14:paraId="621C8530" w14:textId="4BA7E098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Constitutional Court, Files No. 3353-2018 of 11 June 2020; No. 4420-2017 of 23 July 2020; No. 4408-2017 of 16 June 2020; and No. 3883-2017 of 13 July 2020.</w:t>
      </w:r>
    </w:p>
  </w:footnote>
  <w:footnote w:id="58">
    <w:p w14:paraId="7B2E632B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www.ine.gob.gt/ine/canasta-basica-alimentaria.</w:t>
      </w:r>
    </w:p>
  </w:footnote>
  <w:footnote w:id="59">
    <w:p w14:paraId="3D9F5591" w14:textId="34D1762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  <w:vertAlign w:val="superscript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National Statistics Institute, </w:t>
      </w:r>
      <w:r w:rsidRPr="00F11C7A">
        <w:rPr>
          <w:i/>
          <w:iCs/>
          <w:szCs w:val="18"/>
        </w:rPr>
        <w:t>Encuesta Nacional de Empleo e Ingresos</w:t>
      </w:r>
      <w:r w:rsidRPr="00F11C7A">
        <w:rPr>
          <w:i/>
          <w:szCs w:val="18"/>
        </w:rPr>
        <w:t xml:space="preserve">, </w:t>
      </w:r>
      <w:r w:rsidRPr="00F11C7A">
        <w:rPr>
          <w:szCs w:val="18"/>
        </w:rPr>
        <w:t xml:space="preserve">2-2019, p. 30. Available at </w:t>
      </w:r>
      <w:hyperlink r:id="rId4" w:history="1">
        <w:r w:rsidRPr="00F11C7A">
          <w:t>www.ine.gob.gt/sistema/uploads/2020/08/13/2020081354355Y1KZ2HK3GnWnOvCP6lk</w:t>
        </w:r>
        <w:r w:rsidRPr="00F11C7A">
          <w:br/>
          <w:t>Zunmf8PiHYFSH.pdf</w:t>
        </w:r>
      </w:hyperlink>
      <w:r w:rsidRPr="00F11C7A">
        <w:t>.</w:t>
      </w:r>
    </w:p>
  </w:footnote>
  <w:footnote w:id="60">
    <w:p w14:paraId="24A279B6" w14:textId="13D7F6D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Ibid. p. 45.</w:t>
      </w:r>
    </w:p>
  </w:footnote>
  <w:footnote w:id="61">
    <w:p w14:paraId="08241363" w14:textId="5FD7FD70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t xml:space="preserve">Data are extrapolated from the following sources: </w:t>
      </w:r>
      <w:r w:rsidRPr="00F11C7A">
        <w:rPr>
          <w:szCs w:val="18"/>
        </w:rPr>
        <w:t xml:space="preserve">Guatemalan Social Security Institution, </w:t>
      </w:r>
      <w:r w:rsidRPr="00F11C7A">
        <w:rPr>
          <w:i/>
          <w:iCs/>
          <w:szCs w:val="18"/>
        </w:rPr>
        <w:t>Boletín estadístico de afiliaciones</w:t>
      </w:r>
      <w:r w:rsidRPr="00F11C7A">
        <w:rPr>
          <w:szCs w:val="18"/>
        </w:rPr>
        <w:t>, 2019, p. 10</w:t>
      </w:r>
      <w:r w:rsidRPr="00F11C7A">
        <w:t xml:space="preserve">; National Statistics Institute, </w:t>
      </w:r>
      <w:r w:rsidRPr="00F11C7A">
        <w:rPr>
          <w:i/>
          <w:iCs/>
          <w:szCs w:val="18"/>
        </w:rPr>
        <w:t>Encuesta Nacional de Empleo e Ingresos</w:t>
      </w:r>
      <w:r w:rsidRPr="00F11C7A">
        <w:t xml:space="preserve">, 2-2019, p. 36; and </w:t>
      </w:r>
      <w:r w:rsidRPr="00F11C7A">
        <w:rPr>
          <w:szCs w:val="18"/>
        </w:rPr>
        <w:t>CEDAW/C/GTM/</w:t>
      </w:r>
      <w:r w:rsidRPr="00F11C7A">
        <w:t>FCO/8-9.</w:t>
      </w:r>
    </w:p>
  </w:footnote>
  <w:footnote w:id="62">
    <w:p w14:paraId="6B086F64" w14:textId="29CDD60D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Bill No. 4849.</w:t>
      </w:r>
    </w:p>
  </w:footnote>
  <w:footnote w:id="63">
    <w:p w14:paraId="3DA63289" w14:textId="09ACC5E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Bulletin No. 641, Secretary of Social Communication of the Presidency, 11 February 2014.</w:t>
      </w:r>
    </w:p>
  </w:footnote>
  <w:footnote w:id="64">
    <w:p w14:paraId="2BED7821" w14:textId="3F02D5DF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Information provided by the Labour Inspectorate on 25 November.</w:t>
      </w:r>
    </w:p>
  </w:footnote>
  <w:footnote w:id="65">
    <w:p w14:paraId="502652F8" w14:textId="3724C985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According to judicial information, Development and Statistics Centre, 2 October 2020.</w:t>
      </w:r>
    </w:p>
  </w:footnote>
  <w:footnote w:id="66">
    <w:p w14:paraId="6949CAC9" w14:textId="1AEF575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A/HRC/43/3/Add.1, paras. 33–36; and A/HRC/40/3/Add.1, paras. 17–18.</w:t>
      </w:r>
    </w:p>
  </w:footnote>
  <w:footnote w:id="67">
    <w:p w14:paraId="4EF560ED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www.corteidh.or.cr/docs/medidas/ruizfuentes_se_01.pdf.</w:t>
      </w:r>
    </w:p>
  </w:footnote>
  <w:footnote w:id="68">
    <w:p w14:paraId="3694511F" w14:textId="1CBD7E5F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 w:rsidDel="00BF13D7">
        <w:rPr>
          <w:szCs w:val="18"/>
        </w:rPr>
        <w:t>A/HRC/43/3/Add.1,</w:t>
      </w:r>
      <w:r w:rsidRPr="00F11C7A">
        <w:rPr>
          <w:szCs w:val="18"/>
        </w:rPr>
        <w:t xml:space="preserve"> </w:t>
      </w:r>
      <w:r w:rsidRPr="00F11C7A" w:rsidDel="00BF13D7">
        <w:rPr>
          <w:szCs w:val="18"/>
        </w:rPr>
        <w:t>para.</w:t>
      </w:r>
      <w:r w:rsidRPr="00F11C7A">
        <w:rPr>
          <w:szCs w:val="18"/>
        </w:rPr>
        <w:t xml:space="preserve"> </w:t>
      </w:r>
      <w:r w:rsidRPr="00F11C7A" w:rsidDel="00BF13D7">
        <w:rPr>
          <w:szCs w:val="18"/>
        </w:rPr>
        <w:t>29;</w:t>
      </w:r>
      <w:r w:rsidRPr="00F11C7A">
        <w:rPr>
          <w:szCs w:val="18"/>
        </w:rPr>
        <w:t xml:space="preserve"> and </w:t>
      </w:r>
      <w:r w:rsidRPr="00F11C7A" w:rsidDel="00BF13D7">
        <w:rPr>
          <w:szCs w:val="18"/>
        </w:rPr>
        <w:t>A/HRC/28/3/Add.1,</w:t>
      </w:r>
      <w:r w:rsidRPr="00F11C7A">
        <w:rPr>
          <w:szCs w:val="18"/>
        </w:rPr>
        <w:t xml:space="preserve"> </w:t>
      </w:r>
      <w:r w:rsidRPr="00F11C7A" w:rsidDel="00BF13D7">
        <w:rPr>
          <w:szCs w:val="18"/>
        </w:rPr>
        <w:t>paras.</w:t>
      </w:r>
      <w:r w:rsidRPr="00F11C7A">
        <w:rPr>
          <w:szCs w:val="18"/>
        </w:rPr>
        <w:t xml:space="preserve"> </w:t>
      </w:r>
      <w:r w:rsidRPr="00F11C7A" w:rsidDel="00BF13D7">
        <w:rPr>
          <w:szCs w:val="18"/>
        </w:rPr>
        <w:t>7</w:t>
      </w:r>
      <w:r w:rsidRPr="00F11C7A">
        <w:rPr>
          <w:szCs w:val="18"/>
        </w:rPr>
        <w:t xml:space="preserve"> and </w:t>
      </w:r>
      <w:r w:rsidRPr="00F11C7A" w:rsidDel="00BF13D7">
        <w:rPr>
          <w:szCs w:val="18"/>
        </w:rPr>
        <w:t>18</w:t>
      </w:r>
      <w:r w:rsidRPr="00F11C7A">
        <w:rPr>
          <w:szCs w:val="18"/>
        </w:rPr>
        <w:t>.</w:t>
      </w:r>
    </w:p>
  </w:footnote>
  <w:footnote w:id="69">
    <w:p w14:paraId="72F8D0C0" w14:textId="6FAC44A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Communication GTM 1/2020, dated 13 February 2020 (in Spanish).</w:t>
      </w:r>
    </w:p>
  </w:footnote>
  <w:footnote w:id="70">
    <w:p w14:paraId="4E6D4252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https://twitter.com/CongresoGuate/status/1277372695584346112?s=20.</w:t>
      </w:r>
    </w:p>
  </w:footnote>
  <w:footnote w:id="71">
    <w:p w14:paraId="50962545" w14:textId="1FDC10CA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A/HRC/43/3/Add.1, para. 36.</w:t>
      </w:r>
    </w:p>
  </w:footnote>
  <w:footnote w:id="72">
    <w:p w14:paraId="2B20ADF8" w14:textId="144E959B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 xml:space="preserve">OHCHR, </w:t>
      </w:r>
      <w:r>
        <w:rPr>
          <w:szCs w:val="18"/>
        </w:rPr>
        <w:t>“</w:t>
      </w:r>
      <w:r w:rsidRPr="00F11C7A">
        <w:rPr>
          <w:szCs w:val="18"/>
        </w:rPr>
        <w:t>Guatemala: attacks against Constitutional Court and delays in appointment of judges to high courts must stop</w:t>
      </w:r>
      <w:r>
        <w:rPr>
          <w:szCs w:val="18"/>
        </w:rPr>
        <w:t>”</w:t>
      </w:r>
      <w:r w:rsidRPr="00F11C7A">
        <w:rPr>
          <w:szCs w:val="18"/>
        </w:rPr>
        <w:t>, 19 November 2020.</w:t>
      </w:r>
    </w:p>
  </w:footnote>
  <w:footnote w:id="73">
    <w:p w14:paraId="1FBEDE22" w14:textId="7ADB10C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A/HRC/43/3/Add.1, para. 45; and A/HRC/40/3/Add.1, para. 23.</w:t>
      </w:r>
    </w:p>
  </w:footnote>
  <w:footnote w:id="74">
    <w:p w14:paraId="785C8C6C" w14:textId="211A2FA9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Monitoring carried out by the OHCHR country office in Guatemala during 11 states of exception, including through remote monitoring and two field visits.</w:t>
      </w:r>
    </w:p>
  </w:footnote>
  <w:footnote w:id="75">
    <w:p w14:paraId="118415C8" w14:textId="7EE40B06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Human Rights Committee, general comment No. 29 (2001) on derogations from provisions of the Covenant during a state of emergency.</w:t>
      </w:r>
    </w:p>
  </w:footnote>
  <w:footnote w:id="76">
    <w:p w14:paraId="13444797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www.oacnudh.org.gt/images/CONTENIDOS/ARTICULOS/PUBLICACIONES</w:t>
      </w:r>
      <w:r w:rsidRPr="00F11C7A">
        <w:rPr>
          <w:szCs w:val="18"/>
        </w:rPr>
        <w:br/>
        <w:t>/Informe_personas_defensoras.pdf.</w:t>
      </w:r>
    </w:p>
  </w:footnote>
  <w:footnote w:id="77">
    <w:p w14:paraId="3D7B2C98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https://udefegua.org/comunicados/aumento-hist%C3%B3rico-en-agresiones-contra-personas-defensoras-en-guatemala-registra.</w:t>
      </w:r>
    </w:p>
  </w:footnote>
  <w:footnote w:id="78">
    <w:p w14:paraId="396A9AA9" w14:textId="0EE4C0BB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Information provided by the Office of the Attorney General on 2 December.</w:t>
      </w:r>
    </w:p>
  </w:footnote>
  <w:footnote w:id="79">
    <w:p w14:paraId="49BC1E42" w14:textId="4B50556A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A/HRC/40/3/Add.1, para. 39.</w:t>
      </w:r>
    </w:p>
  </w:footnote>
  <w:footnote w:id="80">
    <w:p w14:paraId="50E1B426" w14:textId="41EE65D8" w:rsidR="00BE7FE5" w:rsidRPr="00F11C7A" w:rsidRDefault="00BE7FE5" w:rsidP="005328B0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www.oacnudh.org.gt/images/CONTENIDOS/ARTICULOS/PUBLICACIONES/</w:t>
      </w:r>
      <w:r w:rsidRPr="00F11C7A">
        <w:rPr>
          <w:szCs w:val="18"/>
        </w:rPr>
        <w:br/>
        <w:t>Informe_personas_defensoras.pdf.</w:t>
      </w:r>
    </w:p>
  </w:footnote>
  <w:footnote w:id="81">
    <w:p w14:paraId="7DC8FE67" w14:textId="63993BDD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A/HRC/40/3/Add.1, para 49.</w:t>
      </w:r>
    </w:p>
  </w:footnote>
  <w:footnote w:id="82">
    <w:p w14:paraId="22D4A523" w14:textId="77777777" w:rsidR="00BE7FE5" w:rsidRPr="00F11C7A" w:rsidRDefault="00BE7FE5" w:rsidP="00467C67">
      <w:pPr>
        <w:pStyle w:val="FootnoteText"/>
        <w:rPr>
          <w:szCs w:val="18"/>
        </w:rPr>
      </w:pPr>
      <w:r w:rsidRPr="00F11C7A">
        <w:rPr>
          <w:szCs w:val="18"/>
        </w:rPr>
        <w:tab/>
      </w:r>
      <w:r w:rsidRPr="00F11C7A">
        <w:rPr>
          <w:rStyle w:val="FootnoteReference"/>
        </w:rPr>
        <w:footnoteRef/>
      </w:r>
      <w:r w:rsidRPr="00F11C7A">
        <w:rPr>
          <w:rStyle w:val="FootnoteReference"/>
        </w:rPr>
        <w:tab/>
      </w:r>
      <w:r w:rsidRPr="00F11C7A">
        <w:rPr>
          <w:szCs w:val="18"/>
        </w:rPr>
        <w:t>https://bit.ly/3bjaSDC.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717CB" w14:textId="77777777" w:rsidR="00BE7FE5" w:rsidRDefault="00BE7FE5" w:rsidP="00467C67">
    <w:pPr>
      <w:pStyle w:val="Header"/>
    </w:pPr>
    <w:r>
      <w:t>A/HRC/46/74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3B090" w14:textId="77777777" w:rsidR="00BE7FE5" w:rsidRDefault="00BE7FE5" w:rsidP="00467C67">
    <w:pPr>
      <w:pStyle w:val="Header"/>
      <w:jc w:val="right"/>
    </w:pPr>
    <w:r>
      <w:t>A/HRC/46/74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54887"/>
    <w:multiLevelType w:val="hybridMultilevel"/>
    <w:tmpl w:val="5A48E46A"/>
    <w:lvl w:ilvl="0" w:tplc="F560206C">
      <w:start w:val="1"/>
      <w:numFmt w:val="decimal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D657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1230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06677A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3475B"/>
    <w:multiLevelType w:val="hybridMultilevel"/>
    <w:tmpl w:val="2708E046"/>
    <w:lvl w:ilvl="0" w:tplc="8EA26D44">
      <w:start w:val="1"/>
      <w:numFmt w:val="lowerLetter"/>
      <w:lvlText w:val="(%1)"/>
      <w:lvlJc w:val="left"/>
      <w:pPr>
        <w:ind w:left="2421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6ABE3B3F"/>
    <w:multiLevelType w:val="hybridMultilevel"/>
    <w:tmpl w:val="AF48E5E4"/>
    <w:lvl w:ilvl="0" w:tplc="E9C25B70">
      <w:start w:val="1"/>
      <w:numFmt w:val="decimal"/>
      <w:lvlText w:val="%1."/>
      <w:lvlJc w:val="left"/>
      <w:pPr>
        <w:ind w:left="2988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DC1CD7F6">
      <w:start w:val="1"/>
      <w:numFmt w:val="lowerLetter"/>
      <w:lvlText w:val="(%3)"/>
      <w:lvlJc w:val="left"/>
      <w:pPr>
        <w:ind w:left="3294" w:hanging="180"/>
      </w:pPr>
      <w:rPr>
        <w:rFonts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02937AE"/>
    <w:multiLevelType w:val="hybridMultilevel"/>
    <w:tmpl w:val="4078BF0C"/>
    <w:lvl w:ilvl="0" w:tplc="E9C25B70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78703ABA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"/>
  </w:num>
  <w:num w:numId="11">
    <w:abstractNumId w:val="8"/>
  </w:num>
  <w:num w:numId="12">
    <w:abstractNumId w:val="2"/>
  </w:num>
  <w:num w:numId="13">
    <w:abstractNumId w:val="11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S0MLM0sjQ1NzC1sLBU0lEKTi0uzszPAykwqQUAfFzQLiwAAAA="/>
  </w:docVars>
  <w:rsids>
    <w:rsidRoot w:val="00EC2AF3"/>
    <w:rsid w:val="00046E92"/>
    <w:rsid w:val="00051E71"/>
    <w:rsid w:val="00055EBB"/>
    <w:rsid w:val="0005701C"/>
    <w:rsid w:val="0006060A"/>
    <w:rsid w:val="00063C90"/>
    <w:rsid w:val="00066356"/>
    <w:rsid w:val="00072607"/>
    <w:rsid w:val="00097153"/>
    <w:rsid w:val="00101B98"/>
    <w:rsid w:val="00163B1D"/>
    <w:rsid w:val="0017221D"/>
    <w:rsid w:val="00172445"/>
    <w:rsid w:val="00184181"/>
    <w:rsid w:val="001E208E"/>
    <w:rsid w:val="001F37CE"/>
    <w:rsid w:val="00200490"/>
    <w:rsid w:val="00211357"/>
    <w:rsid w:val="00227F79"/>
    <w:rsid w:val="002349CF"/>
    <w:rsid w:val="00247E2C"/>
    <w:rsid w:val="00251841"/>
    <w:rsid w:val="00281436"/>
    <w:rsid w:val="002A32CB"/>
    <w:rsid w:val="002B319E"/>
    <w:rsid w:val="002D6C53"/>
    <w:rsid w:val="002F25F6"/>
    <w:rsid w:val="002F5595"/>
    <w:rsid w:val="00334F6A"/>
    <w:rsid w:val="00342AC8"/>
    <w:rsid w:val="00361B59"/>
    <w:rsid w:val="003978D2"/>
    <w:rsid w:val="003B052B"/>
    <w:rsid w:val="003B4550"/>
    <w:rsid w:val="003B4890"/>
    <w:rsid w:val="003B643A"/>
    <w:rsid w:val="003D38CA"/>
    <w:rsid w:val="003F65B8"/>
    <w:rsid w:val="0040017C"/>
    <w:rsid w:val="00423285"/>
    <w:rsid w:val="00461005"/>
    <w:rsid w:val="00461253"/>
    <w:rsid w:val="00467C67"/>
    <w:rsid w:val="00480F67"/>
    <w:rsid w:val="00486E21"/>
    <w:rsid w:val="0049529B"/>
    <w:rsid w:val="004A2814"/>
    <w:rsid w:val="004C0622"/>
    <w:rsid w:val="004D10F9"/>
    <w:rsid w:val="005042C2"/>
    <w:rsid w:val="005328B0"/>
    <w:rsid w:val="00570F27"/>
    <w:rsid w:val="005C4F37"/>
    <w:rsid w:val="005E3E6D"/>
    <w:rsid w:val="005E716E"/>
    <w:rsid w:val="00661076"/>
    <w:rsid w:val="00671529"/>
    <w:rsid w:val="006B2136"/>
    <w:rsid w:val="0070489D"/>
    <w:rsid w:val="0072285C"/>
    <w:rsid w:val="007268F9"/>
    <w:rsid w:val="00765EC0"/>
    <w:rsid w:val="00782431"/>
    <w:rsid w:val="007C52B0"/>
    <w:rsid w:val="007D5D19"/>
    <w:rsid w:val="00861B4E"/>
    <w:rsid w:val="00882DAA"/>
    <w:rsid w:val="009411B4"/>
    <w:rsid w:val="00962A56"/>
    <w:rsid w:val="009744E3"/>
    <w:rsid w:val="009A213B"/>
    <w:rsid w:val="009D0139"/>
    <w:rsid w:val="009D717D"/>
    <w:rsid w:val="009F5CDC"/>
    <w:rsid w:val="00A22EF5"/>
    <w:rsid w:val="00A71A4C"/>
    <w:rsid w:val="00A775CF"/>
    <w:rsid w:val="00AC5109"/>
    <w:rsid w:val="00B06045"/>
    <w:rsid w:val="00B13915"/>
    <w:rsid w:val="00B52EF4"/>
    <w:rsid w:val="00B86FD6"/>
    <w:rsid w:val="00BC607A"/>
    <w:rsid w:val="00BE7FE5"/>
    <w:rsid w:val="00C03015"/>
    <w:rsid w:val="00C0358D"/>
    <w:rsid w:val="00C27ECC"/>
    <w:rsid w:val="00C35A27"/>
    <w:rsid w:val="00C47B2E"/>
    <w:rsid w:val="00CA1B04"/>
    <w:rsid w:val="00D57955"/>
    <w:rsid w:val="00DD3E03"/>
    <w:rsid w:val="00E02C2B"/>
    <w:rsid w:val="00E427A5"/>
    <w:rsid w:val="00E435CA"/>
    <w:rsid w:val="00E52109"/>
    <w:rsid w:val="00E75317"/>
    <w:rsid w:val="00EC2011"/>
    <w:rsid w:val="00EC2AF3"/>
    <w:rsid w:val="00ED6C48"/>
    <w:rsid w:val="00F041C6"/>
    <w:rsid w:val="00F11C7A"/>
    <w:rsid w:val="00F65F5D"/>
    <w:rsid w:val="00F86A3A"/>
    <w:rsid w:val="00FB70FD"/>
    <w:rsid w:val="00FE2048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2DC2A8"/>
  <w15:docId w15:val="{AC91E7EE-BD3E-4375-9826-FB9A0929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5C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4A2814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rsid w:val="004A2814"/>
    <w:pPr>
      <w:spacing w:line="240" w:lineRule="auto"/>
      <w:outlineLvl w:val="1"/>
    </w:pPr>
  </w:style>
  <w:style w:type="paragraph" w:styleId="Heading3">
    <w:name w:val="heading 3"/>
    <w:basedOn w:val="Normal"/>
    <w:next w:val="Normal"/>
    <w:link w:val="Heading3Char"/>
    <w:semiHidden/>
    <w:rsid w:val="004A2814"/>
    <w:pPr>
      <w:spacing w:line="240" w:lineRule="auto"/>
      <w:outlineLvl w:val="2"/>
    </w:pPr>
  </w:style>
  <w:style w:type="paragraph" w:styleId="Heading4">
    <w:name w:val="heading 4"/>
    <w:basedOn w:val="Normal"/>
    <w:next w:val="Normal"/>
    <w:link w:val="Heading4Char"/>
    <w:semiHidden/>
    <w:rsid w:val="004A2814"/>
    <w:pPr>
      <w:spacing w:line="240" w:lineRule="auto"/>
      <w:outlineLvl w:val="3"/>
    </w:pPr>
  </w:style>
  <w:style w:type="paragraph" w:styleId="Heading5">
    <w:name w:val="heading 5"/>
    <w:basedOn w:val="Normal"/>
    <w:next w:val="Normal"/>
    <w:link w:val="Heading5Char"/>
    <w:semiHidden/>
    <w:rsid w:val="004A2814"/>
    <w:pPr>
      <w:spacing w:line="240" w:lineRule="auto"/>
      <w:outlineLvl w:val="4"/>
    </w:pPr>
  </w:style>
  <w:style w:type="paragraph" w:styleId="Heading6">
    <w:name w:val="heading 6"/>
    <w:basedOn w:val="Normal"/>
    <w:next w:val="Normal"/>
    <w:link w:val="Heading6Char"/>
    <w:semiHidden/>
    <w:rsid w:val="004A2814"/>
    <w:pPr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4A2814"/>
    <w:pPr>
      <w:spacing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4A2814"/>
    <w:pPr>
      <w:spacing w:line="240" w:lineRule="auto"/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4A2814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qFormat/>
    <w:rsid w:val="004A2814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3B4550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Footer">
    <w:name w:val="footer"/>
    <w:aliases w:val="3_G"/>
    <w:basedOn w:val="Normal"/>
    <w:link w:val="FooterChar"/>
    <w:qFormat/>
    <w:rsid w:val="004A2814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47E2C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4A2814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4A2814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qFormat/>
    <w:rsid w:val="00A71A4C"/>
    <w:pPr>
      <w:tabs>
        <w:tab w:val="left" w:pos="1701"/>
        <w:tab w:val="left" w:pos="2268"/>
      </w:tabs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4A2814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4A2814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4A2814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4A2814"/>
    <w:pPr>
      <w:numPr>
        <w:numId w:val="10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4A2814"/>
    <w:pPr>
      <w:numPr>
        <w:numId w:val="11"/>
      </w:numPr>
      <w:spacing w:after="120"/>
      <w:ind w:right="1134"/>
      <w:jc w:val="both"/>
    </w:pPr>
  </w:style>
  <w:style w:type="paragraph" w:customStyle="1" w:styleId="ParaNoG">
    <w:name w:val="_ParaNo._G"/>
    <w:basedOn w:val="SingleTxtG"/>
    <w:qFormat/>
    <w:rsid w:val="007268F9"/>
    <w:pPr>
      <w:numPr>
        <w:numId w:val="3"/>
      </w:numPr>
    </w:pPr>
  </w:style>
  <w:style w:type="numbering" w:styleId="111111">
    <w:name w:val="Outline List 2"/>
    <w:basedOn w:val="NoList"/>
    <w:semiHidden/>
    <w:rsid w:val="007268F9"/>
    <w:pPr>
      <w:numPr>
        <w:numId w:val="5"/>
      </w:numPr>
    </w:pPr>
  </w:style>
  <w:style w:type="numbering" w:styleId="1ai">
    <w:name w:val="Outline List 1"/>
    <w:basedOn w:val="NoList"/>
    <w:semiHidden/>
    <w:rsid w:val="007268F9"/>
    <w:pPr>
      <w:numPr>
        <w:numId w:val="6"/>
      </w:numPr>
    </w:pPr>
  </w:style>
  <w:style w:type="character" w:styleId="EndnoteReference">
    <w:name w:val="endnote reference"/>
    <w:aliases w:val="1_G"/>
    <w:qFormat/>
    <w:rsid w:val="004A2814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link w:val="FootnoteTextChar"/>
    <w:qFormat/>
    <w:rsid w:val="004A2814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4A2814"/>
  </w:style>
  <w:style w:type="character" w:customStyle="1" w:styleId="EndnoteTextChar">
    <w:name w:val="Endnote Text Char"/>
    <w:aliases w:val="2_G Char"/>
    <w:basedOn w:val="DefaultParagraphFont"/>
    <w:link w:val="EndnoteText"/>
    <w:rsid w:val="007268F9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FootnoteReference">
    <w:name w:val="footnote reference"/>
    <w:aliases w:val="4_G"/>
    <w:qFormat/>
    <w:rsid w:val="004A2814"/>
    <w:rPr>
      <w:rFonts w:ascii="Times New Roman" w:hAnsi="Times New Roman"/>
      <w:sz w:val="18"/>
      <w:vertAlign w:val="superscript"/>
    </w:rPr>
  </w:style>
  <w:style w:type="character" w:customStyle="1" w:styleId="Heading1Char">
    <w:name w:val="Heading 1 Char"/>
    <w:aliases w:val="Table_G Char"/>
    <w:basedOn w:val="DefaultParagraphFont"/>
    <w:link w:val="Heading1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3B4550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PageNumber">
    <w:name w:val="page number"/>
    <w:aliases w:val="7_G"/>
    <w:rsid w:val="004A2814"/>
    <w:rPr>
      <w:rFonts w:ascii="Times New Roman" w:hAnsi="Times New Roman"/>
      <w:b/>
      <w:sz w:val="18"/>
    </w:rPr>
  </w:style>
  <w:style w:type="character" w:styleId="BookTitle">
    <w:name w:val="Book Title"/>
    <w:basedOn w:val="DefaultParagraphFont"/>
    <w:uiPriority w:val="33"/>
    <w:semiHidden/>
    <w:rsid w:val="007268F9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09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nhideWhenUsed/>
    <w:rsid w:val="004A2814"/>
    <w:rPr>
      <w:color w:val="0000FF"/>
      <w:u w:val="none"/>
    </w:rPr>
  </w:style>
  <w:style w:type="character" w:styleId="FollowedHyperlink">
    <w:name w:val="FollowedHyperlink"/>
    <w:unhideWhenUsed/>
    <w:rsid w:val="004A2814"/>
    <w:rPr>
      <w:color w:val="0000FF"/>
      <w:u w:val="none"/>
    </w:rPr>
  </w:style>
  <w:style w:type="table" w:styleId="TableGrid">
    <w:name w:val="Table Grid"/>
    <w:basedOn w:val="TableNormal"/>
    <w:rsid w:val="004A2814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467C6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4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4E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4E3"/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4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44E3"/>
    <w:rPr>
      <w:rFonts w:ascii="Times New Roman" w:eastAsiaTheme="minorHAnsi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cnudh.org.gt/images/CONTENIDOS/ARTICULOS/PUBLICACIONES/InformeHSVA.pdf" TargetMode="External"/><Relationship Id="rId2" Type="http://schemas.openxmlformats.org/officeDocument/2006/relationships/hyperlink" Target="https://twitter.com/oacnudh_gt/status/1270140945242128385" TargetMode="External"/><Relationship Id="rId1" Type="http://schemas.openxmlformats.org/officeDocument/2006/relationships/hyperlink" Target="http://www.youtube.com/watch?v=INsJAno4IcQ&amp;list=PL6C0JjQhnzymsz4rK9TuqfWhHpn4Ze" TargetMode="External"/><Relationship Id="rId4" Type="http://schemas.openxmlformats.org/officeDocument/2006/relationships/hyperlink" Target="http://www.ine.gob.gt/sistema/uploads/2020/08/13/2020081354355Y1KZ2HK3GnWnOvCP6lkZunmf8PiHYFSH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COVERPAGES%20without%20Compatibility\COVERPAG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91C2E8B047C40A1E7F8F3CAA18A71" ma:contentTypeVersion="1" ma:contentTypeDescription="Create a new document." ma:contentTypeScope="" ma:versionID="4f15d80482a0cda4e139239853b4c9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1AA2B3-C0FF-4567-9E3E-A5634E1B4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29525-1B06-46C3-9F1C-6DC96BE83AB4}"/>
</file>

<file path=customXml/itemProps3.xml><?xml version="1.0" encoding="utf-8"?>
<ds:datastoreItem xmlns:ds="http://schemas.openxmlformats.org/officeDocument/2006/customXml" ds:itemID="{140CA442-0CBB-4C5F-BF8D-ED8F9FBC64F9}"/>
</file>

<file path=customXml/itemProps4.xml><?xml version="1.0" encoding="utf-8"?>
<ds:datastoreItem xmlns:ds="http://schemas.openxmlformats.org/officeDocument/2006/customXml" ds:itemID="{AEC29527-A41D-4A0D-A0D4-DDECD8003D02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0</TotalTime>
  <Pages>18</Pages>
  <Words>8291</Words>
  <Characters>47260</Characters>
  <Application>Microsoft Office Word</Application>
  <DocSecurity>0</DocSecurity>
  <Lines>393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A/HRC/46/74</vt:lpstr>
    </vt:vector>
  </TitlesOfParts>
  <Company>DCM</Company>
  <LinksUpToDate>false</LinksUpToDate>
  <CharactersWithSpaces>55441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Situation of human rights in Guatemala – Report of the United Nations High Commissioner for Human Rights in English</dc:title>
  <dc:subject>2101336</dc:subject>
  <dc:creator>Brigoli</dc:creator>
  <cp:keywords/>
  <dc:description/>
  <cp:lastModifiedBy>LANZ Veronique</cp:lastModifiedBy>
  <cp:revision>2</cp:revision>
  <dcterms:created xsi:type="dcterms:W3CDTF">2021-02-11T08:34:00Z</dcterms:created>
  <dcterms:modified xsi:type="dcterms:W3CDTF">2021-02-11T08:34:00Z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0x01010088A91C2E8B047C40A1E7F8F3CAA18A71</vt:lpwstr>
  </property>
</Properties>
</file>