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8E93" w14:textId="65476D2E" w:rsidR="00B27D3C" w:rsidRPr="006A248D" w:rsidRDefault="00FC1EE5" w:rsidP="00CE5DD3">
      <w:pPr>
        <w:spacing w:line="240" w:lineRule="auto"/>
        <w:jc w:val="center"/>
        <w:rPr>
          <w:b/>
        </w:rPr>
      </w:pPr>
      <w:r>
        <w:rPr>
          <w:b/>
        </w:rPr>
        <w:t>4</w:t>
      </w:r>
      <w:r w:rsidR="00235721">
        <w:rPr>
          <w:b/>
        </w:rPr>
        <w:t>6th</w:t>
      </w:r>
      <w:r w:rsidR="00072AD9" w:rsidRPr="006A248D">
        <w:rPr>
          <w:b/>
        </w:rPr>
        <w:t xml:space="preserve"> session of the Human Rights Council</w:t>
      </w:r>
    </w:p>
    <w:p w14:paraId="7ED715D2" w14:textId="3833D3DA" w:rsidR="00DD1A8C" w:rsidRPr="005D1201" w:rsidRDefault="00DD1A8C" w:rsidP="00CE5DD3">
      <w:pPr>
        <w:spacing w:after="120" w:line="240" w:lineRule="auto"/>
        <w:ind w:left="-709" w:right="-1038"/>
        <w:jc w:val="center"/>
        <w:rPr>
          <w:b/>
          <w:bCs/>
          <w:sz w:val="32"/>
          <w:szCs w:val="32"/>
        </w:rPr>
      </w:pPr>
      <w:r w:rsidRPr="005D1201">
        <w:rPr>
          <w:b/>
          <w:bCs/>
          <w:sz w:val="32"/>
          <w:szCs w:val="32"/>
        </w:rPr>
        <w:t xml:space="preserve">Debate on the midterm review of the </w:t>
      </w:r>
      <w:r w:rsidR="005D1201">
        <w:rPr>
          <w:b/>
          <w:bCs/>
          <w:sz w:val="32"/>
          <w:szCs w:val="32"/>
        </w:rPr>
        <w:br/>
      </w:r>
      <w:r w:rsidRPr="005D1201">
        <w:rPr>
          <w:b/>
          <w:bCs/>
          <w:sz w:val="32"/>
          <w:szCs w:val="32"/>
        </w:rPr>
        <w:t xml:space="preserve">International Decade for People of African Descent </w:t>
      </w:r>
    </w:p>
    <w:p w14:paraId="4C01CCC3" w14:textId="77777777" w:rsidR="00C64330" w:rsidRPr="005D1201" w:rsidRDefault="00C64330" w:rsidP="00CE5DD3">
      <w:pPr>
        <w:spacing w:after="120" w:line="240" w:lineRule="auto"/>
        <w:ind w:left="-709" w:right="-1038"/>
        <w:jc w:val="center"/>
        <w:rPr>
          <w:b/>
          <w:bCs/>
          <w:i/>
          <w:sz w:val="26"/>
          <w:szCs w:val="26"/>
        </w:rPr>
      </w:pPr>
      <w:r w:rsidRPr="005D1201">
        <w:rPr>
          <w:b/>
          <w:bCs/>
          <w:i/>
          <w:sz w:val="26"/>
          <w:szCs w:val="26"/>
        </w:rPr>
        <w:t>Commemoration of the International Day for the Elimination of Racial Discrimination</w:t>
      </w:r>
    </w:p>
    <w:p w14:paraId="42ECDA77" w14:textId="7AE4D5B8" w:rsidR="00EE41B2" w:rsidRPr="00401B45" w:rsidRDefault="00C9274B" w:rsidP="00CE5DD3">
      <w:pPr>
        <w:spacing w:after="0" w:line="240" w:lineRule="auto"/>
        <w:ind w:right="-1039"/>
        <w:jc w:val="center"/>
        <w:rPr>
          <w:rFonts w:cs="Calibri"/>
          <w:i/>
          <w:sz w:val="21"/>
          <w:szCs w:val="21"/>
        </w:rPr>
      </w:pPr>
      <w:r>
        <w:rPr>
          <w:rFonts w:cs="Calibri"/>
          <w:i/>
          <w:sz w:val="21"/>
          <w:szCs w:val="21"/>
        </w:rPr>
        <w:t>C</w:t>
      </w:r>
      <w:r w:rsidR="00454E73">
        <w:rPr>
          <w:rFonts w:cs="Calibri"/>
          <w:i/>
          <w:sz w:val="21"/>
          <w:szCs w:val="21"/>
        </w:rPr>
        <w:t xml:space="preserve">oncept </w:t>
      </w:r>
      <w:r w:rsidR="00053C01">
        <w:rPr>
          <w:rFonts w:cs="Calibri"/>
          <w:i/>
          <w:sz w:val="21"/>
          <w:szCs w:val="21"/>
        </w:rPr>
        <w:t>n</w:t>
      </w:r>
      <w:r w:rsidR="00454E73">
        <w:rPr>
          <w:rFonts w:cs="Calibri"/>
          <w:i/>
          <w:sz w:val="21"/>
          <w:szCs w:val="21"/>
        </w:rPr>
        <w:t xml:space="preserve">ote </w:t>
      </w:r>
      <w:r w:rsidR="00604E70">
        <w:rPr>
          <w:rFonts w:cs="Calibri"/>
          <w:i/>
          <w:sz w:val="21"/>
          <w:szCs w:val="21"/>
        </w:rPr>
        <w:t xml:space="preserve">(as of </w:t>
      </w:r>
      <w:r w:rsidR="00720B2E">
        <w:rPr>
          <w:rFonts w:cs="Calibri"/>
          <w:i/>
          <w:sz w:val="21"/>
          <w:szCs w:val="21"/>
        </w:rPr>
        <w:t>10</w:t>
      </w:r>
      <w:r w:rsidR="001B78D9">
        <w:rPr>
          <w:rFonts w:cs="Calibri"/>
          <w:i/>
          <w:sz w:val="21"/>
          <w:szCs w:val="21"/>
        </w:rPr>
        <w:t xml:space="preserve"> March</w:t>
      </w:r>
      <w:r w:rsidR="00604E70">
        <w:rPr>
          <w:rFonts w:cs="Calibri"/>
          <w:i/>
          <w:sz w:val="21"/>
          <w:szCs w:val="21"/>
        </w:rPr>
        <w:t xml:space="preserve"> 202</w:t>
      </w:r>
      <w:r w:rsidR="00235721">
        <w:rPr>
          <w:rFonts w:cs="Calibri"/>
          <w:i/>
          <w:sz w:val="21"/>
          <w:szCs w:val="21"/>
        </w:rPr>
        <w:t>1</w:t>
      </w:r>
      <w:r w:rsidR="00053C01">
        <w:rPr>
          <w:rFonts w:cs="Calibri"/>
          <w:i/>
          <w:sz w:val="21"/>
          <w:szCs w:val="21"/>
        </w:rPr>
        <w:t>)</w:t>
      </w:r>
    </w:p>
    <w:p w14:paraId="1385E21F" w14:textId="77777777" w:rsidR="00EE41B2" w:rsidRPr="00DB35FA" w:rsidRDefault="00EE41B2" w:rsidP="00CE5DD3">
      <w:pPr>
        <w:spacing w:after="0" w:line="240" w:lineRule="auto"/>
        <w:ind w:left="-360" w:right="-1039"/>
        <w:jc w:val="center"/>
        <w:rPr>
          <w:rFonts w:cs="Calibri"/>
          <w:b/>
          <w:bCs/>
          <w:sz w:val="16"/>
          <w:szCs w:val="16"/>
        </w:rPr>
      </w:pPr>
    </w:p>
    <w:tbl>
      <w:tblPr>
        <w:tblW w:w="10632" w:type="dxa"/>
        <w:jc w:val="center"/>
        <w:tblLayout w:type="fixed"/>
        <w:tblLook w:val="04A0" w:firstRow="1" w:lastRow="0" w:firstColumn="1" w:lastColumn="0" w:noHBand="0" w:noVBand="1"/>
      </w:tblPr>
      <w:tblGrid>
        <w:gridCol w:w="1452"/>
        <w:gridCol w:w="9134"/>
        <w:gridCol w:w="46"/>
      </w:tblGrid>
      <w:tr w:rsidR="00C11300" w:rsidRPr="001511B7" w14:paraId="436A335C" w14:textId="77777777" w:rsidTr="00411831">
        <w:trPr>
          <w:trHeight w:val="263"/>
          <w:jc w:val="center"/>
        </w:trPr>
        <w:tc>
          <w:tcPr>
            <w:tcW w:w="1452" w:type="dxa"/>
            <w:shd w:val="clear" w:color="auto" w:fill="auto"/>
          </w:tcPr>
          <w:p w14:paraId="12407F67" w14:textId="77777777" w:rsidR="003B2EF1" w:rsidRPr="001511B7" w:rsidRDefault="00C11300" w:rsidP="00CE5DD3">
            <w:pPr>
              <w:spacing w:after="0" w:line="240" w:lineRule="auto"/>
              <w:rPr>
                <w:rFonts w:cs="Calibri"/>
                <w:b/>
                <w:color w:val="000000"/>
              </w:rPr>
            </w:pPr>
            <w:r w:rsidRPr="001511B7">
              <w:rPr>
                <w:rFonts w:cs="Calibri"/>
                <w:b/>
                <w:color w:val="000000"/>
              </w:rPr>
              <w:t xml:space="preserve">Date </w:t>
            </w:r>
          </w:p>
          <w:p w14:paraId="4F64587A" w14:textId="77777777" w:rsidR="00C11300" w:rsidRPr="001511B7" w:rsidRDefault="00C11300" w:rsidP="00CE5DD3">
            <w:pPr>
              <w:spacing w:after="0" w:line="240" w:lineRule="auto"/>
              <w:rPr>
                <w:rFonts w:cs="Calibri"/>
                <w:b/>
                <w:color w:val="000000"/>
              </w:rPr>
            </w:pPr>
            <w:r w:rsidRPr="001511B7">
              <w:rPr>
                <w:rFonts w:cs="Calibri"/>
                <w:b/>
                <w:color w:val="000000"/>
              </w:rPr>
              <w:t>and venue:</w:t>
            </w:r>
          </w:p>
        </w:tc>
        <w:tc>
          <w:tcPr>
            <w:tcW w:w="9180" w:type="dxa"/>
            <w:gridSpan w:val="2"/>
            <w:shd w:val="clear" w:color="auto" w:fill="auto"/>
          </w:tcPr>
          <w:p w14:paraId="57A313CA" w14:textId="01841EA8" w:rsidR="00294966" w:rsidRPr="001511B7" w:rsidRDefault="00544EC4" w:rsidP="00CE5DD3">
            <w:pPr>
              <w:spacing w:after="0" w:line="240" w:lineRule="auto"/>
              <w:rPr>
                <w:rFonts w:cs="Calibri"/>
                <w:b/>
              </w:rPr>
            </w:pPr>
            <w:r>
              <w:rPr>
                <w:rFonts w:cs="Calibri"/>
                <w:b/>
                <w:bCs/>
              </w:rPr>
              <w:t xml:space="preserve">Friday, </w:t>
            </w:r>
            <w:r w:rsidR="00601BCF" w:rsidRPr="00601BCF">
              <w:rPr>
                <w:rFonts w:cs="Calibri"/>
                <w:b/>
                <w:bCs/>
              </w:rPr>
              <w:t>12 March 2021, 4 to 6 p.m</w:t>
            </w:r>
            <w:r w:rsidR="00D60165" w:rsidRPr="001511B7">
              <w:rPr>
                <w:rFonts w:cs="Calibri"/>
                <w:b/>
                <w:bCs/>
              </w:rPr>
              <w:t>.</w:t>
            </w:r>
          </w:p>
          <w:p w14:paraId="263B1390" w14:textId="77777777" w:rsidR="004E42FC" w:rsidRPr="001511B7" w:rsidRDefault="003F7504" w:rsidP="00CE5DD3">
            <w:pPr>
              <w:spacing w:after="120" w:line="240" w:lineRule="auto"/>
              <w:jc w:val="both"/>
              <w:rPr>
                <w:rFonts w:cs="Calibri"/>
                <w:i/>
              </w:rPr>
            </w:pPr>
            <w:r w:rsidRPr="001511B7">
              <w:rPr>
                <w:rFonts w:cs="Calibri"/>
                <w:i/>
              </w:rPr>
              <w:t xml:space="preserve">(will be broadcast live and archived on </w:t>
            </w:r>
            <w:hyperlink r:id="rId11" w:history="1">
              <w:r w:rsidRPr="001511B7">
                <w:rPr>
                  <w:rStyle w:val="Hyperlink"/>
                  <w:rFonts w:cs="Calibri"/>
                  <w:i/>
                  <w:u w:val="none"/>
                </w:rPr>
                <w:t>http://webtv.un.org</w:t>
              </w:r>
            </w:hyperlink>
            <w:r w:rsidRPr="001511B7">
              <w:rPr>
                <w:rFonts w:cs="Calibri"/>
                <w:i/>
              </w:rPr>
              <w:t>)</w:t>
            </w:r>
          </w:p>
        </w:tc>
      </w:tr>
      <w:tr w:rsidR="00E023D6" w:rsidRPr="001511B7" w14:paraId="18AF8F4F" w14:textId="77777777" w:rsidTr="00411831">
        <w:trPr>
          <w:trHeight w:val="882"/>
          <w:jc w:val="center"/>
        </w:trPr>
        <w:tc>
          <w:tcPr>
            <w:tcW w:w="1452" w:type="dxa"/>
            <w:shd w:val="clear" w:color="auto" w:fill="auto"/>
          </w:tcPr>
          <w:p w14:paraId="5C41252A" w14:textId="77777777" w:rsidR="00E023D6" w:rsidRPr="001511B7" w:rsidRDefault="00E023D6" w:rsidP="00CE5DD3">
            <w:pPr>
              <w:spacing w:after="0" w:line="240" w:lineRule="auto"/>
              <w:rPr>
                <w:rFonts w:cs="Calibri"/>
                <w:b/>
                <w:color w:val="000000"/>
              </w:rPr>
            </w:pPr>
            <w:r w:rsidRPr="001511B7">
              <w:rPr>
                <w:rFonts w:cs="Calibri"/>
                <w:b/>
                <w:color w:val="000000"/>
              </w:rPr>
              <w:t xml:space="preserve">Objectives: </w:t>
            </w:r>
          </w:p>
        </w:tc>
        <w:tc>
          <w:tcPr>
            <w:tcW w:w="9180" w:type="dxa"/>
            <w:gridSpan w:val="2"/>
            <w:shd w:val="clear" w:color="auto" w:fill="auto"/>
          </w:tcPr>
          <w:p w14:paraId="4A3BA6CE" w14:textId="4F566940" w:rsidR="00EB128A" w:rsidRPr="001511B7" w:rsidRDefault="004E42FC" w:rsidP="00CE5DD3">
            <w:pPr>
              <w:spacing w:after="120" w:line="240" w:lineRule="auto"/>
              <w:jc w:val="both"/>
              <w:rPr>
                <w:rFonts w:cs="Calibri"/>
              </w:rPr>
            </w:pPr>
            <w:r w:rsidRPr="001511B7">
              <w:rPr>
                <w:rFonts w:cs="Calibri"/>
              </w:rPr>
              <w:t>T</w:t>
            </w:r>
            <w:r w:rsidR="00EC7674" w:rsidRPr="001511B7">
              <w:rPr>
                <w:rFonts w:cs="Calibri"/>
              </w:rPr>
              <w:t xml:space="preserve">he </w:t>
            </w:r>
            <w:r w:rsidR="00EA74E0" w:rsidRPr="001511B7">
              <w:rPr>
                <w:rFonts w:cs="Calibri"/>
              </w:rPr>
              <w:t>debate</w:t>
            </w:r>
            <w:r w:rsidR="00EC7674" w:rsidRPr="001511B7">
              <w:rPr>
                <w:rFonts w:cs="Calibri"/>
              </w:rPr>
              <w:t xml:space="preserve"> </w:t>
            </w:r>
            <w:r w:rsidR="00EB128A" w:rsidRPr="001511B7">
              <w:rPr>
                <w:rFonts w:cs="Calibri"/>
              </w:rPr>
              <w:t xml:space="preserve">will </w:t>
            </w:r>
            <w:r w:rsidR="00063DDA">
              <w:rPr>
                <w:rFonts w:cs="Calibri"/>
              </w:rPr>
              <w:t xml:space="preserve">be </w:t>
            </w:r>
            <w:r w:rsidR="00EC7674" w:rsidRPr="001511B7">
              <w:rPr>
                <w:rFonts w:cs="Calibri"/>
              </w:rPr>
              <w:t>aim</w:t>
            </w:r>
            <w:r w:rsidR="00063DDA">
              <w:rPr>
                <w:rFonts w:cs="Calibri"/>
              </w:rPr>
              <w:t>ed</w:t>
            </w:r>
            <w:r w:rsidR="00EC7674" w:rsidRPr="001511B7">
              <w:rPr>
                <w:rFonts w:cs="Calibri"/>
              </w:rPr>
              <w:t xml:space="preserve"> </w:t>
            </w:r>
            <w:r w:rsidR="00D27F3B" w:rsidRPr="001511B7">
              <w:rPr>
                <w:rFonts w:cs="Calibri"/>
              </w:rPr>
              <w:t>at</w:t>
            </w:r>
            <w:r w:rsidR="00EB128A" w:rsidRPr="001511B7">
              <w:rPr>
                <w:rFonts w:cs="Calibri"/>
              </w:rPr>
              <w:t>:</w:t>
            </w:r>
          </w:p>
          <w:p w14:paraId="6A8657CF" w14:textId="72A4B62C" w:rsidR="00672063" w:rsidRPr="00C40E2C" w:rsidRDefault="00A63998" w:rsidP="00CE5DD3">
            <w:pPr>
              <w:numPr>
                <w:ilvl w:val="0"/>
                <w:numId w:val="18"/>
              </w:numPr>
              <w:spacing w:after="120" w:line="240" w:lineRule="auto"/>
              <w:jc w:val="both"/>
              <w:rPr>
                <w:rFonts w:cs="Calibri"/>
                <w:iCs/>
                <w:lang w:val="en-US"/>
              </w:rPr>
            </w:pPr>
            <w:r>
              <w:rPr>
                <w:rFonts w:cs="Calibri"/>
                <w:iCs/>
                <w:lang w:val="en-US"/>
              </w:rPr>
              <w:t>Assessing t</w:t>
            </w:r>
            <w:r w:rsidR="00A00926">
              <w:rPr>
                <w:rFonts w:cs="Calibri"/>
                <w:iCs/>
              </w:rPr>
              <w:t xml:space="preserve">he </w:t>
            </w:r>
            <w:r w:rsidR="00C40E2C">
              <w:rPr>
                <w:rFonts w:cs="Calibri"/>
                <w:iCs/>
              </w:rPr>
              <w:t xml:space="preserve">situation of </w:t>
            </w:r>
            <w:r w:rsidR="00554C97">
              <w:rPr>
                <w:rFonts w:cs="Calibri"/>
                <w:iCs/>
              </w:rPr>
              <w:t xml:space="preserve">global </w:t>
            </w:r>
            <w:r w:rsidR="00C40E2C">
              <w:rPr>
                <w:rFonts w:cs="Calibri"/>
                <w:iCs/>
              </w:rPr>
              <w:t xml:space="preserve">youth and the </w:t>
            </w:r>
            <w:r w:rsidR="00235721">
              <w:rPr>
                <w:rFonts w:cs="Calibri"/>
                <w:iCs/>
              </w:rPr>
              <w:t>role of youth in combatting racial discrimination</w:t>
            </w:r>
            <w:r w:rsidR="009A3875">
              <w:rPr>
                <w:rFonts w:cs="Calibri"/>
                <w:iCs/>
              </w:rPr>
              <w:t xml:space="preserve"> and fostering dialogue and intergroup relations</w:t>
            </w:r>
            <w:r w:rsidR="00053C01">
              <w:rPr>
                <w:rFonts w:cs="Calibri"/>
                <w:iCs/>
              </w:rPr>
              <w:t>;</w:t>
            </w:r>
          </w:p>
          <w:p w14:paraId="544398EF" w14:textId="056B588E" w:rsidR="00235721" w:rsidRPr="00B1492A" w:rsidRDefault="00C40E2C" w:rsidP="00CE5DD3">
            <w:pPr>
              <w:numPr>
                <w:ilvl w:val="0"/>
                <w:numId w:val="18"/>
              </w:numPr>
              <w:spacing w:after="120" w:line="240" w:lineRule="auto"/>
              <w:jc w:val="both"/>
              <w:rPr>
                <w:rFonts w:cs="Calibri"/>
                <w:iCs/>
                <w:lang w:val="en-US"/>
              </w:rPr>
            </w:pPr>
            <w:r>
              <w:rPr>
                <w:rFonts w:cs="Calibri"/>
                <w:iCs/>
              </w:rPr>
              <w:t xml:space="preserve">Assessing the prevalence of </w:t>
            </w:r>
            <w:r w:rsidRPr="00C40E2C">
              <w:rPr>
                <w:rFonts w:cs="Calibri"/>
                <w:iCs/>
              </w:rPr>
              <w:t xml:space="preserve">intersecting forms of discrimination that </w:t>
            </w:r>
            <w:r>
              <w:rPr>
                <w:rFonts w:cs="Calibri"/>
                <w:iCs/>
              </w:rPr>
              <w:t>can a</w:t>
            </w:r>
            <w:r w:rsidRPr="00C40E2C">
              <w:rPr>
                <w:rFonts w:cs="Calibri"/>
                <w:iCs/>
              </w:rPr>
              <w:t xml:space="preserve">ffect </w:t>
            </w:r>
            <w:r>
              <w:rPr>
                <w:rFonts w:cs="Calibri"/>
                <w:iCs/>
              </w:rPr>
              <w:t xml:space="preserve">youth, including </w:t>
            </w:r>
            <w:r w:rsidRPr="00C40E2C">
              <w:rPr>
                <w:rFonts w:cs="Calibri"/>
                <w:iCs/>
              </w:rPr>
              <w:t>youth of African descent</w:t>
            </w:r>
            <w:r w:rsidR="00B1492A">
              <w:rPr>
                <w:rFonts w:cs="Calibri"/>
                <w:iCs/>
              </w:rPr>
              <w:t>;</w:t>
            </w:r>
          </w:p>
          <w:p w14:paraId="256B191F" w14:textId="2F1AD142" w:rsidR="00B1492A" w:rsidRPr="003F6DA8" w:rsidRDefault="00B1492A" w:rsidP="00CE5DD3">
            <w:pPr>
              <w:numPr>
                <w:ilvl w:val="0"/>
                <w:numId w:val="18"/>
              </w:numPr>
              <w:spacing w:after="120" w:line="240" w:lineRule="auto"/>
              <w:jc w:val="both"/>
              <w:rPr>
                <w:rFonts w:cs="Calibri"/>
                <w:iCs/>
                <w:lang w:val="en-US"/>
              </w:rPr>
            </w:pPr>
            <w:r>
              <w:rPr>
                <w:rFonts w:cs="Calibri"/>
                <w:iCs/>
                <w:lang w:val="en-US"/>
              </w:rPr>
              <w:t>Taking stock of the impact of the COVID-19 pandemic on the education, development and empowerment of youth and children, in particular of African descent, with a focus on racial discrimination.</w:t>
            </w:r>
          </w:p>
        </w:tc>
      </w:tr>
      <w:tr w:rsidR="004E42FC" w:rsidRPr="001511B7" w14:paraId="73A96321" w14:textId="77777777" w:rsidTr="00411831">
        <w:trPr>
          <w:trHeight w:val="70"/>
          <w:jc w:val="center"/>
        </w:trPr>
        <w:tc>
          <w:tcPr>
            <w:tcW w:w="1452" w:type="dxa"/>
            <w:shd w:val="clear" w:color="auto" w:fill="auto"/>
          </w:tcPr>
          <w:p w14:paraId="22198365" w14:textId="77777777" w:rsidR="004E42FC" w:rsidRPr="001511B7" w:rsidRDefault="004E42FC" w:rsidP="00CE5DD3">
            <w:pPr>
              <w:spacing w:after="0" w:line="240" w:lineRule="auto"/>
              <w:rPr>
                <w:rFonts w:cs="Calibri"/>
                <w:b/>
                <w:color w:val="000000"/>
              </w:rPr>
            </w:pPr>
            <w:r w:rsidRPr="001511B7">
              <w:rPr>
                <w:rFonts w:cs="Calibri"/>
                <w:b/>
                <w:color w:val="000000"/>
              </w:rPr>
              <w:t>Chair:</w:t>
            </w:r>
          </w:p>
        </w:tc>
        <w:tc>
          <w:tcPr>
            <w:tcW w:w="9180" w:type="dxa"/>
            <w:gridSpan w:val="2"/>
            <w:shd w:val="clear" w:color="auto" w:fill="auto"/>
          </w:tcPr>
          <w:p w14:paraId="47D28E49" w14:textId="4637D7B9" w:rsidR="004E42FC" w:rsidRPr="001511B7" w:rsidRDefault="00601BCF" w:rsidP="001354B2">
            <w:pPr>
              <w:spacing w:after="120" w:line="240" w:lineRule="auto"/>
              <w:jc w:val="both"/>
              <w:rPr>
                <w:rFonts w:cs="Calibri"/>
                <w:lang w:val="en-US"/>
              </w:rPr>
            </w:pPr>
            <w:r w:rsidRPr="00601BCF">
              <w:rPr>
                <w:rFonts w:cs="Calibri"/>
                <w:b/>
              </w:rPr>
              <w:t xml:space="preserve">H.E. Ms. </w:t>
            </w:r>
            <w:proofErr w:type="spellStart"/>
            <w:r w:rsidRPr="00601BCF">
              <w:rPr>
                <w:rFonts w:cs="Calibri"/>
                <w:b/>
              </w:rPr>
              <w:t>Nazhat</w:t>
            </w:r>
            <w:proofErr w:type="spellEnd"/>
            <w:r w:rsidRPr="00601BCF">
              <w:rPr>
                <w:rFonts w:cs="Calibri"/>
                <w:b/>
              </w:rPr>
              <w:t xml:space="preserve"> </w:t>
            </w:r>
            <w:proofErr w:type="spellStart"/>
            <w:r w:rsidRPr="00601BCF">
              <w:rPr>
                <w:rFonts w:cs="Calibri"/>
                <w:b/>
              </w:rPr>
              <w:t>Shameem</w:t>
            </w:r>
            <w:proofErr w:type="spellEnd"/>
            <w:r w:rsidRPr="00601BCF">
              <w:rPr>
                <w:rFonts w:cs="Calibri"/>
                <w:b/>
              </w:rPr>
              <w:t xml:space="preserve"> Khan</w:t>
            </w:r>
            <w:r w:rsidRPr="00C64330">
              <w:rPr>
                <w:rFonts w:cs="Calibri"/>
              </w:rPr>
              <w:t xml:space="preserve">, </w:t>
            </w:r>
            <w:r w:rsidRPr="00601BCF">
              <w:rPr>
                <w:rFonts w:cs="Calibri"/>
              </w:rPr>
              <w:t>Presid</w:t>
            </w:r>
            <w:r w:rsidR="001354B2">
              <w:rPr>
                <w:rFonts w:cs="Calibri"/>
              </w:rPr>
              <w:t>ent of the Human Rights Council</w:t>
            </w:r>
          </w:p>
        </w:tc>
      </w:tr>
      <w:tr w:rsidR="00FB7FF2" w:rsidRPr="001511B7" w14:paraId="70668859" w14:textId="77777777" w:rsidTr="00411831">
        <w:trPr>
          <w:trHeight w:val="568"/>
          <w:jc w:val="center"/>
        </w:trPr>
        <w:tc>
          <w:tcPr>
            <w:tcW w:w="1452" w:type="dxa"/>
            <w:shd w:val="clear" w:color="auto" w:fill="auto"/>
          </w:tcPr>
          <w:p w14:paraId="444CD64F" w14:textId="77777777" w:rsidR="003B2EF1" w:rsidRPr="001511B7" w:rsidRDefault="00FB7FF2" w:rsidP="00CE5DD3">
            <w:pPr>
              <w:spacing w:after="0" w:line="240" w:lineRule="auto"/>
              <w:rPr>
                <w:rFonts w:cs="Calibri"/>
                <w:b/>
                <w:color w:val="000000"/>
              </w:rPr>
            </w:pPr>
            <w:r w:rsidRPr="001511B7">
              <w:rPr>
                <w:rFonts w:cs="Calibri"/>
                <w:b/>
                <w:color w:val="000000"/>
              </w:rPr>
              <w:t xml:space="preserve">Opening </w:t>
            </w:r>
          </w:p>
          <w:p w14:paraId="52C66F23" w14:textId="68777D27" w:rsidR="00FB7FF2" w:rsidRPr="001511B7" w:rsidRDefault="00FB7FF2" w:rsidP="00CE5DD3">
            <w:pPr>
              <w:spacing w:after="0" w:line="240" w:lineRule="auto"/>
              <w:rPr>
                <w:rFonts w:cs="Calibri"/>
                <w:b/>
                <w:color w:val="000000"/>
              </w:rPr>
            </w:pPr>
            <w:r w:rsidRPr="001511B7">
              <w:rPr>
                <w:rFonts w:cs="Calibri"/>
                <w:b/>
                <w:color w:val="000000"/>
              </w:rPr>
              <w:t xml:space="preserve">statement: </w:t>
            </w:r>
          </w:p>
        </w:tc>
        <w:tc>
          <w:tcPr>
            <w:tcW w:w="9180" w:type="dxa"/>
            <w:gridSpan w:val="2"/>
            <w:shd w:val="clear" w:color="auto" w:fill="auto"/>
          </w:tcPr>
          <w:p w14:paraId="21A274C6" w14:textId="755CE1EB" w:rsidR="002F4C57" w:rsidRPr="001511B7" w:rsidRDefault="00C64330" w:rsidP="005D1201">
            <w:pPr>
              <w:spacing w:after="120" w:line="240" w:lineRule="auto"/>
              <w:rPr>
                <w:rFonts w:cs="Calibri"/>
              </w:rPr>
            </w:pPr>
            <w:r w:rsidRPr="00544EC4">
              <w:rPr>
                <w:b/>
                <w:color w:val="000000"/>
              </w:rPr>
              <w:t xml:space="preserve">Ms. </w:t>
            </w:r>
            <w:r w:rsidRPr="00346F45">
              <w:rPr>
                <w:b/>
                <w:color w:val="000000"/>
              </w:rPr>
              <w:t>Nada Al-</w:t>
            </w:r>
            <w:proofErr w:type="spellStart"/>
            <w:r w:rsidRPr="00346F45">
              <w:rPr>
                <w:b/>
                <w:color w:val="000000"/>
              </w:rPr>
              <w:t>Nashif</w:t>
            </w:r>
            <w:proofErr w:type="spellEnd"/>
            <w:r>
              <w:rPr>
                <w:color w:val="000000"/>
              </w:rPr>
              <w:t xml:space="preserve">, </w:t>
            </w:r>
            <w:r w:rsidRPr="00346F45">
              <w:rPr>
                <w:color w:val="000000"/>
              </w:rPr>
              <w:t>United Nations Deputy High Commissioner for Human Rights</w:t>
            </w:r>
          </w:p>
        </w:tc>
      </w:tr>
      <w:tr w:rsidR="00FB7FF2" w:rsidRPr="000923B1" w14:paraId="6AF0A1DC" w14:textId="77777777" w:rsidTr="00411831">
        <w:trPr>
          <w:trHeight w:val="59"/>
          <w:jc w:val="center"/>
        </w:trPr>
        <w:tc>
          <w:tcPr>
            <w:tcW w:w="1452" w:type="dxa"/>
            <w:shd w:val="clear" w:color="auto" w:fill="auto"/>
          </w:tcPr>
          <w:p w14:paraId="2889B5EB" w14:textId="77777777" w:rsidR="00FB7FF2" w:rsidRPr="00913C04" w:rsidRDefault="00FB7FF2" w:rsidP="00CE5DD3">
            <w:pPr>
              <w:spacing w:after="0" w:line="240" w:lineRule="auto"/>
              <w:rPr>
                <w:rFonts w:cs="Calibri"/>
                <w:b/>
                <w:color w:val="000000"/>
              </w:rPr>
            </w:pPr>
            <w:r w:rsidRPr="00913C04">
              <w:rPr>
                <w:rFonts w:cs="Calibri"/>
                <w:b/>
                <w:color w:val="000000"/>
              </w:rPr>
              <w:t>Panellists:</w:t>
            </w:r>
          </w:p>
        </w:tc>
        <w:tc>
          <w:tcPr>
            <w:tcW w:w="9180" w:type="dxa"/>
            <w:gridSpan w:val="2"/>
            <w:shd w:val="clear" w:color="auto" w:fill="auto"/>
          </w:tcPr>
          <w:p w14:paraId="572BCCB9" w14:textId="34EE02A4" w:rsidR="00C81085" w:rsidRPr="00EB5C2D" w:rsidRDefault="00105A99" w:rsidP="00107630">
            <w:pPr>
              <w:numPr>
                <w:ilvl w:val="0"/>
                <w:numId w:val="18"/>
              </w:numPr>
              <w:spacing w:after="120" w:line="240" w:lineRule="auto"/>
              <w:rPr>
                <w:rFonts w:eastAsia="MS Mincho" w:cs="Calibri"/>
                <w:b/>
                <w:lang w:eastAsia="ja-JP"/>
              </w:rPr>
            </w:pPr>
            <w:proofErr w:type="spellStart"/>
            <w:r>
              <w:rPr>
                <w:rFonts w:eastAsia="MS Mincho" w:cs="Calibri"/>
                <w:b/>
                <w:lang w:eastAsia="ja-JP"/>
              </w:rPr>
              <w:t>Prof.</w:t>
            </w:r>
            <w:proofErr w:type="spellEnd"/>
            <w:r w:rsidR="00EB5C2D" w:rsidRPr="00EB5C2D">
              <w:rPr>
                <w:rFonts w:eastAsia="MS Mincho" w:cs="Calibri"/>
                <w:b/>
                <w:lang w:eastAsia="ja-JP"/>
              </w:rPr>
              <w:t xml:space="preserve"> </w:t>
            </w:r>
            <w:proofErr w:type="spellStart"/>
            <w:r w:rsidR="00B6027A">
              <w:rPr>
                <w:rFonts w:eastAsia="MS Mincho" w:cs="Calibri"/>
                <w:b/>
                <w:lang w:eastAsia="ja-JP"/>
              </w:rPr>
              <w:t>Rozena</w:t>
            </w:r>
            <w:proofErr w:type="spellEnd"/>
            <w:r w:rsidR="00B6027A">
              <w:rPr>
                <w:rFonts w:eastAsia="MS Mincho" w:cs="Calibri"/>
                <w:b/>
                <w:lang w:eastAsia="ja-JP"/>
              </w:rPr>
              <w:t xml:space="preserve"> </w:t>
            </w:r>
            <w:proofErr w:type="spellStart"/>
            <w:r w:rsidR="00B6027A">
              <w:rPr>
                <w:rFonts w:eastAsia="MS Mincho" w:cs="Calibri"/>
                <w:b/>
                <w:lang w:eastAsia="ja-JP"/>
              </w:rPr>
              <w:t>Maart</w:t>
            </w:r>
            <w:proofErr w:type="spellEnd"/>
            <w:r w:rsidR="00B6027A" w:rsidRPr="00107630">
              <w:rPr>
                <w:rFonts w:eastAsia="MS Mincho" w:cs="Calibri"/>
                <w:lang w:eastAsia="ja-JP"/>
              </w:rPr>
              <w:t>,</w:t>
            </w:r>
            <w:r w:rsidR="00B6027A">
              <w:rPr>
                <w:rFonts w:eastAsia="MS Mincho" w:cs="Calibri"/>
                <w:b/>
                <w:lang w:eastAsia="ja-JP"/>
              </w:rPr>
              <w:t xml:space="preserve"> </w:t>
            </w:r>
            <w:r w:rsidR="00B6027A" w:rsidRPr="00B6027A">
              <w:rPr>
                <w:rFonts w:eastAsia="MS Mincho" w:cs="Calibri"/>
                <w:bCs/>
                <w:lang w:eastAsia="ja-JP"/>
              </w:rPr>
              <w:t xml:space="preserve">Director of the Centre for Critical Research on Race and Identity at the University of </w:t>
            </w:r>
            <w:r w:rsidR="00107630" w:rsidRPr="00107630">
              <w:rPr>
                <w:rFonts w:eastAsia="MS Mincho" w:cs="Calibri"/>
                <w:bCs/>
                <w:lang w:eastAsia="ja-JP"/>
              </w:rPr>
              <w:t>KwaZulu-Natal</w:t>
            </w:r>
            <w:r w:rsidR="00B6027A" w:rsidRPr="00B6027A">
              <w:rPr>
                <w:rFonts w:eastAsia="MS Mincho" w:cs="Calibri"/>
                <w:b/>
                <w:lang w:eastAsia="ja-JP"/>
              </w:rPr>
              <w:t xml:space="preserve"> </w:t>
            </w:r>
            <w:r w:rsidR="00411831">
              <w:rPr>
                <w:rFonts w:eastAsia="MS Mincho" w:cs="Calibri"/>
                <w:lang w:eastAsia="ja-JP"/>
              </w:rPr>
              <w:t>(</w:t>
            </w:r>
            <w:r w:rsidR="008C715A">
              <w:rPr>
                <w:rFonts w:eastAsia="MS Mincho" w:cs="Calibri"/>
                <w:bCs/>
                <w:lang w:eastAsia="ja-JP"/>
              </w:rPr>
              <w:t>South Africa</w:t>
            </w:r>
            <w:r w:rsidR="00411831">
              <w:rPr>
                <w:rFonts w:eastAsia="MS Mincho" w:cs="Calibri"/>
                <w:bCs/>
                <w:lang w:eastAsia="ja-JP"/>
              </w:rPr>
              <w:t>)</w:t>
            </w:r>
            <w:r w:rsidR="008C740F">
              <w:rPr>
                <w:rFonts w:eastAsia="MS Mincho" w:cs="Calibri"/>
                <w:bCs/>
                <w:lang w:eastAsia="ja-JP"/>
              </w:rPr>
              <w:t xml:space="preserve"> </w:t>
            </w:r>
            <w:r w:rsidR="009F37F4">
              <w:rPr>
                <w:rFonts w:eastAsia="MS Mincho" w:cs="Calibri"/>
                <w:i/>
                <w:lang w:eastAsia="ja-JP"/>
              </w:rPr>
              <w:t>(video message)</w:t>
            </w:r>
          </w:p>
          <w:p w14:paraId="4AABE2B9" w14:textId="4B181837" w:rsidR="00DD1A8C" w:rsidRPr="00EB5C2D" w:rsidRDefault="00C81085" w:rsidP="00CE5DD3">
            <w:pPr>
              <w:numPr>
                <w:ilvl w:val="0"/>
                <w:numId w:val="18"/>
              </w:numPr>
              <w:spacing w:after="120" w:line="240" w:lineRule="auto"/>
              <w:rPr>
                <w:rFonts w:eastAsia="MS Mincho" w:cs="Calibri"/>
                <w:b/>
                <w:lang w:eastAsia="ja-JP"/>
              </w:rPr>
            </w:pPr>
            <w:r w:rsidRPr="00C81085">
              <w:rPr>
                <w:rFonts w:eastAsia="MS Mincho" w:cs="Calibri"/>
                <w:b/>
                <w:bCs/>
                <w:lang w:eastAsia="ja-JP"/>
              </w:rPr>
              <w:t>Ms.</w:t>
            </w:r>
            <w:r w:rsidRPr="00C81085">
              <w:rPr>
                <w:rFonts w:eastAsia="MS Mincho" w:cs="Calibri"/>
                <w:lang w:eastAsia="ja-JP"/>
              </w:rPr>
              <w:t xml:space="preserve"> </w:t>
            </w:r>
            <w:r w:rsidR="00D544F2">
              <w:rPr>
                <w:rFonts w:eastAsia="MS Mincho" w:cs="Calibri"/>
                <w:b/>
                <w:bCs/>
                <w:lang w:eastAsia="ja-JP"/>
              </w:rPr>
              <w:t xml:space="preserve">Alicia </w:t>
            </w:r>
            <w:proofErr w:type="spellStart"/>
            <w:r w:rsidR="00D544F2">
              <w:rPr>
                <w:rFonts w:eastAsia="MS Mincho" w:cs="Calibri"/>
                <w:b/>
                <w:bCs/>
                <w:lang w:eastAsia="ja-JP"/>
              </w:rPr>
              <w:t>Quevedos</w:t>
            </w:r>
            <w:proofErr w:type="spellEnd"/>
            <w:r w:rsidR="00D544F2">
              <w:rPr>
                <w:rFonts w:eastAsia="MS Mincho" w:cs="Calibri"/>
                <w:b/>
                <w:bCs/>
                <w:lang w:eastAsia="ja-JP"/>
              </w:rPr>
              <w:t xml:space="preserve"> Canales</w:t>
            </w:r>
            <w:r w:rsidR="00411831">
              <w:rPr>
                <w:rFonts w:eastAsia="MS Mincho" w:cs="Calibri"/>
                <w:lang w:eastAsia="ja-JP"/>
              </w:rPr>
              <w:t xml:space="preserve">, </w:t>
            </w:r>
            <w:r w:rsidR="00D544F2" w:rsidRPr="00D544F2">
              <w:rPr>
                <w:rFonts w:eastAsia="MS Mincho" w:cs="Calibri"/>
                <w:lang w:eastAsia="ja-JP"/>
              </w:rPr>
              <w:t xml:space="preserve">Specialist </w:t>
            </w:r>
            <w:r w:rsidR="000923B1">
              <w:rPr>
                <w:rFonts w:eastAsia="MS Mincho" w:cs="Calibri"/>
                <w:lang w:eastAsia="ja-JP"/>
              </w:rPr>
              <w:t xml:space="preserve">on </w:t>
            </w:r>
            <w:r w:rsidR="00D544F2" w:rsidRPr="00D544F2">
              <w:rPr>
                <w:rFonts w:eastAsia="MS Mincho" w:cs="Calibri"/>
                <w:lang w:eastAsia="ja-JP"/>
              </w:rPr>
              <w:t>Afro</w:t>
            </w:r>
            <w:r w:rsidR="000A00F3">
              <w:rPr>
                <w:rFonts w:eastAsia="MS Mincho" w:cs="Calibri"/>
                <w:lang w:eastAsia="ja-JP"/>
              </w:rPr>
              <w:t>-P</w:t>
            </w:r>
            <w:r w:rsidR="00D544F2" w:rsidRPr="00D544F2">
              <w:rPr>
                <w:rFonts w:eastAsia="MS Mincho" w:cs="Calibri"/>
                <w:lang w:eastAsia="ja-JP"/>
              </w:rPr>
              <w:t>eruvian Policies</w:t>
            </w:r>
            <w:r w:rsidR="00D544F2">
              <w:rPr>
                <w:rFonts w:eastAsia="MS Mincho" w:cs="Calibri"/>
                <w:lang w:eastAsia="ja-JP"/>
              </w:rPr>
              <w:t>, Ministry of Culture</w:t>
            </w:r>
            <w:r w:rsidR="00411831">
              <w:rPr>
                <w:rFonts w:eastAsia="MS Mincho" w:cs="Calibri"/>
                <w:lang w:eastAsia="ja-JP"/>
              </w:rPr>
              <w:t xml:space="preserve"> (</w:t>
            </w:r>
            <w:r w:rsidR="00D544F2">
              <w:rPr>
                <w:rFonts w:eastAsia="MS Mincho" w:cs="Calibri"/>
                <w:lang w:eastAsia="ja-JP"/>
              </w:rPr>
              <w:t>Peru</w:t>
            </w:r>
            <w:r w:rsidR="00411831">
              <w:rPr>
                <w:rFonts w:eastAsia="MS Mincho" w:cs="Calibri"/>
                <w:lang w:eastAsia="ja-JP"/>
              </w:rPr>
              <w:t>)</w:t>
            </w:r>
            <w:r w:rsidR="008C740F">
              <w:rPr>
                <w:rFonts w:eastAsia="MS Mincho" w:cs="Calibri"/>
                <w:lang w:eastAsia="ja-JP"/>
              </w:rPr>
              <w:t xml:space="preserve"> </w:t>
            </w:r>
            <w:r w:rsidR="008C740F">
              <w:rPr>
                <w:rFonts w:eastAsia="MS Mincho" w:cs="Calibri"/>
                <w:i/>
                <w:lang w:eastAsia="ja-JP"/>
              </w:rPr>
              <w:t>(video message)</w:t>
            </w:r>
            <w:bookmarkStart w:id="0" w:name="_GoBack"/>
            <w:bookmarkEnd w:id="0"/>
          </w:p>
          <w:p w14:paraId="38ABABFE" w14:textId="672FAE65" w:rsidR="00D544F2" w:rsidRPr="00EB5C2D" w:rsidRDefault="00E339F7" w:rsidP="00B911BD">
            <w:pPr>
              <w:numPr>
                <w:ilvl w:val="0"/>
                <w:numId w:val="18"/>
              </w:numPr>
              <w:spacing w:after="120" w:line="240" w:lineRule="auto"/>
            </w:pPr>
            <w:r w:rsidRPr="00E339F7">
              <w:rPr>
                <w:rFonts w:eastAsia="MS Mincho" w:cs="Calibri"/>
                <w:b/>
                <w:bCs/>
                <w:lang w:eastAsia="ja-JP"/>
              </w:rPr>
              <w:t xml:space="preserve">Mr. </w:t>
            </w:r>
            <w:proofErr w:type="spellStart"/>
            <w:r w:rsidRPr="00E339F7">
              <w:rPr>
                <w:rFonts w:eastAsia="MS Mincho" w:cs="Calibri"/>
                <w:b/>
                <w:bCs/>
                <w:lang w:eastAsia="ja-JP"/>
              </w:rPr>
              <w:t>Pradip</w:t>
            </w:r>
            <w:proofErr w:type="spellEnd"/>
            <w:r w:rsidRPr="00E339F7">
              <w:rPr>
                <w:rFonts w:eastAsia="MS Mincho" w:cs="Calibri"/>
                <w:b/>
                <w:bCs/>
                <w:lang w:eastAsia="ja-JP"/>
              </w:rPr>
              <w:t xml:space="preserve"> </w:t>
            </w:r>
            <w:proofErr w:type="spellStart"/>
            <w:r>
              <w:rPr>
                <w:rFonts w:eastAsia="MS Mincho" w:cs="Calibri"/>
                <w:b/>
                <w:bCs/>
                <w:lang w:eastAsia="ja-JP"/>
              </w:rPr>
              <w:t>P</w:t>
            </w:r>
            <w:r w:rsidRPr="00E339F7">
              <w:rPr>
                <w:rFonts w:eastAsia="MS Mincho" w:cs="Calibri"/>
                <w:b/>
                <w:bCs/>
                <w:lang w:eastAsia="ja-JP"/>
              </w:rPr>
              <w:t>ariyar</w:t>
            </w:r>
            <w:proofErr w:type="spellEnd"/>
            <w:r w:rsidRPr="000923B1">
              <w:rPr>
                <w:rFonts w:eastAsia="MS Mincho" w:cs="Calibri"/>
                <w:bCs/>
                <w:lang w:eastAsia="ja-JP"/>
              </w:rPr>
              <w:t>,</w:t>
            </w:r>
            <w:r w:rsidRPr="00E339F7">
              <w:rPr>
                <w:rFonts w:eastAsia="MS Mincho" w:cs="Calibri"/>
                <w:b/>
                <w:bCs/>
                <w:lang w:eastAsia="ja-JP"/>
              </w:rPr>
              <w:t xml:space="preserve"> </w:t>
            </w:r>
            <w:r w:rsidR="00242C65">
              <w:rPr>
                <w:rFonts w:cs="Calibri"/>
                <w:color w:val="212121"/>
                <w:shd w:val="clear" w:color="auto" w:fill="FFFFFF"/>
              </w:rPr>
              <w:t xml:space="preserve">Executive Chairperson of </w:t>
            </w:r>
            <w:r w:rsidR="003654EB">
              <w:rPr>
                <w:rFonts w:cs="Calibri"/>
                <w:color w:val="212121"/>
                <w:shd w:val="clear" w:color="auto" w:fill="FFFFFF"/>
              </w:rPr>
              <w:t xml:space="preserve">the </w:t>
            </w:r>
            <w:proofErr w:type="spellStart"/>
            <w:r w:rsidR="00242C65">
              <w:rPr>
                <w:rFonts w:cs="Calibri"/>
                <w:color w:val="212121"/>
                <w:shd w:val="clear" w:color="auto" w:fill="FFFFFF"/>
              </w:rPr>
              <w:t>Samata</w:t>
            </w:r>
            <w:proofErr w:type="spellEnd"/>
            <w:r w:rsidR="00242C65">
              <w:rPr>
                <w:rFonts w:cs="Calibri"/>
                <w:color w:val="212121"/>
                <w:shd w:val="clear" w:color="auto" w:fill="FFFFFF"/>
              </w:rPr>
              <w:t xml:space="preserve"> Foundation</w:t>
            </w:r>
            <w:r w:rsidR="000B2FEF">
              <w:rPr>
                <w:rFonts w:cs="Calibri"/>
                <w:color w:val="212121"/>
                <w:shd w:val="clear" w:color="auto" w:fill="FFFFFF"/>
              </w:rPr>
              <w:t xml:space="preserve"> and</w:t>
            </w:r>
            <w:r w:rsidR="00242C65">
              <w:rPr>
                <w:rFonts w:cs="Calibri"/>
                <w:color w:val="212121"/>
                <w:shd w:val="clear" w:color="auto" w:fill="FFFFFF"/>
              </w:rPr>
              <w:t xml:space="preserve"> </w:t>
            </w:r>
            <w:r w:rsidRPr="00E339F7">
              <w:rPr>
                <w:rFonts w:eastAsia="MS Mincho" w:cs="Calibri"/>
                <w:lang w:eastAsia="ja-JP"/>
              </w:rPr>
              <w:t xml:space="preserve">Young Global Leader at </w:t>
            </w:r>
            <w:r w:rsidR="00C1411B">
              <w:rPr>
                <w:rFonts w:eastAsia="MS Mincho" w:cs="Calibri"/>
                <w:lang w:eastAsia="ja-JP"/>
              </w:rPr>
              <w:t xml:space="preserve">the </w:t>
            </w:r>
            <w:r w:rsidRPr="00E339F7">
              <w:rPr>
                <w:rFonts w:eastAsia="MS Mincho" w:cs="Calibri"/>
                <w:lang w:eastAsia="ja-JP"/>
              </w:rPr>
              <w:t>World Economic Forum</w:t>
            </w:r>
            <w:r>
              <w:rPr>
                <w:rFonts w:eastAsia="MS Mincho" w:cs="Calibri"/>
                <w:lang w:eastAsia="ja-JP"/>
              </w:rPr>
              <w:t xml:space="preserve"> (Nepal)</w:t>
            </w:r>
            <w:r w:rsidR="008C740F">
              <w:rPr>
                <w:rFonts w:eastAsia="MS Mincho" w:cs="Calibri"/>
                <w:lang w:eastAsia="ja-JP"/>
              </w:rPr>
              <w:t xml:space="preserve"> </w:t>
            </w:r>
            <w:r w:rsidR="008C740F">
              <w:rPr>
                <w:rFonts w:eastAsia="MS Mincho" w:cs="Calibri"/>
                <w:i/>
                <w:lang w:eastAsia="ja-JP"/>
              </w:rPr>
              <w:t>(video message)</w:t>
            </w:r>
          </w:p>
          <w:p w14:paraId="50FBE798" w14:textId="346C83D9" w:rsidR="00700D4B" w:rsidRPr="00CD6125" w:rsidRDefault="001B78D9" w:rsidP="001B78D9">
            <w:pPr>
              <w:numPr>
                <w:ilvl w:val="0"/>
                <w:numId w:val="18"/>
              </w:numPr>
              <w:spacing w:after="120" w:line="240" w:lineRule="auto"/>
              <w:rPr>
                <w:rFonts w:eastAsia="MS Mincho" w:cs="Calibri"/>
                <w:b/>
                <w:lang w:eastAsia="ja-JP"/>
              </w:rPr>
            </w:pPr>
            <w:r w:rsidRPr="001B78D9">
              <w:rPr>
                <w:rFonts w:eastAsia="MS Mincho" w:cs="Calibri"/>
                <w:b/>
                <w:bCs/>
                <w:lang w:eastAsia="ja-JP"/>
              </w:rPr>
              <w:t>Ms. Marie-Sarah Seeberger</w:t>
            </w:r>
            <w:r w:rsidRPr="001B78D9">
              <w:rPr>
                <w:rFonts w:eastAsia="MS Mincho" w:cs="Calibri"/>
                <w:bCs/>
                <w:lang w:eastAsia="ja-JP"/>
              </w:rPr>
              <w:t>, </w:t>
            </w:r>
            <w:r>
              <w:rPr>
                <w:rFonts w:eastAsia="MS Mincho" w:cs="Calibri"/>
                <w:bCs/>
                <w:lang w:eastAsia="ja-JP"/>
              </w:rPr>
              <w:t>M</w:t>
            </w:r>
            <w:r w:rsidRPr="001B78D9">
              <w:rPr>
                <w:rFonts w:eastAsia="MS Mincho" w:cs="Calibri"/>
                <w:bCs/>
                <w:lang w:eastAsia="ja-JP"/>
              </w:rPr>
              <w:t>ember of the World Jewish Congress Jewish Diplomatic Corps (France)</w:t>
            </w:r>
            <w:r w:rsidR="008C740F">
              <w:rPr>
                <w:rFonts w:eastAsia="MS Mincho" w:cs="Calibri"/>
                <w:bCs/>
                <w:lang w:eastAsia="ja-JP"/>
              </w:rPr>
              <w:t xml:space="preserve"> </w:t>
            </w:r>
            <w:r w:rsidR="008C740F">
              <w:rPr>
                <w:rFonts w:eastAsia="MS Mincho" w:cs="Calibri"/>
                <w:bCs/>
                <w:i/>
                <w:lang w:eastAsia="ja-JP"/>
              </w:rPr>
              <w:t>(video message)</w:t>
            </w:r>
          </w:p>
        </w:tc>
      </w:tr>
      <w:tr w:rsidR="00FB7FF2" w:rsidRPr="001511B7" w14:paraId="3E6ABAC5" w14:textId="77777777" w:rsidTr="00411831">
        <w:trPr>
          <w:trHeight w:val="387"/>
          <w:jc w:val="center"/>
        </w:trPr>
        <w:tc>
          <w:tcPr>
            <w:tcW w:w="1452" w:type="dxa"/>
            <w:shd w:val="clear" w:color="auto" w:fill="auto"/>
          </w:tcPr>
          <w:p w14:paraId="2C7E677D" w14:textId="3AB69342" w:rsidR="00FB7FF2" w:rsidRPr="001511B7" w:rsidRDefault="00836087" w:rsidP="00CE5DD3">
            <w:pPr>
              <w:spacing w:after="120" w:line="240" w:lineRule="auto"/>
              <w:rPr>
                <w:rFonts w:cs="Calibri"/>
                <w:b/>
                <w:color w:val="000000"/>
              </w:rPr>
            </w:pPr>
            <w:r>
              <w:rPr>
                <w:rFonts w:cs="Calibri"/>
                <w:b/>
                <w:color w:val="000000"/>
              </w:rPr>
              <w:t>Outcome:</w:t>
            </w:r>
          </w:p>
        </w:tc>
        <w:tc>
          <w:tcPr>
            <w:tcW w:w="9180" w:type="dxa"/>
            <w:gridSpan w:val="2"/>
            <w:shd w:val="clear" w:color="auto" w:fill="auto"/>
          </w:tcPr>
          <w:p w14:paraId="22E25B1B" w14:textId="77777777" w:rsidR="00CC218B" w:rsidRPr="008968D6" w:rsidRDefault="00CC218B" w:rsidP="00CE5DD3">
            <w:pPr>
              <w:spacing w:after="120" w:line="240" w:lineRule="auto"/>
              <w:rPr>
                <w:bCs/>
              </w:rPr>
            </w:pPr>
            <w:r w:rsidRPr="008968D6">
              <w:rPr>
                <w:bCs/>
              </w:rPr>
              <w:t>The panel discussion will contribute to the following outcomes:</w:t>
            </w:r>
          </w:p>
          <w:p w14:paraId="60CDDDDE" w14:textId="23877534" w:rsidR="00CC218B" w:rsidRPr="008968D6" w:rsidRDefault="00CC218B" w:rsidP="00CE5DD3">
            <w:pPr>
              <w:numPr>
                <w:ilvl w:val="0"/>
                <w:numId w:val="21"/>
              </w:numPr>
              <w:spacing w:after="120" w:line="240" w:lineRule="auto"/>
              <w:rPr>
                <w:bCs/>
              </w:rPr>
            </w:pPr>
            <w:r w:rsidRPr="008968D6">
              <w:rPr>
                <w:bCs/>
              </w:rPr>
              <w:t>Increased understanding of achievements and challenges in the fight against racism, racial discrimination, xenophobia and related intolerance</w:t>
            </w:r>
            <w:r>
              <w:rPr>
                <w:bCs/>
              </w:rPr>
              <w:t>, in particular concerning youth</w:t>
            </w:r>
            <w:r w:rsidRPr="008968D6">
              <w:rPr>
                <w:bCs/>
              </w:rPr>
              <w:t>;</w:t>
            </w:r>
          </w:p>
          <w:p w14:paraId="54C57D4A" w14:textId="7C1D3815" w:rsidR="00CC218B" w:rsidRPr="008968D6" w:rsidRDefault="00CC218B" w:rsidP="00CE5DD3">
            <w:pPr>
              <w:numPr>
                <w:ilvl w:val="0"/>
                <w:numId w:val="21"/>
              </w:numPr>
              <w:spacing w:after="120" w:line="240" w:lineRule="auto"/>
              <w:rPr>
                <w:bCs/>
              </w:rPr>
            </w:pPr>
            <w:r w:rsidRPr="008968D6">
              <w:rPr>
                <w:bCs/>
              </w:rPr>
              <w:t xml:space="preserve">Enhanced collaboration among </w:t>
            </w:r>
            <w:r>
              <w:rPr>
                <w:bCs/>
              </w:rPr>
              <w:t xml:space="preserve">stakeholders, including youth and </w:t>
            </w:r>
            <w:r w:rsidRPr="008968D6">
              <w:rPr>
                <w:bCs/>
              </w:rPr>
              <w:t>United Nations entities;</w:t>
            </w:r>
          </w:p>
          <w:p w14:paraId="0854F5EA" w14:textId="544C0080" w:rsidR="00FB7FF2" w:rsidRPr="00096A40" w:rsidRDefault="00CC218B" w:rsidP="00CE5DD3">
            <w:pPr>
              <w:numPr>
                <w:ilvl w:val="0"/>
                <w:numId w:val="21"/>
              </w:numPr>
              <w:spacing w:after="120" w:line="240" w:lineRule="auto"/>
              <w:ind w:left="357" w:hanging="357"/>
              <w:rPr>
                <w:bCs/>
              </w:rPr>
            </w:pPr>
            <w:r w:rsidRPr="008968D6">
              <w:rPr>
                <w:bCs/>
              </w:rPr>
              <w:t>Renewed commitments to implement the Durban Declaration and Programme of Action</w:t>
            </w:r>
            <w:r>
              <w:rPr>
                <w:bCs/>
              </w:rPr>
              <w:t xml:space="preserve"> and support its follow-up processes on the occasion of the twentieth anniversary of its adoption</w:t>
            </w:r>
            <w:r w:rsidRPr="008968D6">
              <w:rPr>
                <w:bCs/>
              </w:rPr>
              <w:t>.</w:t>
            </w:r>
            <w:r>
              <w:rPr>
                <w:bCs/>
              </w:rPr>
              <w:t xml:space="preserve"> </w:t>
            </w:r>
          </w:p>
        </w:tc>
      </w:tr>
      <w:tr w:rsidR="00FB7FF2" w:rsidRPr="001511B7" w14:paraId="361F2A07" w14:textId="77777777" w:rsidTr="00411831">
        <w:trPr>
          <w:trHeight w:val="80"/>
          <w:jc w:val="center"/>
        </w:trPr>
        <w:tc>
          <w:tcPr>
            <w:tcW w:w="1452" w:type="dxa"/>
            <w:shd w:val="clear" w:color="auto" w:fill="auto"/>
          </w:tcPr>
          <w:p w14:paraId="1F8BEA37" w14:textId="77777777" w:rsidR="00FB7FF2" w:rsidRPr="001511B7" w:rsidRDefault="00FB7FF2" w:rsidP="00CE5DD3">
            <w:pPr>
              <w:spacing w:after="120" w:line="240" w:lineRule="auto"/>
              <w:rPr>
                <w:rFonts w:cs="Calibri"/>
                <w:b/>
                <w:color w:val="000000"/>
              </w:rPr>
            </w:pPr>
            <w:r w:rsidRPr="001511B7">
              <w:rPr>
                <w:rFonts w:cs="Calibri"/>
                <w:b/>
                <w:color w:val="000000"/>
              </w:rPr>
              <w:t>Mandate:</w:t>
            </w:r>
          </w:p>
        </w:tc>
        <w:tc>
          <w:tcPr>
            <w:tcW w:w="9180" w:type="dxa"/>
            <w:gridSpan w:val="2"/>
            <w:shd w:val="clear" w:color="auto" w:fill="auto"/>
          </w:tcPr>
          <w:p w14:paraId="55A500DE" w14:textId="0877DEF6" w:rsidR="00FB7FF2" w:rsidRPr="00FA2E6A" w:rsidRDefault="00FC1EE5" w:rsidP="00CE5DD3">
            <w:pPr>
              <w:autoSpaceDE w:val="0"/>
              <w:autoSpaceDN w:val="0"/>
              <w:adjustRightInd w:val="0"/>
              <w:spacing w:after="120" w:line="240" w:lineRule="auto"/>
              <w:jc w:val="both"/>
            </w:pPr>
            <w:r>
              <w:t>The General Assembly, in parag</w:t>
            </w:r>
            <w:r w:rsidR="003D2235">
              <w:t xml:space="preserve">raph </w:t>
            </w:r>
            <w:r w:rsidR="00D7324C">
              <w:t>42</w:t>
            </w:r>
            <w:r w:rsidR="003D2235">
              <w:t xml:space="preserve"> of its resolution </w:t>
            </w:r>
            <w:r w:rsidR="00AE2167" w:rsidRPr="00AE2167">
              <w:t xml:space="preserve">75/237 </w:t>
            </w:r>
            <w:r>
              <w:t>entitled “A global call for concrete action for the elimination of racism, racial discrimination, xenophobia and related intolerance and the comprehensive implementation of and follow-up to the Durban Declaration and Programme of Action”</w:t>
            </w:r>
            <w:r w:rsidR="005F0644">
              <w:t>,</w:t>
            </w:r>
            <w:r>
              <w:t xml:space="preserve"> requested the President of the General Assembly and the President of the Human Rights Council to continue to convene annual commemorative meetings of the Assembly and the Council during the commemoration of the International Day for the Elimination of Racial Discrimination, with the appropriate focus and themes, and to hold a debate on the midterm review of the International Decade for People of African Descent with the participation of the Secretary-General and the United Nations High Commissioner for Human Rights, and in this context encourage</w:t>
            </w:r>
            <w:r w:rsidR="003F6DA8">
              <w:t>d</w:t>
            </w:r>
            <w:r>
              <w:t xml:space="preserve"> the participation of eminent personalities active in the struggle against racial discrimination, Member States and civil society organizations in accordance with the rules of procedure of the Assembly and the Council, respectively</w:t>
            </w:r>
            <w:r w:rsidR="002905B6">
              <w:t>.</w:t>
            </w:r>
          </w:p>
        </w:tc>
      </w:tr>
      <w:tr w:rsidR="00FB7FF2" w:rsidRPr="001511B7" w14:paraId="3B0F2A3D" w14:textId="77777777" w:rsidTr="00411831">
        <w:trPr>
          <w:trHeight w:val="428"/>
          <w:jc w:val="center"/>
        </w:trPr>
        <w:tc>
          <w:tcPr>
            <w:tcW w:w="1452" w:type="dxa"/>
            <w:shd w:val="clear" w:color="auto" w:fill="auto"/>
          </w:tcPr>
          <w:p w14:paraId="649C1F2A" w14:textId="77777777" w:rsidR="00FB7FF2" w:rsidRPr="001511B7" w:rsidRDefault="00FB7FF2" w:rsidP="00CE5DD3">
            <w:pPr>
              <w:spacing w:after="120" w:line="240" w:lineRule="auto"/>
              <w:rPr>
                <w:rFonts w:cs="Calibri"/>
                <w:b/>
                <w:color w:val="000000"/>
              </w:rPr>
            </w:pPr>
            <w:r w:rsidRPr="001511B7">
              <w:rPr>
                <w:rFonts w:cs="Calibri"/>
                <w:b/>
                <w:color w:val="000000"/>
              </w:rPr>
              <w:lastRenderedPageBreak/>
              <w:t>Format:</w:t>
            </w:r>
          </w:p>
        </w:tc>
        <w:tc>
          <w:tcPr>
            <w:tcW w:w="9180" w:type="dxa"/>
            <w:gridSpan w:val="2"/>
            <w:shd w:val="clear" w:color="auto" w:fill="auto"/>
          </w:tcPr>
          <w:p w14:paraId="3AD7C3CE" w14:textId="64F67AE5" w:rsidR="00CC218B" w:rsidRPr="00CC218B" w:rsidRDefault="00CC218B" w:rsidP="00CE5DD3">
            <w:pPr>
              <w:spacing w:after="120" w:line="240" w:lineRule="auto"/>
              <w:jc w:val="both"/>
              <w:rPr>
                <w:rFonts w:cs="Calibri"/>
                <w:bCs/>
              </w:rPr>
            </w:pPr>
            <w:r w:rsidRPr="00CC218B">
              <w:rPr>
                <w:rFonts w:cs="Calibri"/>
                <w:bCs/>
              </w:rPr>
              <w:t>The panel discussion will be limited to two hours. The opening statement and initial presentations by the panellists will be followed by an interactive discussion divided into two segments. A maximum of one hour will be set aside for the podium, including the opening statement</w:t>
            </w:r>
            <w:r w:rsidR="00C96A64">
              <w:rPr>
                <w:rFonts w:cs="Calibri"/>
                <w:bCs/>
              </w:rPr>
              <w:t>,</w:t>
            </w:r>
            <w:r w:rsidRPr="00CC218B">
              <w:rPr>
                <w:rFonts w:cs="Calibri"/>
                <w:bCs/>
              </w:rPr>
              <w:t xml:space="preserve"> panellists’ presentations, their responses to questions and concluding remarks. The remaining hour will be reserved for two segments of interventions from the floor, for States and observers (2x12), national human rights institutions (2x1) and non-governmental organizations (2x2). </w:t>
            </w:r>
          </w:p>
          <w:p w14:paraId="56093A51" w14:textId="027F7F0C" w:rsidR="00454E73" w:rsidRPr="008122A4" w:rsidRDefault="00CC218B" w:rsidP="00CE5DD3">
            <w:pPr>
              <w:spacing w:after="120" w:line="240" w:lineRule="auto"/>
              <w:jc w:val="both"/>
              <w:rPr>
                <w:rFonts w:cs="Calibri"/>
                <w:bCs/>
              </w:rPr>
            </w:pPr>
            <w:r w:rsidRPr="00CC218B">
              <w:rPr>
                <w:rFonts w:cs="Calibri"/>
                <w:bCs/>
              </w:rPr>
              <w:t xml:space="preserve">The list of speakers for the discussion will be established through the online inscription system and, as per practice, statements by high-level dignitaries and groups of States will be moved to the beginning of the list. Each speaker will have two minutes to raise issues and to ask panellists questions. Delegates who have not been able to take the floor due to time constraints will be able to upload their statements on the online system to be posted on the HRC Extranet.  </w:t>
            </w:r>
          </w:p>
        </w:tc>
      </w:tr>
      <w:tr w:rsidR="000D6DE4" w:rsidRPr="001511B7" w14:paraId="6BED964C" w14:textId="77777777" w:rsidTr="00411831">
        <w:trPr>
          <w:trHeight w:val="1845"/>
          <w:jc w:val="center"/>
        </w:trPr>
        <w:tc>
          <w:tcPr>
            <w:tcW w:w="1452" w:type="dxa"/>
            <w:shd w:val="clear" w:color="auto" w:fill="auto"/>
          </w:tcPr>
          <w:p w14:paraId="4FD446D1" w14:textId="77777777" w:rsidR="000D6DE4" w:rsidRPr="001511B7" w:rsidRDefault="000D6DE4" w:rsidP="00CE5DD3">
            <w:pPr>
              <w:spacing w:after="120" w:line="240" w:lineRule="auto"/>
              <w:rPr>
                <w:rFonts w:cs="Calibri"/>
                <w:b/>
                <w:color w:val="000000"/>
              </w:rPr>
            </w:pPr>
            <w:r w:rsidRPr="001511B7">
              <w:rPr>
                <w:rFonts w:cs="Calibri"/>
                <w:b/>
                <w:color w:val="000000"/>
              </w:rPr>
              <w:t>Background</w:t>
            </w:r>
            <w:r w:rsidR="001511B7">
              <w:rPr>
                <w:rFonts w:cs="Calibri"/>
                <w:b/>
                <w:color w:val="000000"/>
              </w:rPr>
              <w:t>:</w:t>
            </w:r>
          </w:p>
        </w:tc>
        <w:tc>
          <w:tcPr>
            <w:tcW w:w="9180" w:type="dxa"/>
            <w:gridSpan w:val="2"/>
            <w:shd w:val="clear" w:color="auto" w:fill="auto"/>
          </w:tcPr>
          <w:p w14:paraId="4DEE9F23" w14:textId="0D548D39" w:rsidR="00443C70" w:rsidRDefault="00443C70" w:rsidP="00CE5DD3">
            <w:pPr>
              <w:pStyle w:val="Default"/>
              <w:spacing w:after="120"/>
              <w:jc w:val="both"/>
              <w:rPr>
                <w:rFonts w:asciiTheme="minorHAnsi" w:hAnsiTheme="minorHAnsi" w:cstheme="minorHAnsi"/>
                <w:iCs/>
                <w:sz w:val="22"/>
                <w:szCs w:val="22"/>
              </w:rPr>
            </w:pPr>
            <w:r w:rsidRPr="00443C70">
              <w:rPr>
                <w:rFonts w:asciiTheme="minorHAnsi" w:hAnsiTheme="minorHAnsi" w:cstheme="minorHAnsi"/>
                <w:iCs/>
                <w:sz w:val="22"/>
                <w:szCs w:val="22"/>
              </w:rPr>
              <w:t xml:space="preserve">In his report </w:t>
            </w:r>
            <w:r w:rsidR="00F76A39" w:rsidRPr="00F76A39">
              <w:rPr>
                <w:rFonts w:asciiTheme="minorHAnsi" w:hAnsiTheme="minorHAnsi" w:cstheme="minorHAnsi"/>
                <w:iCs/>
                <w:sz w:val="22"/>
                <w:szCs w:val="22"/>
              </w:rPr>
              <w:t>A/75/363</w:t>
            </w:r>
            <w:r w:rsidRPr="00443C70">
              <w:rPr>
                <w:rFonts w:asciiTheme="minorHAnsi" w:hAnsiTheme="minorHAnsi" w:cstheme="minorHAnsi"/>
                <w:iCs/>
                <w:sz w:val="22"/>
                <w:szCs w:val="22"/>
              </w:rPr>
              <w:t xml:space="preserve"> to the General Assembly</w:t>
            </w:r>
            <w:r w:rsidR="00C96A64">
              <w:rPr>
                <w:rFonts w:asciiTheme="minorHAnsi" w:hAnsiTheme="minorHAnsi" w:cstheme="minorHAnsi"/>
                <w:iCs/>
                <w:sz w:val="22"/>
                <w:szCs w:val="22"/>
              </w:rPr>
              <w:t>,</w:t>
            </w:r>
            <w:r w:rsidRPr="00443C70">
              <w:rPr>
                <w:rFonts w:asciiTheme="minorHAnsi" w:hAnsiTheme="minorHAnsi" w:cstheme="minorHAnsi"/>
                <w:iCs/>
                <w:sz w:val="22"/>
                <w:szCs w:val="22"/>
              </w:rPr>
              <w:t xml:space="preserve"> the Secretary-General illustrate</w:t>
            </w:r>
            <w:r w:rsidR="00347492">
              <w:rPr>
                <w:rFonts w:asciiTheme="minorHAnsi" w:hAnsiTheme="minorHAnsi" w:cstheme="minorHAnsi"/>
                <w:iCs/>
                <w:sz w:val="22"/>
                <w:szCs w:val="22"/>
              </w:rPr>
              <w:t>d</w:t>
            </w:r>
            <w:r w:rsidRPr="00443C70">
              <w:rPr>
                <w:rFonts w:asciiTheme="minorHAnsi" w:hAnsiTheme="minorHAnsi" w:cstheme="minorHAnsi"/>
                <w:iCs/>
                <w:sz w:val="22"/>
                <w:szCs w:val="22"/>
              </w:rPr>
              <w:t xml:space="preserve"> how children and young people of African descent experience racial discrimination manifested in its various dimensions. The report also highlighted how the COVID-19 pandemic has further magnified existing patterns of discrimination and outlines promising practices for the realization of the rights of children and young people of African descent. The Secretary-General noted that in many parts of the world, children and young people of African descent do not fully enjoy their human rights. Their situation could be best understood through a rights-based approach that recognized the intersection of structural discrimination with race, ethnicity, national or social origin, sex, migration status, property, religion or belief, sexual orientation, gender identity, disability, birth or other status. When developing strategies to implement the </w:t>
            </w:r>
            <w:r w:rsidR="00C96A64">
              <w:rPr>
                <w:rFonts w:asciiTheme="minorHAnsi" w:hAnsiTheme="minorHAnsi" w:cstheme="minorHAnsi"/>
                <w:iCs/>
                <w:sz w:val="22"/>
                <w:szCs w:val="22"/>
              </w:rPr>
              <w:t>p</w:t>
            </w:r>
            <w:r w:rsidRPr="00443C70">
              <w:rPr>
                <w:rFonts w:asciiTheme="minorHAnsi" w:hAnsiTheme="minorHAnsi" w:cstheme="minorHAnsi"/>
                <w:iCs/>
                <w:sz w:val="22"/>
                <w:szCs w:val="22"/>
              </w:rPr>
              <w:t xml:space="preserve">rogramme of </w:t>
            </w:r>
            <w:r w:rsidR="00C96A64">
              <w:rPr>
                <w:rFonts w:asciiTheme="minorHAnsi" w:hAnsiTheme="minorHAnsi" w:cstheme="minorHAnsi"/>
                <w:iCs/>
                <w:sz w:val="22"/>
                <w:szCs w:val="22"/>
              </w:rPr>
              <w:t>a</w:t>
            </w:r>
            <w:r w:rsidRPr="00443C70">
              <w:rPr>
                <w:rFonts w:asciiTheme="minorHAnsi" w:hAnsiTheme="minorHAnsi" w:cstheme="minorHAnsi"/>
                <w:iCs/>
                <w:sz w:val="22"/>
                <w:szCs w:val="22"/>
              </w:rPr>
              <w:t>ctivities for the International Decade, not only racial discrimination but also other discriminatory grounds that intersect with race and ethnicity should be taken into account.</w:t>
            </w:r>
          </w:p>
          <w:p w14:paraId="3A990D92" w14:textId="25010ACB" w:rsidR="00347492" w:rsidRDefault="00443C70" w:rsidP="00CE5DD3">
            <w:pPr>
              <w:pStyle w:val="Default"/>
              <w:spacing w:after="120"/>
              <w:jc w:val="both"/>
              <w:rPr>
                <w:rFonts w:asciiTheme="minorHAnsi" w:hAnsiTheme="minorHAnsi" w:cstheme="minorHAnsi"/>
                <w:iCs/>
                <w:sz w:val="22"/>
                <w:szCs w:val="22"/>
              </w:rPr>
            </w:pPr>
            <w:r w:rsidRPr="00443C70">
              <w:rPr>
                <w:rFonts w:asciiTheme="minorHAnsi" w:hAnsiTheme="minorHAnsi" w:cstheme="minorHAnsi"/>
                <w:iCs/>
                <w:sz w:val="22"/>
                <w:szCs w:val="22"/>
              </w:rPr>
              <w:t xml:space="preserve">The COVID-19 pandemic has exacerbated inequalities and is likely to reinforce social exclusion. </w:t>
            </w:r>
            <w:r w:rsidR="00347492">
              <w:rPr>
                <w:rFonts w:asciiTheme="minorHAnsi" w:hAnsiTheme="minorHAnsi" w:cstheme="minorHAnsi"/>
                <w:iCs/>
                <w:sz w:val="22"/>
                <w:szCs w:val="22"/>
              </w:rPr>
              <w:t xml:space="preserve">The </w:t>
            </w:r>
            <w:hyperlink r:id="rId12" w:history="1">
              <w:r w:rsidR="00347492" w:rsidRPr="00F96C83">
                <w:rPr>
                  <w:rStyle w:val="Hyperlink"/>
                  <w:rFonts w:asciiTheme="minorHAnsi" w:hAnsiTheme="minorHAnsi" w:cstheme="minorHAnsi"/>
                  <w:iCs/>
                  <w:sz w:val="22"/>
                  <w:szCs w:val="22"/>
                </w:rPr>
                <w:t>Global Survey on Youth and COVID-19</w:t>
              </w:r>
            </w:hyperlink>
            <w:r w:rsidR="00347492" w:rsidRPr="00347492">
              <w:rPr>
                <w:rFonts w:asciiTheme="minorHAnsi" w:hAnsiTheme="minorHAnsi" w:cstheme="minorHAnsi"/>
                <w:iCs/>
                <w:sz w:val="22"/>
                <w:szCs w:val="22"/>
              </w:rPr>
              <w:t xml:space="preserve"> </w:t>
            </w:r>
            <w:r w:rsidR="00347492">
              <w:rPr>
                <w:rFonts w:asciiTheme="minorHAnsi" w:hAnsiTheme="minorHAnsi" w:cstheme="minorHAnsi"/>
                <w:iCs/>
                <w:sz w:val="22"/>
                <w:szCs w:val="22"/>
              </w:rPr>
              <w:t xml:space="preserve">looked at the </w:t>
            </w:r>
            <w:r w:rsidR="00347492" w:rsidRPr="00347492">
              <w:rPr>
                <w:rFonts w:asciiTheme="minorHAnsi" w:hAnsiTheme="minorHAnsi" w:cstheme="minorHAnsi"/>
                <w:iCs/>
                <w:sz w:val="22"/>
                <w:szCs w:val="22"/>
              </w:rPr>
              <w:t xml:space="preserve">four areas of impacts on young people: namely, employment, education and training, mental well-being, and rights and voices. </w:t>
            </w:r>
            <w:r w:rsidR="00347492">
              <w:rPr>
                <w:rFonts w:asciiTheme="minorHAnsi" w:hAnsiTheme="minorHAnsi" w:cstheme="minorHAnsi"/>
                <w:iCs/>
                <w:sz w:val="22"/>
                <w:szCs w:val="22"/>
              </w:rPr>
              <w:t xml:space="preserve">It found that the pandemic had a severe impact on youth, e.g. </w:t>
            </w:r>
            <w:r w:rsidR="00347492" w:rsidRPr="00347492">
              <w:rPr>
                <w:rFonts w:asciiTheme="minorHAnsi" w:hAnsiTheme="minorHAnsi" w:cstheme="minorHAnsi"/>
                <w:iCs/>
                <w:sz w:val="22"/>
                <w:szCs w:val="22"/>
              </w:rPr>
              <w:t>one in six youth in the survey had stopped working since the outbreak of the coronavirus.</w:t>
            </w:r>
            <w:r w:rsidR="00347492">
              <w:rPr>
                <w:rFonts w:asciiTheme="minorHAnsi" w:hAnsiTheme="minorHAnsi" w:cstheme="minorHAnsi"/>
                <w:iCs/>
                <w:sz w:val="22"/>
                <w:szCs w:val="22"/>
              </w:rPr>
              <w:t xml:space="preserve"> </w:t>
            </w:r>
            <w:r w:rsidR="00347492" w:rsidRPr="00347492">
              <w:rPr>
                <w:rFonts w:asciiTheme="minorHAnsi" w:hAnsiTheme="minorHAnsi" w:cstheme="minorHAnsi"/>
                <w:iCs/>
                <w:sz w:val="22"/>
                <w:szCs w:val="22"/>
              </w:rPr>
              <w:t>Three out of four young students and youth combining study and work experienced school closures, yet not all were able to transition into online and distance learning.</w:t>
            </w:r>
            <w:r w:rsidR="00347492">
              <w:rPr>
                <w:rFonts w:asciiTheme="minorHAnsi" w:hAnsiTheme="minorHAnsi" w:cstheme="minorHAnsi"/>
                <w:iCs/>
                <w:sz w:val="22"/>
                <w:szCs w:val="22"/>
              </w:rPr>
              <w:t xml:space="preserve"> And </w:t>
            </w:r>
            <w:r w:rsidR="00347492" w:rsidRPr="00347492">
              <w:rPr>
                <w:rFonts w:asciiTheme="minorHAnsi" w:hAnsiTheme="minorHAnsi" w:cstheme="minorHAnsi"/>
                <w:iCs/>
                <w:sz w:val="22"/>
                <w:szCs w:val="22"/>
              </w:rPr>
              <w:t>COVID-19 left one in eight young students without any access to education or training. Youth in lower-income countries where hardly affected by the disruptions in education. Notably, 65 per cent of youth in high-income countries were taught classes via video-lectures, compared to 55 per cent in middle-income and 18 per cent in low-income countries. These figures underline the deep digital divides that exist between regions.</w:t>
            </w:r>
            <w:r w:rsidR="00F96C83">
              <w:rPr>
                <w:rFonts w:asciiTheme="minorHAnsi" w:hAnsiTheme="minorHAnsi" w:cstheme="minorHAnsi"/>
                <w:iCs/>
                <w:sz w:val="22"/>
                <w:szCs w:val="22"/>
              </w:rPr>
              <w:t xml:space="preserve"> The pandemic and government responses also limited the social activism of youth. </w:t>
            </w:r>
            <w:r w:rsidR="00F96C83" w:rsidRPr="00F96C83">
              <w:rPr>
                <w:rFonts w:asciiTheme="minorHAnsi" w:hAnsiTheme="minorHAnsi" w:cstheme="minorHAnsi"/>
                <w:iCs/>
                <w:sz w:val="22"/>
                <w:szCs w:val="22"/>
              </w:rPr>
              <w:t>One in three young people</w:t>
            </w:r>
            <w:r w:rsidR="00F96C83">
              <w:rPr>
                <w:rFonts w:asciiTheme="minorHAnsi" w:hAnsiTheme="minorHAnsi" w:cstheme="minorHAnsi"/>
                <w:iCs/>
                <w:sz w:val="22"/>
                <w:szCs w:val="22"/>
              </w:rPr>
              <w:t>, who took part in this survey,</w:t>
            </w:r>
            <w:r w:rsidR="00F96C83" w:rsidRPr="00F96C83">
              <w:rPr>
                <w:rFonts w:asciiTheme="minorHAnsi" w:hAnsiTheme="minorHAnsi" w:cstheme="minorHAnsi"/>
                <w:iCs/>
                <w:sz w:val="22"/>
                <w:szCs w:val="22"/>
              </w:rPr>
              <w:t xml:space="preserve"> noticed a marked impact on their right to participate in public affairs, while over a quarter experienced difficulties in exercising their right to freedom of religion or belief.</w:t>
            </w:r>
          </w:p>
          <w:p w14:paraId="6034FD7D" w14:textId="0CAA59AE" w:rsidR="009700E4" w:rsidRPr="00F65A9E" w:rsidRDefault="00443C70" w:rsidP="00CE5DD3">
            <w:pPr>
              <w:pStyle w:val="Default"/>
              <w:spacing w:after="120"/>
              <w:jc w:val="both"/>
              <w:rPr>
                <w:rFonts w:asciiTheme="minorHAnsi" w:hAnsiTheme="minorHAnsi" w:cstheme="minorHAnsi"/>
                <w:iCs/>
                <w:sz w:val="22"/>
                <w:szCs w:val="22"/>
              </w:rPr>
            </w:pPr>
            <w:r w:rsidRPr="00443C70">
              <w:rPr>
                <w:rFonts w:asciiTheme="minorHAnsi" w:hAnsiTheme="minorHAnsi" w:cstheme="minorHAnsi"/>
                <w:iCs/>
                <w:sz w:val="22"/>
                <w:szCs w:val="22"/>
              </w:rPr>
              <w:t xml:space="preserve">A rights-based approach to the COVID-19 recovery and response requires recovering better and ensuring that equality and non-discrimination </w:t>
            </w:r>
            <w:r>
              <w:rPr>
                <w:rFonts w:asciiTheme="minorHAnsi" w:hAnsiTheme="minorHAnsi" w:cstheme="minorHAnsi"/>
                <w:iCs/>
                <w:sz w:val="22"/>
                <w:szCs w:val="22"/>
              </w:rPr>
              <w:t>were</w:t>
            </w:r>
            <w:r w:rsidRPr="00443C70">
              <w:rPr>
                <w:rFonts w:asciiTheme="minorHAnsi" w:hAnsiTheme="minorHAnsi" w:cstheme="minorHAnsi"/>
                <w:iCs/>
                <w:sz w:val="22"/>
                <w:szCs w:val="22"/>
              </w:rPr>
              <w:t xml:space="preserve"> ensured for children and young people</w:t>
            </w:r>
            <w:r w:rsidR="00F96C83">
              <w:rPr>
                <w:rFonts w:asciiTheme="minorHAnsi" w:hAnsiTheme="minorHAnsi" w:cstheme="minorHAnsi"/>
                <w:iCs/>
                <w:sz w:val="22"/>
                <w:szCs w:val="22"/>
              </w:rPr>
              <w:t>, including</w:t>
            </w:r>
            <w:r w:rsidRPr="00443C70">
              <w:rPr>
                <w:rFonts w:asciiTheme="minorHAnsi" w:hAnsiTheme="minorHAnsi" w:cstheme="minorHAnsi"/>
                <w:iCs/>
                <w:sz w:val="22"/>
                <w:szCs w:val="22"/>
              </w:rPr>
              <w:t xml:space="preserve"> </w:t>
            </w:r>
            <w:r w:rsidR="00F96C83">
              <w:rPr>
                <w:rFonts w:asciiTheme="minorHAnsi" w:hAnsiTheme="minorHAnsi" w:cstheme="minorHAnsi"/>
                <w:iCs/>
                <w:sz w:val="22"/>
                <w:szCs w:val="22"/>
              </w:rPr>
              <w:t xml:space="preserve">people </w:t>
            </w:r>
            <w:r w:rsidRPr="00443C70">
              <w:rPr>
                <w:rFonts w:asciiTheme="minorHAnsi" w:hAnsiTheme="minorHAnsi" w:cstheme="minorHAnsi"/>
                <w:iCs/>
                <w:sz w:val="22"/>
                <w:szCs w:val="22"/>
              </w:rPr>
              <w:t xml:space="preserve">of African descent. </w:t>
            </w:r>
            <w:r w:rsidR="00F96C83" w:rsidRPr="00F96C83">
              <w:rPr>
                <w:rFonts w:asciiTheme="minorHAnsi" w:hAnsiTheme="minorHAnsi" w:cstheme="minorHAnsi"/>
                <w:iCs/>
                <w:sz w:val="22"/>
                <w:szCs w:val="22"/>
              </w:rPr>
              <w:t xml:space="preserve">The United Nations Inter-Agency Network on Youth Development (UN IANYD) </w:t>
            </w:r>
            <w:r w:rsidR="00F96C83">
              <w:rPr>
                <w:rFonts w:asciiTheme="minorHAnsi" w:hAnsiTheme="minorHAnsi" w:cstheme="minorHAnsi"/>
                <w:iCs/>
                <w:sz w:val="22"/>
                <w:szCs w:val="22"/>
              </w:rPr>
              <w:t xml:space="preserve">has underlined </w:t>
            </w:r>
            <w:r w:rsidR="002A1D83">
              <w:rPr>
                <w:rFonts w:asciiTheme="minorHAnsi" w:hAnsiTheme="minorHAnsi" w:cstheme="minorHAnsi"/>
                <w:iCs/>
                <w:sz w:val="22"/>
                <w:szCs w:val="22"/>
              </w:rPr>
              <w:t xml:space="preserve">in its </w:t>
            </w:r>
            <w:hyperlink r:id="rId13" w:history="1">
              <w:r w:rsidR="002A1D83" w:rsidRPr="002A1D83">
                <w:rPr>
                  <w:rStyle w:val="Hyperlink"/>
                  <w:rFonts w:asciiTheme="minorHAnsi" w:hAnsiTheme="minorHAnsi" w:cstheme="minorHAnsi"/>
                  <w:iCs/>
                  <w:sz w:val="22"/>
                  <w:szCs w:val="22"/>
                </w:rPr>
                <w:t>Statement on C</w:t>
              </w:r>
              <w:r w:rsidR="00C96A64">
                <w:rPr>
                  <w:rStyle w:val="Hyperlink"/>
                  <w:rFonts w:asciiTheme="minorHAnsi" w:hAnsiTheme="minorHAnsi" w:cstheme="minorHAnsi"/>
                  <w:iCs/>
                  <w:sz w:val="22"/>
                  <w:szCs w:val="22"/>
                </w:rPr>
                <w:t>OVID</w:t>
              </w:r>
              <w:r w:rsidR="002A1D83" w:rsidRPr="002A1D83">
                <w:rPr>
                  <w:rStyle w:val="Hyperlink"/>
                  <w:rFonts w:asciiTheme="minorHAnsi" w:hAnsiTheme="minorHAnsi" w:cstheme="minorHAnsi"/>
                  <w:iCs/>
                  <w:sz w:val="22"/>
                  <w:szCs w:val="22"/>
                </w:rPr>
                <w:t>-19 and Youth</w:t>
              </w:r>
            </w:hyperlink>
            <w:r w:rsidR="002A1D83">
              <w:rPr>
                <w:rFonts w:asciiTheme="minorHAnsi" w:hAnsiTheme="minorHAnsi" w:cstheme="minorHAnsi"/>
                <w:iCs/>
                <w:sz w:val="22"/>
                <w:szCs w:val="22"/>
              </w:rPr>
              <w:t xml:space="preserve"> </w:t>
            </w:r>
            <w:r w:rsidR="00F96C83">
              <w:rPr>
                <w:rFonts w:asciiTheme="minorHAnsi" w:hAnsiTheme="minorHAnsi" w:cstheme="minorHAnsi"/>
                <w:iCs/>
                <w:sz w:val="22"/>
                <w:szCs w:val="22"/>
              </w:rPr>
              <w:t xml:space="preserve">that it was </w:t>
            </w:r>
            <w:r w:rsidR="00F96C83" w:rsidRPr="00F96C83">
              <w:rPr>
                <w:rFonts w:asciiTheme="minorHAnsi" w:hAnsiTheme="minorHAnsi" w:cstheme="minorHAnsi"/>
                <w:iCs/>
                <w:sz w:val="22"/>
                <w:szCs w:val="22"/>
              </w:rPr>
              <w:t>committed to the goals enshrined in the 2030 Agenda for Sustainable Development, the World Programme of Action for Youth and the U</w:t>
            </w:r>
            <w:r w:rsidR="00342798">
              <w:rPr>
                <w:rFonts w:asciiTheme="minorHAnsi" w:hAnsiTheme="minorHAnsi" w:cstheme="minorHAnsi"/>
                <w:iCs/>
                <w:sz w:val="22"/>
                <w:szCs w:val="22"/>
              </w:rPr>
              <w:t xml:space="preserve">nited </w:t>
            </w:r>
            <w:r w:rsidR="00F96C83" w:rsidRPr="00F96C83">
              <w:rPr>
                <w:rFonts w:asciiTheme="minorHAnsi" w:hAnsiTheme="minorHAnsi" w:cstheme="minorHAnsi"/>
                <w:iCs/>
                <w:sz w:val="22"/>
                <w:szCs w:val="22"/>
              </w:rPr>
              <w:t>N</w:t>
            </w:r>
            <w:r w:rsidR="00342798">
              <w:rPr>
                <w:rFonts w:asciiTheme="minorHAnsi" w:hAnsiTheme="minorHAnsi" w:cstheme="minorHAnsi"/>
                <w:iCs/>
                <w:sz w:val="22"/>
                <w:szCs w:val="22"/>
              </w:rPr>
              <w:t>ations</w:t>
            </w:r>
            <w:r w:rsidR="00F96C83" w:rsidRPr="00F96C83">
              <w:rPr>
                <w:rFonts w:asciiTheme="minorHAnsi" w:hAnsiTheme="minorHAnsi" w:cstheme="minorHAnsi"/>
                <w:iCs/>
                <w:sz w:val="22"/>
                <w:szCs w:val="22"/>
              </w:rPr>
              <w:t xml:space="preserve"> Youth Strategy</w:t>
            </w:r>
            <w:r w:rsidR="00F65A9E">
              <w:rPr>
                <w:rFonts w:asciiTheme="minorHAnsi" w:hAnsiTheme="minorHAnsi" w:cstheme="minorHAnsi"/>
                <w:iCs/>
                <w:sz w:val="22"/>
                <w:szCs w:val="22"/>
              </w:rPr>
              <w:t xml:space="preserve">. Respect for all human rights – </w:t>
            </w:r>
            <w:r w:rsidR="00F96C83" w:rsidRPr="00F96C83">
              <w:rPr>
                <w:rFonts w:asciiTheme="minorHAnsi" w:hAnsiTheme="minorHAnsi" w:cstheme="minorHAnsi"/>
                <w:iCs/>
                <w:sz w:val="22"/>
                <w:szCs w:val="22"/>
              </w:rPr>
              <w:t>including economic, social and cultural rights as well as</w:t>
            </w:r>
            <w:r w:rsidR="002A1D83">
              <w:rPr>
                <w:rFonts w:asciiTheme="minorHAnsi" w:hAnsiTheme="minorHAnsi" w:cstheme="minorHAnsi"/>
                <w:iCs/>
                <w:sz w:val="22"/>
                <w:szCs w:val="22"/>
              </w:rPr>
              <w:t xml:space="preserve"> civil and political rights </w:t>
            </w:r>
            <w:r w:rsidR="00F65A9E">
              <w:rPr>
                <w:rFonts w:asciiTheme="minorHAnsi" w:hAnsiTheme="minorHAnsi" w:cstheme="minorHAnsi"/>
                <w:iCs/>
                <w:sz w:val="22"/>
                <w:szCs w:val="22"/>
              </w:rPr>
              <w:t>–</w:t>
            </w:r>
            <w:r w:rsidR="002A1D83">
              <w:rPr>
                <w:rFonts w:asciiTheme="minorHAnsi" w:hAnsiTheme="minorHAnsi" w:cstheme="minorHAnsi"/>
                <w:iCs/>
                <w:sz w:val="22"/>
                <w:szCs w:val="22"/>
              </w:rPr>
              <w:t xml:space="preserve"> are</w:t>
            </w:r>
            <w:r w:rsidR="00F96C83" w:rsidRPr="00F96C83">
              <w:rPr>
                <w:rFonts w:asciiTheme="minorHAnsi" w:hAnsiTheme="minorHAnsi" w:cstheme="minorHAnsi"/>
                <w:iCs/>
                <w:sz w:val="22"/>
                <w:szCs w:val="22"/>
              </w:rPr>
              <w:t xml:space="preserve"> fundamental to the success of public health responses and recovery from the pandemic.</w:t>
            </w:r>
            <w:r w:rsidR="002A1D83">
              <w:rPr>
                <w:rFonts w:asciiTheme="minorHAnsi" w:hAnsiTheme="minorHAnsi" w:cstheme="minorHAnsi"/>
                <w:iCs/>
                <w:sz w:val="22"/>
                <w:szCs w:val="22"/>
              </w:rPr>
              <w:t xml:space="preserve"> Such human rights based approach </w:t>
            </w:r>
            <w:r w:rsidRPr="00443C70">
              <w:rPr>
                <w:rFonts w:asciiTheme="minorHAnsi" w:hAnsiTheme="minorHAnsi" w:cstheme="minorHAnsi"/>
                <w:iCs/>
                <w:sz w:val="22"/>
                <w:szCs w:val="22"/>
              </w:rPr>
              <w:t>fulfil</w:t>
            </w:r>
            <w:r w:rsidR="002A1D83">
              <w:rPr>
                <w:rFonts w:asciiTheme="minorHAnsi" w:hAnsiTheme="minorHAnsi" w:cstheme="minorHAnsi"/>
                <w:iCs/>
                <w:sz w:val="22"/>
                <w:szCs w:val="22"/>
              </w:rPr>
              <w:t>s</w:t>
            </w:r>
            <w:r w:rsidRPr="00443C70">
              <w:rPr>
                <w:rFonts w:asciiTheme="minorHAnsi" w:hAnsiTheme="minorHAnsi" w:cstheme="minorHAnsi"/>
                <w:iCs/>
                <w:sz w:val="22"/>
                <w:szCs w:val="22"/>
              </w:rPr>
              <w:t xml:space="preserve"> the objectives set forth by the 2030 Agenda and the </w:t>
            </w:r>
            <w:r w:rsidR="00CE5DD3">
              <w:rPr>
                <w:rFonts w:asciiTheme="minorHAnsi" w:hAnsiTheme="minorHAnsi" w:cstheme="minorHAnsi"/>
                <w:iCs/>
                <w:sz w:val="22"/>
                <w:szCs w:val="22"/>
              </w:rPr>
              <w:t>p</w:t>
            </w:r>
            <w:r w:rsidRPr="00443C70">
              <w:rPr>
                <w:rFonts w:asciiTheme="minorHAnsi" w:hAnsiTheme="minorHAnsi" w:cstheme="minorHAnsi"/>
                <w:iCs/>
                <w:sz w:val="22"/>
                <w:szCs w:val="22"/>
              </w:rPr>
              <w:t xml:space="preserve">rogramme of </w:t>
            </w:r>
            <w:r w:rsidR="00CE5DD3">
              <w:rPr>
                <w:rFonts w:asciiTheme="minorHAnsi" w:hAnsiTheme="minorHAnsi" w:cstheme="minorHAnsi"/>
                <w:iCs/>
                <w:sz w:val="22"/>
                <w:szCs w:val="22"/>
              </w:rPr>
              <w:t>a</w:t>
            </w:r>
            <w:r w:rsidRPr="00443C70">
              <w:rPr>
                <w:rFonts w:asciiTheme="minorHAnsi" w:hAnsiTheme="minorHAnsi" w:cstheme="minorHAnsi"/>
                <w:iCs/>
                <w:sz w:val="22"/>
                <w:szCs w:val="22"/>
              </w:rPr>
              <w:t>ctivities for the implementation of the International Decade for People of African Descent.</w:t>
            </w:r>
          </w:p>
        </w:tc>
      </w:tr>
      <w:tr w:rsidR="000D6DE4" w:rsidRPr="00672063" w14:paraId="5EFEE536" w14:textId="77777777" w:rsidTr="00411831">
        <w:trPr>
          <w:gridAfter w:val="1"/>
          <w:wAfter w:w="46" w:type="dxa"/>
          <w:jc w:val="center"/>
        </w:trPr>
        <w:tc>
          <w:tcPr>
            <w:tcW w:w="1452" w:type="dxa"/>
            <w:shd w:val="clear" w:color="auto" w:fill="auto"/>
          </w:tcPr>
          <w:p w14:paraId="14ABE569" w14:textId="1CAA6F63" w:rsidR="00D31506" w:rsidRPr="009700E4" w:rsidRDefault="000D6DE4" w:rsidP="00CE5DD3">
            <w:pPr>
              <w:spacing w:after="0" w:line="240" w:lineRule="auto"/>
              <w:rPr>
                <w:rFonts w:asciiTheme="minorHAnsi" w:hAnsiTheme="minorHAnsi" w:cstheme="minorHAnsi"/>
                <w:color w:val="000000"/>
              </w:rPr>
            </w:pPr>
            <w:r w:rsidRPr="009700E4">
              <w:rPr>
                <w:rFonts w:asciiTheme="minorHAnsi" w:hAnsiTheme="minorHAnsi" w:cstheme="minorHAnsi"/>
                <w:color w:val="000000"/>
              </w:rPr>
              <w:t xml:space="preserve">Background </w:t>
            </w:r>
          </w:p>
          <w:p w14:paraId="218CB41B" w14:textId="77777777" w:rsidR="000D6DE4" w:rsidRPr="009700E4" w:rsidRDefault="000D6DE4" w:rsidP="00CE5DD3">
            <w:pPr>
              <w:spacing w:after="0" w:line="240" w:lineRule="auto"/>
              <w:rPr>
                <w:rFonts w:asciiTheme="minorHAnsi" w:hAnsiTheme="minorHAnsi" w:cstheme="minorHAnsi"/>
                <w:color w:val="000000"/>
              </w:rPr>
            </w:pPr>
            <w:r w:rsidRPr="009700E4">
              <w:rPr>
                <w:rFonts w:asciiTheme="minorHAnsi" w:hAnsiTheme="minorHAnsi" w:cstheme="minorHAnsi"/>
                <w:color w:val="000000"/>
              </w:rPr>
              <w:t>documents:</w:t>
            </w:r>
          </w:p>
        </w:tc>
        <w:tc>
          <w:tcPr>
            <w:tcW w:w="9134" w:type="dxa"/>
            <w:shd w:val="clear" w:color="auto" w:fill="auto"/>
          </w:tcPr>
          <w:p w14:paraId="0C945504" w14:textId="07FA484A" w:rsidR="00FA36B9" w:rsidRDefault="00105A99" w:rsidP="00CE5DD3">
            <w:pPr>
              <w:numPr>
                <w:ilvl w:val="0"/>
                <w:numId w:val="20"/>
              </w:numPr>
              <w:spacing w:after="60" w:line="240" w:lineRule="auto"/>
              <w:jc w:val="both"/>
              <w:rPr>
                <w:rFonts w:asciiTheme="minorHAnsi" w:hAnsiTheme="minorHAnsi" w:cstheme="minorHAnsi"/>
                <w:bCs/>
              </w:rPr>
            </w:pPr>
            <w:hyperlink r:id="rId14" w:history="1">
              <w:r w:rsidR="00FA36B9" w:rsidRPr="00F34E90">
                <w:rPr>
                  <w:rStyle w:val="Hyperlink"/>
                  <w:rFonts w:asciiTheme="minorHAnsi" w:hAnsiTheme="minorHAnsi" w:cstheme="minorHAnsi"/>
                  <w:bCs/>
                  <w:u w:val="none"/>
                </w:rPr>
                <w:t>Global Survey on Youth &amp; COVID-19: The Report and Key Findings</w:t>
              </w:r>
            </w:hyperlink>
            <w:r w:rsidR="00FA36B9">
              <w:rPr>
                <w:rFonts w:asciiTheme="minorHAnsi" w:hAnsiTheme="minorHAnsi" w:cstheme="minorHAnsi"/>
                <w:bCs/>
              </w:rPr>
              <w:t xml:space="preserve">, </w:t>
            </w:r>
            <w:r w:rsidR="00FA36B9" w:rsidRPr="00FA36B9">
              <w:rPr>
                <w:rFonts w:asciiTheme="minorHAnsi" w:hAnsiTheme="minorHAnsi" w:cstheme="minorHAnsi"/>
                <w:bCs/>
              </w:rPr>
              <w:t xml:space="preserve">Global Initiative on Decent Jobs for Youth (DJY) </w:t>
            </w:r>
            <w:r w:rsidR="00FA36B9">
              <w:rPr>
                <w:rFonts w:asciiTheme="minorHAnsi" w:hAnsiTheme="minorHAnsi" w:cstheme="minorHAnsi"/>
                <w:bCs/>
              </w:rPr>
              <w:t>, OHCHR et al. (2020)</w:t>
            </w:r>
          </w:p>
          <w:p w14:paraId="41882184" w14:textId="710DB140" w:rsidR="002A1D83" w:rsidRDefault="00105A99" w:rsidP="00CE5DD3">
            <w:pPr>
              <w:numPr>
                <w:ilvl w:val="0"/>
                <w:numId w:val="20"/>
              </w:numPr>
              <w:spacing w:after="60" w:line="240" w:lineRule="auto"/>
              <w:jc w:val="both"/>
              <w:rPr>
                <w:rFonts w:asciiTheme="minorHAnsi" w:hAnsiTheme="minorHAnsi" w:cstheme="minorHAnsi"/>
                <w:bCs/>
              </w:rPr>
            </w:pPr>
            <w:hyperlink r:id="rId15" w:history="1">
              <w:r w:rsidR="002A1D83" w:rsidRPr="00F34E90">
                <w:rPr>
                  <w:rStyle w:val="Hyperlink"/>
                  <w:rFonts w:asciiTheme="minorHAnsi" w:hAnsiTheme="minorHAnsi" w:cstheme="minorHAnsi"/>
                  <w:bCs/>
                  <w:u w:val="none"/>
                </w:rPr>
                <w:t>Statement on COVID-10 and Youth</w:t>
              </w:r>
            </w:hyperlink>
            <w:r w:rsidR="002A1D83">
              <w:rPr>
                <w:rFonts w:asciiTheme="minorHAnsi" w:hAnsiTheme="minorHAnsi" w:cstheme="minorHAnsi"/>
                <w:bCs/>
              </w:rPr>
              <w:t>, t</w:t>
            </w:r>
            <w:r w:rsidR="002A1D83" w:rsidRPr="002A1D83">
              <w:rPr>
                <w:rFonts w:asciiTheme="minorHAnsi" w:hAnsiTheme="minorHAnsi" w:cstheme="minorHAnsi"/>
                <w:bCs/>
              </w:rPr>
              <w:t xml:space="preserve">he United Nations Inter-Agency Network on Youth Development (UN IANYD) </w:t>
            </w:r>
            <w:r w:rsidR="002A1D83">
              <w:rPr>
                <w:rFonts w:asciiTheme="minorHAnsi" w:hAnsiTheme="minorHAnsi" w:cstheme="minorHAnsi"/>
                <w:bCs/>
              </w:rPr>
              <w:t xml:space="preserve">Statement on Covid-19 and Youth (2020) </w:t>
            </w:r>
          </w:p>
          <w:p w14:paraId="70F89849" w14:textId="592C7D0B" w:rsidR="009A1F18" w:rsidRPr="006A0190" w:rsidRDefault="00105A99" w:rsidP="00CE5DD3">
            <w:pPr>
              <w:numPr>
                <w:ilvl w:val="0"/>
                <w:numId w:val="20"/>
              </w:numPr>
              <w:spacing w:after="60" w:line="240" w:lineRule="auto"/>
              <w:ind w:left="317" w:hanging="306"/>
              <w:jc w:val="both"/>
              <w:rPr>
                <w:rFonts w:asciiTheme="minorHAnsi" w:hAnsiTheme="minorHAnsi" w:cstheme="minorHAnsi"/>
                <w:color w:val="0000FF"/>
                <w:u w:val="single"/>
                <w:lang w:bidi="th-TH"/>
              </w:rPr>
            </w:pPr>
            <w:hyperlink r:id="rId16" w:history="1">
              <w:r w:rsidR="00E159D8" w:rsidRPr="00F34E90">
                <w:rPr>
                  <w:rStyle w:val="Hyperlink"/>
                  <w:u w:val="none"/>
                </w:rPr>
                <w:t>General Assembly resolution 75/237</w:t>
              </w:r>
            </w:hyperlink>
            <w:r w:rsidR="00E159D8">
              <w:t xml:space="preserve"> of </w:t>
            </w:r>
            <w:r w:rsidR="00E159D8" w:rsidRPr="00E159D8">
              <w:t>31 December 2020</w:t>
            </w:r>
            <w:r w:rsidR="00E159D8">
              <w:t xml:space="preserve"> and</w:t>
            </w:r>
            <w:hyperlink r:id="rId17" w:history="1">
              <w:r w:rsidR="00F601C4" w:rsidRPr="006A0190">
                <w:rPr>
                  <w:rStyle w:val="Hyperlink"/>
                  <w:rFonts w:asciiTheme="minorHAnsi" w:hAnsiTheme="minorHAnsi" w:cstheme="minorHAnsi"/>
                  <w:bCs/>
                  <w:u w:val="none"/>
                </w:rPr>
                <w:t xml:space="preserve"> resolution </w:t>
              </w:r>
              <w:r w:rsidR="009813D7" w:rsidRPr="006A0190">
                <w:rPr>
                  <w:rStyle w:val="Hyperlink"/>
                  <w:rFonts w:asciiTheme="minorHAnsi" w:hAnsiTheme="minorHAnsi" w:cstheme="minorHAnsi"/>
                  <w:bCs/>
                  <w:u w:val="none"/>
                </w:rPr>
                <w:t>74/137</w:t>
              </w:r>
            </w:hyperlink>
            <w:r w:rsidR="00F601C4" w:rsidRPr="00672063">
              <w:rPr>
                <w:rFonts w:asciiTheme="minorHAnsi" w:hAnsiTheme="minorHAnsi" w:cstheme="minorHAnsi"/>
                <w:bCs/>
              </w:rPr>
              <w:t xml:space="preserve"> of</w:t>
            </w:r>
            <w:r w:rsidR="00A57C5B">
              <w:rPr>
                <w:rFonts w:asciiTheme="minorHAnsi" w:hAnsiTheme="minorHAnsi" w:cstheme="minorHAnsi"/>
                <w:bCs/>
              </w:rPr>
              <w:t xml:space="preserve"> 12 November</w:t>
            </w:r>
            <w:r w:rsidR="00F601C4" w:rsidRPr="00672063">
              <w:rPr>
                <w:rFonts w:asciiTheme="minorHAnsi" w:hAnsiTheme="minorHAnsi" w:cstheme="minorHAnsi"/>
                <w:bCs/>
              </w:rPr>
              <w:t xml:space="preserve"> 201</w:t>
            </w:r>
            <w:r w:rsidR="002777A1">
              <w:rPr>
                <w:rFonts w:asciiTheme="minorHAnsi" w:hAnsiTheme="minorHAnsi" w:cstheme="minorHAnsi"/>
                <w:bCs/>
              </w:rPr>
              <w:t>9</w:t>
            </w:r>
            <w:r w:rsidR="00F601C4" w:rsidRPr="00672063">
              <w:rPr>
                <w:rFonts w:asciiTheme="minorHAnsi" w:hAnsiTheme="minorHAnsi" w:cstheme="minorHAnsi"/>
                <w:bCs/>
              </w:rPr>
              <w:t xml:space="preserve"> entitled “A global call for concrete action for the elimination of racism, racial discrimination, xenophobia and related intolerance and the comprehensive implementation of and follow-up to the Durban Declaration and Programme of Action”</w:t>
            </w:r>
          </w:p>
          <w:p w14:paraId="36F4FAD0" w14:textId="7B61717A" w:rsidR="002777A1" w:rsidRPr="006A0190" w:rsidRDefault="00105A99" w:rsidP="00CE5DD3">
            <w:pPr>
              <w:numPr>
                <w:ilvl w:val="0"/>
                <w:numId w:val="20"/>
              </w:numPr>
              <w:spacing w:after="60" w:line="240" w:lineRule="auto"/>
              <w:ind w:left="317" w:hanging="306"/>
              <w:jc w:val="both"/>
              <w:rPr>
                <w:rFonts w:asciiTheme="minorHAnsi" w:hAnsiTheme="minorHAnsi" w:cstheme="minorHAnsi"/>
                <w:color w:val="0000FF"/>
                <w:u w:val="single"/>
                <w:lang w:bidi="th-TH"/>
              </w:rPr>
            </w:pPr>
            <w:hyperlink r:id="rId18" w:history="1">
              <w:r w:rsidR="002777A1" w:rsidRPr="006A0190">
                <w:rPr>
                  <w:rStyle w:val="Hyperlink"/>
                  <w:rFonts w:asciiTheme="minorHAnsi" w:hAnsiTheme="minorHAnsi" w:cstheme="minorHAnsi"/>
                  <w:bCs/>
                  <w:u w:val="none"/>
                </w:rPr>
                <w:t>General Assembly resolution 69/16</w:t>
              </w:r>
            </w:hyperlink>
            <w:r w:rsidR="002777A1" w:rsidRPr="006A0190">
              <w:rPr>
                <w:rFonts w:asciiTheme="minorHAnsi" w:hAnsiTheme="minorHAnsi" w:cstheme="minorHAnsi"/>
                <w:bCs/>
              </w:rPr>
              <w:t xml:space="preserve"> of </w:t>
            </w:r>
            <w:r w:rsidR="001C6B1E" w:rsidRPr="006A0190">
              <w:rPr>
                <w:rFonts w:asciiTheme="minorHAnsi" w:hAnsiTheme="minorHAnsi" w:cstheme="minorHAnsi"/>
                <w:bCs/>
              </w:rPr>
              <w:t>18 November 2014</w:t>
            </w:r>
            <w:r w:rsidR="002777A1" w:rsidRPr="006A0190">
              <w:rPr>
                <w:rFonts w:asciiTheme="minorHAnsi" w:hAnsiTheme="minorHAnsi" w:cstheme="minorHAnsi"/>
                <w:bCs/>
              </w:rPr>
              <w:t xml:space="preserve"> </w:t>
            </w:r>
            <w:r w:rsidR="007A3898">
              <w:rPr>
                <w:rFonts w:asciiTheme="minorHAnsi" w:hAnsiTheme="minorHAnsi" w:cstheme="minorHAnsi"/>
                <w:bCs/>
              </w:rPr>
              <w:t>entitled “P</w:t>
            </w:r>
            <w:r w:rsidR="002777A1" w:rsidRPr="006A0190">
              <w:rPr>
                <w:rFonts w:asciiTheme="minorHAnsi" w:hAnsiTheme="minorHAnsi" w:cstheme="minorHAnsi"/>
                <w:bCs/>
              </w:rPr>
              <w:t>rogramme of activities for the implementation of the International Decade for People of African Descent</w:t>
            </w:r>
          </w:p>
          <w:p w14:paraId="3F77D5EC" w14:textId="4139DBD0" w:rsidR="005B0E86" w:rsidRPr="002905B6" w:rsidRDefault="00105A99" w:rsidP="00CE5DD3">
            <w:pPr>
              <w:numPr>
                <w:ilvl w:val="0"/>
                <w:numId w:val="20"/>
              </w:numPr>
              <w:spacing w:after="60" w:line="240" w:lineRule="auto"/>
              <w:ind w:left="317" w:hanging="306"/>
              <w:jc w:val="both"/>
              <w:rPr>
                <w:rStyle w:val="Hyperlink"/>
                <w:rFonts w:asciiTheme="minorHAnsi" w:hAnsiTheme="minorHAnsi" w:cstheme="minorHAnsi"/>
                <w:color w:val="auto"/>
                <w:u w:val="none"/>
                <w:lang w:bidi="th-TH"/>
              </w:rPr>
            </w:pPr>
            <w:hyperlink r:id="rId19" w:history="1">
              <w:r w:rsidR="00B460B6" w:rsidRPr="001C6B1E">
                <w:rPr>
                  <w:rStyle w:val="Hyperlink"/>
                  <w:rFonts w:asciiTheme="minorHAnsi" w:hAnsiTheme="minorHAnsi" w:cstheme="minorHAnsi"/>
                  <w:u w:val="none"/>
                </w:rPr>
                <w:t>Durban Declaration and Programme of Action (2001)</w:t>
              </w:r>
            </w:hyperlink>
          </w:p>
          <w:p w14:paraId="77D2F68E" w14:textId="2B4BFC21" w:rsidR="009813D7" w:rsidRDefault="00105A99" w:rsidP="00CE5DD3">
            <w:pPr>
              <w:numPr>
                <w:ilvl w:val="0"/>
                <w:numId w:val="20"/>
              </w:numPr>
              <w:spacing w:after="60" w:line="240" w:lineRule="auto"/>
              <w:ind w:left="317" w:hanging="306"/>
              <w:jc w:val="both"/>
              <w:rPr>
                <w:rStyle w:val="Hyperlink"/>
                <w:rFonts w:asciiTheme="minorHAnsi" w:hAnsiTheme="minorHAnsi" w:cstheme="minorHAnsi"/>
                <w:color w:val="auto"/>
                <w:u w:val="none"/>
                <w:lang w:bidi="th-TH"/>
              </w:rPr>
            </w:pPr>
            <w:hyperlink r:id="rId20" w:history="1">
              <w:r w:rsidR="006A0190">
                <w:rPr>
                  <w:rStyle w:val="Hyperlink"/>
                  <w:rFonts w:asciiTheme="minorHAnsi" w:hAnsiTheme="minorHAnsi" w:cstheme="minorHAnsi"/>
                  <w:u w:val="none"/>
                </w:rPr>
                <w:t>Durban Review Conference (2009) Outcome Document</w:t>
              </w:r>
            </w:hyperlink>
          </w:p>
          <w:p w14:paraId="672FB456" w14:textId="60E4066A" w:rsidR="009813D7" w:rsidRPr="006A7C69" w:rsidRDefault="00105A99" w:rsidP="00CE5DD3">
            <w:pPr>
              <w:numPr>
                <w:ilvl w:val="0"/>
                <w:numId w:val="20"/>
              </w:numPr>
              <w:spacing w:after="60" w:line="240" w:lineRule="auto"/>
              <w:ind w:left="317" w:hanging="306"/>
              <w:jc w:val="both"/>
              <w:rPr>
                <w:rFonts w:asciiTheme="minorHAnsi" w:hAnsiTheme="minorHAnsi" w:cstheme="minorHAnsi"/>
                <w:lang w:bidi="th-TH"/>
              </w:rPr>
            </w:pPr>
            <w:hyperlink r:id="rId21" w:history="1">
              <w:r w:rsidR="006A0190" w:rsidRPr="006A7C69">
                <w:rPr>
                  <w:rStyle w:val="Hyperlink"/>
                  <w:rFonts w:asciiTheme="minorHAnsi" w:hAnsiTheme="minorHAnsi" w:cstheme="minorHAnsi"/>
                  <w:u w:val="none"/>
                  <w:lang w:bidi="th-TH"/>
                </w:rPr>
                <w:t>General Assembly resolution 66/3</w:t>
              </w:r>
            </w:hyperlink>
            <w:r w:rsidR="006A0190" w:rsidRPr="006A7C69">
              <w:rPr>
                <w:rFonts w:asciiTheme="minorHAnsi" w:hAnsiTheme="minorHAnsi" w:cstheme="minorHAnsi"/>
                <w:lang w:bidi="th-TH"/>
              </w:rPr>
              <w:t xml:space="preserve"> of 22 September 2011 entitled “</w:t>
            </w:r>
            <w:r w:rsidR="00872157" w:rsidRPr="006A7C69">
              <w:rPr>
                <w:rFonts w:asciiTheme="minorHAnsi" w:hAnsiTheme="minorHAnsi" w:cstheme="minorHAnsi"/>
                <w:lang w:bidi="th-TH"/>
              </w:rPr>
              <w:t>United against racism, racial discrimination, xenophobia and related intolerance”</w:t>
            </w:r>
            <w:r w:rsidR="006A7C69" w:rsidRPr="006A7C69">
              <w:rPr>
                <w:rFonts w:asciiTheme="minorHAnsi" w:hAnsiTheme="minorHAnsi" w:cstheme="minorHAnsi"/>
                <w:lang w:bidi="th-TH"/>
              </w:rPr>
              <w:t xml:space="preserve"> </w:t>
            </w:r>
            <w:r w:rsidR="006A7C69">
              <w:rPr>
                <w:rFonts w:asciiTheme="minorHAnsi" w:hAnsiTheme="minorHAnsi" w:cstheme="minorHAnsi"/>
                <w:lang w:bidi="th-TH"/>
              </w:rPr>
              <w:t>-</w:t>
            </w:r>
            <w:r w:rsidR="006A7C69" w:rsidRPr="006A7C69">
              <w:rPr>
                <w:rFonts w:asciiTheme="minorHAnsi" w:hAnsiTheme="minorHAnsi" w:cstheme="minorHAnsi"/>
                <w:lang w:bidi="th-TH"/>
              </w:rPr>
              <w:t>-</w:t>
            </w:r>
            <w:r w:rsidR="006A7C69">
              <w:rPr>
                <w:rFonts w:asciiTheme="minorHAnsi" w:hAnsiTheme="minorHAnsi" w:cstheme="minorHAnsi"/>
                <w:lang w:bidi="th-TH"/>
              </w:rPr>
              <w:t xml:space="preserve"> p</w:t>
            </w:r>
            <w:r w:rsidR="006A7C69" w:rsidRPr="006A7C69">
              <w:rPr>
                <w:rFonts w:asciiTheme="minorHAnsi" w:hAnsiTheme="minorHAnsi" w:cstheme="minorHAnsi"/>
                <w:lang w:bidi="th-TH"/>
              </w:rPr>
              <w:t>olitical declaration of the high-level meeting of the General Assembly to commemorate the tenth anniversary of the adoption of the</w:t>
            </w:r>
            <w:r w:rsidR="006A7C69">
              <w:rPr>
                <w:rFonts w:asciiTheme="minorHAnsi" w:hAnsiTheme="minorHAnsi" w:cstheme="minorHAnsi"/>
                <w:lang w:bidi="th-TH"/>
              </w:rPr>
              <w:t xml:space="preserve"> </w:t>
            </w:r>
            <w:r w:rsidR="006A7C69" w:rsidRPr="006A7C69">
              <w:rPr>
                <w:rFonts w:asciiTheme="minorHAnsi" w:hAnsiTheme="minorHAnsi" w:cstheme="minorHAnsi"/>
                <w:lang w:bidi="th-TH"/>
              </w:rPr>
              <w:t>Durban Declaration and Programme of Action</w:t>
            </w:r>
          </w:p>
          <w:p w14:paraId="09DD9BE9" w14:textId="615F89A2" w:rsidR="00477201" w:rsidRPr="004C1CD2" w:rsidRDefault="00477201" w:rsidP="00CE5DD3">
            <w:pPr>
              <w:numPr>
                <w:ilvl w:val="0"/>
                <w:numId w:val="20"/>
              </w:numPr>
              <w:spacing w:after="60" w:line="240" w:lineRule="auto"/>
              <w:ind w:left="317" w:hanging="306"/>
              <w:jc w:val="both"/>
              <w:rPr>
                <w:rFonts w:asciiTheme="minorHAnsi" w:hAnsiTheme="minorHAnsi" w:cstheme="minorHAnsi"/>
                <w:lang w:bidi="th-TH"/>
              </w:rPr>
            </w:pPr>
            <w:r w:rsidRPr="004C1CD2">
              <w:rPr>
                <w:rFonts w:asciiTheme="minorHAnsi" w:hAnsiTheme="minorHAnsi" w:cstheme="minorHAnsi"/>
                <w:lang w:bidi="th-TH"/>
              </w:rPr>
              <w:t xml:space="preserve">Reports of the Secretary-General on the implementation of the </w:t>
            </w:r>
            <w:r w:rsidR="009F4193" w:rsidRPr="004C1CD2">
              <w:rPr>
                <w:rFonts w:asciiTheme="minorHAnsi" w:hAnsiTheme="minorHAnsi" w:cstheme="minorHAnsi"/>
                <w:lang w:bidi="th-TH"/>
              </w:rPr>
              <w:t>p</w:t>
            </w:r>
            <w:r w:rsidRPr="004C1CD2">
              <w:rPr>
                <w:rFonts w:asciiTheme="minorHAnsi" w:hAnsiTheme="minorHAnsi" w:cstheme="minorHAnsi"/>
                <w:lang w:bidi="th-TH"/>
              </w:rPr>
              <w:t xml:space="preserve">rogramme of activities of the International Decade for </w:t>
            </w:r>
            <w:r w:rsidR="00C03742">
              <w:rPr>
                <w:rFonts w:asciiTheme="minorHAnsi" w:hAnsiTheme="minorHAnsi" w:cstheme="minorHAnsi"/>
                <w:lang w:bidi="th-TH"/>
              </w:rPr>
              <w:t>P</w:t>
            </w:r>
            <w:r w:rsidRPr="004C1CD2">
              <w:rPr>
                <w:rFonts w:asciiTheme="minorHAnsi" w:hAnsiTheme="minorHAnsi" w:cstheme="minorHAnsi"/>
                <w:lang w:bidi="th-TH"/>
              </w:rPr>
              <w:t xml:space="preserve">eople of African </w:t>
            </w:r>
            <w:r w:rsidR="00C03742">
              <w:rPr>
                <w:rFonts w:asciiTheme="minorHAnsi" w:hAnsiTheme="minorHAnsi" w:cstheme="minorHAnsi"/>
                <w:lang w:bidi="th-TH"/>
              </w:rPr>
              <w:t>D</w:t>
            </w:r>
            <w:r w:rsidRPr="004C1CD2">
              <w:rPr>
                <w:rFonts w:asciiTheme="minorHAnsi" w:hAnsiTheme="minorHAnsi" w:cstheme="minorHAnsi"/>
                <w:lang w:bidi="th-TH"/>
              </w:rPr>
              <w:t>escent (</w:t>
            </w:r>
            <w:hyperlink r:id="rId22" w:history="1">
              <w:r w:rsidRPr="00872157">
                <w:rPr>
                  <w:rStyle w:val="Hyperlink"/>
                  <w:rFonts w:asciiTheme="minorHAnsi" w:hAnsiTheme="minorHAnsi" w:cstheme="minorHAnsi"/>
                  <w:u w:val="none"/>
                  <w:lang w:bidi="th-TH"/>
                </w:rPr>
                <w:t>A/70/339</w:t>
              </w:r>
            </w:hyperlink>
            <w:r w:rsidRPr="004C1CD2">
              <w:rPr>
                <w:rFonts w:asciiTheme="minorHAnsi" w:hAnsiTheme="minorHAnsi" w:cstheme="minorHAnsi"/>
                <w:lang w:bidi="th-TH"/>
              </w:rPr>
              <w:t xml:space="preserve">, </w:t>
            </w:r>
            <w:hyperlink r:id="rId23" w:history="1">
              <w:r w:rsidRPr="00872157">
                <w:rPr>
                  <w:rStyle w:val="Hyperlink"/>
                  <w:rFonts w:asciiTheme="minorHAnsi" w:hAnsiTheme="minorHAnsi" w:cstheme="minorHAnsi"/>
                  <w:u w:val="none"/>
                  <w:lang w:bidi="th-TH"/>
                </w:rPr>
                <w:t>A/71/290</w:t>
              </w:r>
            </w:hyperlink>
            <w:r w:rsidRPr="004C1CD2">
              <w:rPr>
                <w:rFonts w:asciiTheme="minorHAnsi" w:hAnsiTheme="minorHAnsi" w:cstheme="minorHAnsi"/>
                <w:lang w:bidi="th-TH"/>
              </w:rPr>
              <w:t xml:space="preserve">, </w:t>
            </w:r>
            <w:hyperlink r:id="rId24" w:history="1">
              <w:r w:rsidRPr="00872157">
                <w:rPr>
                  <w:rStyle w:val="Hyperlink"/>
                  <w:rFonts w:asciiTheme="minorHAnsi" w:hAnsiTheme="minorHAnsi" w:cstheme="minorHAnsi"/>
                  <w:u w:val="none"/>
                  <w:lang w:bidi="th-TH"/>
                </w:rPr>
                <w:t>A/72/323</w:t>
              </w:r>
            </w:hyperlink>
            <w:r w:rsidRPr="004C1CD2">
              <w:rPr>
                <w:rFonts w:asciiTheme="minorHAnsi" w:hAnsiTheme="minorHAnsi" w:cstheme="minorHAnsi"/>
                <w:lang w:bidi="th-TH"/>
              </w:rPr>
              <w:t xml:space="preserve">, </w:t>
            </w:r>
            <w:hyperlink r:id="rId25" w:history="1">
              <w:r w:rsidRPr="00872157">
                <w:rPr>
                  <w:rStyle w:val="Hyperlink"/>
                  <w:rFonts w:asciiTheme="minorHAnsi" w:hAnsiTheme="minorHAnsi" w:cstheme="minorHAnsi"/>
                  <w:u w:val="none"/>
                  <w:lang w:bidi="th-TH"/>
                </w:rPr>
                <w:t>A/73/354</w:t>
              </w:r>
            </w:hyperlink>
            <w:r w:rsidR="00F76A39">
              <w:rPr>
                <w:rStyle w:val="Hyperlink"/>
                <w:rFonts w:asciiTheme="minorHAnsi" w:hAnsiTheme="minorHAnsi" w:cstheme="minorHAnsi"/>
                <w:u w:val="none"/>
                <w:lang w:bidi="th-TH"/>
              </w:rPr>
              <w:t>,</w:t>
            </w:r>
            <w:r w:rsidR="00872157">
              <w:rPr>
                <w:rFonts w:asciiTheme="minorHAnsi" w:hAnsiTheme="minorHAnsi" w:cstheme="minorHAnsi"/>
                <w:lang w:bidi="th-TH"/>
              </w:rPr>
              <w:t xml:space="preserve"> </w:t>
            </w:r>
            <w:hyperlink r:id="rId26" w:history="1">
              <w:r w:rsidRPr="00872157">
                <w:rPr>
                  <w:rStyle w:val="Hyperlink"/>
                  <w:rFonts w:asciiTheme="minorHAnsi" w:hAnsiTheme="minorHAnsi" w:cstheme="minorHAnsi"/>
                  <w:u w:val="none"/>
                  <w:lang w:bidi="th-TH"/>
                </w:rPr>
                <w:t>A/74/308</w:t>
              </w:r>
            </w:hyperlink>
            <w:r w:rsidR="00F76A39">
              <w:rPr>
                <w:rStyle w:val="Hyperlink"/>
                <w:rFonts w:asciiTheme="minorHAnsi" w:hAnsiTheme="minorHAnsi" w:cstheme="minorHAnsi"/>
                <w:u w:val="none"/>
                <w:lang w:bidi="th-TH"/>
              </w:rPr>
              <w:t xml:space="preserve"> </w:t>
            </w:r>
            <w:r w:rsidR="00F76A39" w:rsidRPr="00F76A39">
              <w:rPr>
                <w:rStyle w:val="Hyperlink"/>
                <w:rFonts w:asciiTheme="minorHAnsi" w:hAnsiTheme="minorHAnsi" w:cstheme="minorHAnsi"/>
                <w:color w:val="auto"/>
                <w:u w:val="none"/>
                <w:lang w:bidi="th-TH"/>
              </w:rPr>
              <w:t>and</w:t>
            </w:r>
            <w:r w:rsidR="00F76A39">
              <w:rPr>
                <w:rStyle w:val="Hyperlink"/>
                <w:rFonts w:asciiTheme="minorHAnsi" w:hAnsiTheme="minorHAnsi" w:cstheme="minorHAnsi"/>
                <w:u w:val="none"/>
                <w:lang w:bidi="th-TH"/>
              </w:rPr>
              <w:t xml:space="preserve"> </w:t>
            </w:r>
            <w:hyperlink r:id="rId27" w:history="1">
              <w:r w:rsidR="00F76A39" w:rsidRPr="00F34E90">
                <w:rPr>
                  <w:rStyle w:val="Hyperlink"/>
                  <w:u w:val="none"/>
                </w:rPr>
                <w:t>A/75/363</w:t>
              </w:r>
            </w:hyperlink>
            <w:r w:rsidR="006D16BC">
              <w:rPr>
                <w:rFonts w:asciiTheme="minorHAnsi" w:hAnsiTheme="minorHAnsi" w:cstheme="minorHAnsi"/>
                <w:lang w:bidi="th-TH"/>
              </w:rPr>
              <w:t>)</w:t>
            </w:r>
          </w:p>
          <w:p w14:paraId="4C699FEB" w14:textId="2C4A2D45" w:rsidR="00790A3C" w:rsidRPr="00422BCE" w:rsidRDefault="00CA6F50" w:rsidP="00CE5DD3">
            <w:pPr>
              <w:numPr>
                <w:ilvl w:val="0"/>
                <w:numId w:val="20"/>
              </w:numPr>
              <w:spacing w:after="60" w:line="240" w:lineRule="auto"/>
              <w:jc w:val="both"/>
              <w:rPr>
                <w:rFonts w:asciiTheme="minorHAnsi" w:hAnsiTheme="minorHAnsi" w:cstheme="minorHAnsi"/>
                <w:color w:val="0000FF"/>
                <w:u w:val="single"/>
                <w:lang w:bidi="th-TH"/>
              </w:rPr>
            </w:pPr>
            <w:r w:rsidRPr="00672063">
              <w:rPr>
                <w:rFonts w:asciiTheme="minorHAnsi" w:hAnsiTheme="minorHAnsi" w:cstheme="minorHAnsi"/>
                <w:color w:val="000000"/>
                <w:lang w:bidi="th-TH"/>
              </w:rPr>
              <w:t>Report</w:t>
            </w:r>
            <w:r w:rsidR="00D87804">
              <w:rPr>
                <w:rFonts w:asciiTheme="minorHAnsi" w:hAnsiTheme="minorHAnsi" w:cstheme="minorHAnsi"/>
                <w:color w:val="000000"/>
                <w:lang w:bidi="th-TH"/>
              </w:rPr>
              <w:t>s</w:t>
            </w:r>
            <w:r w:rsidRPr="00672063">
              <w:rPr>
                <w:rFonts w:asciiTheme="minorHAnsi" w:hAnsiTheme="minorHAnsi" w:cstheme="minorHAnsi"/>
                <w:color w:val="000000"/>
                <w:lang w:bidi="th-TH"/>
              </w:rPr>
              <w:t xml:space="preserve"> of the Special Rapporteur on contemporary forms of racism, racial discrimination, xenophobia and related intolerance</w:t>
            </w:r>
            <w:r w:rsidR="00C2717B" w:rsidRPr="00672063">
              <w:rPr>
                <w:rFonts w:asciiTheme="minorHAnsi" w:hAnsiTheme="minorHAnsi" w:cstheme="minorHAnsi"/>
                <w:color w:val="000000"/>
                <w:lang w:bidi="th-TH"/>
              </w:rPr>
              <w:t xml:space="preserve">, </w:t>
            </w:r>
            <w:r w:rsidR="00477201">
              <w:rPr>
                <w:rFonts w:asciiTheme="minorHAnsi" w:hAnsiTheme="minorHAnsi" w:cstheme="minorHAnsi"/>
                <w:color w:val="000000"/>
                <w:lang w:bidi="th-TH"/>
              </w:rPr>
              <w:t xml:space="preserve">Ms. </w:t>
            </w:r>
            <w:proofErr w:type="spellStart"/>
            <w:r w:rsidR="00C2717B" w:rsidRPr="00672063">
              <w:rPr>
                <w:rFonts w:asciiTheme="minorHAnsi" w:hAnsiTheme="minorHAnsi" w:cstheme="minorHAnsi"/>
                <w:color w:val="000000"/>
                <w:lang w:bidi="th-TH"/>
              </w:rPr>
              <w:t>Tendayi</w:t>
            </w:r>
            <w:proofErr w:type="spellEnd"/>
            <w:r w:rsidR="00C2717B" w:rsidRPr="00672063">
              <w:rPr>
                <w:rFonts w:asciiTheme="minorHAnsi" w:hAnsiTheme="minorHAnsi" w:cstheme="minorHAnsi"/>
                <w:color w:val="000000"/>
                <w:lang w:bidi="th-TH"/>
              </w:rPr>
              <w:t xml:space="preserve"> </w:t>
            </w:r>
            <w:proofErr w:type="spellStart"/>
            <w:r w:rsidR="00C2717B" w:rsidRPr="00672063">
              <w:rPr>
                <w:rFonts w:asciiTheme="minorHAnsi" w:hAnsiTheme="minorHAnsi" w:cstheme="minorHAnsi"/>
                <w:color w:val="000000"/>
                <w:lang w:bidi="th-TH"/>
              </w:rPr>
              <w:t>Achiume</w:t>
            </w:r>
            <w:proofErr w:type="spellEnd"/>
            <w:r w:rsidR="00C2717B">
              <w:rPr>
                <w:rFonts w:asciiTheme="minorHAnsi" w:hAnsiTheme="minorHAnsi" w:cstheme="minorHAnsi"/>
                <w:color w:val="000000"/>
                <w:lang w:bidi="th-TH"/>
              </w:rPr>
              <w:t>,</w:t>
            </w:r>
            <w:r w:rsidR="00C2717B" w:rsidRPr="00672063">
              <w:rPr>
                <w:rFonts w:asciiTheme="minorHAnsi" w:hAnsiTheme="minorHAnsi" w:cstheme="minorHAnsi"/>
                <w:lang w:bidi="th-TH"/>
              </w:rPr>
              <w:t xml:space="preserve"> </w:t>
            </w:r>
            <w:r w:rsidR="00672063" w:rsidRPr="00672063">
              <w:rPr>
                <w:rFonts w:asciiTheme="minorHAnsi" w:hAnsiTheme="minorHAnsi" w:cstheme="minorHAnsi"/>
                <w:color w:val="000000"/>
                <w:lang w:bidi="th-TH"/>
              </w:rPr>
              <w:t>to the General Assembly</w:t>
            </w:r>
            <w:r w:rsidR="00C2717B">
              <w:rPr>
                <w:rFonts w:asciiTheme="minorHAnsi" w:hAnsiTheme="minorHAnsi" w:cstheme="minorHAnsi"/>
                <w:color w:val="000000"/>
                <w:lang w:bidi="th-TH"/>
              </w:rPr>
              <w:t xml:space="preserve"> </w:t>
            </w:r>
            <w:r w:rsidR="00672063" w:rsidRPr="00672063">
              <w:rPr>
                <w:rFonts w:asciiTheme="minorHAnsi" w:hAnsiTheme="minorHAnsi" w:cstheme="minorHAnsi"/>
                <w:lang w:bidi="th-TH"/>
              </w:rPr>
              <w:t xml:space="preserve">on </w:t>
            </w:r>
            <w:r w:rsidR="00C2717B">
              <w:rPr>
                <w:rFonts w:asciiTheme="minorHAnsi" w:hAnsiTheme="minorHAnsi" w:cstheme="minorHAnsi"/>
                <w:lang w:bidi="th-TH"/>
              </w:rPr>
              <w:t>c</w:t>
            </w:r>
            <w:r w:rsidR="00672063" w:rsidRPr="00672063">
              <w:rPr>
                <w:rFonts w:asciiTheme="minorHAnsi" w:hAnsiTheme="minorHAnsi" w:cstheme="minorHAnsi"/>
                <w:bCs/>
                <w:color w:val="000000"/>
                <w:lang w:eastAsia="fr-FR"/>
              </w:rPr>
              <w:t xml:space="preserve">ontemporary forms of racism, racial discrimination, xenophobia and related intolerance </w:t>
            </w:r>
            <w:r w:rsidR="00BC20E8">
              <w:rPr>
                <w:rFonts w:asciiTheme="minorHAnsi" w:hAnsiTheme="minorHAnsi" w:cstheme="minorHAnsi"/>
                <w:bCs/>
                <w:color w:val="000000"/>
                <w:lang w:eastAsia="fr-FR"/>
              </w:rPr>
              <w:t>(</w:t>
            </w:r>
            <w:hyperlink r:id="rId28" w:history="1">
              <w:r w:rsidR="00422BCE" w:rsidRPr="006A7C69">
                <w:rPr>
                  <w:rStyle w:val="Hyperlink"/>
                  <w:rFonts w:asciiTheme="minorHAnsi" w:hAnsiTheme="minorHAnsi" w:cstheme="minorHAnsi"/>
                  <w:bCs/>
                  <w:u w:val="none"/>
                  <w:lang w:eastAsia="fr-FR"/>
                </w:rPr>
                <w:t>A/75/590</w:t>
              </w:r>
            </w:hyperlink>
            <w:r w:rsidR="00422BCE">
              <w:rPr>
                <w:rFonts w:asciiTheme="minorHAnsi" w:hAnsiTheme="minorHAnsi" w:cstheme="minorHAnsi"/>
                <w:bCs/>
                <w:color w:val="000000"/>
                <w:lang w:eastAsia="fr-FR"/>
              </w:rPr>
              <w:t xml:space="preserve"> and </w:t>
            </w:r>
            <w:hyperlink r:id="rId29" w:history="1">
              <w:r w:rsidR="00BC20E8" w:rsidRPr="00872157">
                <w:rPr>
                  <w:rStyle w:val="Hyperlink"/>
                  <w:rFonts w:asciiTheme="minorHAnsi" w:hAnsiTheme="minorHAnsi" w:cstheme="minorHAnsi"/>
                  <w:bCs/>
                  <w:u w:val="none"/>
                  <w:lang w:eastAsia="fr-FR"/>
                </w:rPr>
                <w:t>A/74/321</w:t>
              </w:r>
            </w:hyperlink>
            <w:r w:rsidR="00BC20E8">
              <w:rPr>
                <w:rFonts w:asciiTheme="minorHAnsi" w:hAnsiTheme="minorHAnsi" w:cstheme="minorHAnsi"/>
                <w:bCs/>
                <w:color w:val="000000"/>
                <w:lang w:eastAsia="fr-FR"/>
              </w:rPr>
              <w:t>)</w:t>
            </w:r>
          </w:p>
          <w:p w14:paraId="44706D0C" w14:textId="46B44DAE" w:rsidR="00422BCE" w:rsidRPr="003D37BE" w:rsidRDefault="00422BCE" w:rsidP="00CE5DD3">
            <w:pPr>
              <w:numPr>
                <w:ilvl w:val="0"/>
                <w:numId w:val="20"/>
              </w:numPr>
              <w:spacing w:after="60" w:line="240" w:lineRule="auto"/>
              <w:jc w:val="both"/>
              <w:rPr>
                <w:rFonts w:asciiTheme="minorHAnsi" w:hAnsiTheme="minorHAnsi" w:cstheme="minorHAnsi"/>
                <w:color w:val="0000FF"/>
                <w:u w:val="single"/>
                <w:lang w:bidi="th-TH"/>
              </w:rPr>
            </w:pPr>
            <w:r>
              <w:rPr>
                <w:rFonts w:asciiTheme="minorHAnsi" w:hAnsiTheme="minorHAnsi" w:cstheme="minorHAnsi"/>
                <w:color w:val="000000"/>
                <w:lang w:bidi="th-TH"/>
              </w:rPr>
              <w:t xml:space="preserve">Report of the </w:t>
            </w:r>
            <w:r w:rsidRPr="00422BCE">
              <w:rPr>
                <w:rFonts w:asciiTheme="minorHAnsi" w:hAnsiTheme="minorHAnsi" w:cstheme="minorHAnsi"/>
                <w:color w:val="000000"/>
                <w:lang w:bidi="th-TH"/>
              </w:rPr>
              <w:t>Special Rapporteur on contemporary forms of racism, racial discrimination, xenophobia and related intolerance</w:t>
            </w:r>
            <w:r w:rsidR="001755C2">
              <w:rPr>
                <w:rFonts w:asciiTheme="minorHAnsi" w:hAnsiTheme="minorHAnsi" w:cstheme="minorHAnsi"/>
                <w:color w:val="000000"/>
                <w:lang w:bidi="th-TH"/>
              </w:rPr>
              <w:t xml:space="preserve">, Ms. </w:t>
            </w:r>
            <w:proofErr w:type="spellStart"/>
            <w:r w:rsidR="001755C2" w:rsidRPr="00672063">
              <w:rPr>
                <w:rFonts w:asciiTheme="minorHAnsi" w:hAnsiTheme="minorHAnsi" w:cstheme="minorHAnsi"/>
                <w:color w:val="000000"/>
                <w:lang w:bidi="th-TH"/>
              </w:rPr>
              <w:t>Tendayi</w:t>
            </w:r>
            <w:proofErr w:type="spellEnd"/>
            <w:r w:rsidR="001755C2" w:rsidRPr="00672063">
              <w:rPr>
                <w:rFonts w:asciiTheme="minorHAnsi" w:hAnsiTheme="minorHAnsi" w:cstheme="minorHAnsi"/>
                <w:color w:val="000000"/>
                <w:lang w:bidi="th-TH"/>
              </w:rPr>
              <w:t xml:space="preserve"> </w:t>
            </w:r>
            <w:proofErr w:type="spellStart"/>
            <w:r w:rsidR="001755C2" w:rsidRPr="00672063">
              <w:rPr>
                <w:rFonts w:asciiTheme="minorHAnsi" w:hAnsiTheme="minorHAnsi" w:cstheme="minorHAnsi"/>
                <w:color w:val="000000"/>
                <w:lang w:bidi="th-TH"/>
              </w:rPr>
              <w:t>Achiume</w:t>
            </w:r>
            <w:proofErr w:type="spellEnd"/>
            <w:r w:rsidR="001755C2">
              <w:rPr>
                <w:rFonts w:asciiTheme="minorHAnsi" w:hAnsiTheme="minorHAnsi" w:cstheme="minorHAnsi"/>
                <w:color w:val="000000"/>
                <w:lang w:bidi="th-TH"/>
              </w:rPr>
              <w:t xml:space="preserve">, </w:t>
            </w:r>
            <w:r w:rsidR="00414311">
              <w:rPr>
                <w:rFonts w:asciiTheme="minorHAnsi" w:hAnsiTheme="minorHAnsi" w:cstheme="minorHAnsi"/>
                <w:color w:val="000000"/>
                <w:lang w:bidi="th-TH"/>
              </w:rPr>
              <w:t>on r</w:t>
            </w:r>
            <w:r w:rsidR="00414311" w:rsidRPr="00414311">
              <w:rPr>
                <w:rFonts w:asciiTheme="minorHAnsi" w:hAnsiTheme="minorHAnsi" w:cstheme="minorHAnsi"/>
                <w:color w:val="000000"/>
                <w:lang w:bidi="th-TH"/>
              </w:rPr>
              <w:t>acial discrimination and emerging digital technologies: a human rights analysis</w:t>
            </w:r>
            <w:r w:rsidR="00414311">
              <w:rPr>
                <w:rFonts w:asciiTheme="minorHAnsi" w:hAnsiTheme="minorHAnsi" w:cstheme="minorHAnsi"/>
                <w:color w:val="000000"/>
                <w:lang w:bidi="th-TH"/>
              </w:rPr>
              <w:t xml:space="preserve"> </w:t>
            </w:r>
            <w:r w:rsidR="001755C2">
              <w:rPr>
                <w:rFonts w:asciiTheme="minorHAnsi" w:hAnsiTheme="minorHAnsi" w:cstheme="minorHAnsi"/>
                <w:color w:val="000000"/>
                <w:lang w:bidi="th-TH"/>
              </w:rPr>
              <w:t>(</w:t>
            </w:r>
            <w:hyperlink r:id="rId30" w:history="1">
              <w:r w:rsidRPr="00414311">
                <w:rPr>
                  <w:rStyle w:val="Hyperlink"/>
                  <w:rFonts w:asciiTheme="minorHAnsi" w:hAnsiTheme="minorHAnsi" w:cstheme="minorHAnsi"/>
                  <w:u w:val="none"/>
                  <w:lang w:bidi="th-TH"/>
                </w:rPr>
                <w:t>A/HRC/44/57</w:t>
              </w:r>
            </w:hyperlink>
            <w:r w:rsidR="001755C2">
              <w:rPr>
                <w:rFonts w:asciiTheme="minorHAnsi" w:hAnsiTheme="minorHAnsi" w:cstheme="minorHAnsi"/>
                <w:color w:val="000000"/>
                <w:lang w:bidi="th-TH"/>
              </w:rPr>
              <w:t>)</w:t>
            </w:r>
          </w:p>
          <w:p w14:paraId="68D8C4B3" w14:textId="1B2E6456" w:rsidR="003D37BE" w:rsidRPr="004C1CD2" w:rsidRDefault="003D37BE" w:rsidP="00CE5DD3">
            <w:pPr>
              <w:numPr>
                <w:ilvl w:val="0"/>
                <w:numId w:val="20"/>
              </w:numPr>
              <w:spacing w:after="60" w:line="240" w:lineRule="auto"/>
              <w:jc w:val="both"/>
              <w:rPr>
                <w:rFonts w:asciiTheme="minorHAnsi" w:hAnsiTheme="minorHAnsi" w:cstheme="minorHAnsi"/>
                <w:color w:val="0000FF"/>
                <w:u w:val="single"/>
                <w:lang w:bidi="th-TH"/>
              </w:rPr>
            </w:pPr>
            <w:r>
              <w:rPr>
                <w:rFonts w:asciiTheme="minorHAnsi" w:hAnsiTheme="minorHAnsi" w:cstheme="minorHAnsi"/>
                <w:color w:val="000000"/>
                <w:lang w:bidi="th-TH"/>
              </w:rPr>
              <w:t xml:space="preserve">Reports of the </w:t>
            </w:r>
            <w:r w:rsidRPr="003D37BE">
              <w:rPr>
                <w:rFonts w:asciiTheme="minorHAnsi" w:hAnsiTheme="minorHAnsi" w:cstheme="minorHAnsi"/>
                <w:color w:val="000000"/>
                <w:lang w:bidi="th-TH"/>
              </w:rPr>
              <w:t>Working Group of Experts on People of African Descent</w:t>
            </w:r>
            <w:r>
              <w:rPr>
                <w:rFonts w:asciiTheme="minorHAnsi" w:hAnsiTheme="minorHAnsi" w:cstheme="minorHAnsi"/>
                <w:color w:val="000000"/>
                <w:lang w:bidi="th-TH"/>
              </w:rPr>
              <w:t xml:space="preserve"> to the General Assembly and Human Rights Council (</w:t>
            </w:r>
            <w:hyperlink r:id="rId31" w:tgtFrame="_blank" w:history="1">
              <w:r w:rsidRPr="005D1201">
                <w:rPr>
                  <w:rStyle w:val="Hyperlink"/>
                  <w:u w:val="none"/>
                </w:rPr>
                <w:t>A/75/275</w:t>
              </w:r>
            </w:hyperlink>
            <w:r>
              <w:t xml:space="preserve">, </w:t>
            </w:r>
            <w:hyperlink r:id="rId32" w:history="1">
              <w:r w:rsidR="0008695D" w:rsidRPr="005D1201">
                <w:rPr>
                  <w:rStyle w:val="Hyperlink"/>
                  <w:u w:val="none"/>
                </w:rPr>
                <w:t>A/74/274</w:t>
              </w:r>
            </w:hyperlink>
            <w:r w:rsidR="0008695D">
              <w:t xml:space="preserve">, </w:t>
            </w:r>
            <w:hyperlink r:id="rId33" w:history="1">
              <w:r w:rsidRPr="005D1201">
                <w:rPr>
                  <w:rStyle w:val="Hyperlink"/>
                  <w:u w:val="none"/>
                </w:rPr>
                <w:t>A/HRC/45/44</w:t>
              </w:r>
            </w:hyperlink>
            <w:r w:rsidR="0008695D">
              <w:t>,</w:t>
            </w:r>
            <w:r>
              <w:t xml:space="preserve"> </w:t>
            </w:r>
            <w:hyperlink r:id="rId34" w:history="1">
              <w:r w:rsidR="0008695D" w:rsidRPr="005D1201">
                <w:rPr>
                  <w:rStyle w:val="Hyperlink"/>
                  <w:u w:val="none"/>
                </w:rPr>
                <w:t>A/HRC/42/59</w:t>
              </w:r>
            </w:hyperlink>
            <w:r w:rsidR="0008695D" w:rsidRPr="005D1201">
              <w:t xml:space="preserve">, </w:t>
            </w:r>
            <w:hyperlink r:id="rId35" w:history="1">
              <w:r w:rsidR="0008695D" w:rsidRPr="005D1201">
                <w:rPr>
                  <w:rStyle w:val="Hyperlink"/>
                  <w:u w:val="none"/>
                </w:rPr>
                <w:t>A/HRC/39/69</w:t>
              </w:r>
            </w:hyperlink>
            <w:r w:rsidR="0008695D">
              <w:t>)</w:t>
            </w:r>
          </w:p>
        </w:tc>
      </w:tr>
    </w:tbl>
    <w:p w14:paraId="73AC2ED1" w14:textId="77777777" w:rsidR="00B243C4" w:rsidRPr="00672063" w:rsidRDefault="00B243C4" w:rsidP="00CE5DD3">
      <w:pPr>
        <w:spacing w:after="0" w:line="240" w:lineRule="auto"/>
        <w:rPr>
          <w:rFonts w:asciiTheme="minorHAnsi" w:hAnsiTheme="minorHAnsi" w:cstheme="minorHAnsi"/>
        </w:rPr>
      </w:pPr>
    </w:p>
    <w:sectPr w:rsidR="00B243C4" w:rsidRPr="00672063" w:rsidSect="00246AF0">
      <w:footerReference w:type="default" r:id="rId36"/>
      <w:pgSz w:w="11906" w:h="16838"/>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0A5A3" w14:textId="77777777" w:rsidR="00844AF2" w:rsidRDefault="00844AF2" w:rsidP="007A3888">
      <w:pPr>
        <w:spacing w:after="0" w:line="240" w:lineRule="auto"/>
      </w:pPr>
      <w:r>
        <w:separator/>
      </w:r>
    </w:p>
  </w:endnote>
  <w:endnote w:type="continuationSeparator" w:id="0">
    <w:p w14:paraId="79296F3E" w14:textId="77777777" w:rsidR="00844AF2" w:rsidRDefault="00844AF2" w:rsidP="007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93BC5" w14:textId="5ED4ACD3" w:rsidR="00BC20E8" w:rsidRPr="00B16DB1" w:rsidRDefault="00BC20E8">
    <w:pPr>
      <w:pStyle w:val="Footer"/>
      <w:jc w:val="right"/>
      <w:rPr>
        <w:sz w:val="21"/>
        <w:szCs w:val="21"/>
      </w:rPr>
    </w:pPr>
    <w:r w:rsidRPr="00B16DB1">
      <w:rPr>
        <w:sz w:val="21"/>
        <w:szCs w:val="21"/>
      </w:rPr>
      <w:fldChar w:fldCharType="begin"/>
    </w:r>
    <w:r w:rsidRPr="00B16DB1">
      <w:rPr>
        <w:sz w:val="21"/>
        <w:szCs w:val="21"/>
      </w:rPr>
      <w:instrText xml:space="preserve"> PAGE   \* MERGEFORMAT </w:instrText>
    </w:r>
    <w:r w:rsidRPr="00B16DB1">
      <w:rPr>
        <w:sz w:val="21"/>
        <w:szCs w:val="21"/>
      </w:rPr>
      <w:fldChar w:fldCharType="separate"/>
    </w:r>
    <w:r w:rsidR="00105A99">
      <w:rPr>
        <w:noProof/>
        <w:sz w:val="21"/>
        <w:szCs w:val="21"/>
      </w:rPr>
      <w:t>3</w:t>
    </w:r>
    <w:r w:rsidRPr="00B16DB1">
      <w:rPr>
        <w:noProof/>
        <w:sz w:val="21"/>
        <w:szCs w:val="21"/>
      </w:rPr>
      <w:fldChar w:fldCharType="end"/>
    </w:r>
  </w:p>
  <w:p w14:paraId="1616E137" w14:textId="77777777" w:rsidR="00BC20E8" w:rsidRDefault="00B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D08E7" w14:textId="77777777" w:rsidR="00844AF2" w:rsidRDefault="00844AF2" w:rsidP="007A3888">
      <w:pPr>
        <w:spacing w:after="0" w:line="240" w:lineRule="auto"/>
      </w:pPr>
      <w:r>
        <w:separator/>
      </w:r>
    </w:p>
  </w:footnote>
  <w:footnote w:type="continuationSeparator" w:id="0">
    <w:p w14:paraId="5EC2ECF3" w14:textId="77777777" w:rsidR="00844AF2" w:rsidRDefault="00844AF2" w:rsidP="007A3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AA8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D403C"/>
    <w:multiLevelType w:val="hybridMultilevel"/>
    <w:tmpl w:val="06B4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F3BC1"/>
    <w:multiLevelType w:val="hybridMultilevel"/>
    <w:tmpl w:val="1BB68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07529F"/>
    <w:multiLevelType w:val="hybridMultilevel"/>
    <w:tmpl w:val="C39A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A207A"/>
    <w:multiLevelType w:val="hybridMultilevel"/>
    <w:tmpl w:val="3E8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F5D53"/>
    <w:multiLevelType w:val="hybridMultilevel"/>
    <w:tmpl w:val="161A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F577C"/>
    <w:multiLevelType w:val="hybridMultilevel"/>
    <w:tmpl w:val="F364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990BE2"/>
    <w:multiLevelType w:val="hybridMultilevel"/>
    <w:tmpl w:val="A0046268"/>
    <w:lvl w:ilvl="0" w:tplc="2C74AFB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A7F52"/>
    <w:multiLevelType w:val="hybridMultilevel"/>
    <w:tmpl w:val="78EEAD6A"/>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5" w15:restartNumberingAfterBreak="0">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3B180A"/>
    <w:multiLevelType w:val="hybridMultilevel"/>
    <w:tmpl w:val="240AD69A"/>
    <w:lvl w:ilvl="0" w:tplc="53CE978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3969D4"/>
    <w:multiLevelType w:val="hybridMultilevel"/>
    <w:tmpl w:val="80A2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40391"/>
    <w:multiLevelType w:val="hybridMultilevel"/>
    <w:tmpl w:val="7E227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2"/>
  </w:num>
  <w:num w:numId="5">
    <w:abstractNumId w:val="20"/>
  </w:num>
  <w:num w:numId="6">
    <w:abstractNumId w:val="18"/>
  </w:num>
  <w:num w:numId="7">
    <w:abstractNumId w:val="8"/>
  </w:num>
  <w:num w:numId="8">
    <w:abstractNumId w:val="15"/>
  </w:num>
  <w:num w:numId="9">
    <w:abstractNumId w:val="19"/>
  </w:num>
  <w:num w:numId="10">
    <w:abstractNumId w:val="11"/>
  </w:num>
  <w:num w:numId="11">
    <w:abstractNumId w:val="0"/>
  </w:num>
  <w:num w:numId="12">
    <w:abstractNumId w:val="12"/>
  </w:num>
  <w:num w:numId="13">
    <w:abstractNumId w:val="10"/>
  </w:num>
  <w:num w:numId="14">
    <w:abstractNumId w:val="14"/>
  </w:num>
  <w:num w:numId="15">
    <w:abstractNumId w:val="4"/>
  </w:num>
  <w:num w:numId="16">
    <w:abstractNumId w:val="17"/>
  </w:num>
  <w:num w:numId="17">
    <w:abstractNumId w:val="6"/>
  </w:num>
  <w:num w:numId="18">
    <w:abstractNumId w:val="9"/>
  </w:num>
  <w:num w:numId="19">
    <w:abstractNumId w:val="7"/>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00"/>
    <w:rsid w:val="00002521"/>
    <w:rsid w:val="00003832"/>
    <w:rsid w:val="00004B8F"/>
    <w:rsid w:val="00006278"/>
    <w:rsid w:val="0001020D"/>
    <w:rsid w:val="000104C4"/>
    <w:rsid w:val="0001114B"/>
    <w:rsid w:val="00016846"/>
    <w:rsid w:val="00016D30"/>
    <w:rsid w:val="00020618"/>
    <w:rsid w:val="00021294"/>
    <w:rsid w:val="0002301F"/>
    <w:rsid w:val="00027537"/>
    <w:rsid w:val="00034E8F"/>
    <w:rsid w:val="00046108"/>
    <w:rsid w:val="0004710B"/>
    <w:rsid w:val="000472CB"/>
    <w:rsid w:val="00047363"/>
    <w:rsid w:val="000509D4"/>
    <w:rsid w:val="00053040"/>
    <w:rsid w:val="00053C01"/>
    <w:rsid w:val="00053E33"/>
    <w:rsid w:val="00054680"/>
    <w:rsid w:val="00057B7C"/>
    <w:rsid w:val="00057E28"/>
    <w:rsid w:val="00057EEB"/>
    <w:rsid w:val="00061C8B"/>
    <w:rsid w:val="00062C4F"/>
    <w:rsid w:val="00063DDA"/>
    <w:rsid w:val="000704D9"/>
    <w:rsid w:val="00070656"/>
    <w:rsid w:val="00072AD9"/>
    <w:rsid w:val="00074FDA"/>
    <w:rsid w:val="00085EF9"/>
    <w:rsid w:val="0008695D"/>
    <w:rsid w:val="000923B1"/>
    <w:rsid w:val="00093E87"/>
    <w:rsid w:val="0009607E"/>
    <w:rsid w:val="00096A40"/>
    <w:rsid w:val="00097772"/>
    <w:rsid w:val="000A00F3"/>
    <w:rsid w:val="000A024D"/>
    <w:rsid w:val="000A5F9E"/>
    <w:rsid w:val="000B0B46"/>
    <w:rsid w:val="000B2FEF"/>
    <w:rsid w:val="000B3099"/>
    <w:rsid w:val="000B311F"/>
    <w:rsid w:val="000B555E"/>
    <w:rsid w:val="000B65C0"/>
    <w:rsid w:val="000C73C6"/>
    <w:rsid w:val="000D1FA4"/>
    <w:rsid w:val="000D6DE4"/>
    <w:rsid w:val="000D7B80"/>
    <w:rsid w:val="000E782B"/>
    <w:rsid w:val="00100FEA"/>
    <w:rsid w:val="00105A99"/>
    <w:rsid w:val="00107630"/>
    <w:rsid w:val="00110CCC"/>
    <w:rsid w:val="00111138"/>
    <w:rsid w:val="00111E02"/>
    <w:rsid w:val="00116614"/>
    <w:rsid w:val="00117C86"/>
    <w:rsid w:val="00120A35"/>
    <w:rsid w:val="00126A10"/>
    <w:rsid w:val="00132FBA"/>
    <w:rsid w:val="001354B2"/>
    <w:rsid w:val="00144F7C"/>
    <w:rsid w:val="00146703"/>
    <w:rsid w:val="00151170"/>
    <w:rsid w:val="001511B7"/>
    <w:rsid w:val="00154D1D"/>
    <w:rsid w:val="0015503C"/>
    <w:rsid w:val="00156557"/>
    <w:rsid w:val="0017272C"/>
    <w:rsid w:val="00172828"/>
    <w:rsid w:val="001734A1"/>
    <w:rsid w:val="001755C2"/>
    <w:rsid w:val="001828DE"/>
    <w:rsid w:val="001839B0"/>
    <w:rsid w:val="00183B5D"/>
    <w:rsid w:val="001841C1"/>
    <w:rsid w:val="00185ED4"/>
    <w:rsid w:val="00186778"/>
    <w:rsid w:val="00191CC4"/>
    <w:rsid w:val="0019287A"/>
    <w:rsid w:val="001944FD"/>
    <w:rsid w:val="001A2D7C"/>
    <w:rsid w:val="001A4C5B"/>
    <w:rsid w:val="001B0D0A"/>
    <w:rsid w:val="001B490D"/>
    <w:rsid w:val="001B6DF2"/>
    <w:rsid w:val="001B78D9"/>
    <w:rsid w:val="001C3E42"/>
    <w:rsid w:val="001C6A41"/>
    <w:rsid w:val="001C6B1E"/>
    <w:rsid w:val="001C7A07"/>
    <w:rsid w:val="001D2F03"/>
    <w:rsid w:val="001D7FE6"/>
    <w:rsid w:val="001E1669"/>
    <w:rsid w:val="001E26DB"/>
    <w:rsid w:val="001F1A93"/>
    <w:rsid w:val="00200734"/>
    <w:rsid w:val="00212589"/>
    <w:rsid w:val="00216DBA"/>
    <w:rsid w:val="002179DD"/>
    <w:rsid w:val="00223871"/>
    <w:rsid w:val="002270D7"/>
    <w:rsid w:val="0023127D"/>
    <w:rsid w:val="002312D3"/>
    <w:rsid w:val="002326D9"/>
    <w:rsid w:val="00235721"/>
    <w:rsid w:val="00242C65"/>
    <w:rsid w:val="00243AF3"/>
    <w:rsid w:val="00244EFA"/>
    <w:rsid w:val="00245AA9"/>
    <w:rsid w:val="00246AF0"/>
    <w:rsid w:val="00247B40"/>
    <w:rsid w:val="002570D9"/>
    <w:rsid w:val="002623DB"/>
    <w:rsid w:val="00263907"/>
    <w:rsid w:val="00264703"/>
    <w:rsid w:val="00265057"/>
    <w:rsid w:val="00265646"/>
    <w:rsid w:val="00266004"/>
    <w:rsid w:val="00274E5A"/>
    <w:rsid w:val="0027608D"/>
    <w:rsid w:val="002768A9"/>
    <w:rsid w:val="002777A1"/>
    <w:rsid w:val="00285D26"/>
    <w:rsid w:val="002872C0"/>
    <w:rsid w:val="002905B6"/>
    <w:rsid w:val="00291C58"/>
    <w:rsid w:val="00294966"/>
    <w:rsid w:val="002A0275"/>
    <w:rsid w:val="002A1D83"/>
    <w:rsid w:val="002A25DA"/>
    <w:rsid w:val="002A3FCD"/>
    <w:rsid w:val="002C0DA2"/>
    <w:rsid w:val="002C106D"/>
    <w:rsid w:val="002C2BA2"/>
    <w:rsid w:val="002C4681"/>
    <w:rsid w:val="002D0049"/>
    <w:rsid w:val="002D5247"/>
    <w:rsid w:val="002D661D"/>
    <w:rsid w:val="002E3EC9"/>
    <w:rsid w:val="002F00F7"/>
    <w:rsid w:val="002F2745"/>
    <w:rsid w:val="002F322C"/>
    <w:rsid w:val="002F365B"/>
    <w:rsid w:val="002F4C57"/>
    <w:rsid w:val="00301CCA"/>
    <w:rsid w:val="003025A7"/>
    <w:rsid w:val="003052C9"/>
    <w:rsid w:val="003052CD"/>
    <w:rsid w:val="00306131"/>
    <w:rsid w:val="00306776"/>
    <w:rsid w:val="003077D0"/>
    <w:rsid w:val="00310A9D"/>
    <w:rsid w:val="0031199A"/>
    <w:rsid w:val="0031204D"/>
    <w:rsid w:val="003122B9"/>
    <w:rsid w:val="00312386"/>
    <w:rsid w:val="00312D24"/>
    <w:rsid w:val="00317714"/>
    <w:rsid w:val="003217ED"/>
    <w:rsid w:val="00326158"/>
    <w:rsid w:val="00342702"/>
    <w:rsid w:val="00342798"/>
    <w:rsid w:val="00344F2A"/>
    <w:rsid w:val="0034616B"/>
    <w:rsid w:val="00347492"/>
    <w:rsid w:val="0035017D"/>
    <w:rsid w:val="00361A41"/>
    <w:rsid w:val="003654EB"/>
    <w:rsid w:val="0036725A"/>
    <w:rsid w:val="00367746"/>
    <w:rsid w:val="00370A36"/>
    <w:rsid w:val="00373FF7"/>
    <w:rsid w:val="00377D14"/>
    <w:rsid w:val="003917AE"/>
    <w:rsid w:val="00391B3C"/>
    <w:rsid w:val="00394493"/>
    <w:rsid w:val="00395F7B"/>
    <w:rsid w:val="003A0461"/>
    <w:rsid w:val="003A23B7"/>
    <w:rsid w:val="003A6E64"/>
    <w:rsid w:val="003B2EF1"/>
    <w:rsid w:val="003B36A3"/>
    <w:rsid w:val="003B47BC"/>
    <w:rsid w:val="003B6BA8"/>
    <w:rsid w:val="003C1E84"/>
    <w:rsid w:val="003C4221"/>
    <w:rsid w:val="003C45C1"/>
    <w:rsid w:val="003C48A8"/>
    <w:rsid w:val="003C6E1D"/>
    <w:rsid w:val="003D149F"/>
    <w:rsid w:val="003D14A0"/>
    <w:rsid w:val="003D2235"/>
    <w:rsid w:val="003D37BE"/>
    <w:rsid w:val="003D6514"/>
    <w:rsid w:val="003F6DA8"/>
    <w:rsid w:val="003F7504"/>
    <w:rsid w:val="00401B45"/>
    <w:rsid w:val="00410A35"/>
    <w:rsid w:val="00411831"/>
    <w:rsid w:val="00412508"/>
    <w:rsid w:val="00414311"/>
    <w:rsid w:val="00420984"/>
    <w:rsid w:val="00422BCE"/>
    <w:rsid w:val="0042306F"/>
    <w:rsid w:val="00423A46"/>
    <w:rsid w:val="00423FD6"/>
    <w:rsid w:val="004264CA"/>
    <w:rsid w:val="00432F57"/>
    <w:rsid w:val="0043670E"/>
    <w:rsid w:val="004405CE"/>
    <w:rsid w:val="004416F1"/>
    <w:rsid w:val="00441FA3"/>
    <w:rsid w:val="0044317B"/>
    <w:rsid w:val="00443C70"/>
    <w:rsid w:val="00445253"/>
    <w:rsid w:val="004500E9"/>
    <w:rsid w:val="00450108"/>
    <w:rsid w:val="004546C4"/>
    <w:rsid w:val="00454E73"/>
    <w:rsid w:val="0045524F"/>
    <w:rsid w:val="00455EA6"/>
    <w:rsid w:val="00455EB3"/>
    <w:rsid w:val="00456BB5"/>
    <w:rsid w:val="00457E42"/>
    <w:rsid w:val="0046095A"/>
    <w:rsid w:val="00465829"/>
    <w:rsid w:val="00471E26"/>
    <w:rsid w:val="0047352A"/>
    <w:rsid w:val="00476084"/>
    <w:rsid w:val="00477201"/>
    <w:rsid w:val="0048604E"/>
    <w:rsid w:val="00490BD5"/>
    <w:rsid w:val="0049118F"/>
    <w:rsid w:val="00493EB5"/>
    <w:rsid w:val="00494481"/>
    <w:rsid w:val="0049657D"/>
    <w:rsid w:val="004A032C"/>
    <w:rsid w:val="004A27F1"/>
    <w:rsid w:val="004A326D"/>
    <w:rsid w:val="004A70C2"/>
    <w:rsid w:val="004A7BB7"/>
    <w:rsid w:val="004B4D0E"/>
    <w:rsid w:val="004B4DE1"/>
    <w:rsid w:val="004B71D0"/>
    <w:rsid w:val="004C0BE3"/>
    <w:rsid w:val="004C1462"/>
    <w:rsid w:val="004C16E1"/>
    <w:rsid w:val="004C1CD2"/>
    <w:rsid w:val="004C433E"/>
    <w:rsid w:val="004C72D9"/>
    <w:rsid w:val="004D5460"/>
    <w:rsid w:val="004D7AF3"/>
    <w:rsid w:val="004D7F56"/>
    <w:rsid w:val="004E42FC"/>
    <w:rsid w:val="004E4C39"/>
    <w:rsid w:val="004F1C94"/>
    <w:rsid w:val="004F3710"/>
    <w:rsid w:val="00503436"/>
    <w:rsid w:val="00504C50"/>
    <w:rsid w:val="00510FC3"/>
    <w:rsid w:val="0051144A"/>
    <w:rsid w:val="00522C0F"/>
    <w:rsid w:val="00524623"/>
    <w:rsid w:val="00527003"/>
    <w:rsid w:val="005427B2"/>
    <w:rsid w:val="005439DB"/>
    <w:rsid w:val="00544EC4"/>
    <w:rsid w:val="00554C97"/>
    <w:rsid w:val="00556E1F"/>
    <w:rsid w:val="0057184D"/>
    <w:rsid w:val="00572CB4"/>
    <w:rsid w:val="0057661B"/>
    <w:rsid w:val="0057776B"/>
    <w:rsid w:val="00580BE7"/>
    <w:rsid w:val="00583302"/>
    <w:rsid w:val="00584FDA"/>
    <w:rsid w:val="005908B3"/>
    <w:rsid w:val="00592CCC"/>
    <w:rsid w:val="005B0E86"/>
    <w:rsid w:val="005B1082"/>
    <w:rsid w:val="005B423D"/>
    <w:rsid w:val="005B42B5"/>
    <w:rsid w:val="005B6081"/>
    <w:rsid w:val="005B7456"/>
    <w:rsid w:val="005B7522"/>
    <w:rsid w:val="005C4706"/>
    <w:rsid w:val="005C50D1"/>
    <w:rsid w:val="005C74B7"/>
    <w:rsid w:val="005D1201"/>
    <w:rsid w:val="005D47A2"/>
    <w:rsid w:val="005D4B01"/>
    <w:rsid w:val="005E0998"/>
    <w:rsid w:val="005E5324"/>
    <w:rsid w:val="005E629E"/>
    <w:rsid w:val="005E7D06"/>
    <w:rsid w:val="005F0644"/>
    <w:rsid w:val="005F2288"/>
    <w:rsid w:val="005F42CF"/>
    <w:rsid w:val="005F6FAB"/>
    <w:rsid w:val="00601BCF"/>
    <w:rsid w:val="00604E70"/>
    <w:rsid w:val="00606C13"/>
    <w:rsid w:val="0061333D"/>
    <w:rsid w:val="006179ED"/>
    <w:rsid w:val="00620E26"/>
    <w:rsid w:val="006251B4"/>
    <w:rsid w:val="00626A42"/>
    <w:rsid w:val="00645255"/>
    <w:rsid w:val="00645BD4"/>
    <w:rsid w:val="00647745"/>
    <w:rsid w:val="00647CA3"/>
    <w:rsid w:val="00655CBE"/>
    <w:rsid w:val="006604BC"/>
    <w:rsid w:val="00663EB5"/>
    <w:rsid w:val="006662CF"/>
    <w:rsid w:val="00666A3F"/>
    <w:rsid w:val="00666AAE"/>
    <w:rsid w:val="0066792E"/>
    <w:rsid w:val="00672063"/>
    <w:rsid w:val="006721B6"/>
    <w:rsid w:val="00672EDC"/>
    <w:rsid w:val="00683946"/>
    <w:rsid w:val="0068560E"/>
    <w:rsid w:val="006860EC"/>
    <w:rsid w:val="00690D55"/>
    <w:rsid w:val="00694A68"/>
    <w:rsid w:val="0069535B"/>
    <w:rsid w:val="0069728D"/>
    <w:rsid w:val="006A0190"/>
    <w:rsid w:val="006A248D"/>
    <w:rsid w:val="006A7C69"/>
    <w:rsid w:val="006A7C7D"/>
    <w:rsid w:val="006B29DC"/>
    <w:rsid w:val="006B34E2"/>
    <w:rsid w:val="006B5CAE"/>
    <w:rsid w:val="006B6E9A"/>
    <w:rsid w:val="006C05E7"/>
    <w:rsid w:val="006C0A61"/>
    <w:rsid w:val="006C4606"/>
    <w:rsid w:val="006C6F79"/>
    <w:rsid w:val="006D04B0"/>
    <w:rsid w:val="006D16BC"/>
    <w:rsid w:val="006D25F1"/>
    <w:rsid w:val="006D6B08"/>
    <w:rsid w:val="006E0AC5"/>
    <w:rsid w:val="006E6040"/>
    <w:rsid w:val="006E61D8"/>
    <w:rsid w:val="006F296D"/>
    <w:rsid w:val="006F3B85"/>
    <w:rsid w:val="006F3E31"/>
    <w:rsid w:val="00700D4B"/>
    <w:rsid w:val="00704151"/>
    <w:rsid w:val="00704730"/>
    <w:rsid w:val="007072ED"/>
    <w:rsid w:val="007119A7"/>
    <w:rsid w:val="00720138"/>
    <w:rsid w:val="00720B2E"/>
    <w:rsid w:val="00736034"/>
    <w:rsid w:val="0074088B"/>
    <w:rsid w:val="007432C1"/>
    <w:rsid w:val="00746AA5"/>
    <w:rsid w:val="00754A7C"/>
    <w:rsid w:val="00764A40"/>
    <w:rsid w:val="0077628B"/>
    <w:rsid w:val="00781143"/>
    <w:rsid w:val="00786A4E"/>
    <w:rsid w:val="00790A3C"/>
    <w:rsid w:val="00791462"/>
    <w:rsid w:val="00793CB2"/>
    <w:rsid w:val="00794AC5"/>
    <w:rsid w:val="00796828"/>
    <w:rsid w:val="007A09C9"/>
    <w:rsid w:val="007A34B8"/>
    <w:rsid w:val="007A3888"/>
    <w:rsid w:val="007A3898"/>
    <w:rsid w:val="007A52DD"/>
    <w:rsid w:val="007B0804"/>
    <w:rsid w:val="007B1492"/>
    <w:rsid w:val="007B1CB6"/>
    <w:rsid w:val="007B35BA"/>
    <w:rsid w:val="007B7E96"/>
    <w:rsid w:val="007C08DE"/>
    <w:rsid w:val="007C4EDD"/>
    <w:rsid w:val="007C6AB4"/>
    <w:rsid w:val="007D06D4"/>
    <w:rsid w:val="007D3596"/>
    <w:rsid w:val="007D3AB1"/>
    <w:rsid w:val="007E394F"/>
    <w:rsid w:val="007E5BC2"/>
    <w:rsid w:val="007F0BC2"/>
    <w:rsid w:val="007F2535"/>
    <w:rsid w:val="007F2D95"/>
    <w:rsid w:val="007F521B"/>
    <w:rsid w:val="007F5E5F"/>
    <w:rsid w:val="008003A1"/>
    <w:rsid w:val="00806D38"/>
    <w:rsid w:val="008108E4"/>
    <w:rsid w:val="008122A4"/>
    <w:rsid w:val="008175AD"/>
    <w:rsid w:val="00822430"/>
    <w:rsid w:val="00827861"/>
    <w:rsid w:val="00830D88"/>
    <w:rsid w:val="00836087"/>
    <w:rsid w:val="008446F2"/>
    <w:rsid w:val="00844800"/>
    <w:rsid w:val="00844AF2"/>
    <w:rsid w:val="00850855"/>
    <w:rsid w:val="00850B60"/>
    <w:rsid w:val="00850BF0"/>
    <w:rsid w:val="0085119A"/>
    <w:rsid w:val="00854E71"/>
    <w:rsid w:val="00862E2A"/>
    <w:rsid w:val="0086634E"/>
    <w:rsid w:val="00871BE5"/>
    <w:rsid w:val="00872157"/>
    <w:rsid w:val="008751A9"/>
    <w:rsid w:val="008760DA"/>
    <w:rsid w:val="00883B76"/>
    <w:rsid w:val="008914DA"/>
    <w:rsid w:val="00891E6A"/>
    <w:rsid w:val="008923A6"/>
    <w:rsid w:val="008923F8"/>
    <w:rsid w:val="008A2DFC"/>
    <w:rsid w:val="008A41EF"/>
    <w:rsid w:val="008B35DB"/>
    <w:rsid w:val="008B4B02"/>
    <w:rsid w:val="008B4D68"/>
    <w:rsid w:val="008B7F1C"/>
    <w:rsid w:val="008C534B"/>
    <w:rsid w:val="008C715A"/>
    <w:rsid w:val="008C740F"/>
    <w:rsid w:val="008D3918"/>
    <w:rsid w:val="008D627C"/>
    <w:rsid w:val="008E4DA7"/>
    <w:rsid w:val="008F1C03"/>
    <w:rsid w:val="008F6065"/>
    <w:rsid w:val="00900187"/>
    <w:rsid w:val="009071D5"/>
    <w:rsid w:val="009120ED"/>
    <w:rsid w:val="00913C04"/>
    <w:rsid w:val="0092097C"/>
    <w:rsid w:val="00924B5C"/>
    <w:rsid w:val="00925D6E"/>
    <w:rsid w:val="00926532"/>
    <w:rsid w:val="009315CE"/>
    <w:rsid w:val="009402C5"/>
    <w:rsid w:val="00956BFE"/>
    <w:rsid w:val="00960A42"/>
    <w:rsid w:val="00960FB7"/>
    <w:rsid w:val="00961A16"/>
    <w:rsid w:val="00964322"/>
    <w:rsid w:val="009658FD"/>
    <w:rsid w:val="009700E4"/>
    <w:rsid w:val="00971115"/>
    <w:rsid w:val="009813D7"/>
    <w:rsid w:val="009814B2"/>
    <w:rsid w:val="00981ECC"/>
    <w:rsid w:val="00984F16"/>
    <w:rsid w:val="009855BD"/>
    <w:rsid w:val="009A1F18"/>
    <w:rsid w:val="009A3875"/>
    <w:rsid w:val="009A3B7D"/>
    <w:rsid w:val="009B645E"/>
    <w:rsid w:val="009C0CA0"/>
    <w:rsid w:val="009D061B"/>
    <w:rsid w:val="009D4EBD"/>
    <w:rsid w:val="009D6FE7"/>
    <w:rsid w:val="009D75E4"/>
    <w:rsid w:val="009E0730"/>
    <w:rsid w:val="009E1CD4"/>
    <w:rsid w:val="009E2FC8"/>
    <w:rsid w:val="009F12AB"/>
    <w:rsid w:val="009F30FA"/>
    <w:rsid w:val="009F37F4"/>
    <w:rsid w:val="009F4193"/>
    <w:rsid w:val="009F6C21"/>
    <w:rsid w:val="00A00926"/>
    <w:rsid w:val="00A015C1"/>
    <w:rsid w:val="00A073D6"/>
    <w:rsid w:val="00A10B55"/>
    <w:rsid w:val="00A12094"/>
    <w:rsid w:val="00A157F0"/>
    <w:rsid w:val="00A158A7"/>
    <w:rsid w:val="00A165E4"/>
    <w:rsid w:val="00A21608"/>
    <w:rsid w:val="00A22A20"/>
    <w:rsid w:val="00A22D52"/>
    <w:rsid w:val="00A2440C"/>
    <w:rsid w:val="00A31440"/>
    <w:rsid w:val="00A41176"/>
    <w:rsid w:val="00A45E67"/>
    <w:rsid w:val="00A466A2"/>
    <w:rsid w:val="00A535AC"/>
    <w:rsid w:val="00A5682F"/>
    <w:rsid w:val="00A56DA5"/>
    <w:rsid w:val="00A57C5B"/>
    <w:rsid w:val="00A63998"/>
    <w:rsid w:val="00A858F4"/>
    <w:rsid w:val="00A92A15"/>
    <w:rsid w:val="00AA4158"/>
    <w:rsid w:val="00AC1213"/>
    <w:rsid w:val="00AC68FE"/>
    <w:rsid w:val="00AD092E"/>
    <w:rsid w:val="00AD6258"/>
    <w:rsid w:val="00AD7CCE"/>
    <w:rsid w:val="00AE2167"/>
    <w:rsid w:val="00AE2703"/>
    <w:rsid w:val="00AF15D0"/>
    <w:rsid w:val="00AF793E"/>
    <w:rsid w:val="00B0342C"/>
    <w:rsid w:val="00B1260B"/>
    <w:rsid w:val="00B1492A"/>
    <w:rsid w:val="00B15508"/>
    <w:rsid w:val="00B155C1"/>
    <w:rsid w:val="00B15911"/>
    <w:rsid w:val="00B16DB1"/>
    <w:rsid w:val="00B21665"/>
    <w:rsid w:val="00B220F6"/>
    <w:rsid w:val="00B2222A"/>
    <w:rsid w:val="00B234E2"/>
    <w:rsid w:val="00B23649"/>
    <w:rsid w:val="00B243C4"/>
    <w:rsid w:val="00B26873"/>
    <w:rsid w:val="00B2777D"/>
    <w:rsid w:val="00B27D3C"/>
    <w:rsid w:val="00B34174"/>
    <w:rsid w:val="00B347CE"/>
    <w:rsid w:val="00B360CD"/>
    <w:rsid w:val="00B375CE"/>
    <w:rsid w:val="00B37B9F"/>
    <w:rsid w:val="00B4257D"/>
    <w:rsid w:val="00B460B6"/>
    <w:rsid w:val="00B47459"/>
    <w:rsid w:val="00B5051F"/>
    <w:rsid w:val="00B566A2"/>
    <w:rsid w:val="00B6027A"/>
    <w:rsid w:val="00B626E0"/>
    <w:rsid w:val="00B63FEF"/>
    <w:rsid w:val="00B658A1"/>
    <w:rsid w:val="00B67CB6"/>
    <w:rsid w:val="00B67FB8"/>
    <w:rsid w:val="00B7277A"/>
    <w:rsid w:val="00B82563"/>
    <w:rsid w:val="00B8559E"/>
    <w:rsid w:val="00B86429"/>
    <w:rsid w:val="00B908D8"/>
    <w:rsid w:val="00B924F4"/>
    <w:rsid w:val="00BA06CB"/>
    <w:rsid w:val="00BA361F"/>
    <w:rsid w:val="00BA42CF"/>
    <w:rsid w:val="00BB0EC4"/>
    <w:rsid w:val="00BB24DE"/>
    <w:rsid w:val="00BB3E05"/>
    <w:rsid w:val="00BB6D1F"/>
    <w:rsid w:val="00BC20E8"/>
    <w:rsid w:val="00BC2E62"/>
    <w:rsid w:val="00BD5F7C"/>
    <w:rsid w:val="00BE6EA9"/>
    <w:rsid w:val="00BE7DDF"/>
    <w:rsid w:val="00BE7E6D"/>
    <w:rsid w:val="00BF07A9"/>
    <w:rsid w:val="00BF2039"/>
    <w:rsid w:val="00C002E1"/>
    <w:rsid w:val="00C02A3F"/>
    <w:rsid w:val="00C03742"/>
    <w:rsid w:val="00C107F1"/>
    <w:rsid w:val="00C10A04"/>
    <w:rsid w:val="00C11300"/>
    <w:rsid w:val="00C1411B"/>
    <w:rsid w:val="00C145DC"/>
    <w:rsid w:val="00C222AC"/>
    <w:rsid w:val="00C24261"/>
    <w:rsid w:val="00C27125"/>
    <w:rsid w:val="00C2717B"/>
    <w:rsid w:val="00C32C1F"/>
    <w:rsid w:val="00C40B28"/>
    <w:rsid w:val="00C40E2C"/>
    <w:rsid w:val="00C413E2"/>
    <w:rsid w:val="00C452ED"/>
    <w:rsid w:val="00C5002F"/>
    <w:rsid w:val="00C51B7C"/>
    <w:rsid w:val="00C536F4"/>
    <w:rsid w:val="00C538B1"/>
    <w:rsid w:val="00C624A0"/>
    <w:rsid w:val="00C64330"/>
    <w:rsid w:val="00C65884"/>
    <w:rsid w:val="00C71547"/>
    <w:rsid w:val="00C76ED3"/>
    <w:rsid w:val="00C80ABE"/>
    <w:rsid w:val="00C81085"/>
    <w:rsid w:val="00C8242C"/>
    <w:rsid w:val="00C82BA2"/>
    <w:rsid w:val="00C913AF"/>
    <w:rsid w:val="00C9274B"/>
    <w:rsid w:val="00C938B2"/>
    <w:rsid w:val="00C94301"/>
    <w:rsid w:val="00C943A8"/>
    <w:rsid w:val="00C96A64"/>
    <w:rsid w:val="00CA2F69"/>
    <w:rsid w:val="00CA4426"/>
    <w:rsid w:val="00CA6F50"/>
    <w:rsid w:val="00CB2B2E"/>
    <w:rsid w:val="00CB2C8E"/>
    <w:rsid w:val="00CB3ADA"/>
    <w:rsid w:val="00CB67E2"/>
    <w:rsid w:val="00CC0B1F"/>
    <w:rsid w:val="00CC218B"/>
    <w:rsid w:val="00CC3A20"/>
    <w:rsid w:val="00CC4039"/>
    <w:rsid w:val="00CC592F"/>
    <w:rsid w:val="00CC70FC"/>
    <w:rsid w:val="00CC73E2"/>
    <w:rsid w:val="00CD6125"/>
    <w:rsid w:val="00CE34F7"/>
    <w:rsid w:val="00CE52CC"/>
    <w:rsid w:val="00CE5DD3"/>
    <w:rsid w:val="00CE64FD"/>
    <w:rsid w:val="00CE7FEE"/>
    <w:rsid w:val="00CF6D2A"/>
    <w:rsid w:val="00D03745"/>
    <w:rsid w:val="00D03E1F"/>
    <w:rsid w:val="00D04983"/>
    <w:rsid w:val="00D04BFD"/>
    <w:rsid w:val="00D0661E"/>
    <w:rsid w:val="00D104A1"/>
    <w:rsid w:val="00D1466A"/>
    <w:rsid w:val="00D148B5"/>
    <w:rsid w:val="00D22518"/>
    <w:rsid w:val="00D25D98"/>
    <w:rsid w:val="00D27F3B"/>
    <w:rsid w:val="00D30BB0"/>
    <w:rsid w:val="00D31506"/>
    <w:rsid w:val="00D36262"/>
    <w:rsid w:val="00D37880"/>
    <w:rsid w:val="00D47457"/>
    <w:rsid w:val="00D477F6"/>
    <w:rsid w:val="00D47B46"/>
    <w:rsid w:val="00D50A77"/>
    <w:rsid w:val="00D51A9D"/>
    <w:rsid w:val="00D52EAC"/>
    <w:rsid w:val="00D544F2"/>
    <w:rsid w:val="00D55AC8"/>
    <w:rsid w:val="00D60165"/>
    <w:rsid w:val="00D61C21"/>
    <w:rsid w:val="00D71030"/>
    <w:rsid w:val="00D7324C"/>
    <w:rsid w:val="00D7461B"/>
    <w:rsid w:val="00D7643E"/>
    <w:rsid w:val="00D76F00"/>
    <w:rsid w:val="00D81740"/>
    <w:rsid w:val="00D81C55"/>
    <w:rsid w:val="00D84BB4"/>
    <w:rsid w:val="00D87804"/>
    <w:rsid w:val="00D9288B"/>
    <w:rsid w:val="00D97CC5"/>
    <w:rsid w:val="00D97DCC"/>
    <w:rsid w:val="00DA3711"/>
    <w:rsid w:val="00DA4971"/>
    <w:rsid w:val="00DA65E9"/>
    <w:rsid w:val="00DB129F"/>
    <w:rsid w:val="00DB35FA"/>
    <w:rsid w:val="00DB6465"/>
    <w:rsid w:val="00DC2100"/>
    <w:rsid w:val="00DD1A8C"/>
    <w:rsid w:val="00DD62C0"/>
    <w:rsid w:val="00DE4905"/>
    <w:rsid w:val="00DF378A"/>
    <w:rsid w:val="00DF6357"/>
    <w:rsid w:val="00DF675F"/>
    <w:rsid w:val="00DF76F5"/>
    <w:rsid w:val="00E00761"/>
    <w:rsid w:val="00E01F20"/>
    <w:rsid w:val="00E023D6"/>
    <w:rsid w:val="00E0392E"/>
    <w:rsid w:val="00E03B71"/>
    <w:rsid w:val="00E07130"/>
    <w:rsid w:val="00E07780"/>
    <w:rsid w:val="00E10FF9"/>
    <w:rsid w:val="00E118F6"/>
    <w:rsid w:val="00E14C13"/>
    <w:rsid w:val="00E159D8"/>
    <w:rsid w:val="00E26A71"/>
    <w:rsid w:val="00E339F7"/>
    <w:rsid w:val="00E373DD"/>
    <w:rsid w:val="00E37FEA"/>
    <w:rsid w:val="00E427C8"/>
    <w:rsid w:val="00E44252"/>
    <w:rsid w:val="00E44FB0"/>
    <w:rsid w:val="00E47F5B"/>
    <w:rsid w:val="00E506D4"/>
    <w:rsid w:val="00E53462"/>
    <w:rsid w:val="00E615E2"/>
    <w:rsid w:val="00E63984"/>
    <w:rsid w:val="00E701D8"/>
    <w:rsid w:val="00E74BF0"/>
    <w:rsid w:val="00E83D07"/>
    <w:rsid w:val="00E85064"/>
    <w:rsid w:val="00E95ED4"/>
    <w:rsid w:val="00EA6919"/>
    <w:rsid w:val="00EA6F46"/>
    <w:rsid w:val="00EA74E0"/>
    <w:rsid w:val="00EB128A"/>
    <w:rsid w:val="00EB4DBB"/>
    <w:rsid w:val="00EB5C2D"/>
    <w:rsid w:val="00EB64A0"/>
    <w:rsid w:val="00EB7F8F"/>
    <w:rsid w:val="00EC5A38"/>
    <w:rsid w:val="00EC614E"/>
    <w:rsid w:val="00EC7674"/>
    <w:rsid w:val="00ED065F"/>
    <w:rsid w:val="00ED1861"/>
    <w:rsid w:val="00ED398B"/>
    <w:rsid w:val="00EE0E0A"/>
    <w:rsid w:val="00EE3284"/>
    <w:rsid w:val="00EE34E6"/>
    <w:rsid w:val="00EE41B2"/>
    <w:rsid w:val="00EE4F0B"/>
    <w:rsid w:val="00EF3EEB"/>
    <w:rsid w:val="00F04725"/>
    <w:rsid w:val="00F069DE"/>
    <w:rsid w:val="00F132B6"/>
    <w:rsid w:val="00F14DA9"/>
    <w:rsid w:val="00F27C8F"/>
    <w:rsid w:val="00F300DB"/>
    <w:rsid w:val="00F31EE6"/>
    <w:rsid w:val="00F33FC5"/>
    <w:rsid w:val="00F34E90"/>
    <w:rsid w:val="00F351BA"/>
    <w:rsid w:val="00F40041"/>
    <w:rsid w:val="00F41A72"/>
    <w:rsid w:val="00F45780"/>
    <w:rsid w:val="00F45B1B"/>
    <w:rsid w:val="00F53F36"/>
    <w:rsid w:val="00F601C4"/>
    <w:rsid w:val="00F62AFD"/>
    <w:rsid w:val="00F65A9E"/>
    <w:rsid w:val="00F70677"/>
    <w:rsid w:val="00F7595D"/>
    <w:rsid w:val="00F75FAE"/>
    <w:rsid w:val="00F76A39"/>
    <w:rsid w:val="00F779AE"/>
    <w:rsid w:val="00F85FC5"/>
    <w:rsid w:val="00F96C83"/>
    <w:rsid w:val="00F9772A"/>
    <w:rsid w:val="00F97B90"/>
    <w:rsid w:val="00FA2E6A"/>
    <w:rsid w:val="00FA36B9"/>
    <w:rsid w:val="00FB3162"/>
    <w:rsid w:val="00FB36A9"/>
    <w:rsid w:val="00FB7FF2"/>
    <w:rsid w:val="00FC1EE5"/>
    <w:rsid w:val="00FD0580"/>
    <w:rsid w:val="00FE3EA1"/>
    <w:rsid w:val="00FE4B42"/>
    <w:rsid w:val="00FE79B3"/>
    <w:rsid w:val="00FE7DA2"/>
    <w:rsid w:val="00FF0D87"/>
    <w:rsid w:val="00FF6D9E"/>
    <w:rsid w:val="00FF73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4126D"/>
  <w15:chartTrackingRefBased/>
  <w15:docId w15:val="{F0293EFD-59AC-3E44-BAD0-18BCC1A5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uiPriority w:val="59"/>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customStyle="1" w:styleId="ColorfulList-Accent11">
    <w:name w:val="Colorful List - Accent 11"/>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unhideWhenUsed/>
    <w:rsid w:val="00A22A20"/>
    <w:rPr>
      <w:sz w:val="20"/>
      <w:szCs w:val="20"/>
    </w:rPr>
  </w:style>
  <w:style w:type="character" w:customStyle="1" w:styleId="CommentTextChar">
    <w:name w:val="Comment Text Char"/>
    <w:link w:val="CommentText"/>
    <w:uiPriority w:val="99"/>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customStyle="1" w:styleId="ColorfulShading-Accent11">
    <w:name w:val="Colorful Shading - Accent 11"/>
    <w:hidden/>
    <w:uiPriority w:val="99"/>
    <w:semiHidden/>
    <w:rsid w:val="00A22A20"/>
    <w:rPr>
      <w:sz w:val="22"/>
      <w:szCs w:val="22"/>
      <w:lang w:val="en-GB" w:eastAsia="en-US"/>
    </w:rPr>
  </w:style>
  <w:style w:type="paragraph" w:styleId="Header">
    <w:name w:val="header"/>
    <w:basedOn w:val="Normal"/>
    <w:link w:val="HeaderChar"/>
    <w:uiPriority w:val="99"/>
    <w:unhideWhenUsed/>
    <w:rsid w:val="007A3888"/>
    <w:pPr>
      <w:tabs>
        <w:tab w:val="center" w:pos="4513"/>
        <w:tab w:val="right" w:pos="9026"/>
      </w:tabs>
    </w:pPr>
  </w:style>
  <w:style w:type="character" w:customStyle="1" w:styleId="HeaderChar">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customStyle="1" w:styleId="FooterChar">
    <w:name w:val="Footer Char"/>
    <w:link w:val="Footer"/>
    <w:uiPriority w:val="99"/>
    <w:rsid w:val="007A3888"/>
    <w:rPr>
      <w:sz w:val="22"/>
      <w:szCs w:val="22"/>
      <w:lang w:eastAsia="en-US"/>
    </w:rPr>
  </w:style>
  <w:style w:type="character" w:styleId="Strong">
    <w:name w:val="Strong"/>
    <w:uiPriority w:val="22"/>
    <w:qFormat/>
    <w:rsid w:val="00781143"/>
    <w:rPr>
      <w:b/>
      <w:bCs/>
    </w:rPr>
  </w:style>
  <w:style w:type="paragraph" w:customStyle="1" w:styleId="Default">
    <w:name w:val="Default"/>
    <w:rsid w:val="00971115"/>
    <w:pPr>
      <w:autoSpaceDE w:val="0"/>
      <w:autoSpaceDN w:val="0"/>
      <w:adjustRightInd w:val="0"/>
    </w:pPr>
    <w:rPr>
      <w:rFonts w:ascii="Times New Roman" w:hAnsi="Times New Roman"/>
      <w:color w:val="000000"/>
      <w:sz w:val="24"/>
      <w:szCs w:val="24"/>
      <w:lang w:val="en-GB" w:eastAsia="en-GB"/>
    </w:rPr>
  </w:style>
  <w:style w:type="paragraph" w:styleId="FootnoteText">
    <w:name w:val="footnote text"/>
    <w:basedOn w:val="Normal"/>
    <w:link w:val="FootnoteTextChar"/>
    <w:uiPriority w:val="99"/>
    <w:semiHidden/>
    <w:unhideWhenUsed/>
    <w:rsid w:val="00053040"/>
    <w:pPr>
      <w:spacing w:after="0" w:line="240" w:lineRule="auto"/>
    </w:pPr>
    <w:rPr>
      <w:sz w:val="20"/>
      <w:szCs w:val="20"/>
    </w:rPr>
  </w:style>
  <w:style w:type="character" w:customStyle="1" w:styleId="FootnoteTextChar">
    <w:name w:val="Footnote Text Char"/>
    <w:link w:val="FootnoteText"/>
    <w:uiPriority w:val="99"/>
    <w:semiHidden/>
    <w:rsid w:val="00053040"/>
    <w:rPr>
      <w:lang w:eastAsia="en-US"/>
    </w:rPr>
  </w:style>
  <w:style w:type="character" w:styleId="FootnoteReference">
    <w:name w:val="footnote reference"/>
    <w:uiPriority w:val="99"/>
    <w:semiHidden/>
    <w:unhideWhenUsed/>
    <w:rsid w:val="00053040"/>
    <w:rPr>
      <w:vertAlign w:val="superscript"/>
    </w:rPr>
  </w:style>
  <w:style w:type="paragraph" w:customStyle="1" w:styleId="Standard1">
    <w:name w:val="Standard1"/>
    <w:rsid w:val="00CC592F"/>
    <w:pPr>
      <w:suppressAutoHyphens/>
      <w:autoSpaceDN w:val="0"/>
      <w:textAlignment w:val="baseline"/>
    </w:pPr>
    <w:rPr>
      <w:rFonts w:ascii="Times New Roman" w:eastAsia="Arial Unicode MS" w:hAnsi="Times New Roman" w:cs="Arial Unicode MS"/>
      <w:kern w:val="3"/>
      <w:sz w:val="24"/>
      <w:szCs w:val="24"/>
      <w:lang w:val="en-GB" w:eastAsia="zh-CN" w:bidi="hi-IN"/>
    </w:rPr>
  </w:style>
  <w:style w:type="character" w:styleId="Emphasis">
    <w:name w:val="Emphasis"/>
    <w:uiPriority w:val="20"/>
    <w:qFormat/>
    <w:rsid w:val="00592CCC"/>
    <w:rPr>
      <w:i/>
      <w:iCs/>
    </w:rPr>
  </w:style>
  <w:style w:type="paragraph" w:styleId="Revision">
    <w:name w:val="Revision"/>
    <w:hidden/>
    <w:uiPriority w:val="99"/>
    <w:semiHidden/>
    <w:rsid w:val="002A25DA"/>
    <w:rPr>
      <w:sz w:val="22"/>
      <w:szCs w:val="22"/>
      <w:lang w:val="en-GB" w:eastAsia="en-US"/>
    </w:rPr>
  </w:style>
  <w:style w:type="character" w:customStyle="1" w:styleId="sessionsubtitle">
    <w:name w:val="sessionsubtitle"/>
    <w:rsid w:val="00883B76"/>
  </w:style>
  <w:style w:type="paragraph" w:styleId="NormalWeb">
    <w:name w:val="Normal (Web)"/>
    <w:basedOn w:val="Normal"/>
    <w:uiPriority w:val="99"/>
    <w:semiHidden/>
    <w:unhideWhenUsed/>
    <w:rsid w:val="0092653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ChGChar">
    <w:name w:val="_ H _Ch_G Char"/>
    <w:basedOn w:val="DefaultParagraphFont"/>
    <w:link w:val="HChG"/>
    <w:locked/>
    <w:rsid w:val="00790A3C"/>
    <w:rPr>
      <w:b/>
      <w:bCs/>
    </w:rPr>
  </w:style>
  <w:style w:type="paragraph" w:customStyle="1" w:styleId="HChG">
    <w:name w:val="_ H _Ch_G"/>
    <w:basedOn w:val="Normal"/>
    <w:link w:val="HChGChar"/>
    <w:rsid w:val="00790A3C"/>
    <w:pPr>
      <w:keepNext/>
      <w:spacing w:before="360" w:after="240" w:line="300" w:lineRule="exact"/>
      <w:ind w:left="1134" w:right="1134" w:hanging="1134"/>
    </w:pPr>
    <w:rPr>
      <w:b/>
      <w:bCs/>
      <w:sz w:val="20"/>
      <w:szCs w:val="20"/>
      <w:lang w:val="fr-FR" w:eastAsia="fr-FR"/>
    </w:rPr>
  </w:style>
  <w:style w:type="paragraph" w:styleId="ListParagraph">
    <w:name w:val="List Paragraph"/>
    <w:basedOn w:val="Normal"/>
    <w:uiPriority w:val="34"/>
    <w:qFormat/>
    <w:rsid w:val="00704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89815">
      <w:bodyDiv w:val="1"/>
      <w:marLeft w:val="0"/>
      <w:marRight w:val="0"/>
      <w:marTop w:val="0"/>
      <w:marBottom w:val="0"/>
      <w:divBdr>
        <w:top w:val="none" w:sz="0" w:space="0" w:color="auto"/>
        <w:left w:val="none" w:sz="0" w:space="0" w:color="auto"/>
        <w:bottom w:val="none" w:sz="0" w:space="0" w:color="auto"/>
        <w:right w:val="none" w:sz="0" w:space="0" w:color="auto"/>
      </w:divBdr>
    </w:div>
    <w:div w:id="1142844455">
      <w:bodyDiv w:val="1"/>
      <w:marLeft w:val="0"/>
      <w:marRight w:val="0"/>
      <w:marTop w:val="0"/>
      <w:marBottom w:val="0"/>
      <w:divBdr>
        <w:top w:val="none" w:sz="0" w:space="0" w:color="auto"/>
        <w:left w:val="none" w:sz="0" w:space="0" w:color="auto"/>
        <w:bottom w:val="none" w:sz="0" w:space="0" w:color="auto"/>
        <w:right w:val="none" w:sz="0" w:space="0" w:color="auto"/>
      </w:divBdr>
    </w:div>
    <w:div w:id="1318536175">
      <w:bodyDiv w:val="1"/>
      <w:marLeft w:val="0"/>
      <w:marRight w:val="0"/>
      <w:marTop w:val="0"/>
      <w:marBottom w:val="0"/>
      <w:divBdr>
        <w:top w:val="none" w:sz="0" w:space="0" w:color="auto"/>
        <w:left w:val="none" w:sz="0" w:space="0" w:color="auto"/>
        <w:bottom w:val="none" w:sz="0" w:space="0" w:color="auto"/>
        <w:right w:val="none" w:sz="0" w:space="0" w:color="auto"/>
      </w:divBdr>
    </w:div>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 w:id="1679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Documents/Issues/Youth/COVID-19_and_Youth.pdf" TargetMode="External"/><Relationship Id="rId18" Type="http://schemas.openxmlformats.org/officeDocument/2006/relationships/hyperlink" Target="https://undocs.org/A/RES/69/16" TargetMode="External"/><Relationship Id="rId26" Type="http://schemas.openxmlformats.org/officeDocument/2006/relationships/hyperlink" Target="https://undocs.org/A/74/308" TargetMode="External"/><Relationship Id="rId3" Type="http://schemas.openxmlformats.org/officeDocument/2006/relationships/customXml" Target="../customXml/item3.xml"/><Relationship Id="rId21" Type="http://schemas.openxmlformats.org/officeDocument/2006/relationships/hyperlink" Target="https://undocs.org/A/RES/66/3" TargetMode="External"/><Relationship Id="rId34" Type="http://schemas.openxmlformats.org/officeDocument/2006/relationships/hyperlink" Target="https://ohchr.org/EN/Issues/Racism/WGAfricanDescent/Pages/Data-for-racial-justice.aspx" TargetMode="External"/><Relationship Id="rId7" Type="http://schemas.openxmlformats.org/officeDocument/2006/relationships/settings" Target="settings.xml"/><Relationship Id="rId12" Type="http://schemas.openxmlformats.org/officeDocument/2006/relationships/hyperlink" Target="https://www.decentjobsforyouth.org/campaign/COVID19-survey" TargetMode="External"/><Relationship Id="rId17" Type="http://schemas.openxmlformats.org/officeDocument/2006/relationships/hyperlink" Target="https://undocs.org/A/RES/74/137" TargetMode="External"/><Relationship Id="rId25" Type="http://schemas.openxmlformats.org/officeDocument/2006/relationships/hyperlink" Target="https://undocs.org/A/73/354" TargetMode="External"/><Relationship Id="rId33" Type="http://schemas.openxmlformats.org/officeDocument/2006/relationships/hyperlink" Target="https://undocs.org/en/A/HRC/45/4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docs.org/A/RES/75/237" TargetMode="External"/><Relationship Id="rId20" Type="http://schemas.openxmlformats.org/officeDocument/2006/relationships/hyperlink" Target="https://www.ohchr.org/Documents/Press/Durban_Review_Conference_outcome_document.pdf" TargetMode="External"/><Relationship Id="rId29" Type="http://schemas.openxmlformats.org/officeDocument/2006/relationships/hyperlink" Target="https://undocs.org/A/74/3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24" Type="http://schemas.openxmlformats.org/officeDocument/2006/relationships/hyperlink" Target="https://undocs.org/A/72/323" TargetMode="External"/><Relationship Id="rId32" Type="http://schemas.openxmlformats.org/officeDocument/2006/relationships/hyperlink" Target="https://www.undocs.org/A/74/27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hchr.org/Documents/Issues/Youth/COVID-19_and_Youth.pdf" TargetMode="External"/><Relationship Id="rId23" Type="http://schemas.openxmlformats.org/officeDocument/2006/relationships/hyperlink" Target="https://undocs.org/A/71/290" TargetMode="External"/><Relationship Id="rId28" Type="http://schemas.openxmlformats.org/officeDocument/2006/relationships/hyperlink" Target="https://undocs.org/A/75/59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org/WCAR/durban.pdf" TargetMode="External"/><Relationship Id="rId31" Type="http://schemas.openxmlformats.org/officeDocument/2006/relationships/hyperlink" Target="https://undocs.org/en/A/75/2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centjobsforyouth.org/campaign/COVID19-survey" TargetMode="External"/><Relationship Id="rId22" Type="http://schemas.openxmlformats.org/officeDocument/2006/relationships/hyperlink" Target="https://undocs.org/A/70/339" TargetMode="External"/><Relationship Id="rId27" Type="http://schemas.openxmlformats.org/officeDocument/2006/relationships/hyperlink" Target="https://undocs.org/A/75/363" TargetMode="External"/><Relationship Id="rId30" Type="http://schemas.openxmlformats.org/officeDocument/2006/relationships/hyperlink" Target="https://undocs.org/A/HRC/44/57" TargetMode="External"/><Relationship Id="rId35" Type="http://schemas.openxmlformats.org/officeDocument/2006/relationships/hyperlink" Target="https://ohchr.org/EN/Issues/Racism/WGAfricanDescent/Pages/Framework-for-declaration.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0076B-3ADE-4FA3-A5FA-D7030CC806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3F5366-611E-4A82-AA3D-7F95EED87BE9}"/>
</file>

<file path=customXml/itemProps3.xml><?xml version="1.0" encoding="utf-8"?>
<ds:datastoreItem xmlns:ds="http://schemas.openxmlformats.org/officeDocument/2006/customXml" ds:itemID="{CC3195DE-2E68-496C-AE2E-47AA93CA8900}">
  <ds:schemaRefs>
    <ds:schemaRef ds:uri="http://schemas.microsoft.com/sharepoint/v3/contenttype/forms"/>
  </ds:schemaRefs>
</ds:datastoreItem>
</file>

<file path=customXml/itemProps4.xml><?xml version="1.0" encoding="utf-8"?>
<ds:datastoreItem xmlns:ds="http://schemas.openxmlformats.org/officeDocument/2006/customXml" ds:itemID="{F695C569-3B64-4EB1-BA35-82A697E4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1678</Words>
  <Characters>9569</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11225</CharactersWithSpaces>
  <SharedDoc>false</SharedDoc>
  <HLinks>
    <vt:vector size="108" baseType="variant">
      <vt:variant>
        <vt:i4>393338</vt:i4>
      </vt:variant>
      <vt:variant>
        <vt:i4>51</vt:i4>
      </vt:variant>
      <vt:variant>
        <vt:i4>0</vt:i4>
      </vt:variant>
      <vt:variant>
        <vt:i4>5</vt:i4>
      </vt:variant>
      <vt:variant>
        <vt:lpwstr>http://www.un.org/ga/search/view_doc.asp?symbol=A/RES/71/256</vt:lpwstr>
      </vt:variant>
      <vt:variant>
        <vt:lpwstr/>
      </vt:variant>
      <vt:variant>
        <vt:i4>6815853</vt:i4>
      </vt:variant>
      <vt:variant>
        <vt:i4>48</vt:i4>
      </vt:variant>
      <vt:variant>
        <vt:i4>0</vt:i4>
      </vt:variant>
      <vt:variant>
        <vt:i4>5</vt:i4>
      </vt:variant>
      <vt:variant>
        <vt:lpwstr>http://refugeesmigrants.un.org/together</vt:lpwstr>
      </vt:variant>
      <vt:variant>
        <vt:lpwstr/>
      </vt:variant>
      <vt:variant>
        <vt:i4>5177462</vt:i4>
      </vt:variant>
      <vt:variant>
        <vt:i4>45</vt:i4>
      </vt:variant>
      <vt:variant>
        <vt:i4>0</vt:i4>
      </vt:variant>
      <vt:variant>
        <vt:i4>5</vt:i4>
      </vt:variant>
      <vt:variant>
        <vt:lpwstr>http://www.un.org/ga/search/view_doc.asp?symbol=A/71/384</vt:lpwstr>
      </vt:variant>
      <vt:variant>
        <vt:lpwstr/>
      </vt:variant>
      <vt:variant>
        <vt:i4>4259910</vt:i4>
      </vt:variant>
      <vt:variant>
        <vt:i4>42</vt:i4>
      </vt:variant>
      <vt:variant>
        <vt:i4>0</vt:i4>
      </vt:variant>
      <vt:variant>
        <vt:i4>5</vt:i4>
      </vt:variant>
      <vt:variant>
        <vt:lpwstr>http://www.undocs.org/A/HRC/4/26</vt:lpwstr>
      </vt:variant>
      <vt:variant>
        <vt:lpwstr/>
      </vt:variant>
      <vt:variant>
        <vt:i4>5177462</vt:i4>
      </vt:variant>
      <vt:variant>
        <vt:i4>39</vt:i4>
      </vt:variant>
      <vt:variant>
        <vt:i4>0</vt:i4>
      </vt:variant>
      <vt:variant>
        <vt:i4>5</vt:i4>
      </vt:variant>
      <vt:variant>
        <vt:lpwstr>http://www.un.org/ga/search/view_doc.asp?symbol=A/71/384</vt:lpwstr>
      </vt:variant>
      <vt:variant>
        <vt:lpwstr/>
      </vt:variant>
      <vt:variant>
        <vt:i4>7274573</vt:i4>
      </vt:variant>
      <vt:variant>
        <vt:i4>36</vt:i4>
      </vt:variant>
      <vt:variant>
        <vt:i4>0</vt:i4>
      </vt:variant>
      <vt:variant>
        <vt:i4>5</vt:i4>
      </vt:variant>
      <vt:variant>
        <vt:lpwstr>http://ap.ohchr.org/documents/dpage_e.aspx?si=A/HRC/29/46</vt:lpwstr>
      </vt:variant>
      <vt:variant>
        <vt:lpwstr/>
      </vt:variant>
      <vt:variant>
        <vt:i4>4325490</vt:i4>
      </vt:variant>
      <vt:variant>
        <vt:i4>33</vt:i4>
      </vt:variant>
      <vt:variant>
        <vt:i4>0</vt:i4>
      </vt:variant>
      <vt:variant>
        <vt:i4>5</vt:i4>
      </vt:variant>
      <vt:variant>
        <vt:lpwstr>http://www.un.org/ga/search/view_doc.asp?symbol=A/HRC/22/17/Add.4</vt:lpwstr>
      </vt:variant>
      <vt:variant>
        <vt:lpwstr/>
      </vt:variant>
      <vt:variant>
        <vt:i4>7864426</vt:i4>
      </vt:variant>
      <vt:variant>
        <vt:i4>30</vt:i4>
      </vt:variant>
      <vt:variant>
        <vt:i4>0</vt:i4>
      </vt:variant>
      <vt:variant>
        <vt:i4>5</vt:i4>
      </vt:variant>
      <vt:variant>
        <vt:lpwstr>https://www.un.org/WCAR/durban.pdf</vt:lpwstr>
      </vt:variant>
      <vt:variant>
        <vt:lpwstr/>
      </vt:variant>
      <vt:variant>
        <vt:i4>4128810</vt:i4>
      </vt:variant>
      <vt:variant>
        <vt:i4>27</vt:i4>
      </vt:variant>
      <vt:variant>
        <vt:i4>0</vt:i4>
      </vt:variant>
      <vt:variant>
        <vt:i4>5</vt:i4>
      </vt:variant>
      <vt:variant>
        <vt:lpwstr>http://www2.ohchr.org/english/bodies/hrc/docs/GC34.pdf</vt:lpwstr>
      </vt:variant>
      <vt:variant>
        <vt:lpwstr/>
      </vt:variant>
      <vt:variant>
        <vt:i4>5242909</vt:i4>
      </vt:variant>
      <vt:variant>
        <vt:i4>24</vt:i4>
      </vt:variant>
      <vt:variant>
        <vt:i4>0</vt:i4>
      </vt:variant>
      <vt:variant>
        <vt:i4>5</vt:i4>
      </vt:variant>
      <vt:variant>
        <vt:lpwstr>http://docstore.ohchr.org/SelfServices/FilesHandler.ashx?enc=6QkG1d%2fPPRiCAqhKb7yhssyNNtgI51ma08CMa6o7Bglz8iG4SuOjovEP%2bcqr8joDoVEbW%2bQ1MoWdOTNEV99v6FZp9aSSA1nZya6gtpTo2JUBMI0%2boOmjAwk%2b2xJW%2bC8e</vt:lpwstr>
      </vt:variant>
      <vt:variant>
        <vt:lpwstr/>
      </vt:variant>
      <vt:variant>
        <vt:i4>8257625</vt:i4>
      </vt:variant>
      <vt:variant>
        <vt:i4>21</vt:i4>
      </vt:variant>
      <vt:variant>
        <vt:i4>0</vt:i4>
      </vt:variant>
      <vt:variant>
        <vt:i4>5</vt:i4>
      </vt:variant>
      <vt:variant>
        <vt:lpwstr>http://www.ohchr.org/Documents/Issues/Migration/OHCHR_Recommended_Principles_Guidelines.pdf</vt:lpwstr>
      </vt:variant>
      <vt:variant>
        <vt:lpwstr/>
      </vt:variant>
      <vt:variant>
        <vt:i4>3080293</vt:i4>
      </vt:variant>
      <vt:variant>
        <vt:i4>18</vt:i4>
      </vt:variant>
      <vt:variant>
        <vt:i4>0</vt:i4>
      </vt:variant>
      <vt:variant>
        <vt:i4>5</vt:i4>
      </vt:variant>
      <vt:variant>
        <vt:lpwstr>http://www.ohchr.org/EN/Issues/Migration/Pages/LargeMovements.aspx</vt:lpwstr>
      </vt:variant>
      <vt:variant>
        <vt:lpwstr/>
      </vt:variant>
      <vt:variant>
        <vt:i4>3801171</vt:i4>
      </vt:variant>
      <vt:variant>
        <vt:i4>15</vt:i4>
      </vt:variant>
      <vt:variant>
        <vt:i4>0</vt:i4>
      </vt:variant>
      <vt:variant>
        <vt:i4>5</vt:i4>
      </vt:variant>
      <vt:variant>
        <vt:lpwstr>http://www.un.org/en/ga/search/view_doc.asp?symbol=A/RES/71/1</vt:lpwstr>
      </vt:variant>
      <vt:variant>
        <vt:lpwstr/>
      </vt:variant>
      <vt:variant>
        <vt:i4>2883661</vt:i4>
      </vt:variant>
      <vt:variant>
        <vt:i4>12</vt:i4>
      </vt:variant>
      <vt:variant>
        <vt:i4>0</vt:i4>
      </vt:variant>
      <vt:variant>
        <vt:i4>5</vt:i4>
      </vt:variant>
      <vt:variant>
        <vt:lpwstr>http://ap.ohchr.org/documents/dpage_e.aspx?si=A/HRC/RES/36/24</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983137</vt:i4>
      </vt:variant>
      <vt:variant>
        <vt:i4>6</vt:i4>
      </vt:variant>
      <vt:variant>
        <vt:i4>0</vt:i4>
      </vt:variant>
      <vt:variant>
        <vt:i4>5</vt:i4>
      </vt:variant>
      <vt:variant>
        <vt:lpwstr>http://www.un.org/en/ga/search/view_doc.asp?symbol=A/RES/72/157</vt:lpwstr>
      </vt:variant>
      <vt:variant>
        <vt:lpwstr/>
      </vt:variant>
      <vt:variant>
        <vt:i4>5111888</vt:i4>
      </vt:variant>
      <vt:variant>
        <vt:i4>3</vt:i4>
      </vt:variant>
      <vt:variant>
        <vt:i4>0</vt:i4>
      </vt:variant>
      <vt:variant>
        <vt:i4>5</vt:i4>
      </vt:variant>
      <vt:variant>
        <vt:lpwstr>http://webtv.un.org/</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Debate on the midterm review of the International Decade for People of African Descent</dc:title>
  <dc:subject/>
  <dc:creator>OHCHR</dc:creator>
  <cp:keywords/>
  <cp:lastModifiedBy>TICHA Petra</cp:lastModifiedBy>
  <cp:revision>7</cp:revision>
  <cp:lastPrinted>2020-03-11T15:46:00Z</cp:lastPrinted>
  <dcterms:created xsi:type="dcterms:W3CDTF">2021-03-10T11:13:00Z</dcterms:created>
  <dcterms:modified xsi:type="dcterms:W3CDTF">2021-03-10T14:55:00Z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