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75B74" w14:textId="77777777" w:rsidR="004F0A64" w:rsidRPr="00D06C96" w:rsidRDefault="004F0A64" w:rsidP="00A72438">
      <w:pPr>
        <w:spacing w:after="80" w:line="240" w:lineRule="auto"/>
        <w:ind w:left="-709" w:right="-896"/>
        <w:jc w:val="center"/>
        <w:rPr>
          <w:rFonts w:cs="Calibri"/>
          <w:b/>
          <w:sz w:val="24"/>
          <w:szCs w:val="24"/>
        </w:rPr>
      </w:pPr>
      <w:r w:rsidRPr="00D06C96">
        <w:rPr>
          <w:rFonts w:cs="Calibri"/>
          <w:b/>
          <w:sz w:val="24"/>
          <w:szCs w:val="24"/>
        </w:rPr>
        <w:t>4</w:t>
      </w:r>
      <w:r>
        <w:rPr>
          <w:rFonts w:cs="Calibri"/>
          <w:b/>
          <w:sz w:val="24"/>
          <w:szCs w:val="24"/>
        </w:rPr>
        <w:t>7</w:t>
      </w:r>
      <w:r w:rsidR="00254492">
        <w:rPr>
          <w:rFonts w:cs="Calibri"/>
          <w:b/>
          <w:sz w:val="24"/>
          <w:szCs w:val="24"/>
        </w:rPr>
        <w:t>th</w:t>
      </w:r>
      <w:r>
        <w:rPr>
          <w:rFonts w:cs="Calibri"/>
          <w:b/>
          <w:sz w:val="24"/>
          <w:szCs w:val="24"/>
        </w:rPr>
        <w:t xml:space="preserve"> </w:t>
      </w:r>
      <w:r w:rsidRPr="00D06C96">
        <w:rPr>
          <w:rFonts w:cs="Calibri"/>
          <w:b/>
          <w:sz w:val="24"/>
          <w:szCs w:val="24"/>
        </w:rPr>
        <w:t>session of the Human Rights Council</w:t>
      </w:r>
    </w:p>
    <w:p w14:paraId="45650E47" w14:textId="4C836674" w:rsidR="00AE6454" w:rsidRDefault="00AE6454" w:rsidP="00A72438">
      <w:pPr>
        <w:pStyle w:val="Body1"/>
        <w:jc w:val="center"/>
        <w:rPr>
          <w:rFonts w:ascii="Calibri" w:eastAsia="Times New Roman" w:hAnsi="Calibri"/>
          <w:b/>
          <w:bCs/>
          <w:sz w:val="28"/>
          <w:szCs w:val="28"/>
        </w:rPr>
      </w:pPr>
      <w:r>
        <w:rPr>
          <w:rFonts w:ascii="Calibri" w:eastAsia="Times New Roman" w:hAnsi="Calibri"/>
          <w:b/>
          <w:bCs/>
          <w:sz w:val="28"/>
          <w:szCs w:val="28"/>
        </w:rPr>
        <w:t xml:space="preserve">Annual thematic panel discussion on technical cooperation and </w:t>
      </w:r>
      <w:r w:rsidR="00494244">
        <w:rPr>
          <w:rFonts w:ascii="Calibri" w:eastAsia="Times New Roman" w:hAnsi="Calibri"/>
          <w:b/>
          <w:bCs/>
          <w:sz w:val="28"/>
          <w:szCs w:val="28"/>
        </w:rPr>
        <w:br/>
      </w:r>
      <w:r>
        <w:rPr>
          <w:rFonts w:ascii="Calibri" w:eastAsia="Times New Roman" w:hAnsi="Calibri"/>
          <w:b/>
          <w:bCs/>
          <w:sz w:val="28"/>
          <w:szCs w:val="28"/>
        </w:rPr>
        <w:t xml:space="preserve">capacity-building </w:t>
      </w:r>
    </w:p>
    <w:p w14:paraId="19F7AFC1" w14:textId="42512416" w:rsidR="00AE6454" w:rsidRPr="00A72438" w:rsidRDefault="00AE6454" w:rsidP="00A72438">
      <w:pPr>
        <w:spacing w:line="240" w:lineRule="auto"/>
        <w:jc w:val="center"/>
        <w:rPr>
          <w:b/>
          <w:i/>
        </w:rPr>
      </w:pPr>
      <w:r w:rsidRPr="00A72438">
        <w:rPr>
          <w:b/>
          <w:bCs/>
          <w:i/>
        </w:rPr>
        <w:t xml:space="preserve">Theme: </w:t>
      </w:r>
      <w:r w:rsidR="00D01CB1" w:rsidRPr="00A72438">
        <w:rPr>
          <w:b/>
          <w:i/>
        </w:rPr>
        <w:t>Technical cooperation to advance the right to education and ensure inclusive and equitable quality education and lifelong learning for all</w:t>
      </w:r>
    </w:p>
    <w:p w14:paraId="04FEFFEF" w14:textId="291BC322" w:rsidR="004F0A64" w:rsidRPr="00D06C96" w:rsidRDefault="004F0A64" w:rsidP="00A72438">
      <w:pPr>
        <w:spacing w:after="120" w:line="240" w:lineRule="auto"/>
        <w:ind w:left="-709" w:right="-896"/>
        <w:jc w:val="center"/>
        <w:rPr>
          <w:rFonts w:cs="Calibri"/>
          <w:i/>
          <w:sz w:val="16"/>
          <w:szCs w:val="16"/>
        </w:rPr>
      </w:pPr>
      <w:r w:rsidRPr="00D06C96">
        <w:rPr>
          <w:rFonts w:cs="Calibri"/>
          <w:i/>
          <w:sz w:val="20"/>
          <w:szCs w:val="20"/>
        </w:rPr>
        <w:t xml:space="preserve">Concept note (as of </w:t>
      </w:r>
      <w:r w:rsidR="0081034E">
        <w:rPr>
          <w:rFonts w:cs="Calibri"/>
          <w:i/>
          <w:sz w:val="20"/>
          <w:szCs w:val="20"/>
        </w:rPr>
        <w:t>7</w:t>
      </w:r>
      <w:bookmarkStart w:id="0" w:name="_GoBack"/>
      <w:bookmarkEnd w:id="0"/>
      <w:r w:rsidR="002E3C9F">
        <w:rPr>
          <w:rFonts w:cs="Calibri"/>
          <w:i/>
          <w:sz w:val="20"/>
          <w:szCs w:val="20"/>
        </w:rPr>
        <w:t xml:space="preserve"> July</w:t>
      </w:r>
      <w:r w:rsidRPr="00D06C96">
        <w:rPr>
          <w:rFonts w:cs="Calibri"/>
          <w:i/>
          <w:sz w:val="20"/>
          <w:szCs w:val="20"/>
        </w:rPr>
        <w:t xml:space="preserve"> 202</w:t>
      </w:r>
      <w:r>
        <w:rPr>
          <w:rFonts w:cs="Calibri"/>
          <w:i/>
          <w:sz w:val="20"/>
          <w:szCs w:val="20"/>
        </w:rPr>
        <w:t>1</w:t>
      </w:r>
      <w:r w:rsidRPr="00D06C96">
        <w:rPr>
          <w:rFonts w:cs="Calibri"/>
          <w:i/>
          <w:sz w:val="20"/>
          <w:szCs w:val="20"/>
        </w:rPr>
        <w:t>)</w:t>
      </w:r>
    </w:p>
    <w:tbl>
      <w:tblPr>
        <w:tblW w:w="10490" w:type="dxa"/>
        <w:tblInd w:w="-459" w:type="dxa"/>
        <w:tblLook w:val="04A0" w:firstRow="1" w:lastRow="0" w:firstColumn="1" w:lastColumn="0" w:noHBand="0" w:noVBand="1"/>
      </w:tblPr>
      <w:tblGrid>
        <w:gridCol w:w="1450"/>
        <w:gridCol w:w="9040"/>
      </w:tblGrid>
      <w:tr w:rsidR="004F0A64" w:rsidRPr="00D06C96" w14:paraId="04E6484E" w14:textId="77777777" w:rsidTr="00936778">
        <w:tc>
          <w:tcPr>
            <w:tcW w:w="1450" w:type="dxa"/>
            <w:shd w:val="clear" w:color="auto" w:fill="auto"/>
          </w:tcPr>
          <w:p w14:paraId="45AD2ABF" w14:textId="77777777" w:rsidR="004F0A64" w:rsidRPr="00D06C96" w:rsidRDefault="004F0A64" w:rsidP="00A72438">
            <w:pPr>
              <w:spacing w:after="60" w:line="240" w:lineRule="auto"/>
              <w:rPr>
                <w:rFonts w:cs="Calibri"/>
                <w:b/>
              </w:rPr>
            </w:pPr>
            <w:r w:rsidRPr="00D06C96">
              <w:rPr>
                <w:rFonts w:cs="Calibri"/>
                <w:b/>
              </w:rPr>
              <w:t>Date and venue:</w:t>
            </w:r>
          </w:p>
        </w:tc>
        <w:tc>
          <w:tcPr>
            <w:tcW w:w="9040" w:type="dxa"/>
            <w:shd w:val="clear" w:color="auto" w:fill="auto"/>
          </w:tcPr>
          <w:p w14:paraId="1F4DC0B3" w14:textId="4F0B8413" w:rsidR="004F0A64" w:rsidRPr="00D06C96" w:rsidRDefault="00003879" w:rsidP="00D913A4">
            <w:pPr>
              <w:spacing w:after="120" w:line="240" w:lineRule="auto"/>
              <w:rPr>
                <w:rFonts w:cs="Calibri"/>
                <w:i/>
              </w:rPr>
            </w:pPr>
            <w:r>
              <w:rPr>
                <w:rFonts w:cs="Calibri"/>
                <w:b/>
              </w:rPr>
              <w:t>Monday,</w:t>
            </w:r>
            <w:r w:rsidR="004F0A64" w:rsidRPr="00D06C96">
              <w:rPr>
                <w:rFonts w:cs="Calibri"/>
                <w:b/>
              </w:rPr>
              <w:t xml:space="preserve"> </w:t>
            </w:r>
            <w:r>
              <w:rPr>
                <w:rFonts w:cs="Calibri"/>
                <w:b/>
              </w:rPr>
              <w:t>12</w:t>
            </w:r>
            <w:r w:rsidR="004F0A64" w:rsidRPr="00D06C96">
              <w:rPr>
                <w:rFonts w:cs="Calibri"/>
                <w:b/>
              </w:rPr>
              <w:t xml:space="preserve"> Ju</w:t>
            </w:r>
            <w:r>
              <w:rPr>
                <w:rFonts w:cs="Calibri"/>
                <w:b/>
              </w:rPr>
              <w:t>ly</w:t>
            </w:r>
            <w:r w:rsidR="004F0A64" w:rsidRPr="00D06C96">
              <w:rPr>
                <w:rFonts w:cs="Calibri"/>
                <w:b/>
              </w:rPr>
              <w:t xml:space="preserve"> 202</w:t>
            </w:r>
            <w:r w:rsidR="004F0A64">
              <w:rPr>
                <w:rFonts w:cs="Calibri"/>
                <w:b/>
              </w:rPr>
              <w:t>1</w:t>
            </w:r>
            <w:r w:rsidR="004F0A64" w:rsidRPr="00D06C96">
              <w:rPr>
                <w:rFonts w:cs="Calibri"/>
                <w:b/>
              </w:rPr>
              <w:t xml:space="preserve">, </w:t>
            </w:r>
            <w:r w:rsidR="009E00C9">
              <w:rPr>
                <w:rFonts w:cs="Calibri"/>
                <w:b/>
              </w:rPr>
              <w:t>9</w:t>
            </w:r>
            <w:r w:rsidR="009E00C9" w:rsidRPr="00D06C96">
              <w:rPr>
                <w:rFonts w:cs="Calibri"/>
                <w:b/>
              </w:rPr>
              <w:t xml:space="preserve"> </w:t>
            </w:r>
            <w:r w:rsidR="004F0A64" w:rsidRPr="00D06C96">
              <w:rPr>
                <w:rFonts w:cs="Calibri"/>
                <w:b/>
              </w:rPr>
              <w:t xml:space="preserve">to </w:t>
            </w:r>
            <w:r w:rsidR="00E902F6">
              <w:rPr>
                <w:rFonts w:cs="Calibri"/>
                <w:b/>
              </w:rPr>
              <w:t>11</w:t>
            </w:r>
            <w:r w:rsidR="00E902F6" w:rsidRPr="00D06C96">
              <w:rPr>
                <w:rFonts w:cs="Calibri"/>
                <w:b/>
              </w:rPr>
              <w:t xml:space="preserve"> </w:t>
            </w:r>
            <w:r w:rsidR="00E902F6">
              <w:rPr>
                <w:rFonts w:cs="Calibri"/>
                <w:b/>
              </w:rPr>
              <w:t>a</w:t>
            </w:r>
            <w:r w:rsidR="004F0A64" w:rsidRPr="00D06C96">
              <w:rPr>
                <w:rFonts w:cs="Calibri"/>
                <w:b/>
              </w:rPr>
              <w:t>.m</w:t>
            </w:r>
            <w:r w:rsidR="00254492">
              <w:rPr>
                <w:rFonts w:cs="Calibri"/>
                <w:b/>
              </w:rPr>
              <w:t>.</w:t>
            </w:r>
            <w:r w:rsidR="00254492">
              <w:rPr>
                <w:rFonts w:cs="Calibri"/>
                <w:b/>
              </w:rPr>
              <w:br/>
            </w:r>
            <w:r w:rsidR="002B5790">
              <w:rPr>
                <w:rFonts w:cs="Calibri"/>
                <w:b/>
              </w:rPr>
              <w:t xml:space="preserve">Room </w:t>
            </w:r>
            <w:r w:rsidR="00A13740">
              <w:rPr>
                <w:rFonts w:cs="Calibri"/>
                <w:b/>
              </w:rPr>
              <w:t>XX</w:t>
            </w:r>
            <w:r w:rsidR="004F0A64" w:rsidRPr="00D06C96">
              <w:rPr>
                <w:rFonts w:cs="Calibri"/>
                <w:b/>
              </w:rPr>
              <w:t>, Palais des Nations, Geneva</w:t>
            </w:r>
            <w:r w:rsidR="00B75EB5">
              <w:rPr>
                <w:rFonts w:cs="Calibri"/>
                <w:b/>
              </w:rPr>
              <w:t>,</w:t>
            </w:r>
            <w:r w:rsidR="00254492">
              <w:rPr>
                <w:rFonts w:cs="Calibri"/>
                <w:b/>
              </w:rPr>
              <w:t xml:space="preserve"> and online platform (Zoom)</w:t>
            </w:r>
            <w:r w:rsidR="004F0A64" w:rsidRPr="00D06C96">
              <w:rPr>
                <w:rFonts w:cs="Calibri"/>
                <w:b/>
              </w:rPr>
              <w:t xml:space="preserve"> </w:t>
            </w:r>
            <w:r w:rsidR="004F0A64" w:rsidRPr="00D06C96">
              <w:rPr>
                <w:rFonts w:cs="Calibri"/>
                <w:b/>
              </w:rPr>
              <w:br/>
            </w:r>
            <w:r w:rsidR="004F0A64" w:rsidRPr="00D06C96">
              <w:rPr>
                <w:rFonts w:cs="Calibri"/>
                <w:i/>
              </w:rPr>
              <w:t xml:space="preserve">(will be broadcasted live and archived on </w:t>
            </w:r>
            <w:hyperlink r:id="rId10" w:history="1">
              <w:r w:rsidR="004F0A64" w:rsidRPr="00D06C96">
                <w:rPr>
                  <w:rStyle w:val="Hyperlink"/>
                  <w:rFonts w:cs="Calibri"/>
                  <w:i/>
                </w:rPr>
                <w:t>http://webtv.un.org</w:t>
              </w:r>
            </w:hyperlink>
            <w:r w:rsidR="004F0A64" w:rsidRPr="00D06C96">
              <w:rPr>
                <w:rFonts w:cs="Calibri"/>
                <w:i/>
              </w:rPr>
              <w:t>)</w:t>
            </w:r>
          </w:p>
        </w:tc>
      </w:tr>
      <w:tr w:rsidR="004F0A64" w:rsidRPr="00D06C96" w14:paraId="0E65F5E0" w14:textId="77777777" w:rsidTr="00936778">
        <w:tc>
          <w:tcPr>
            <w:tcW w:w="1450" w:type="dxa"/>
            <w:shd w:val="clear" w:color="auto" w:fill="auto"/>
          </w:tcPr>
          <w:p w14:paraId="1170916F" w14:textId="77777777" w:rsidR="004F0A64" w:rsidRPr="00D06C96" w:rsidRDefault="004F0A64" w:rsidP="00A72438">
            <w:pPr>
              <w:spacing w:after="0" w:line="240" w:lineRule="auto"/>
              <w:jc w:val="both"/>
              <w:rPr>
                <w:rFonts w:cs="Calibri"/>
                <w:b/>
              </w:rPr>
            </w:pPr>
            <w:r w:rsidRPr="00D06C96">
              <w:rPr>
                <w:rFonts w:cs="Calibri"/>
                <w:b/>
              </w:rPr>
              <w:t>Objectives:</w:t>
            </w:r>
          </w:p>
        </w:tc>
        <w:tc>
          <w:tcPr>
            <w:tcW w:w="9040" w:type="dxa"/>
            <w:shd w:val="clear" w:color="auto" w:fill="auto"/>
          </w:tcPr>
          <w:p w14:paraId="4D3BE8FC" w14:textId="677F92E0" w:rsidR="004F0A64" w:rsidRPr="00D06C96" w:rsidRDefault="004F0A64" w:rsidP="00A72438">
            <w:pPr>
              <w:shd w:val="clear" w:color="auto" w:fill="FFFFFF"/>
              <w:spacing w:after="120" w:line="240" w:lineRule="auto"/>
              <w:rPr>
                <w:rFonts w:cs="Calibri"/>
                <w:bCs/>
              </w:rPr>
            </w:pPr>
            <w:r w:rsidRPr="004F0A64">
              <w:rPr>
                <w:rFonts w:cs="Calibri"/>
                <w:bCs/>
                <w:lang w:val="en-US"/>
              </w:rPr>
              <w:t xml:space="preserve">The panel </w:t>
            </w:r>
            <w:r w:rsidR="00A72438">
              <w:rPr>
                <w:rFonts w:cs="Calibri"/>
                <w:bCs/>
                <w:lang w:val="en-US"/>
              </w:rPr>
              <w:t xml:space="preserve">discussion </w:t>
            </w:r>
            <w:r w:rsidRPr="004F0A64">
              <w:rPr>
                <w:rFonts w:cs="Calibri"/>
                <w:bCs/>
                <w:lang w:val="en-US"/>
              </w:rPr>
              <w:t xml:space="preserve">provides a platform to </w:t>
            </w:r>
            <w:r w:rsidR="001E09FC">
              <w:rPr>
                <w:rFonts w:cs="Calibri"/>
                <w:bCs/>
                <w:lang w:val="en-US"/>
              </w:rPr>
              <w:t xml:space="preserve">share experiences </w:t>
            </w:r>
            <w:r w:rsidR="001E09FC" w:rsidRPr="001E09FC">
              <w:rPr>
                <w:rFonts w:cs="Calibri"/>
                <w:bCs/>
                <w:lang w:val="en-US"/>
              </w:rPr>
              <w:t xml:space="preserve">on the activities and plans of the Office </w:t>
            </w:r>
            <w:r w:rsidR="00A72438">
              <w:rPr>
                <w:rFonts w:cs="Calibri"/>
                <w:bCs/>
                <w:lang w:val="en-US"/>
              </w:rPr>
              <w:t xml:space="preserve">of the United Nations High Commissioner for Human Rights (OHCHR) </w:t>
            </w:r>
            <w:r w:rsidR="001E09FC" w:rsidRPr="001E09FC">
              <w:rPr>
                <w:rFonts w:cs="Calibri"/>
                <w:bCs/>
                <w:lang w:val="en-US"/>
              </w:rPr>
              <w:t xml:space="preserve">and relevant United Nations country teams and agencies and regional organizations to support States’ efforts to promote and protect the right to education, including those aimed at alleviating the impact of the COVID-19 pandemic on the enjoyment of the right to education, ensuring the continuity of education for all, and addressing educational inequalities, with particular attention given to girls and to children in the most vulnerable and disadvantaged situations. </w:t>
            </w:r>
            <w:r w:rsidR="001E09FC">
              <w:rPr>
                <w:rFonts w:cs="Calibri"/>
                <w:bCs/>
                <w:lang w:val="en-US"/>
              </w:rPr>
              <w:t xml:space="preserve"> </w:t>
            </w:r>
          </w:p>
        </w:tc>
      </w:tr>
      <w:tr w:rsidR="004F0A64" w:rsidRPr="00D06C96" w14:paraId="438DFB38" w14:textId="77777777" w:rsidTr="00936778">
        <w:tc>
          <w:tcPr>
            <w:tcW w:w="1450" w:type="dxa"/>
            <w:shd w:val="clear" w:color="auto" w:fill="auto"/>
          </w:tcPr>
          <w:p w14:paraId="78963C2F" w14:textId="77777777" w:rsidR="004F0A64" w:rsidRPr="00D06C96" w:rsidRDefault="004F0A64" w:rsidP="00A72438">
            <w:pPr>
              <w:spacing w:after="0" w:line="240" w:lineRule="auto"/>
              <w:jc w:val="both"/>
              <w:rPr>
                <w:rFonts w:cs="Calibri"/>
                <w:b/>
              </w:rPr>
            </w:pPr>
            <w:r w:rsidRPr="00D06C96">
              <w:rPr>
                <w:rFonts w:cs="Calibri"/>
                <w:b/>
              </w:rPr>
              <w:t xml:space="preserve">Chair: </w:t>
            </w:r>
          </w:p>
        </w:tc>
        <w:tc>
          <w:tcPr>
            <w:tcW w:w="9040" w:type="dxa"/>
            <w:shd w:val="clear" w:color="auto" w:fill="auto"/>
          </w:tcPr>
          <w:p w14:paraId="368FBE8D" w14:textId="12091C61" w:rsidR="00A13740" w:rsidRPr="00D06C96" w:rsidRDefault="00A13740" w:rsidP="00B00718">
            <w:pPr>
              <w:pStyle w:val="Heading3"/>
              <w:shd w:val="clear" w:color="auto" w:fill="FFFFFF"/>
              <w:spacing w:before="0" w:beforeAutospacing="0" w:after="120" w:afterAutospacing="0"/>
              <w:jc w:val="both"/>
              <w:rPr>
                <w:rFonts w:ascii="Calibri" w:eastAsia="Cambria" w:hAnsi="Calibri" w:cs="Calibri"/>
                <w:bCs w:val="0"/>
                <w:sz w:val="22"/>
                <w:szCs w:val="22"/>
                <w:lang w:val="en-US"/>
              </w:rPr>
            </w:pPr>
            <w:r w:rsidRPr="00A13740">
              <w:rPr>
                <w:rFonts w:ascii="Calibri" w:eastAsia="Cambria" w:hAnsi="Calibri" w:cs="Calibri"/>
                <w:bCs w:val="0"/>
                <w:sz w:val="22"/>
                <w:szCs w:val="22"/>
              </w:rPr>
              <w:t xml:space="preserve">H.E. </w:t>
            </w:r>
            <w:r w:rsidR="002E3C9F">
              <w:rPr>
                <w:rFonts w:ascii="Calibri" w:eastAsia="Cambria" w:hAnsi="Calibri" w:cs="Calibri"/>
                <w:bCs w:val="0"/>
                <w:sz w:val="22"/>
                <w:szCs w:val="22"/>
              </w:rPr>
              <w:t>Mr.</w:t>
            </w:r>
            <w:r w:rsidR="00B00718">
              <w:rPr>
                <w:rFonts w:ascii="Calibri" w:eastAsia="Cambria" w:hAnsi="Calibri" w:cs="Calibri"/>
                <w:bCs w:val="0"/>
                <w:sz w:val="22"/>
                <w:szCs w:val="22"/>
              </w:rPr>
              <w:t xml:space="preserve"> </w:t>
            </w:r>
            <w:r w:rsidR="00B00718" w:rsidRPr="00B00718">
              <w:rPr>
                <w:rFonts w:ascii="Calibri" w:eastAsia="Cambria" w:hAnsi="Calibri" w:cs="Calibri"/>
                <w:bCs w:val="0"/>
                <w:sz w:val="22"/>
                <w:szCs w:val="22"/>
              </w:rPr>
              <w:t>Yuri Borissov S</w:t>
            </w:r>
            <w:r w:rsidR="005626BE" w:rsidRPr="00B00718">
              <w:rPr>
                <w:rFonts w:ascii="Calibri" w:eastAsia="Cambria" w:hAnsi="Calibri" w:cs="Calibri"/>
                <w:bCs w:val="0"/>
                <w:sz w:val="22"/>
                <w:szCs w:val="22"/>
              </w:rPr>
              <w:t>terk</w:t>
            </w:r>
            <w:r w:rsidRPr="00A13740">
              <w:rPr>
                <w:rFonts w:ascii="Calibri" w:eastAsia="Cambria" w:hAnsi="Calibri" w:cs="Calibri"/>
                <w:b w:val="0"/>
                <w:bCs w:val="0"/>
                <w:sz w:val="22"/>
                <w:szCs w:val="22"/>
              </w:rPr>
              <w:t>, Vice-President of the Human Rights Council</w:t>
            </w:r>
          </w:p>
        </w:tc>
      </w:tr>
      <w:tr w:rsidR="004F0A64" w:rsidRPr="00D06C96" w14:paraId="0EAEFDFB" w14:textId="77777777" w:rsidTr="00936778">
        <w:tc>
          <w:tcPr>
            <w:tcW w:w="1450" w:type="dxa"/>
            <w:shd w:val="clear" w:color="auto" w:fill="auto"/>
          </w:tcPr>
          <w:p w14:paraId="38EB5E93" w14:textId="77777777" w:rsidR="004F0A64" w:rsidRPr="00D06C96" w:rsidRDefault="004F0A64" w:rsidP="00A72438">
            <w:pPr>
              <w:spacing w:after="60" w:line="240" w:lineRule="auto"/>
              <w:jc w:val="both"/>
              <w:rPr>
                <w:rFonts w:cs="Calibri"/>
                <w:b/>
              </w:rPr>
            </w:pPr>
            <w:r w:rsidRPr="00D06C96">
              <w:rPr>
                <w:rFonts w:cs="Calibri"/>
                <w:b/>
              </w:rPr>
              <w:t>Opening statements:</w:t>
            </w:r>
          </w:p>
        </w:tc>
        <w:tc>
          <w:tcPr>
            <w:tcW w:w="9040" w:type="dxa"/>
            <w:shd w:val="clear" w:color="auto" w:fill="auto"/>
          </w:tcPr>
          <w:p w14:paraId="37B75119" w14:textId="398A5E83" w:rsidR="004F0A64" w:rsidRPr="00A72438" w:rsidRDefault="00F03F86" w:rsidP="00A72438">
            <w:pPr>
              <w:spacing w:after="120" w:line="240" w:lineRule="auto"/>
              <w:jc w:val="both"/>
              <w:rPr>
                <w:rFonts w:cs="Calibri"/>
                <w:b/>
                <w:bCs/>
              </w:rPr>
            </w:pPr>
            <w:r>
              <w:rPr>
                <w:rFonts w:cs="Calibri"/>
                <w:b/>
              </w:rPr>
              <w:t>Mr. Mahamane Cissé-Gouro</w:t>
            </w:r>
            <w:r w:rsidRPr="00A72438">
              <w:rPr>
                <w:rFonts w:cs="Calibri"/>
              </w:rPr>
              <w:t xml:space="preserve">, </w:t>
            </w:r>
            <w:r w:rsidR="00A72438" w:rsidRPr="00A72438">
              <w:rPr>
                <w:rFonts w:cs="Calibri"/>
              </w:rPr>
              <w:t>Officer-in-Charge</w:t>
            </w:r>
            <w:r w:rsidR="00A72438">
              <w:rPr>
                <w:rFonts w:cs="Calibri"/>
              </w:rPr>
              <w:t xml:space="preserve"> of the </w:t>
            </w:r>
            <w:r w:rsidR="00A72438" w:rsidRPr="00A72438">
              <w:rPr>
                <w:rFonts w:cs="Calibri"/>
              </w:rPr>
              <w:t>Field Operations and Technical Cooperation Division</w:t>
            </w:r>
            <w:r w:rsidR="00A72438">
              <w:rPr>
                <w:rFonts w:cs="Calibri"/>
              </w:rPr>
              <w:t xml:space="preserve"> of the Office of the</w:t>
            </w:r>
            <w:r w:rsidR="005C32A7">
              <w:rPr>
                <w:rFonts w:cs="Calibri"/>
              </w:rPr>
              <w:t xml:space="preserve"> </w:t>
            </w:r>
            <w:r w:rsidR="004F0A64" w:rsidRPr="00D06C96">
              <w:rPr>
                <w:rFonts w:cs="Calibri"/>
              </w:rPr>
              <w:t>United Nations High Commissioner for Human Rights</w:t>
            </w:r>
          </w:p>
        </w:tc>
      </w:tr>
      <w:tr w:rsidR="004F0A64" w:rsidRPr="00D06C96" w14:paraId="702383B7" w14:textId="77777777" w:rsidTr="00936778">
        <w:tc>
          <w:tcPr>
            <w:tcW w:w="1450" w:type="dxa"/>
            <w:shd w:val="clear" w:color="auto" w:fill="auto"/>
          </w:tcPr>
          <w:p w14:paraId="6A524E1D" w14:textId="77777777" w:rsidR="004F0A64" w:rsidRPr="00D06C96" w:rsidRDefault="004F0A64" w:rsidP="00A72438">
            <w:pPr>
              <w:spacing w:after="60" w:line="240" w:lineRule="auto"/>
              <w:jc w:val="both"/>
              <w:rPr>
                <w:rFonts w:cs="Calibri"/>
                <w:b/>
              </w:rPr>
            </w:pPr>
            <w:r w:rsidRPr="00493782">
              <w:rPr>
                <w:rFonts w:cs="Calibri"/>
                <w:b/>
              </w:rPr>
              <w:t>Moderator:</w:t>
            </w:r>
          </w:p>
        </w:tc>
        <w:tc>
          <w:tcPr>
            <w:tcW w:w="9040" w:type="dxa"/>
            <w:shd w:val="clear" w:color="auto" w:fill="auto"/>
          </w:tcPr>
          <w:p w14:paraId="34560C75" w14:textId="555AD159" w:rsidR="004F0A64" w:rsidRDefault="00C33F7D" w:rsidP="00A72438">
            <w:pPr>
              <w:spacing w:after="120" w:line="240" w:lineRule="auto"/>
              <w:rPr>
                <w:rFonts w:cs="Calibri"/>
                <w:lang w:val="en"/>
              </w:rPr>
            </w:pPr>
            <w:r>
              <w:rPr>
                <w:rFonts w:cs="Calibri"/>
                <w:b/>
              </w:rPr>
              <w:t xml:space="preserve">H.E. Mr. </w:t>
            </w:r>
            <w:r w:rsidR="005A1111" w:rsidRPr="005A1111">
              <w:rPr>
                <w:rFonts w:cs="Calibri"/>
                <w:b/>
              </w:rPr>
              <w:t>Rongvudhi Virabutr</w:t>
            </w:r>
            <w:r w:rsidR="005A1111" w:rsidRPr="008D3BDA">
              <w:rPr>
                <w:rFonts w:cs="Calibri"/>
              </w:rPr>
              <w:t xml:space="preserve">, </w:t>
            </w:r>
            <w:r w:rsidR="005A1111" w:rsidRPr="005D3464">
              <w:rPr>
                <w:rFonts w:cs="Calibri"/>
                <w:bCs/>
              </w:rPr>
              <w:t xml:space="preserve">Ambassador and Deputy Permanent Representative / Chargé d’affaires a.i. of Thailand to the </w:t>
            </w:r>
            <w:r w:rsidRPr="005D3464">
              <w:rPr>
                <w:rFonts w:cs="Calibri"/>
                <w:bCs/>
              </w:rPr>
              <w:t>United Nations</w:t>
            </w:r>
            <w:r w:rsidR="005A1111" w:rsidRPr="005D3464">
              <w:rPr>
                <w:rFonts w:cs="Calibri"/>
                <w:bCs/>
              </w:rPr>
              <w:t xml:space="preserve"> </w:t>
            </w:r>
            <w:r w:rsidR="008D3BDA">
              <w:rPr>
                <w:rFonts w:cs="Calibri"/>
                <w:bCs/>
              </w:rPr>
              <w:t xml:space="preserve">Office at </w:t>
            </w:r>
            <w:r w:rsidR="005A1111" w:rsidRPr="005D3464">
              <w:rPr>
                <w:rFonts w:cs="Calibri"/>
                <w:bCs/>
              </w:rPr>
              <w:t>Geneva</w:t>
            </w:r>
          </w:p>
          <w:p w14:paraId="728B96C2" w14:textId="52343127" w:rsidR="00AF3C4F" w:rsidRPr="008D3BDA" w:rsidRDefault="008D3BDA" w:rsidP="0081034E">
            <w:pPr>
              <w:spacing w:after="120" w:line="240" w:lineRule="auto"/>
              <w:rPr>
                <w:rFonts w:cs="Calibri"/>
                <w:lang w:val="en"/>
              </w:rPr>
            </w:pPr>
            <w:r w:rsidRPr="00D01E77">
              <w:rPr>
                <w:rFonts w:cs="Calibri"/>
                <w:i/>
                <w:lang w:val="en"/>
              </w:rPr>
              <w:t xml:space="preserve">Video screening: </w:t>
            </w:r>
            <w:r>
              <w:rPr>
                <w:rFonts w:cs="Calibri"/>
                <w:i/>
                <w:lang w:val="en"/>
              </w:rPr>
              <w:t>T</w:t>
            </w:r>
            <w:r w:rsidRPr="00D01E77">
              <w:rPr>
                <w:rFonts w:cs="Calibri"/>
                <w:i/>
                <w:lang w:val="en"/>
              </w:rPr>
              <w:t xml:space="preserve">estimonies of children and youth </w:t>
            </w:r>
            <w:r>
              <w:rPr>
                <w:rFonts w:cs="Calibri"/>
                <w:i/>
                <w:lang w:val="en"/>
              </w:rPr>
              <w:t>about</w:t>
            </w:r>
            <w:r w:rsidRPr="00D01E77">
              <w:rPr>
                <w:rFonts w:cs="Calibri"/>
                <w:i/>
                <w:lang w:val="en"/>
              </w:rPr>
              <w:t xml:space="preserve"> the impact of COVID-19 measures on their acce</w:t>
            </w:r>
            <w:r w:rsidR="0081034E">
              <w:rPr>
                <w:rFonts w:cs="Calibri"/>
                <w:i/>
                <w:lang w:val="en"/>
              </w:rPr>
              <w:t>ss to and quality of education</w:t>
            </w:r>
          </w:p>
        </w:tc>
      </w:tr>
      <w:tr w:rsidR="004F0A64" w:rsidRPr="00D06C96" w14:paraId="744535F5" w14:textId="77777777" w:rsidTr="00936778">
        <w:tc>
          <w:tcPr>
            <w:tcW w:w="1450" w:type="dxa"/>
            <w:shd w:val="clear" w:color="auto" w:fill="auto"/>
          </w:tcPr>
          <w:p w14:paraId="1D80EB69" w14:textId="0957FF22" w:rsidR="004F0A64" w:rsidRPr="00D06C96" w:rsidRDefault="004F0A64" w:rsidP="00A72438">
            <w:pPr>
              <w:spacing w:after="0" w:line="240" w:lineRule="auto"/>
              <w:jc w:val="both"/>
              <w:rPr>
                <w:rFonts w:cs="Calibri"/>
                <w:b/>
              </w:rPr>
            </w:pPr>
            <w:r w:rsidRPr="00D06C96">
              <w:rPr>
                <w:rFonts w:cs="Calibri"/>
                <w:b/>
              </w:rPr>
              <w:t>Panellists:</w:t>
            </w:r>
          </w:p>
        </w:tc>
        <w:tc>
          <w:tcPr>
            <w:tcW w:w="9040" w:type="dxa"/>
            <w:shd w:val="clear" w:color="auto" w:fill="auto"/>
          </w:tcPr>
          <w:p w14:paraId="594E7F92" w14:textId="4EAF35ED" w:rsidR="004F0A64" w:rsidRPr="002A12A6" w:rsidRDefault="005C32A7" w:rsidP="00A72438">
            <w:pPr>
              <w:numPr>
                <w:ilvl w:val="0"/>
                <w:numId w:val="1"/>
              </w:numPr>
              <w:spacing w:after="120" w:line="240" w:lineRule="auto"/>
              <w:ind w:left="284" w:hanging="284"/>
              <w:rPr>
                <w:rFonts w:cs="Calibri"/>
                <w:b/>
                <w:bCs/>
                <w:lang w:eastAsia="zh-TW"/>
              </w:rPr>
            </w:pPr>
            <w:r>
              <w:rPr>
                <w:rFonts w:cs="Calibri"/>
                <w:b/>
              </w:rPr>
              <w:t>Ms. Es</w:t>
            </w:r>
            <w:r w:rsidR="00A72438">
              <w:rPr>
                <w:rFonts w:cs="Calibri"/>
                <w:b/>
              </w:rPr>
              <w:t>i</w:t>
            </w:r>
            <w:r>
              <w:rPr>
                <w:rFonts w:cs="Calibri"/>
                <w:b/>
              </w:rPr>
              <w:t xml:space="preserve"> Sutherland Addy</w:t>
            </w:r>
            <w:r w:rsidRPr="00A72438">
              <w:rPr>
                <w:rFonts w:cs="Calibri"/>
              </w:rPr>
              <w:t xml:space="preserve">, </w:t>
            </w:r>
            <w:r w:rsidR="00812E56" w:rsidRPr="00A72438">
              <w:rPr>
                <w:rFonts w:cs="Calibri"/>
              </w:rPr>
              <w:t>Former Minister of Education and Culture</w:t>
            </w:r>
            <w:r w:rsidR="00A72438" w:rsidRPr="00A72438">
              <w:rPr>
                <w:rFonts w:cs="Calibri"/>
              </w:rPr>
              <w:t xml:space="preserve"> of</w:t>
            </w:r>
            <w:r w:rsidR="00812E56" w:rsidRPr="00A72438">
              <w:rPr>
                <w:rFonts w:cs="Calibri"/>
              </w:rPr>
              <w:t xml:space="preserve"> Ghana</w:t>
            </w:r>
            <w:r w:rsidR="002C6BFD">
              <w:rPr>
                <w:rFonts w:cs="Calibri"/>
              </w:rPr>
              <w:t xml:space="preserve"> </w:t>
            </w:r>
            <w:r w:rsidR="000F2009">
              <w:rPr>
                <w:rFonts w:cs="Calibri"/>
              </w:rPr>
              <w:t xml:space="preserve">and former </w:t>
            </w:r>
            <w:r w:rsidR="006C34BC">
              <w:rPr>
                <w:rFonts w:cs="Calibri"/>
              </w:rPr>
              <w:t>Chair</w:t>
            </w:r>
            <w:r w:rsidR="000F2009">
              <w:rPr>
                <w:rFonts w:cs="Calibri"/>
              </w:rPr>
              <w:t xml:space="preserve"> </w:t>
            </w:r>
            <w:r w:rsidR="006C34BC" w:rsidRPr="006C34BC">
              <w:rPr>
                <w:rFonts w:cs="Calibri"/>
              </w:rPr>
              <w:t>of the Board of Trustees on the Voluntary Fund for Technical Cooperation in the Field of Human Rights</w:t>
            </w:r>
            <w:r w:rsidR="006C34BC">
              <w:rPr>
                <w:rFonts w:cs="Calibri"/>
              </w:rPr>
              <w:t xml:space="preserve"> </w:t>
            </w:r>
            <w:r w:rsidR="008D3BDA">
              <w:rPr>
                <w:i/>
              </w:rPr>
              <w:t>(video message)</w:t>
            </w:r>
            <w:r w:rsidR="00812E56">
              <w:rPr>
                <w:rFonts w:cs="Calibri"/>
                <w:i/>
              </w:rPr>
              <w:t xml:space="preserve"> </w:t>
            </w:r>
          </w:p>
          <w:p w14:paraId="39C037C0" w14:textId="578161BE" w:rsidR="008D3BDA" w:rsidRPr="008D3BDA" w:rsidRDefault="009C7F7B" w:rsidP="00C114BE">
            <w:pPr>
              <w:numPr>
                <w:ilvl w:val="0"/>
                <w:numId w:val="1"/>
              </w:numPr>
              <w:spacing w:after="120" w:line="240" w:lineRule="auto"/>
              <w:ind w:left="284" w:hanging="284"/>
              <w:rPr>
                <w:rFonts w:cs="Calibri"/>
                <w:b/>
                <w:bCs/>
                <w:lang w:eastAsia="zh-TW"/>
              </w:rPr>
            </w:pPr>
            <w:r w:rsidRPr="008D3BDA">
              <w:rPr>
                <w:rFonts w:cs="Calibri"/>
                <w:b/>
                <w:lang w:val="en-US"/>
              </w:rPr>
              <w:t>Ms. Stefania Gia</w:t>
            </w:r>
            <w:r w:rsidR="00893AA3" w:rsidRPr="008D3BDA">
              <w:rPr>
                <w:rFonts w:cs="Calibri"/>
                <w:b/>
                <w:lang w:val="en-US"/>
              </w:rPr>
              <w:t>n</w:t>
            </w:r>
            <w:r w:rsidRPr="008D3BDA">
              <w:rPr>
                <w:rFonts w:cs="Calibri"/>
                <w:b/>
                <w:lang w:val="en-US"/>
              </w:rPr>
              <w:t>nini</w:t>
            </w:r>
            <w:r w:rsidR="00893AA3" w:rsidRPr="008D3BDA">
              <w:rPr>
                <w:rFonts w:cs="Calibri"/>
                <w:lang w:val="en-US"/>
              </w:rPr>
              <w:t xml:space="preserve">, </w:t>
            </w:r>
            <w:r w:rsidR="00893AA3" w:rsidRPr="008D3BDA">
              <w:rPr>
                <w:rFonts w:cs="Calibri"/>
                <w:bCs/>
                <w:lang w:val="en-US"/>
              </w:rPr>
              <w:t>Assistant Director-General for Education,</w:t>
            </w:r>
            <w:r w:rsidRPr="008D3BDA">
              <w:rPr>
                <w:rFonts w:cs="Calibri"/>
                <w:b/>
                <w:lang w:val="en-US"/>
              </w:rPr>
              <w:t xml:space="preserve"> </w:t>
            </w:r>
            <w:r w:rsidR="008D3BDA" w:rsidRPr="008D3BDA">
              <w:rPr>
                <w:rFonts w:cs="Calibri"/>
              </w:rPr>
              <w:t>United Nations Educational, Scientific and Cultural Organization</w:t>
            </w:r>
            <w:r w:rsidR="008D3BDA" w:rsidRPr="008D3BDA">
              <w:rPr>
                <w:rFonts w:cs="Calibri"/>
                <w:bCs/>
                <w:lang w:val="en-US"/>
              </w:rPr>
              <w:t xml:space="preserve"> </w:t>
            </w:r>
            <w:r w:rsidR="008D3BDA" w:rsidRPr="008D3BDA">
              <w:rPr>
                <w:rFonts w:cs="Calibri"/>
                <w:bCs/>
                <w:lang w:val="en-US" w:eastAsia="zh-TW"/>
              </w:rPr>
              <w:t>(UNESCO)</w:t>
            </w:r>
          </w:p>
          <w:p w14:paraId="3380EE5D" w14:textId="7D2DEE8A" w:rsidR="00D727F5" w:rsidRPr="008D3BDA" w:rsidRDefault="0008454F" w:rsidP="002C6BFD">
            <w:pPr>
              <w:numPr>
                <w:ilvl w:val="0"/>
                <w:numId w:val="1"/>
              </w:numPr>
              <w:spacing w:after="120" w:line="240" w:lineRule="auto"/>
              <w:ind w:left="284" w:hanging="284"/>
              <w:rPr>
                <w:rFonts w:cs="Calibri"/>
                <w:b/>
                <w:bCs/>
                <w:lang w:eastAsia="zh-TW"/>
              </w:rPr>
            </w:pPr>
            <w:r w:rsidRPr="00A835E9">
              <w:rPr>
                <w:b/>
              </w:rPr>
              <w:t>Mr. Fahad Al-Sulaiti</w:t>
            </w:r>
            <w:r>
              <w:t>, Chief Executive Officer</w:t>
            </w:r>
            <w:r w:rsidR="003E7147">
              <w:t xml:space="preserve">, </w:t>
            </w:r>
            <w:r>
              <w:t>Education Above All (EAA)</w:t>
            </w:r>
            <w:r w:rsidR="00EE67D7">
              <w:t xml:space="preserve">, </w:t>
            </w:r>
            <w:r>
              <w:t>Qatar</w:t>
            </w:r>
            <w:r w:rsidR="008D3BDA">
              <w:t xml:space="preserve"> </w:t>
            </w:r>
            <w:r w:rsidR="008D3BDA">
              <w:rPr>
                <w:i/>
              </w:rPr>
              <w:t>(video message)</w:t>
            </w:r>
          </w:p>
        </w:tc>
      </w:tr>
      <w:tr w:rsidR="004F0A64" w:rsidRPr="00D06C96" w14:paraId="5997222F" w14:textId="77777777" w:rsidTr="00936778">
        <w:tc>
          <w:tcPr>
            <w:tcW w:w="1450" w:type="dxa"/>
            <w:shd w:val="clear" w:color="auto" w:fill="auto"/>
          </w:tcPr>
          <w:p w14:paraId="44B0839D" w14:textId="77777777" w:rsidR="004F0A64" w:rsidRPr="00D06C96" w:rsidRDefault="004F0A64" w:rsidP="00A72438">
            <w:pPr>
              <w:spacing w:after="0" w:line="240" w:lineRule="auto"/>
              <w:jc w:val="both"/>
              <w:rPr>
                <w:rFonts w:cs="Calibri"/>
                <w:b/>
              </w:rPr>
            </w:pPr>
            <w:r w:rsidRPr="00D06C96">
              <w:rPr>
                <w:rFonts w:cs="Calibri"/>
                <w:b/>
              </w:rPr>
              <w:t xml:space="preserve">Mandate: </w:t>
            </w:r>
          </w:p>
        </w:tc>
        <w:tc>
          <w:tcPr>
            <w:tcW w:w="9040" w:type="dxa"/>
            <w:shd w:val="clear" w:color="auto" w:fill="auto"/>
          </w:tcPr>
          <w:p w14:paraId="42B5F57A" w14:textId="57B0FF30" w:rsidR="004F0A64" w:rsidRPr="00E41510" w:rsidRDefault="004F0A64" w:rsidP="002E1AA7">
            <w:pPr>
              <w:spacing w:after="120" w:line="240" w:lineRule="auto"/>
              <w:jc w:val="both"/>
              <w:rPr>
                <w:rFonts w:cs="Calibri"/>
              </w:rPr>
            </w:pPr>
            <w:r w:rsidRPr="00E41510">
              <w:rPr>
                <w:rFonts w:cs="Calibri"/>
              </w:rPr>
              <w:t xml:space="preserve">In its resolution </w:t>
            </w:r>
            <w:hyperlink r:id="rId11" w:history="1">
              <w:r w:rsidR="00812E56" w:rsidRPr="002278DB">
                <w:rPr>
                  <w:rStyle w:val="Hyperlink"/>
                  <w:rFonts w:cs="Calibri"/>
                </w:rPr>
                <w:t>45/32</w:t>
              </w:r>
            </w:hyperlink>
            <w:r w:rsidRPr="00E41510">
              <w:rPr>
                <w:rFonts w:cs="Calibri"/>
              </w:rPr>
              <w:t>, the Human Rights Council</w:t>
            </w:r>
            <w:r w:rsidR="00354F0F">
              <w:rPr>
                <w:rFonts w:cs="Calibri"/>
              </w:rPr>
              <w:t xml:space="preserve"> decided </w:t>
            </w:r>
            <w:r w:rsidR="002E1AA7">
              <w:rPr>
                <w:rFonts w:cs="Calibri"/>
              </w:rPr>
              <w:t>to focus the annual</w:t>
            </w:r>
            <w:r w:rsidR="00354F0F" w:rsidRPr="00354F0F">
              <w:rPr>
                <w:rFonts w:cs="Calibri"/>
              </w:rPr>
              <w:t xml:space="preserve"> panel discussion </w:t>
            </w:r>
            <w:r w:rsidR="002E1AA7">
              <w:rPr>
                <w:rFonts w:cs="Calibri"/>
              </w:rPr>
              <w:t xml:space="preserve">under agenda item 10 </w:t>
            </w:r>
            <w:r w:rsidR="00354F0F" w:rsidRPr="00354F0F">
              <w:rPr>
                <w:rFonts w:cs="Calibri"/>
              </w:rPr>
              <w:t>on</w:t>
            </w:r>
            <w:r w:rsidR="00D01CB1">
              <w:rPr>
                <w:rFonts w:cs="Calibri"/>
              </w:rPr>
              <w:t xml:space="preserve"> </w:t>
            </w:r>
            <w:r w:rsidR="00D01CB1">
              <w:t>technical cooperation to advance the right to education and ensure inclusive and equitable quality education and lifelong learning for all</w:t>
            </w:r>
            <w:r w:rsidR="00354F0F">
              <w:rPr>
                <w:rFonts w:cs="Calibri"/>
              </w:rPr>
              <w:t>.</w:t>
            </w:r>
            <w:r w:rsidRPr="00E41510">
              <w:rPr>
                <w:rFonts w:cs="Calibri"/>
              </w:rPr>
              <w:t xml:space="preserve"> </w:t>
            </w:r>
          </w:p>
        </w:tc>
      </w:tr>
      <w:tr w:rsidR="004F0A64" w:rsidRPr="00D06C96" w14:paraId="0F529260" w14:textId="77777777" w:rsidTr="00936778">
        <w:tc>
          <w:tcPr>
            <w:tcW w:w="1450" w:type="dxa"/>
            <w:shd w:val="clear" w:color="auto" w:fill="auto"/>
          </w:tcPr>
          <w:p w14:paraId="16074F40" w14:textId="77777777" w:rsidR="004F0A64" w:rsidRPr="00D06C96" w:rsidRDefault="004F0A64" w:rsidP="00A72438">
            <w:pPr>
              <w:spacing w:after="0" w:line="240" w:lineRule="auto"/>
              <w:rPr>
                <w:rFonts w:cs="Calibri"/>
                <w:b/>
              </w:rPr>
            </w:pPr>
            <w:r w:rsidRPr="00D06C96">
              <w:rPr>
                <w:rFonts w:cs="Calibri"/>
                <w:b/>
              </w:rPr>
              <w:t xml:space="preserve">Format: </w:t>
            </w:r>
          </w:p>
        </w:tc>
        <w:tc>
          <w:tcPr>
            <w:tcW w:w="9040" w:type="dxa"/>
            <w:shd w:val="clear" w:color="auto" w:fill="auto"/>
          </w:tcPr>
          <w:p w14:paraId="31780C7D" w14:textId="07599421" w:rsidR="00BD4DD4" w:rsidRPr="00BD4DD4" w:rsidRDefault="00BD4DD4" w:rsidP="002E1AA7">
            <w:pPr>
              <w:spacing w:after="120" w:line="240" w:lineRule="auto"/>
              <w:rPr>
                <w:rFonts w:eastAsia="PMingLiU" w:cs="Calibri"/>
                <w:bCs/>
              </w:rPr>
            </w:pPr>
            <w:r w:rsidRPr="00BD4DD4">
              <w:rPr>
                <w:rFonts w:eastAsia="PMingLiU" w:cs="Calibri"/>
                <w:bCs/>
              </w:rPr>
              <w:t xml:space="preserve">The panel discussion will be limited to two hours. After </w:t>
            </w:r>
            <w:r w:rsidR="009B7EAD">
              <w:rPr>
                <w:rFonts w:eastAsia="PMingLiU" w:cs="Calibri"/>
                <w:bCs/>
              </w:rPr>
              <w:t xml:space="preserve">the </w:t>
            </w:r>
            <w:r w:rsidRPr="00BD4DD4">
              <w:rPr>
                <w:rFonts w:eastAsia="PMingLiU" w:cs="Calibri"/>
                <w:bCs/>
              </w:rPr>
              <w:t xml:space="preserve">opening statement and initial presentations by the panellists, there will be two segments of interventions, followed by conclusions from the panellists. A maximum of one hour will be set aside for the podium, which will cover the opening statement, panellists’ presentations, and their responses to questions and concluding remarks. The remaining hour will be reserved for two segments of interventions from the floor, with each segment consisting of interventions from 12 States or observers, 1 national human rights institution and 2 non-governmental organizations. Each speaker will have two minutes to raise issues and to ask panellists questions. </w:t>
            </w:r>
          </w:p>
          <w:p w14:paraId="6583E0C3" w14:textId="24B2A6B8" w:rsidR="00117E5C" w:rsidRPr="005C2F0D" w:rsidRDefault="00BD4DD4" w:rsidP="002E1AA7">
            <w:pPr>
              <w:spacing w:after="120" w:line="240" w:lineRule="auto"/>
              <w:rPr>
                <w:rFonts w:eastAsia="PMingLiU" w:cs="Calibri"/>
                <w:bCs/>
              </w:rPr>
            </w:pPr>
            <w:r w:rsidRPr="00BD4DD4">
              <w:rPr>
                <w:rFonts w:eastAsia="PMingLiU" w:cs="Calibri"/>
                <w:bCs/>
              </w:rPr>
              <w:t>The list of speakers for the discussion will be established through the online inscription system and, as per practice, statements by high-level dignitaries and groups of States will be moved to the beginning of the list. Delegates who have not been able to take the floor due to time constraints will be able to upload their statements on the online system to be posted on the HRC Extranet.</w:t>
            </w:r>
          </w:p>
        </w:tc>
      </w:tr>
      <w:tr w:rsidR="004F0A64" w:rsidRPr="00D06C96" w14:paraId="53A56856" w14:textId="77777777" w:rsidTr="00936778">
        <w:trPr>
          <w:trHeight w:val="1126"/>
        </w:trPr>
        <w:tc>
          <w:tcPr>
            <w:tcW w:w="1450" w:type="dxa"/>
            <w:shd w:val="clear" w:color="auto" w:fill="auto"/>
          </w:tcPr>
          <w:p w14:paraId="6DC6382D" w14:textId="77777777" w:rsidR="004F0A64" w:rsidRPr="00D06C96" w:rsidRDefault="004F0A64" w:rsidP="00A72438">
            <w:pPr>
              <w:spacing w:after="0" w:line="240" w:lineRule="auto"/>
              <w:jc w:val="both"/>
              <w:rPr>
                <w:rFonts w:cs="Calibri"/>
                <w:b/>
              </w:rPr>
            </w:pPr>
            <w:r w:rsidRPr="00D06C96">
              <w:rPr>
                <w:rFonts w:cs="Calibri"/>
                <w:b/>
              </w:rPr>
              <w:t>Background:</w:t>
            </w:r>
          </w:p>
        </w:tc>
        <w:tc>
          <w:tcPr>
            <w:tcW w:w="9040" w:type="dxa"/>
            <w:shd w:val="clear" w:color="auto" w:fill="auto"/>
          </w:tcPr>
          <w:p w14:paraId="096E882B" w14:textId="69E81365" w:rsidR="00117E5C" w:rsidRDefault="00117E5C" w:rsidP="00203721">
            <w:pPr>
              <w:spacing w:after="140" w:line="240" w:lineRule="auto"/>
            </w:pPr>
            <w:r w:rsidRPr="5F477C5B">
              <w:t xml:space="preserve">Education is not only a fundamental human right in itself but a right that enables access to all other human rights. Investing in education, including human rights education, is the most cost-effective way to drive economic development, to improve skills and opportunities for young women and men, to unlock progress on all 17 Sustainable Development Goals, and to prevent conflict and sustain peace. Education remains the primary vehicle by which economically and </w:t>
            </w:r>
            <w:r w:rsidRPr="5F477C5B">
              <w:lastRenderedPageBreak/>
              <w:t>socially marginalized adults, young people and children can lift themselves out of poverty and secure the means to participate fully as citizens in their own communities.</w:t>
            </w:r>
          </w:p>
          <w:p w14:paraId="397E04EF" w14:textId="74B7758D" w:rsidR="00196B3F" w:rsidRDefault="00A17EDF" w:rsidP="00203721">
            <w:pPr>
              <w:spacing w:after="140" w:line="240" w:lineRule="auto"/>
            </w:pPr>
            <w:r>
              <w:t xml:space="preserve">The </w:t>
            </w:r>
            <w:r w:rsidRPr="1054DACD">
              <w:t xml:space="preserve">Universal Declaration of Human Rights proclaimed in its article 26 that ‘Everyone has the right to education’. The International Covenant on Economic, Social and Cultural Rights provides a comprehensive recognition of the right to education in its article 13. The right to education is also recognized under other international conventions </w:t>
            </w:r>
            <w:r w:rsidR="00AB1177">
              <w:t>including</w:t>
            </w:r>
            <w:r w:rsidR="00AB1177" w:rsidRPr="1054DACD">
              <w:t xml:space="preserve"> </w:t>
            </w:r>
            <w:r w:rsidRPr="1054DACD">
              <w:t>the Convention on t</w:t>
            </w:r>
            <w:r w:rsidR="00196B3F">
              <w:t>he Rights of the Child</w:t>
            </w:r>
            <w:r w:rsidR="00AB1177">
              <w:t xml:space="preserve"> and</w:t>
            </w:r>
            <w:r w:rsidRPr="1054DACD">
              <w:t xml:space="preserve"> </w:t>
            </w:r>
            <w:r w:rsidR="00196B3F" w:rsidRPr="4965C865">
              <w:t>further elaborated in other international treaties and conventions, notably in the UNESCO Convention against Discrimination in Education adopted in 1960, as well as the UNESCO Convention on Technical and Vocational Education of 1989.</w:t>
            </w:r>
          </w:p>
          <w:p w14:paraId="1E021089" w14:textId="45668A39" w:rsidR="009F54E4" w:rsidRDefault="009F54E4" w:rsidP="00203721">
            <w:pPr>
              <w:spacing w:after="140" w:line="240" w:lineRule="auto"/>
            </w:pPr>
            <w:r w:rsidRPr="006E205D">
              <w:t xml:space="preserve">The right to education is guaranteed for all on non-discriminatory basis and encompasses (a) the right of access to quality education; (b) the practice of human rights in and through education; and (c) education as a right that facilitates the fulfilment of other rights. In realizing the right to education, States should ensure that the education system is available for all through sufficient number of educational institutions, is accessible to all regardless of their social/ethnic groups, disability or economic status, is acceptable and adaptable. These obligations prevail even during a crisis. </w:t>
            </w:r>
            <w:r>
              <w:t xml:space="preserve">Furthermore, in </w:t>
            </w:r>
            <w:r w:rsidR="001F0CE9">
              <w:t>its</w:t>
            </w:r>
            <w:r>
              <w:t xml:space="preserve"> general comment No. 13 on the right to education</w:t>
            </w:r>
            <w:r w:rsidR="00196B3F">
              <w:t xml:space="preserve">, </w:t>
            </w:r>
            <w:r>
              <w:t xml:space="preserve">the Committee on Economic, Social and Cultural Rights provides guidance to </w:t>
            </w:r>
            <w:r w:rsidRPr="006E205D">
              <w:t xml:space="preserve">States </w:t>
            </w:r>
            <w:r>
              <w:t>in fulfilling their</w:t>
            </w:r>
            <w:r w:rsidRPr="006E205D">
              <w:t xml:space="preserve"> core obligations to respect, protect and fulfil </w:t>
            </w:r>
            <w:r w:rsidR="004A2C5A">
              <w:t xml:space="preserve">key elements of </w:t>
            </w:r>
            <w:r w:rsidRPr="006E205D">
              <w:t>the right to education</w:t>
            </w:r>
            <w:r w:rsidR="00FB38A9">
              <w:t xml:space="preserve"> with regard to ensuring </w:t>
            </w:r>
            <w:r w:rsidR="004E4D42">
              <w:t xml:space="preserve">availability, </w:t>
            </w:r>
            <w:r w:rsidR="009E6438">
              <w:t xml:space="preserve">accessibility, </w:t>
            </w:r>
            <w:r w:rsidR="002D4A6C">
              <w:t xml:space="preserve">acceptability </w:t>
            </w:r>
            <w:r w:rsidR="00231FB0">
              <w:t>and adaptability of education</w:t>
            </w:r>
            <w:r w:rsidR="00F00929">
              <w:t xml:space="preserve"> on a non-discriminatory basis</w:t>
            </w:r>
            <w:r w:rsidR="00A17EDF">
              <w:t xml:space="preserve">. </w:t>
            </w:r>
          </w:p>
          <w:p w14:paraId="5F73B7CF" w14:textId="7458C888" w:rsidR="00196B3F" w:rsidRDefault="00196B3F" w:rsidP="00203721">
            <w:pPr>
              <w:spacing w:after="140" w:line="240" w:lineRule="auto"/>
            </w:pPr>
            <w:r w:rsidRPr="622A6463">
              <w:t>The</w:t>
            </w:r>
            <w:r>
              <w:t xml:space="preserve"> COVID</w:t>
            </w:r>
            <w:r w:rsidR="001F0CE9">
              <w:t>-</w:t>
            </w:r>
            <w:r>
              <w:t>19</w:t>
            </w:r>
            <w:r w:rsidRPr="622A6463">
              <w:t xml:space="preserve"> pandemic has provided an impetus to </w:t>
            </w:r>
            <w:r>
              <w:t>reimagine education and strengthen</w:t>
            </w:r>
            <w:r w:rsidRPr="622A6463">
              <w:t xml:space="preserve"> the resilience and preparedness of education systems, </w:t>
            </w:r>
            <w:r>
              <w:t>firmly grounded in</w:t>
            </w:r>
            <w:r w:rsidRPr="622A6463">
              <w:t xml:space="preserve"> the right to education </w:t>
            </w:r>
            <w:r>
              <w:t>and the international human rights framework more broadly.</w:t>
            </w:r>
            <w:r w:rsidRPr="622A6463">
              <w:t xml:space="preserve"> In responding to and recovering from the pandemic, States need to adopt a rights-based, inclusive approach to their legal and policy frameworks to ensure that everyone has the right to education and that no one is left behind.</w:t>
            </w:r>
          </w:p>
          <w:p w14:paraId="48FE0227" w14:textId="23C29218" w:rsidR="004F0A64" w:rsidRPr="00AD6FE4" w:rsidRDefault="00196B3F" w:rsidP="001F0CE9">
            <w:pPr>
              <w:spacing w:line="240" w:lineRule="auto"/>
              <w:rPr>
                <w:rFonts w:eastAsia="PMingLiU" w:cs="Calibri"/>
                <w:bCs/>
                <w:lang w:val="en-US"/>
              </w:rPr>
            </w:pPr>
            <w:r>
              <w:t>Experiences over the last years have demonstrated the value of key components on good practices in the context of technical cooperation elaborated by the Board of Trustees. Education plays a critical role in building back better from the pandemic and in strengthening national systems for the promotion and protection of all human rights. In recovering better, strong leadership is needed from national Governments and the international community to strengthen the right to education and achieve S</w:t>
            </w:r>
            <w:r w:rsidR="001F0CE9">
              <w:t xml:space="preserve">ustainable </w:t>
            </w:r>
            <w:r>
              <w:t>D</w:t>
            </w:r>
            <w:r w:rsidR="001F0CE9">
              <w:t xml:space="preserve">evelopment </w:t>
            </w:r>
            <w:r>
              <w:t>G</w:t>
            </w:r>
            <w:r w:rsidR="001F0CE9">
              <w:t>oal</w:t>
            </w:r>
            <w:r>
              <w:t xml:space="preserve"> 4 on quality education for all. Partnership and effective participation by all stakeholders are essential to mobilize knowledge and develop innovative solutions, including in addressing the digital divide that the pandemic has starkly demonstrated. </w:t>
            </w:r>
            <w:r w:rsidR="00CA1647" w:rsidRPr="00CA1647">
              <w:rPr>
                <w:rFonts w:eastAsia="PMingLiU" w:cs="Calibri"/>
                <w:bCs/>
                <w:lang w:val="en-US"/>
              </w:rPr>
              <w:t xml:space="preserve"> </w:t>
            </w:r>
          </w:p>
        </w:tc>
      </w:tr>
      <w:tr w:rsidR="004F0A64" w:rsidRPr="00D06C96" w14:paraId="3D1F6597" w14:textId="77777777" w:rsidTr="00936778">
        <w:trPr>
          <w:trHeight w:val="56"/>
        </w:trPr>
        <w:tc>
          <w:tcPr>
            <w:tcW w:w="1450" w:type="dxa"/>
            <w:shd w:val="clear" w:color="auto" w:fill="auto"/>
          </w:tcPr>
          <w:p w14:paraId="0BA080BD" w14:textId="77777777" w:rsidR="004F0A64" w:rsidRPr="00D06C96" w:rsidRDefault="004F0A64" w:rsidP="00A72438">
            <w:pPr>
              <w:spacing w:after="0" w:line="240" w:lineRule="auto"/>
              <w:jc w:val="both"/>
              <w:rPr>
                <w:rFonts w:cs="Calibri"/>
                <w:b/>
              </w:rPr>
            </w:pPr>
            <w:r w:rsidRPr="00D06C96">
              <w:rPr>
                <w:rFonts w:cs="Calibri"/>
                <w:b/>
              </w:rPr>
              <w:lastRenderedPageBreak/>
              <w:t>Background documents:</w:t>
            </w:r>
          </w:p>
          <w:p w14:paraId="27778FCE" w14:textId="77777777" w:rsidR="004F0A64" w:rsidRPr="00D06C96" w:rsidRDefault="004F0A64" w:rsidP="00A72438">
            <w:pPr>
              <w:spacing w:line="240" w:lineRule="auto"/>
              <w:jc w:val="both"/>
              <w:rPr>
                <w:rFonts w:eastAsia="Times New Roman" w:cs="Calibri"/>
              </w:rPr>
            </w:pPr>
          </w:p>
        </w:tc>
        <w:tc>
          <w:tcPr>
            <w:tcW w:w="9040" w:type="dxa"/>
            <w:shd w:val="clear" w:color="auto" w:fill="auto"/>
          </w:tcPr>
          <w:p w14:paraId="30D48DB4" w14:textId="7A6B731D" w:rsidR="00196B3F" w:rsidRPr="00D06C96" w:rsidRDefault="0081034E" w:rsidP="00A72438">
            <w:pPr>
              <w:numPr>
                <w:ilvl w:val="0"/>
                <w:numId w:val="2"/>
              </w:numPr>
              <w:spacing w:after="40" w:line="240" w:lineRule="auto"/>
              <w:ind w:left="357" w:hanging="357"/>
              <w:rPr>
                <w:rFonts w:cs="Calibri"/>
                <w:iCs/>
                <w:color w:val="000000"/>
              </w:rPr>
            </w:pPr>
            <w:hyperlink r:id="rId12" w:history="1">
              <w:r w:rsidR="004B2C18" w:rsidRPr="008804CE">
                <w:rPr>
                  <w:rStyle w:val="Hyperlink"/>
                </w:rPr>
                <w:t xml:space="preserve">Human Rights Council </w:t>
              </w:r>
              <w:r w:rsidR="00595EFE" w:rsidRPr="008804CE">
                <w:rPr>
                  <w:rStyle w:val="Hyperlink"/>
                </w:rPr>
                <w:t xml:space="preserve">resolution </w:t>
              </w:r>
              <w:r w:rsidR="001F0CE9" w:rsidRPr="008804CE">
                <w:rPr>
                  <w:rStyle w:val="Hyperlink"/>
                </w:rPr>
                <w:t>45/32</w:t>
              </w:r>
            </w:hyperlink>
            <w:r w:rsidR="001F0CE9" w:rsidRPr="008804CE">
              <w:rPr>
                <w:rStyle w:val="Hyperlink"/>
                <w:color w:val="000000" w:themeColor="text1"/>
                <w:u w:val="none"/>
              </w:rPr>
              <w:t xml:space="preserve"> of 7 October 2020 on enhancement of technical cooperation and capacity-building in the field of human rights</w:t>
            </w:r>
          </w:p>
          <w:p w14:paraId="589B9C70" w14:textId="495A5224" w:rsidR="004F0A64" w:rsidRDefault="0076510E" w:rsidP="001F0CE9">
            <w:pPr>
              <w:numPr>
                <w:ilvl w:val="0"/>
                <w:numId w:val="2"/>
              </w:numPr>
              <w:spacing w:after="40" w:line="240" w:lineRule="auto"/>
              <w:rPr>
                <w:rFonts w:eastAsia="Cambria" w:cs="Calibri"/>
                <w:lang w:val="en"/>
              </w:rPr>
            </w:pPr>
            <w:r>
              <w:rPr>
                <w:rFonts w:eastAsia="Cambria" w:cs="Calibri"/>
                <w:lang w:val="en"/>
              </w:rPr>
              <w:t xml:space="preserve">Report </w:t>
            </w:r>
            <w:r w:rsidR="00A47C3D">
              <w:rPr>
                <w:rFonts w:eastAsia="Cambria" w:cs="Calibri"/>
                <w:lang w:val="en"/>
              </w:rPr>
              <w:t xml:space="preserve">of </w:t>
            </w:r>
            <w:r w:rsidR="00A47C3D" w:rsidRPr="00A47C3D">
              <w:rPr>
                <w:rFonts w:eastAsia="Cambria" w:cs="Calibri"/>
              </w:rPr>
              <w:t>the United Nations Hig</w:t>
            </w:r>
            <w:r w:rsidR="00A47C3D">
              <w:rPr>
                <w:rFonts w:eastAsia="Cambria" w:cs="Calibri"/>
              </w:rPr>
              <w:t>h Commissioner for Human Rights</w:t>
            </w:r>
            <w:r w:rsidR="004F0A64" w:rsidRPr="00D06C96">
              <w:rPr>
                <w:rFonts w:eastAsia="Cambria" w:cs="Calibri"/>
                <w:lang w:val="en"/>
              </w:rPr>
              <w:t xml:space="preserve"> on </w:t>
            </w:r>
            <w:r w:rsidR="00BE4391" w:rsidRPr="00BE4391">
              <w:rPr>
                <w:rFonts w:eastAsia="Cambria" w:cs="Calibri"/>
                <w:lang w:val="en"/>
              </w:rPr>
              <w:t>the activities of the Office</w:t>
            </w:r>
            <w:r w:rsidR="00203721">
              <w:rPr>
                <w:rFonts w:eastAsia="Cambria" w:cs="Calibri"/>
                <w:lang w:val="en"/>
              </w:rPr>
              <w:t>,</w:t>
            </w:r>
            <w:r w:rsidR="00BE4391" w:rsidRPr="00BE4391">
              <w:rPr>
                <w:rFonts w:eastAsia="Cambria" w:cs="Calibri"/>
                <w:lang w:val="en"/>
              </w:rPr>
              <w:t xml:space="preserve"> </w:t>
            </w:r>
            <w:r w:rsidR="008804CE">
              <w:rPr>
                <w:rFonts w:eastAsia="Cambria" w:cs="Calibri"/>
                <w:lang w:val="en"/>
              </w:rPr>
              <w:t>the</w:t>
            </w:r>
            <w:r w:rsidR="00BE4391" w:rsidRPr="00BE4391">
              <w:rPr>
                <w:rFonts w:eastAsia="Cambria" w:cs="Calibri"/>
                <w:lang w:val="en"/>
              </w:rPr>
              <w:t xml:space="preserve"> United Nations </w:t>
            </w:r>
            <w:r w:rsidR="008804CE">
              <w:rPr>
                <w:rFonts w:eastAsia="Cambria" w:cs="Calibri"/>
                <w:lang w:val="en"/>
              </w:rPr>
              <w:t>system</w:t>
            </w:r>
            <w:r w:rsidR="00BE4391" w:rsidRPr="00BE4391">
              <w:rPr>
                <w:rFonts w:eastAsia="Cambria" w:cs="Calibri"/>
                <w:lang w:val="en"/>
              </w:rPr>
              <w:t xml:space="preserve"> and regional organizations to support States’ efforts to promote and protect the right to education</w:t>
            </w:r>
            <w:r w:rsidR="00BE4391" w:rsidRPr="00BE4391" w:rsidDel="00BE4391">
              <w:rPr>
                <w:rFonts w:eastAsia="Cambria" w:cs="Calibri"/>
                <w:lang w:val="en"/>
              </w:rPr>
              <w:t xml:space="preserve"> </w:t>
            </w:r>
            <w:r w:rsidR="00A47C3D">
              <w:rPr>
                <w:rFonts w:eastAsia="Cambria" w:cs="Calibri"/>
                <w:lang w:val="en"/>
              </w:rPr>
              <w:t>(</w:t>
            </w:r>
            <w:hyperlink r:id="rId13" w:history="1">
              <w:r w:rsidR="001F0CE9" w:rsidRPr="008804CE">
                <w:rPr>
                  <w:rStyle w:val="Hyperlink"/>
                  <w:rFonts w:eastAsia="Cambria" w:cs="Calibri"/>
                  <w:lang w:val="en"/>
                </w:rPr>
                <w:t>A/HRC/47/56</w:t>
              </w:r>
            </w:hyperlink>
            <w:r w:rsidRPr="001F0CE9">
              <w:rPr>
                <w:rStyle w:val="Hyperlink"/>
                <w:rFonts w:eastAsia="Cambria" w:cs="Calibri"/>
                <w:color w:val="000000" w:themeColor="text1"/>
                <w:u w:val="none"/>
                <w:lang w:val="en"/>
              </w:rPr>
              <w:t xml:space="preserve">, </w:t>
            </w:r>
            <w:r w:rsidR="003B77E0">
              <w:rPr>
                <w:rStyle w:val="Hyperlink"/>
                <w:rFonts w:eastAsia="Cambria" w:cs="Calibri"/>
                <w:color w:val="000000" w:themeColor="text1"/>
                <w:u w:val="none"/>
                <w:lang w:val="en"/>
              </w:rPr>
              <w:t>J</w:t>
            </w:r>
            <w:r w:rsidR="003B77E0">
              <w:rPr>
                <w:rStyle w:val="Hyperlink"/>
                <w:rFonts w:eastAsia="Cambria" w:cs="Calibri"/>
                <w:color w:val="000000" w:themeColor="text1"/>
                <w:lang w:val="en"/>
              </w:rPr>
              <w:t>uly</w:t>
            </w:r>
            <w:r w:rsidR="003B77E0" w:rsidRPr="001F0CE9">
              <w:rPr>
                <w:rStyle w:val="Hyperlink"/>
                <w:rFonts w:eastAsia="Cambria" w:cs="Calibri"/>
                <w:color w:val="000000" w:themeColor="text1"/>
                <w:u w:val="none"/>
                <w:lang w:val="en"/>
              </w:rPr>
              <w:t xml:space="preserve"> </w:t>
            </w:r>
            <w:r w:rsidR="00196B3F" w:rsidRPr="001F0CE9">
              <w:rPr>
                <w:rStyle w:val="Hyperlink"/>
                <w:rFonts w:eastAsia="Cambria" w:cs="Calibri"/>
                <w:color w:val="000000" w:themeColor="text1"/>
                <w:u w:val="none"/>
                <w:lang w:val="en"/>
              </w:rPr>
              <w:t>2021</w:t>
            </w:r>
            <w:r w:rsidR="00A47C3D" w:rsidRPr="001F0CE9">
              <w:rPr>
                <w:rFonts w:eastAsia="Cambria" w:cs="Calibri"/>
                <w:color w:val="000000" w:themeColor="text1"/>
                <w:lang w:val="en"/>
              </w:rPr>
              <w:t>)</w:t>
            </w:r>
          </w:p>
          <w:p w14:paraId="3FD8BCF6" w14:textId="11141CBD" w:rsidR="008618E0" w:rsidRDefault="008618E0" w:rsidP="00A72438">
            <w:pPr>
              <w:numPr>
                <w:ilvl w:val="0"/>
                <w:numId w:val="2"/>
              </w:numPr>
              <w:spacing w:after="40" w:line="240" w:lineRule="auto"/>
              <w:ind w:left="357" w:hanging="357"/>
              <w:rPr>
                <w:rFonts w:eastAsia="Cambria" w:cs="Calibri"/>
                <w:lang w:val="en"/>
              </w:rPr>
            </w:pPr>
            <w:r>
              <w:rPr>
                <w:rFonts w:eastAsia="Cambria" w:cs="Calibri"/>
                <w:lang w:val="en"/>
              </w:rPr>
              <w:t>Report of the Chair of the Board of Trustees of the United Nations Voluntary Fund for Technical Cooperation in the Field of Human Rights (</w:t>
            </w:r>
            <w:hyperlink r:id="rId14" w:history="1">
              <w:r w:rsidRPr="008618E0">
                <w:rPr>
                  <w:rStyle w:val="Hyperlink"/>
                  <w:rFonts w:eastAsia="Cambria" w:cs="Calibri"/>
                  <w:lang w:val="en"/>
                </w:rPr>
                <w:t>A/HRC/46/70</w:t>
              </w:r>
            </w:hyperlink>
            <w:r w:rsidR="00203721">
              <w:rPr>
                <w:rStyle w:val="Hyperlink"/>
                <w:rFonts w:eastAsia="Cambria" w:cs="Calibri"/>
                <w:lang w:val="en"/>
              </w:rPr>
              <w:t>, February 2021</w:t>
            </w:r>
            <w:r>
              <w:rPr>
                <w:rFonts w:eastAsia="Cambria" w:cs="Calibri"/>
                <w:lang w:val="en"/>
              </w:rPr>
              <w:t>)</w:t>
            </w:r>
          </w:p>
          <w:p w14:paraId="77C8E2DC" w14:textId="2900E2BF" w:rsidR="00D75872" w:rsidRDefault="00153064" w:rsidP="00A72438">
            <w:pPr>
              <w:numPr>
                <w:ilvl w:val="0"/>
                <w:numId w:val="2"/>
              </w:numPr>
              <w:spacing w:after="40" w:line="240" w:lineRule="auto"/>
              <w:ind w:left="357" w:hanging="357"/>
              <w:rPr>
                <w:rFonts w:eastAsia="Cambria" w:cs="Calibri"/>
                <w:lang w:val="en"/>
              </w:rPr>
            </w:pPr>
            <w:r>
              <w:rPr>
                <w:rFonts w:eastAsia="Cambria" w:cs="Calibri"/>
                <w:lang w:val="en"/>
              </w:rPr>
              <w:t xml:space="preserve">Report of the Secretary-General on </w:t>
            </w:r>
            <w:r w:rsidR="001F0CE9">
              <w:rPr>
                <w:rFonts w:eastAsia="Cambria" w:cs="Calibri"/>
                <w:lang w:val="en"/>
              </w:rPr>
              <w:t>t</w:t>
            </w:r>
            <w:r>
              <w:rPr>
                <w:rFonts w:eastAsia="Cambria" w:cs="Calibri"/>
                <w:lang w:val="en"/>
              </w:rPr>
              <w:t>he question of the realization of economic, social and cultural rights in all countries: the impact of the coronavirus disease (COVID-19) on the realization of economic, social and cultural rights (</w:t>
            </w:r>
            <w:hyperlink r:id="rId15" w:history="1">
              <w:r w:rsidRPr="00F21254">
                <w:rPr>
                  <w:rStyle w:val="Hyperlink"/>
                  <w:rFonts w:eastAsia="Cambria" w:cs="Calibri"/>
                  <w:lang w:val="en"/>
                </w:rPr>
                <w:t>A/HRC/46/43</w:t>
              </w:r>
            </w:hyperlink>
            <w:r w:rsidR="00203721">
              <w:rPr>
                <w:rStyle w:val="Hyperlink"/>
                <w:rFonts w:eastAsia="Cambria" w:cs="Calibri"/>
                <w:lang w:val="en"/>
              </w:rPr>
              <w:t>, January 2021</w:t>
            </w:r>
            <w:r>
              <w:rPr>
                <w:rFonts w:eastAsia="Cambria" w:cs="Calibri"/>
                <w:lang w:val="en"/>
              </w:rPr>
              <w:t>)</w:t>
            </w:r>
          </w:p>
          <w:p w14:paraId="161026C9" w14:textId="00D0C805" w:rsidR="00F54B9B" w:rsidRDefault="00F54B9B" w:rsidP="00A72438">
            <w:pPr>
              <w:numPr>
                <w:ilvl w:val="0"/>
                <w:numId w:val="2"/>
              </w:numPr>
              <w:spacing w:after="40" w:line="240" w:lineRule="auto"/>
              <w:ind w:left="357" w:hanging="357"/>
              <w:rPr>
                <w:rFonts w:eastAsia="Cambria" w:cs="Calibri"/>
                <w:lang w:val="en"/>
              </w:rPr>
            </w:pPr>
            <w:r>
              <w:rPr>
                <w:rFonts w:eastAsia="Cambria" w:cs="Calibri"/>
                <w:lang w:val="en"/>
              </w:rPr>
              <w:t>Report of the United Nations High Commissioner for Human Rights on the impact of the coronavirus disea</w:t>
            </w:r>
            <w:r w:rsidR="001307E1">
              <w:rPr>
                <w:rFonts w:eastAsia="Cambria" w:cs="Calibri"/>
                <w:lang w:val="en"/>
              </w:rPr>
              <w:t>se (COVID-19) pandemic on the enjoyment of human rights around the world, including good practices and areas of concern (</w:t>
            </w:r>
            <w:hyperlink r:id="rId16" w:history="1">
              <w:r w:rsidR="001307E1" w:rsidRPr="00256C70">
                <w:rPr>
                  <w:rStyle w:val="Hyperlink"/>
                  <w:rFonts w:eastAsia="Cambria" w:cs="Calibri"/>
                  <w:lang w:val="en"/>
                </w:rPr>
                <w:t>A/HRC/46/19</w:t>
              </w:r>
            </w:hyperlink>
            <w:r w:rsidR="00203721">
              <w:rPr>
                <w:rStyle w:val="Hyperlink"/>
                <w:rFonts w:eastAsia="Cambria" w:cs="Calibri"/>
                <w:lang w:val="en"/>
              </w:rPr>
              <w:t>, January 2021</w:t>
            </w:r>
            <w:r w:rsidR="001307E1">
              <w:rPr>
                <w:rFonts w:eastAsia="Cambria" w:cs="Calibri"/>
                <w:lang w:val="en"/>
              </w:rPr>
              <w:t>)</w:t>
            </w:r>
          </w:p>
          <w:p w14:paraId="59C43D00" w14:textId="3B40D3B7" w:rsidR="00256C70" w:rsidRPr="001F0CE9" w:rsidRDefault="00912C78" w:rsidP="00A72438">
            <w:pPr>
              <w:numPr>
                <w:ilvl w:val="0"/>
                <w:numId w:val="2"/>
              </w:numPr>
              <w:spacing w:after="40" w:line="240" w:lineRule="auto"/>
              <w:ind w:left="357" w:hanging="357"/>
              <w:rPr>
                <w:rStyle w:val="Hyperlink"/>
                <w:rFonts w:eastAsia="Cambria" w:cs="Calibri"/>
                <w:color w:val="auto"/>
                <w:u w:val="none"/>
                <w:lang w:val="en"/>
              </w:rPr>
            </w:pPr>
            <w:r>
              <w:rPr>
                <w:rFonts w:eastAsia="Cambria" w:cs="Calibri"/>
                <w:lang w:val="en"/>
              </w:rPr>
              <w:t xml:space="preserve">Secretary-General’s Policy Brief: </w:t>
            </w:r>
            <w:hyperlink r:id="rId17" w:history="1">
              <w:r w:rsidRPr="00251A86">
                <w:rPr>
                  <w:rStyle w:val="Hyperlink"/>
                  <w:rFonts w:eastAsia="Cambria" w:cs="Calibri"/>
                  <w:lang w:val="en"/>
                </w:rPr>
                <w:t xml:space="preserve">Education during COVID-19 and </w:t>
              </w:r>
              <w:r w:rsidR="00203721">
                <w:rPr>
                  <w:rStyle w:val="Hyperlink"/>
                  <w:rFonts w:eastAsia="Cambria" w:cs="Calibri"/>
                  <w:lang w:val="en"/>
                </w:rPr>
                <w:t>b</w:t>
              </w:r>
              <w:r w:rsidRPr="00251A86">
                <w:rPr>
                  <w:rStyle w:val="Hyperlink"/>
                  <w:rFonts w:eastAsia="Cambria" w:cs="Calibri"/>
                  <w:lang w:val="en"/>
                </w:rPr>
                <w:t>eyond</w:t>
              </w:r>
            </w:hyperlink>
          </w:p>
          <w:p w14:paraId="37D68E57" w14:textId="436641F8" w:rsidR="004F0A64" w:rsidRPr="008804CE" w:rsidRDefault="008804CE" w:rsidP="008804CE">
            <w:pPr>
              <w:numPr>
                <w:ilvl w:val="0"/>
                <w:numId w:val="2"/>
              </w:numPr>
              <w:spacing w:after="40" w:line="240" w:lineRule="auto"/>
              <w:ind w:left="357" w:hanging="357"/>
              <w:rPr>
                <w:rFonts w:eastAsia="Cambria" w:cs="Calibri"/>
                <w:lang w:val="en"/>
              </w:rPr>
            </w:pPr>
            <w:r w:rsidRPr="008804CE">
              <w:t>Committee on Economic, Social and Cultural Rights, General comment</w:t>
            </w:r>
            <w:r w:rsidR="00196B3F" w:rsidRPr="008804CE">
              <w:rPr>
                <w:rFonts w:eastAsia="Cambria" w:cs="Calibri"/>
                <w:lang w:val="en"/>
              </w:rPr>
              <w:t xml:space="preserve"> No. 13</w:t>
            </w:r>
            <w:r w:rsidR="00A47C3D" w:rsidRPr="008804CE">
              <w:rPr>
                <w:rFonts w:eastAsia="Cambria" w:cs="Calibri"/>
                <w:lang w:val="en"/>
              </w:rPr>
              <w:t xml:space="preserve"> </w:t>
            </w:r>
            <w:r w:rsidRPr="008804CE">
              <w:rPr>
                <w:rFonts w:eastAsia="Cambria" w:cs="Calibri"/>
                <w:lang w:val="en"/>
              </w:rPr>
              <w:t xml:space="preserve">(1999) </w:t>
            </w:r>
            <w:r w:rsidR="00196B3F" w:rsidRPr="008804CE">
              <w:t>on the right to education (</w:t>
            </w:r>
            <w:hyperlink r:id="rId18" w:history="1">
              <w:r w:rsidR="00196B3F" w:rsidRPr="008804CE">
                <w:rPr>
                  <w:rStyle w:val="Hyperlink"/>
                  <w:rFonts w:asciiTheme="minorHAnsi" w:hAnsiTheme="minorHAnsi" w:cstheme="minorBidi"/>
                </w:rPr>
                <w:t>E/C.12/1999/10</w:t>
              </w:r>
            </w:hyperlink>
            <w:r w:rsidR="00196B3F" w:rsidRPr="008804CE">
              <w:t>)</w:t>
            </w:r>
          </w:p>
        </w:tc>
      </w:tr>
    </w:tbl>
    <w:p w14:paraId="78891E5B" w14:textId="77777777" w:rsidR="006B74B0" w:rsidRDefault="0081034E" w:rsidP="00A72438">
      <w:pPr>
        <w:spacing w:line="240" w:lineRule="auto"/>
      </w:pPr>
    </w:p>
    <w:sectPr w:rsidR="006B74B0" w:rsidSect="003F053F">
      <w:headerReference w:type="default" r:id="rId19"/>
      <w:footerReference w:type="default" r:id="rId20"/>
      <w:pgSz w:w="11906" w:h="16838"/>
      <w:pgMar w:top="567" w:right="1440" w:bottom="568" w:left="1440"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A5E77E" w14:textId="77777777" w:rsidR="002D32EC" w:rsidRDefault="002D32EC" w:rsidP="00CA1647">
      <w:pPr>
        <w:spacing w:after="0" w:line="240" w:lineRule="auto"/>
      </w:pPr>
      <w:r>
        <w:separator/>
      </w:r>
    </w:p>
  </w:endnote>
  <w:endnote w:type="continuationSeparator" w:id="0">
    <w:p w14:paraId="0ED68DC4" w14:textId="77777777" w:rsidR="002D32EC" w:rsidRDefault="002D32EC" w:rsidP="00CA1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1"/>
    <w:family w:val="auto"/>
    <w:pitch w:val="default"/>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pitch w:val="variable"/>
    <w:sig w:usb0="00000001" w:usb1="08080000" w:usb2="00000010" w:usb3="00000000" w:csb0="00100000"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361D1" w14:textId="214B9706" w:rsidR="00ED4385" w:rsidRDefault="00FA2D12" w:rsidP="004D72F8">
    <w:pPr>
      <w:pStyle w:val="Footer"/>
      <w:jc w:val="center"/>
    </w:pPr>
    <w:r>
      <w:fldChar w:fldCharType="begin"/>
    </w:r>
    <w:r>
      <w:instrText xml:space="preserve"> PAGE   \* MERGEFORMAT </w:instrText>
    </w:r>
    <w:r>
      <w:fldChar w:fldCharType="separate"/>
    </w:r>
    <w:r w:rsidR="0081034E">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C37CD" w14:textId="77777777" w:rsidR="002D32EC" w:rsidRDefault="002D32EC" w:rsidP="00CA1647">
      <w:pPr>
        <w:spacing w:after="0" w:line="240" w:lineRule="auto"/>
      </w:pPr>
      <w:r>
        <w:separator/>
      </w:r>
    </w:p>
  </w:footnote>
  <w:footnote w:type="continuationSeparator" w:id="0">
    <w:p w14:paraId="515F41C9" w14:textId="77777777" w:rsidR="002D32EC" w:rsidRDefault="002D32EC" w:rsidP="00CA16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D770C" w14:textId="77777777" w:rsidR="0002266C" w:rsidRPr="004D72F8" w:rsidRDefault="0081034E" w:rsidP="000376AD">
    <w:pPr>
      <w:pStyle w:val="Header"/>
      <w:spacing w:after="0" w:line="240" w:lineRule="aut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7211F"/>
    <w:multiLevelType w:val="hybridMultilevel"/>
    <w:tmpl w:val="E4B0DD9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8012DD2"/>
    <w:multiLevelType w:val="multilevel"/>
    <w:tmpl w:val="053E9D78"/>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rFonts w:ascii="Wingdings" w:hAnsi="Wingdings" w:hint="default"/>
        <w:u w:val="none"/>
      </w:rPr>
    </w:lvl>
    <w:lvl w:ilvl="2">
      <w:start w:val="1"/>
      <w:numFmt w:val="bullet"/>
      <w:lvlText w:val="■"/>
      <w:lvlJc w:val="left"/>
      <w:pPr>
        <w:ind w:left="1800" w:hanging="360"/>
      </w:pPr>
      <w:rPr>
        <w:rFonts w:ascii="OpenSymbol" w:hAnsi="OpenSymbol" w:cs="OpenSymbol" w:hint="default"/>
        <w:u w:val="none"/>
      </w:rPr>
    </w:lvl>
    <w:lvl w:ilvl="3">
      <w:start w:val="1"/>
      <w:numFmt w:val="bullet"/>
      <w:lvlText w:val=""/>
      <w:lvlJc w:val="left"/>
      <w:pPr>
        <w:ind w:left="2520" w:hanging="360"/>
      </w:pPr>
      <w:rPr>
        <w:rFonts w:ascii="Wingdings" w:hAnsi="Wingdings" w:cs="Wingdings" w:hint="default"/>
        <w:u w:val="none"/>
      </w:rPr>
    </w:lvl>
    <w:lvl w:ilvl="4">
      <w:start w:val="1"/>
      <w:numFmt w:val="bullet"/>
      <w:lvlText w:val=""/>
      <w:lvlJc w:val="left"/>
      <w:pPr>
        <w:ind w:left="3240" w:hanging="360"/>
      </w:pPr>
      <w:rPr>
        <w:rFonts w:ascii="Wingdings 2" w:hAnsi="Wingdings 2" w:cs="Wingdings 2" w:hint="default"/>
        <w:u w:val="none"/>
      </w:rPr>
    </w:lvl>
    <w:lvl w:ilvl="5">
      <w:start w:val="1"/>
      <w:numFmt w:val="bullet"/>
      <w:lvlText w:val="■"/>
      <w:lvlJc w:val="left"/>
      <w:pPr>
        <w:ind w:left="3960" w:hanging="360"/>
      </w:pPr>
      <w:rPr>
        <w:rFonts w:ascii="OpenSymbol" w:hAnsi="OpenSymbol" w:cs="OpenSymbol" w:hint="default"/>
        <w:u w:val="none"/>
      </w:rPr>
    </w:lvl>
    <w:lvl w:ilvl="6">
      <w:start w:val="1"/>
      <w:numFmt w:val="bullet"/>
      <w:lvlText w:val=""/>
      <w:lvlJc w:val="left"/>
      <w:pPr>
        <w:ind w:left="4680" w:hanging="360"/>
      </w:pPr>
      <w:rPr>
        <w:rFonts w:ascii="Wingdings" w:hAnsi="Wingdings" w:cs="Wingdings" w:hint="default"/>
        <w:u w:val="none"/>
      </w:rPr>
    </w:lvl>
    <w:lvl w:ilvl="7">
      <w:start w:val="1"/>
      <w:numFmt w:val="bullet"/>
      <w:lvlText w:val=""/>
      <w:lvlJc w:val="left"/>
      <w:pPr>
        <w:ind w:left="5400" w:hanging="360"/>
      </w:pPr>
      <w:rPr>
        <w:rFonts w:ascii="Wingdings 2" w:hAnsi="Wingdings 2" w:cs="Wingdings 2" w:hint="default"/>
        <w:u w:val="none"/>
      </w:rPr>
    </w:lvl>
    <w:lvl w:ilvl="8">
      <w:start w:val="1"/>
      <w:numFmt w:val="bullet"/>
      <w:lvlText w:val="■"/>
      <w:lvlJc w:val="left"/>
      <w:pPr>
        <w:ind w:left="6120" w:hanging="360"/>
      </w:pPr>
      <w:rPr>
        <w:rFonts w:ascii="OpenSymbol" w:hAnsi="OpenSymbol" w:cs="OpenSymbol" w:hint="default"/>
        <w:u w:val="none"/>
      </w:rPr>
    </w:lvl>
  </w:abstractNum>
  <w:abstractNum w:abstractNumId="2" w15:restartNumberingAfterBreak="0">
    <w:nsid w:val="67F02B55"/>
    <w:multiLevelType w:val="hybridMultilevel"/>
    <w:tmpl w:val="22A45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131078" w:nlCheck="1" w:checkStyle="1"/>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A64"/>
    <w:rsid w:val="00003879"/>
    <w:rsid w:val="000110B7"/>
    <w:rsid w:val="00025B46"/>
    <w:rsid w:val="000265F1"/>
    <w:rsid w:val="00026776"/>
    <w:rsid w:val="000307CF"/>
    <w:rsid w:val="0008454F"/>
    <w:rsid w:val="000C6E35"/>
    <w:rsid w:val="000F2009"/>
    <w:rsid w:val="001173D1"/>
    <w:rsid w:val="00117E5C"/>
    <w:rsid w:val="00125869"/>
    <w:rsid w:val="001307E1"/>
    <w:rsid w:val="00137287"/>
    <w:rsid w:val="00151EA5"/>
    <w:rsid w:val="00153064"/>
    <w:rsid w:val="00196B3F"/>
    <w:rsid w:val="001E09FC"/>
    <w:rsid w:val="001F0CE9"/>
    <w:rsid w:val="002006E5"/>
    <w:rsid w:val="00203721"/>
    <w:rsid w:val="002131B3"/>
    <w:rsid w:val="002278DB"/>
    <w:rsid w:val="00231FB0"/>
    <w:rsid w:val="00251A86"/>
    <w:rsid w:val="00254492"/>
    <w:rsid w:val="0025551C"/>
    <w:rsid w:val="00256C70"/>
    <w:rsid w:val="002775E5"/>
    <w:rsid w:val="002857FF"/>
    <w:rsid w:val="002A12A6"/>
    <w:rsid w:val="002B5790"/>
    <w:rsid w:val="002C45D9"/>
    <w:rsid w:val="002C5707"/>
    <w:rsid w:val="002C6BFD"/>
    <w:rsid w:val="002D1177"/>
    <w:rsid w:val="002D32EC"/>
    <w:rsid w:val="002D4A6C"/>
    <w:rsid w:val="002E1AA7"/>
    <w:rsid w:val="002E3C9F"/>
    <w:rsid w:val="00300351"/>
    <w:rsid w:val="00315A86"/>
    <w:rsid w:val="0033046A"/>
    <w:rsid w:val="0033127D"/>
    <w:rsid w:val="0034013F"/>
    <w:rsid w:val="00354F0F"/>
    <w:rsid w:val="0036695C"/>
    <w:rsid w:val="003B77E0"/>
    <w:rsid w:val="003C3F23"/>
    <w:rsid w:val="003D30AD"/>
    <w:rsid w:val="003E7147"/>
    <w:rsid w:val="00442EF9"/>
    <w:rsid w:val="00455643"/>
    <w:rsid w:val="0046574C"/>
    <w:rsid w:val="00487100"/>
    <w:rsid w:val="00493782"/>
    <w:rsid w:val="00494244"/>
    <w:rsid w:val="004A2C5A"/>
    <w:rsid w:val="004B2C18"/>
    <w:rsid w:val="004D1FCE"/>
    <w:rsid w:val="004E4D42"/>
    <w:rsid w:val="004F0A64"/>
    <w:rsid w:val="004F55F1"/>
    <w:rsid w:val="004F64CE"/>
    <w:rsid w:val="00501D82"/>
    <w:rsid w:val="00522DD8"/>
    <w:rsid w:val="00533BE4"/>
    <w:rsid w:val="00547A71"/>
    <w:rsid w:val="005626BE"/>
    <w:rsid w:val="00595EFE"/>
    <w:rsid w:val="005A1111"/>
    <w:rsid w:val="005A6BB7"/>
    <w:rsid w:val="005A7279"/>
    <w:rsid w:val="005C2F0D"/>
    <w:rsid w:val="005C32A7"/>
    <w:rsid w:val="005D3464"/>
    <w:rsid w:val="005F539B"/>
    <w:rsid w:val="006020EC"/>
    <w:rsid w:val="006B163B"/>
    <w:rsid w:val="006C34BC"/>
    <w:rsid w:val="006D3F60"/>
    <w:rsid w:val="006D73B1"/>
    <w:rsid w:val="006E5712"/>
    <w:rsid w:val="0074434F"/>
    <w:rsid w:val="00754D65"/>
    <w:rsid w:val="0076510E"/>
    <w:rsid w:val="007A59CE"/>
    <w:rsid w:val="007B699B"/>
    <w:rsid w:val="007E059E"/>
    <w:rsid w:val="007E4723"/>
    <w:rsid w:val="007F5558"/>
    <w:rsid w:val="0081034E"/>
    <w:rsid w:val="00812E56"/>
    <w:rsid w:val="00842A9E"/>
    <w:rsid w:val="008501CD"/>
    <w:rsid w:val="00852C17"/>
    <w:rsid w:val="008562D5"/>
    <w:rsid w:val="008618E0"/>
    <w:rsid w:val="008804CE"/>
    <w:rsid w:val="00893AA3"/>
    <w:rsid w:val="008A6A81"/>
    <w:rsid w:val="008B446C"/>
    <w:rsid w:val="008D3BDA"/>
    <w:rsid w:val="00912C78"/>
    <w:rsid w:val="009273D8"/>
    <w:rsid w:val="00964329"/>
    <w:rsid w:val="0098286D"/>
    <w:rsid w:val="00986B48"/>
    <w:rsid w:val="009B7EAD"/>
    <w:rsid w:val="009C7F7B"/>
    <w:rsid w:val="009D071D"/>
    <w:rsid w:val="009E00C9"/>
    <w:rsid w:val="009E6438"/>
    <w:rsid w:val="009F54E4"/>
    <w:rsid w:val="00A03216"/>
    <w:rsid w:val="00A13740"/>
    <w:rsid w:val="00A17EDF"/>
    <w:rsid w:val="00A3490C"/>
    <w:rsid w:val="00A47C3D"/>
    <w:rsid w:val="00A546BB"/>
    <w:rsid w:val="00A72438"/>
    <w:rsid w:val="00A835E9"/>
    <w:rsid w:val="00A91334"/>
    <w:rsid w:val="00AA0A58"/>
    <w:rsid w:val="00AB1177"/>
    <w:rsid w:val="00AC0383"/>
    <w:rsid w:val="00AD2343"/>
    <w:rsid w:val="00AD6FE4"/>
    <w:rsid w:val="00AE6454"/>
    <w:rsid w:val="00AF3C4F"/>
    <w:rsid w:val="00B00718"/>
    <w:rsid w:val="00B52A80"/>
    <w:rsid w:val="00B53EDD"/>
    <w:rsid w:val="00B736DC"/>
    <w:rsid w:val="00B75EB5"/>
    <w:rsid w:val="00BD4DD4"/>
    <w:rsid w:val="00BE4391"/>
    <w:rsid w:val="00C33BC3"/>
    <w:rsid w:val="00C33F7D"/>
    <w:rsid w:val="00C35413"/>
    <w:rsid w:val="00C7641C"/>
    <w:rsid w:val="00C7742F"/>
    <w:rsid w:val="00C77DCB"/>
    <w:rsid w:val="00CA1647"/>
    <w:rsid w:val="00CA19B0"/>
    <w:rsid w:val="00CB7989"/>
    <w:rsid w:val="00CF15C7"/>
    <w:rsid w:val="00D01CB1"/>
    <w:rsid w:val="00D56981"/>
    <w:rsid w:val="00D727F5"/>
    <w:rsid w:val="00D75872"/>
    <w:rsid w:val="00D913A4"/>
    <w:rsid w:val="00DE50B9"/>
    <w:rsid w:val="00E41510"/>
    <w:rsid w:val="00E45B2B"/>
    <w:rsid w:val="00E902F6"/>
    <w:rsid w:val="00EE67D7"/>
    <w:rsid w:val="00EF1E92"/>
    <w:rsid w:val="00F00929"/>
    <w:rsid w:val="00F03F86"/>
    <w:rsid w:val="00F13B67"/>
    <w:rsid w:val="00F14F1A"/>
    <w:rsid w:val="00F21254"/>
    <w:rsid w:val="00F42103"/>
    <w:rsid w:val="00F54B9B"/>
    <w:rsid w:val="00F722F9"/>
    <w:rsid w:val="00F824ED"/>
    <w:rsid w:val="00F91E91"/>
    <w:rsid w:val="00FA2D12"/>
    <w:rsid w:val="00FA33D7"/>
    <w:rsid w:val="00FB38A9"/>
    <w:rsid w:val="00FD024E"/>
    <w:rsid w:val="00FF011F"/>
    <w:rsid w:val="00FF1F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05CCA"/>
  <w15:chartTrackingRefBased/>
  <w15:docId w15:val="{CBA4B6F6-CB6F-448B-A10E-62DBCB054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A64"/>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CA19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4F0A64"/>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F0A64"/>
    <w:rPr>
      <w:rFonts w:ascii="Times New Roman" w:eastAsia="Times New Roman" w:hAnsi="Times New Roman" w:cs="Times New Roman"/>
      <w:b/>
      <w:bCs/>
      <w:sz w:val="27"/>
      <w:szCs w:val="27"/>
      <w:lang w:eastAsia="en-GB"/>
    </w:rPr>
  </w:style>
  <w:style w:type="character" w:styleId="Hyperlink">
    <w:name w:val="Hyperlink"/>
    <w:uiPriority w:val="99"/>
    <w:unhideWhenUsed/>
    <w:rsid w:val="004F0A64"/>
    <w:rPr>
      <w:color w:val="0000FF"/>
      <w:u w:val="single"/>
    </w:rPr>
  </w:style>
  <w:style w:type="paragraph" w:styleId="Header">
    <w:name w:val="header"/>
    <w:basedOn w:val="Normal"/>
    <w:link w:val="HeaderChar"/>
    <w:uiPriority w:val="99"/>
    <w:unhideWhenUsed/>
    <w:rsid w:val="004F0A64"/>
    <w:pPr>
      <w:tabs>
        <w:tab w:val="center" w:pos="4513"/>
        <w:tab w:val="right" w:pos="9026"/>
      </w:tabs>
    </w:pPr>
  </w:style>
  <w:style w:type="character" w:customStyle="1" w:styleId="HeaderChar">
    <w:name w:val="Header Char"/>
    <w:basedOn w:val="DefaultParagraphFont"/>
    <w:link w:val="Header"/>
    <w:uiPriority w:val="99"/>
    <w:rsid w:val="004F0A64"/>
    <w:rPr>
      <w:rFonts w:ascii="Calibri" w:eastAsia="Calibri" w:hAnsi="Calibri" w:cs="Times New Roman"/>
    </w:rPr>
  </w:style>
  <w:style w:type="paragraph" w:styleId="Footer">
    <w:name w:val="footer"/>
    <w:basedOn w:val="Normal"/>
    <w:link w:val="FooterChar"/>
    <w:uiPriority w:val="99"/>
    <w:unhideWhenUsed/>
    <w:rsid w:val="004F0A64"/>
    <w:pPr>
      <w:tabs>
        <w:tab w:val="center" w:pos="4513"/>
        <w:tab w:val="right" w:pos="9026"/>
      </w:tabs>
    </w:pPr>
  </w:style>
  <w:style w:type="character" w:customStyle="1" w:styleId="FooterChar">
    <w:name w:val="Footer Char"/>
    <w:basedOn w:val="DefaultParagraphFont"/>
    <w:link w:val="Footer"/>
    <w:uiPriority w:val="99"/>
    <w:rsid w:val="004F0A64"/>
    <w:rPr>
      <w:rFonts w:ascii="Calibri" w:eastAsia="Calibri" w:hAnsi="Calibri" w:cs="Times New Roman"/>
    </w:rPr>
  </w:style>
  <w:style w:type="character" w:styleId="FootnoteReference">
    <w:name w:val="footnote reference"/>
    <w:basedOn w:val="DefaultParagraphFont"/>
    <w:uiPriority w:val="99"/>
    <w:semiHidden/>
    <w:unhideWhenUsed/>
    <w:rsid w:val="00CA1647"/>
    <w:rPr>
      <w:vertAlign w:val="superscript"/>
    </w:rPr>
  </w:style>
  <w:style w:type="character" w:customStyle="1" w:styleId="Heading1Char">
    <w:name w:val="Heading 1 Char"/>
    <w:basedOn w:val="DefaultParagraphFont"/>
    <w:link w:val="Heading1"/>
    <w:uiPriority w:val="9"/>
    <w:rsid w:val="00CA19B0"/>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3312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127D"/>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34013F"/>
    <w:rPr>
      <w:sz w:val="16"/>
      <w:szCs w:val="16"/>
    </w:rPr>
  </w:style>
  <w:style w:type="paragraph" w:styleId="CommentText">
    <w:name w:val="annotation text"/>
    <w:basedOn w:val="Normal"/>
    <w:link w:val="CommentTextChar"/>
    <w:uiPriority w:val="99"/>
    <w:semiHidden/>
    <w:unhideWhenUsed/>
    <w:rsid w:val="0034013F"/>
    <w:pPr>
      <w:spacing w:line="240" w:lineRule="auto"/>
    </w:pPr>
    <w:rPr>
      <w:sz w:val="20"/>
      <w:szCs w:val="20"/>
    </w:rPr>
  </w:style>
  <w:style w:type="character" w:customStyle="1" w:styleId="CommentTextChar">
    <w:name w:val="Comment Text Char"/>
    <w:basedOn w:val="DefaultParagraphFont"/>
    <w:link w:val="CommentText"/>
    <w:uiPriority w:val="99"/>
    <w:semiHidden/>
    <w:rsid w:val="0034013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4013F"/>
    <w:rPr>
      <w:b/>
      <w:bCs/>
    </w:rPr>
  </w:style>
  <w:style w:type="character" w:customStyle="1" w:styleId="CommentSubjectChar">
    <w:name w:val="Comment Subject Char"/>
    <w:basedOn w:val="CommentTextChar"/>
    <w:link w:val="CommentSubject"/>
    <w:uiPriority w:val="99"/>
    <w:semiHidden/>
    <w:rsid w:val="0034013F"/>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A47C3D"/>
    <w:rPr>
      <w:color w:val="954F72" w:themeColor="followedHyperlink"/>
      <w:u w:val="single"/>
    </w:rPr>
  </w:style>
  <w:style w:type="paragraph" w:styleId="Revision">
    <w:name w:val="Revision"/>
    <w:hidden/>
    <w:uiPriority w:val="99"/>
    <w:semiHidden/>
    <w:rsid w:val="00A91334"/>
    <w:pPr>
      <w:spacing w:after="0" w:line="240" w:lineRule="auto"/>
    </w:pPr>
    <w:rPr>
      <w:rFonts w:ascii="Calibri" w:eastAsia="Calibri" w:hAnsi="Calibri" w:cs="Times New Roman"/>
    </w:rPr>
  </w:style>
  <w:style w:type="paragraph" w:customStyle="1" w:styleId="Body1">
    <w:name w:val="Body 1"/>
    <w:rsid w:val="00AE6454"/>
    <w:pPr>
      <w:spacing w:after="0" w:line="240" w:lineRule="auto"/>
      <w:outlineLvl w:val="0"/>
    </w:pPr>
    <w:rPr>
      <w:rFonts w:ascii="Helvetica" w:eastAsia="ヒラギノ角ゴ Pro W3" w:hAnsi="Helvetica" w:cs="Times New Roman"/>
      <w:color w:val="000000"/>
      <w:sz w:val="32"/>
      <w:szCs w:val="20"/>
      <w:lang w:val="en-US" w:bidi="th-TH"/>
    </w:rPr>
  </w:style>
  <w:style w:type="paragraph" w:styleId="ListParagraph">
    <w:name w:val="List Paragraph"/>
    <w:basedOn w:val="Normal"/>
    <w:uiPriority w:val="34"/>
    <w:qFormat/>
    <w:rsid w:val="00DE50B9"/>
    <w:pPr>
      <w:ind w:left="720"/>
      <w:contextualSpacing/>
    </w:pPr>
  </w:style>
  <w:style w:type="character" w:customStyle="1" w:styleId="UnresolvedMention1">
    <w:name w:val="Unresolved Mention1"/>
    <w:basedOn w:val="DefaultParagraphFont"/>
    <w:uiPriority w:val="99"/>
    <w:semiHidden/>
    <w:unhideWhenUsed/>
    <w:rsid w:val="00842A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62128">
      <w:bodyDiv w:val="1"/>
      <w:marLeft w:val="0"/>
      <w:marRight w:val="0"/>
      <w:marTop w:val="0"/>
      <w:marBottom w:val="0"/>
      <w:divBdr>
        <w:top w:val="none" w:sz="0" w:space="0" w:color="auto"/>
        <w:left w:val="none" w:sz="0" w:space="0" w:color="auto"/>
        <w:bottom w:val="none" w:sz="0" w:space="0" w:color="auto"/>
        <w:right w:val="none" w:sz="0" w:space="0" w:color="auto"/>
      </w:divBdr>
    </w:div>
    <w:div w:id="464928592">
      <w:bodyDiv w:val="1"/>
      <w:marLeft w:val="0"/>
      <w:marRight w:val="0"/>
      <w:marTop w:val="0"/>
      <w:marBottom w:val="0"/>
      <w:divBdr>
        <w:top w:val="none" w:sz="0" w:space="0" w:color="auto"/>
        <w:left w:val="none" w:sz="0" w:space="0" w:color="auto"/>
        <w:bottom w:val="none" w:sz="0" w:space="0" w:color="auto"/>
        <w:right w:val="none" w:sz="0" w:space="0" w:color="auto"/>
      </w:divBdr>
    </w:div>
    <w:div w:id="828640968">
      <w:bodyDiv w:val="1"/>
      <w:marLeft w:val="0"/>
      <w:marRight w:val="0"/>
      <w:marTop w:val="0"/>
      <w:marBottom w:val="0"/>
      <w:divBdr>
        <w:top w:val="none" w:sz="0" w:space="0" w:color="auto"/>
        <w:left w:val="none" w:sz="0" w:space="0" w:color="auto"/>
        <w:bottom w:val="none" w:sz="0" w:space="0" w:color="auto"/>
        <w:right w:val="none" w:sz="0" w:space="0" w:color="auto"/>
      </w:divBdr>
    </w:div>
    <w:div w:id="1272543085">
      <w:bodyDiv w:val="1"/>
      <w:marLeft w:val="0"/>
      <w:marRight w:val="0"/>
      <w:marTop w:val="0"/>
      <w:marBottom w:val="0"/>
      <w:divBdr>
        <w:top w:val="none" w:sz="0" w:space="0" w:color="auto"/>
        <w:left w:val="none" w:sz="0" w:space="0" w:color="auto"/>
        <w:bottom w:val="none" w:sz="0" w:space="0" w:color="auto"/>
        <w:right w:val="none" w:sz="0" w:space="0" w:color="auto"/>
      </w:divBdr>
    </w:div>
    <w:div w:id="1597324705">
      <w:bodyDiv w:val="1"/>
      <w:marLeft w:val="0"/>
      <w:marRight w:val="0"/>
      <w:marTop w:val="0"/>
      <w:marBottom w:val="0"/>
      <w:divBdr>
        <w:top w:val="none" w:sz="0" w:space="0" w:color="auto"/>
        <w:left w:val="none" w:sz="0" w:space="0" w:color="auto"/>
        <w:bottom w:val="none" w:sz="0" w:space="0" w:color="auto"/>
        <w:right w:val="none" w:sz="0" w:space="0" w:color="auto"/>
      </w:divBdr>
    </w:div>
    <w:div w:id="170566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hchr.org/EN/HRBodies/HRC/RegularSessions/Session47/Documents/A_HRC_47_56_AdvanceEditedVersion.docx" TargetMode="External"/><Relationship Id="rId18" Type="http://schemas.openxmlformats.org/officeDocument/2006/relationships/hyperlink" Target="https://undocs.org/e/c.12/1999/1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undocs.org/A/HRC/RES/45/32" TargetMode="External"/><Relationship Id="rId17" Type="http://schemas.openxmlformats.org/officeDocument/2006/relationships/hyperlink" Target="https://www.un.org/sites/un2.un.org/files/sg_policy_brief_covid-19_and_education_august_2020.pdf" TargetMode="External"/><Relationship Id="rId2" Type="http://schemas.openxmlformats.org/officeDocument/2006/relationships/customXml" Target="../customXml/item2.xml"/><Relationship Id="rId16" Type="http://schemas.openxmlformats.org/officeDocument/2006/relationships/hyperlink" Target="https://undocs.org/A/HRC/46/1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ndocs.org/A/HRC/RES/45/32" TargetMode="External"/><Relationship Id="rId5" Type="http://schemas.openxmlformats.org/officeDocument/2006/relationships/styles" Target="styles.xml"/><Relationship Id="rId15" Type="http://schemas.openxmlformats.org/officeDocument/2006/relationships/hyperlink" Target="https://undocs.org/A/HRC/46/43" TargetMode="External"/><Relationship Id="rId10" Type="http://schemas.openxmlformats.org/officeDocument/2006/relationships/hyperlink" Target="http://webtv.un.org"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ndocs.org/A/HRC/46/7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9DEB676E9BE8419D2630DF41BE0BA5" ma:contentTypeVersion="1" ma:contentTypeDescription="Create a new document." ma:contentTypeScope="" ma:versionID="c99d4a20b0bc7a90267e8bd521f41029">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95313F7-0E46-4C44-B10E-E92467CF2EFF}">
  <ds:schemaRefs>
    <ds:schemaRef ds:uri="http://schemas.microsoft.com/sharepoint/v3/contenttype/forms"/>
  </ds:schemaRefs>
</ds:datastoreItem>
</file>

<file path=customXml/itemProps2.xml><?xml version="1.0" encoding="utf-8"?>
<ds:datastoreItem xmlns:ds="http://schemas.openxmlformats.org/officeDocument/2006/customXml" ds:itemID="{F49646C2-DAB6-4C94-86E1-B8CBED8BE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3C3423-0CA2-4845-8512-6276AE673EB7}">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1333</Words>
  <Characters>7599</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Annual thematic panel discussion on technical cooperation and capacity-building</vt:lpstr>
    </vt:vector>
  </TitlesOfParts>
  <Company>OHCHR</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thematic panel discussion on technical cooperation and capacity-building</dc:title>
  <dc:subject/>
  <dc:creator>OHCHR WHRGS</dc:creator>
  <cp:keywords/>
  <dc:description/>
  <cp:lastModifiedBy>CORTEZ Julia</cp:lastModifiedBy>
  <cp:revision>2</cp:revision>
  <cp:lastPrinted>2021-06-03T17:40:00Z</cp:lastPrinted>
  <dcterms:created xsi:type="dcterms:W3CDTF">2021-07-07T12:56:00Z</dcterms:created>
  <dcterms:modified xsi:type="dcterms:W3CDTF">2021-07-07T12:56:00Z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0x010100AA9DEB676E9BE8419D2630DF41BE0BA5</vt:lpwstr>
  </property>
</Properties>
</file>