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5B74" w14:textId="77777777" w:rsidR="004F0A64" w:rsidRPr="00D06C96" w:rsidRDefault="004F0A64" w:rsidP="00F14F1A">
      <w:pPr>
        <w:spacing w:after="80" w:line="240" w:lineRule="auto"/>
        <w:ind w:left="-709" w:right="-896"/>
        <w:jc w:val="center"/>
        <w:rPr>
          <w:rFonts w:cs="Calibri"/>
          <w:b/>
          <w:sz w:val="24"/>
          <w:szCs w:val="24"/>
        </w:rPr>
      </w:pPr>
      <w:r w:rsidRPr="00D06C96">
        <w:rPr>
          <w:rFonts w:cs="Calibri"/>
          <w:b/>
          <w:sz w:val="24"/>
          <w:szCs w:val="24"/>
        </w:rPr>
        <w:t>4</w:t>
      </w:r>
      <w:r>
        <w:rPr>
          <w:rFonts w:cs="Calibri"/>
          <w:b/>
          <w:sz w:val="24"/>
          <w:szCs w:val="24"/>
        </w:rPr>
        <w:t>7</w:t>
      </w:r>
      <w:r w:rsidR="00254492">
        <w:rPr>
          <w:rFonts w:cs="Calibri"/>
          <w:b/>
          <w:sz w:val="24"/>
          <w:szCs w:val="24"/>
        </w:rPr>
        <w:t>th</w:t>
      </w:r>
      <w:r>
        <w:rPr>
          <w:rFonts w:cs="Calibri"/>
          <w:b/>
          <w:sz w:val="24"/>
          <w:szCs w:val="24"/>
        </w:rPr>
        <w:t xml:space="preserve"> </w:t>
      </w:r>
      <w:r w:rsidRPr="00D06C96">
        <w:rPr>
          <w:rFonts w:cs="Calibri"/>
          <w:b/>
          <w:sz w:val="24"/>
          <w:szCs w:val="24"/>
        </w:rPr>
        <w:t>session of the Human Rights Council</w:t>
      </w:r>
    </w:p>
    <w:p w14:paraId="293C2FB5" w14:textId="596423D2" w:rsidR="004F0A64" w:rsidRPr="00D06C96" w:rsidRDefault="004F0A64" w:rsidP="00F14F1A">
      <w:pPr>
        <w:spacing w:after="60" w:line="240" w:lineRule="auto"/>
        <w:ind w:left="-709" w:right="-896"/>
        <w:jc w:val="center"/>
        <w:rPr>
          <w:rFonts w:cs="Calibri"/>
          <w:b/>
          <w:sz w:val="26"/>
          <w:szCs w:val="26"/>
        </w:rPr>
      </w:pPr>
      <w:r w:rsidRPr="004F0A64">
        <w:rPr>
          <w:rFonts w:cs="Calibri"/>
          <w:b/>
          <w:sz w:val="28"/>
          <w:szCs w:val="32"/>
          <w:lang w:val="en-US"/>
        </w:rPr>
        <w:t xml:space="preserve">High-level </w:t>
      </w:r>
      <w:r w:rsidR="00254492">
        <w:rPr>
          <w:rFonts w:cs="Calibri"/>
          <w:b/>
          <w:sz w:val="28"/>
          <w:szCs w:val="32"/>
          <w:lang w:val="en-US"/>
        </w:rPr>
        <w:t>p</w:t>
      </w:r>
      <w:r w:rsidRPr="004F0A64">
        <w:rPr>
          <w:rFonts w:cs="Calibri"/>
          <w:b/>
          <w:sz w:val="28"/>
          <w:szCs w:val="32"/>
          <w:lang w:val="en-US"/>
        </w:rPr>
        <w:t xml:space="preserve">anel </w:t>
      </w:r>
      <w:r w:rsidR="00254492">
        <w:rPr>
          <w:rFonts w:cs="Calibri"/>
          <w:b/>
          <w:sz w:val="28"/>
          <w:szCs w:val="32"/>
          <w:lang w:val="en-US"/>
        </w:rPr>
        <w:t xml:space="preserve">discussion </w:t>
      </w:r>
      <w:r w:rsidRPr="004F0A64">
        <w:rPr>
          <w:rFonts w:cs="Calibri"/>
          <w:b/>
          <w:sz w:val="28"/>
          <w:szCs w:val="32"/>
          <w:lang w:val="en-US"/>
        </w:rPr>
        <w:t xml:space="preserve">on the </w:t>
      </w:r>
      <w:proofErr w:type="spellStart"/>
      <w:r w:rsidR="00254492" w:rsidRPr="00254492">
        <w:rPr>
          <w:rFonts w:cs="Calibri"/>
          <w:b/>
          <w:sz w:val="28"/>
          <w:szCs w:val="32"/>
          <w:lang w:val="en-US"/>
        </w:rPr>
        <w:t>multisectoral</w:t>
      </w:r>
      <w:proofErr w:type="spellEnd"/>
      <w:r w:rsidR="00254492" w:rsidRPr="00254492">
        <w:rPr>
          <w:rFonts w:cs="Calibri"/>
          <w:b/>
          <w:sz w:val="28"/>
          <w:szCs w:val="32"/>
          <w:lang w:val="en-US"/>
        </w:rPr>
        <w:t xml:space="preserve"> prevention of and response to </w:t>
      </w:r>
      <w:r w:rsidR="00A91334">
        <w:rPr>
          <w:rFonts w:cs="Calibri"/>
          <w:b/>
          <w:sz w:val="28"/>
          <w:szCs w:val="32"/>
          <w:lang w:val="en-US"/>
        </w:rPr>
        <w:br/>
      </w:r>
      <w:r w:rsidR="00254492" w:rsidRPr="00254492">
        <w:rPr>
          <w:rFonts w:cs="Calibri"/>
          <w:b/>
          <w:sz w:val="28"/>
          <w:szCs w:val="32"/>
          <w:lang w:val="en-US"/>
        </w:rPr>
        <w:t>female genital mutilation</w:t>
      </w:r>
      <w:r w:rsidRPr="004F0A64">
        <w:rPr>
          <w:rFonts w:cs="Calibri"/>
          <w:b/>
          <w:sz w:val="28"/>
          <w:szCs w:val="32"/>
          <w:lang w:val="en-US"/>
        </w:rPr>
        <w:t xml:space="preserve"> </w:t>
      </w:r>
    </w:p>
    <w:p w14:paraId="04FEFFEF" w14:textId="4AB91F38" w:rsidR="004F0A64" w:rsidRPr="00D06C96" w:rsidRDefault="004F0A64" w:rsidP="00F14F1A">
      <w:pPr>
        <w:spacing w:after="120" w:line="240" w:lineRule="auto"/>
        <w:ind w:left="-709" w:right="-896"/>
        <w:jc w:val="center"/>
        <w:rPr>
          <w:rFonts w:cs="Calibri"/>
          <w:i/>
          <w:sz w:val="16"/>
          <w:szCs w:val="16"/>
        </w:rPr>
      </w:pPr>
      <w:r w:rsidRPr="00D06C96">
        <w:rPr>
          <w:rFonts w:cs="Calibri"/>
          <w:i/>
          <w:sz w:val="20"/>
          <w:szCs w:val="20"/>
        </w:rPr>
        <w:t xml:space="preserve">Concept note (as of </w:t>
      </w:r>
      <w:r w:rsidR="00111F26">
        <w:rPr>
          <w:rFonts w:cs="Calibri"/>
          <w:i/>
          <w:sz w:val="20"/>
          <w:szCs w:val="20"/>
        </w:rPr>
        <w:t>2</w:t>
      </w:r>
      <w:r w:rsidR="00236361">
        <w:rPr>
          <w:rFonts w:cs="Calibri"/>
          <w:i/>
          <w:sz w:val="20"/>
          <w:szCs w:val="20"/>
        </w:rPr>
        <w:t>3</w:t>
      </w:r>
      <w:r w:rsidR="00493782">
        <w:rPr>
          <w:rFonts w:cs="Calibri"/>
          <w:i/>
          <w:sz w:val="20"/>
          <w:szCs w:val="20"/>
        </w:rPr>
        <w:t xml:space="preserve"> </w:t>
      </w:r>
      <w:r w:rsidR="00986B48">
        <w:rPr>
          <w:rFonts w:cs="Calibri"/>
          <w:i/>
          <w:sz w:val="20"/>
          <w:szCs w:val="20"/>
        </w:rPr>
        <w:t>June</w:t>
      </w:r>
      <w:r w:rsidRPr="00D06C96">
        <w:rPr>
          <w:rFonts w:cs="Calibri"/>
          <w:i/>
          <w:sz w:val="20"/>
          <w:szCs w:val="20"/>
        </w:rPr>
        <w:t xml:space="preserve"> 202</w:t>
      </w:r>
      <w:r>
        <w:rPr>
          <w:rFonts w:cs="Calibri"/>
          <w:i/>
          <w:sz w:val="20"/>
          <w:szCs w:val="20"/>
        </w:rPr>
        <w:t>1</w:t>
      </w:r>
      <w:r w:rsidRPr="00D06C96">
        <w:rPr>
          <w:rFonts w:cs="Calibri"/>
          <w:i/>
          <w:sz w:val="20"/>
          <w:szCs w:val="20"/>
        </w:rPr>
        <w:t>)</w:t>
      </w:r>
    </w:p>
    <w:tbl>
      <w:tblPr>
        <w:tblW w:w="10490" w:type="dxa"/>
        <w:tblInd w:w="-459" w:type="dxa"/>
        <w:tblLook w:val="04A0" w:firstRow="1" w:lastRow="0" w:firstColumn="1" w:lastColumn="0" w:noHBand="0" w:noVBand="1"/>
      </w:tblPr>
      <w:tblGrid>
        <w:gridCol w:w="1450"/>
        <w:gridCol w:w="9040"/>
      </w:tblGrid>
      <w:tr w:rsidR="004F0A64" w:rsidRPr="00D06C96" w14:paraId="04E6484E" w14:textId="77777777" w:rsidTr="00936778">
        <w:tc>
          <w:tcPr>
            <w:tcW w:w="1450" w:type="dxa"/>
            <w:shd w:val="clear" w:color="auto" w:fill="auto"/>
          </w:tcPr>
          <w:p w14:paraId="45AD2ABF" w14:textId="77777777" w:rsidR="004F0A64" w:rsidRPr="00D06C96" w:rsidRDefault="004F0A64" w:rsidP="00F14F1A">
            <w:pPr>
              <w:spacing w:after="60" w:line="240" w:lineRule="auto"/>
              <w:rPr>
                <w:rFonts w:cs="Calibri"/>
                <w:b/>
              </w:rPr>
            </w:pPr>
            <w:r w:rsidRPr="00D06C96">
              <w:rPr>
                <w:rFonts w:cs="Calibri"/>
                <w:b/>
              </w:rPr>
              <w:t>Date and venue:</w:t>
            </w:r>
          </w:p>
        </w:tc>
        <w:tc>
          <w:tcPr>
            <w:tcW w:w="9040" w:type="dxa"/>
            <w:shd w:val="clear" w:color="auto" w:fill="auto"/>
          </w:tcPr>
          <w:p w14:paraId="1F4DC0B3" w14:textId="41DD7024" w:rsidR="004F0A64" w:rsidRPr="00D06C96" w:rsidRDefault="004F0A64" w:rsidP="00A91334">
            <w:pPr>
              <w:spacing w:after="120" w:line="240" w:lineRule="auto"/>
              <w:rPr>
                <w:rFonts w:cs="Calibri"/>
                <w:i/>
              </w:rPr>
            </w:pPr>
            <w:r>
              <w:rPr>
                <w:rFonts w:cs="Calibri"/>
                <w:b/>
              </w:rPr>
              <w:t>Wednesday</w:t>
            </w:r>
            <w:r w:rsidRPr="00D06C96">
              <w:rPr>
                <w:rFonts w:cs="Calibri"/>
                <w:b/>
              </w:rPr>
              <w:t xml:space="preserve">, </w:t>
            </w:r>
            <w:r>
              <w:rPr>
                <w:rFonts w:cs="Calibri"/>
                <w:b/>
              </w:rPr>
              <w:t>2</w:t>
            </w:r>
            <w:r w:rsidRPr="00D06C96">
              <w:rPr>
                <w:rFonts w:cs="Calibri"/>
                <w:b/>
              </w:rPr>
              <w:t>3 Ju</w:t>
            </w:r>
            <w:r>
              <w:rPr>
                <w:rFonts w:cs="Calibri"/>
                <w:b/>
              </w:rPr>
              <w:t>ne</w:t>
            </w:r>
            <w:r w:rsidRPr="00D06C96">
              <w:rPr>
                <w:rFonts w:cs="Calibri"/>
                <w:b/>
              </w:rPr>
              <w:t xml:space="preserve"> 202</w:t>
            </w:r>
            <w:r>
              <w:rPr>
                <w:rFonts w:cs="Calibri"/>
                <w:b/>
              </w:rPr>
              <w:t>1</w:t>
            </w:r>
            <w:r w:rsidRPr="00D06C96">
              <w:rPr>
                <w:rFonts w:cs="Calibri"/>
                <w:b/>
              </w:rPr>
              <w:t xml:space="preserve"> , 10 a.m. to 12 p.m</w:t>
            </w:r>
            <w:r w:rsidR="00254492">
              <w:rPr>
                <w:rFonts w:cs="Calibri"/>
                <w:b/>
              </w:rPr>
              <w:t>.</w:t>
            </w:r>
            <w:r w:rsidRPr="00D06C96">
              <w:rPr>
                <w:rFonts w:cs="Calibri"/>
                <w:b/>
              </w:rPr>
              <w:t xml:space="preserve"> </w:t>
            </w:r>
            <w:r w:rsidR="00254492">
              <w:rPr>
                <w:rFonts w:cs="Calibri"/>
                <w:b/>
              </w:rPr>
              <w:br/>
            </w:r>
            <w:r w:rsidR="002B5790">
              <w:rPr>
                <w:rFonts w:cs="Calibri"/>
                <w:b/>
              </w:rPr>
              <w:t>Room XVIII</w:t>
            </w:r>
            <w:r w:rsidRPr="00D06C96">
              <w:rPr>
                <w:rFonts w:cs="Calibri"/>
                <w:b/>
              </w:rPr>
              <w:t>, Palais des Nations, Geneva</w:t>
            </w:r>
            <w:r w:rsidR="00B75EB5">
              <w:rPr>
                <w:rFonts w:cs="Calibri"/>
                <w:b/>
              </w:rPr>
              <w:t>,</w:t>
            </w:r>
            <w:r w:rsidR="00254492">
              <w:rPr>
                <w:rFonts w:cs="Calibri"/>
                <w:b/>
              </w:rPr>
              <w:t xml:space="preserve"> and online platform (Zoom)</w:t>
            </w:r>
            <w:r w:rsidRPr="00D06C96">
              <w:rPr>
                <w:rFonts w:cs="Calibri"/>
                <w:b/>
              </w:rPr>
              <w:t xml:space="preserve"> </w:t>
            </w:r>
            <w:r w:rsidRPr="00D06C96">
              <w:rPr>
                <w:rFonts w:cs="Calibri"/>
                <w:b/>
              </w:rPr>
              <w:br/>
            </w:r>
            <w:r w:rsidRPr="00D06C96">
              <w:rPr>
                <w:rFonts w:cs="Calibri"/>
                <w:i/>
              </w:rPr>
              <w:t xml:space="preserve">(will be broadcasted live and archived on </w:t>
            </w:r>
            <w:hyperlink r:id="rId7" w:history="1">
              <w:r w:rsidRPr="00D06C96">
                <w:rPr>
                  <w:rStyle w:val="Hyperlink"/>
                  <w:rFonts w:cs="Calibri"/>
                  <w:i/>
                </w:rPr>
                <w:t>http://webtv.un.org</w:t>
              </w:r>
            </w:hyperlink>
            <w:r w:rsidRPr="00D06C96">
              <w:rPr>
                <w:rFonts w:cs="Calibri"/>
                <w:i/>
              </w:rPr>
              <w:t>)</w:t>
            </w:r>
          </w:p>
        </w:tc>
      </w:tr>
      <w:tr w:rsidR="004F0A64" w:rsidRPr="00D06C96" w14:paraId="0E65F5E0" w14:textId="77777777" w:rsidTr="00936778">
        <w:tc>
          <w:tcPr>
            <w:tcW w:w="1450" w:type="dxa"/>
            <w:shd w:val="clear" w:color="auto" w:fill="auto"/>
          </w:tcPr>
          <w:p w14:paraId="1170916F" w14:textId="77777777" w:rsidR="004F0A64" w:rsidRPr="00D06C96" w:rsidRDefault="004F0A64" w:rsidP="00F14F1A">
            <w:pPr>
              <w:spacing w:after="0" w:line="240" w:lineRule="auto"/>
              <w:jc w:val="both"/>
              <w:rPr>
                <w:rFonts w:cs="Calibri"/>
                <w:b/>
              </w:rPr>
            </w:pPr>
            <w:r w:rsidRPr="00D06C96">
              <w:rPr>
                <w:rFonts w:cs="Calibri"/>
                <w:b/>
              </w:rPr>
              <w:t>Objectives:</w:t>
            </w:r>
          </w:p>
        </w:tc>
        <w:tc>
          <w:tcPr>
            <w:tcW w:w="9040" w:type="dxa"/>
            <w:shd w:val="clear" w:color="auto" w:fill="auto"/>
          </w:tcPr>
          <w:p w14:paraId="4D3BE8FC" w14:textId="5C48BC7F" w:rsidR="004F0A64" w:rsidRPr="00D06C96" w:rsidRDefault="004F0A64" w:rsidP="00A91334">
            <w:pPr>
              <w:shd w:val="clear" w:color="auto" w:fill="FFFFFF"/>
              <w:spacing w:after="120" w:line="240" w:lineRule="auto"/>
              <w:rPr>
                <w:rFonts w:cs="Calibri"/>
                <w:bCs/>
              </w:rPr>
            </w:pPr>
            <w:r w:rsidRPr="004F0A64">
              <w:rPr>
                <w:rFonts w:cs="Calibri"/>
                <w:bCs/>
                <w:lang w:val="en-US"/>
              </w:rPr>
              <w:t xml:space="preserve">The high-level panel provides a platform to highlight commitments, including at the global level, to advocate, influence, mobilize, build and sustain support in the context of </w:t>
            </w:r>
            <w:r w:rsidR="00254492">
              <w:rPr>
                <w:rFonts w:cs="Calibri"/>
                <w:bCs/>
                <w:lang w:val="en-US"/>
              </w:rPr>
              <w:t xml:space="preserve">the </w:t>
            </w:r>
            <w:r w:rsidRPr="004F0A64">
              <w:rPr>
                <w:rFonts w:cs="Calibri"/>
                <w:bCs/>
                <w:lang w:val="en-US"/>
              </w:rPr>
              <w:t>COVID</w:t>
            </w:r>
            <w:r w:rsidR="00254492">
              <w:rPr>
                <w:rFonts w:cs="Calibri"/>
                <w:bCs/>
                <w:lang w:val="en-US"/>
              </w:rPr>
              <w:t>-</w:t>
            </w:r>
            <w:r w:rsidRPr="004F0A64">
              <w:rPr>
                <w:rFonts w:cs="Calibri"/>
                <w:bCs/>
                <w:lang w:val="en-US"/>
              </w:rPr>
              <w:t xml:space="preserve">19 pandemic for human rights-based and gender responsive </w:t>
            </w:r>
            <w:proofErr w:type="spellStart"/>
            <w:r w:rsidRPr="004F0A64">
              <w:rPr>
                <w:rFonts w:cs="Calibri"/>
                <w:bCs/>
                <w:lang w:val="en-US"/>
              </w:rPr>
              <w:t>multisectoral</w:t>
            </w:r>
            <w:proofErr w:type="spellEnd"/>
            <w:r w:rsidRPr="004F0A64">
              <w:rPr>
                <w:rFonts w:cs="Calibri"/>
                <w:bCs/>
                <w:lang w:val="en-US"/>
              </w:rPr>
              <w:t xml:space="preserve"> coordination, planning, financial and monitoring arrangements and actions to end the practice of </w:t>
            </w:r>
            <w:r w:rsidR="00FF011F">
              <w:rPr>
                <w:rFonts w:cs="Calibri"/>
                <w:bCs/>
                <w:lang w:val="en-US"/>
              </w:rPr>
              <w:t>female genital mutilation</w:t>
            </w:r>
            <w:r w:rsidRPr="004F0A64">
              <w:rPr>
                <w:rFonts w:cs="Calibri"/>
                <w:bCs/>
                <w:lang w:val="en-US"/>
              </w:rPr>
              <w:t>.</w:t>
            </w:r>
          </w:p>
        </w:tc>
      </w:tr>
      <w:tr w:rsidR="004F0A64" w:rsidRPr="00D06C96" w14:paraId="438DFB38" w14:textId="77777777" w:rsidTr="00936778">
        <w:tc>
          <w:tcPr>
            <w:tcW w:w="1450" w:type="dxa"/>
            <w:shd w:val="clear" w:color="auto" w:fill="auto"/>
          </w:tcPr>
          <w:p w14:paraId="78963C2F" w14:textId="77777777" w:rsidR="004F0A64" w:rsidRPr="00D06C96" w:rsidRDefault="004F0A64" w:rsidP="00F14F1A">
            <w:pPr>
              <w:spacing w:after="0" w:line="240" w:lineRule="auto"/>
              <w:jc w:val="both"/>
              <w:rPr>
                <w:rFonts w:cs="Calibri"/>
                <w:b/>
              </w:rPr>
            </w:pPr>
            <w:r w:rsidRPr="00D06C96">
              <w:rPr>
                <w:rFonts w:cs="Calibri"/>
                <w:b/>
              </w:rPr>
              <w:t xml:space="preserve">Chair: </w:t>
            </w:r>
          </w:p>
        </w:tc>
        <w:tc>
          <w:tcPr>
            <w:tcW w:w="9040" w:type="dxa"/>
            <w:shd w:val="clear" w:color="auto" w:fill="auto"/>
          </w:tcPr>
          <w:p w14:paraId="368FBE8D" w14:textId="16DE03D2" w:rsidR="004F0A64" w:rsidRPr="00D06C96" w:rsidRDefault="004F0A64" w:rsidP="00F14F1A">
            <w:pPr>
              <w:pStyle w:val="Heading3"/>
              <w:shd w:val="clear" w:color="auto" w:fill="FFFFFF"/>
              <w:spacing w:before="0" w:beforeAutospacing="0" w:after="120" w:afterAutospacing="0"/>
              <w:jc w:val="both"/>
              <w:rPr>
                <w:rFonts w:ascii="Calibri" w:eastAsia="Cambria" w:hAnsi="Calibri" w:cs="Calibri"/>
                <w:bCs w:val="0"/>
                <w:sz w:val="22"/>
                <w:szCs w:val="22"/>
                <w:lang w:val="en-US"/>
              </w:rPr>
            </w:pPr>
            <w:r w:rsidRPr="00D06C96">
              <w:rPr>
                <w:rFonts w:ascii="Calibri" w:eastAsia="Cambria" w:hAnsi="Calibri" w:cs="Calibri"/>
                <w:bCs w:val="0"/>
                <w:sz w:val="22"/>
                <w:szCs w:val="22"/>
                <w:lang w:eastAsia="en-US"/>
              </w:rPr>
              <w:t xml:space="preserve">H.E. Ms. </w:t>
            </w:r>
            <w:proofErr w:type="spellStart"/>
            <w:r w:rsidR="009D071D" w:rsidRPr="009D071D">
              <w:rPr>
                <w:rFonts w:ascii="Calibri" w:eastAsia="Cambria" w:hAnsi="Calibri" w:cs="Calibri"/>
                <w:bCs w:val="0"/>
                <w:sz w:val="22"/>
                <w:szCs w:val="22"/>
              </w:rPr>
              <w:t>Nazhat</w:t>
            </w:r>
            <w:proofErr w:type="spellEnd"/>
            <w:r w:rsidR="009D071D" w:rsidRPr="009D071D">
              <w:rPr>
                <w:rFonts w:ascii="Calibri" w:eastAsia="Cambria" w:hAnsi="Calibri" w:cs="Calibri"/>
                <w:bCs w:val="0"/>
                <w:sz w:val="22"/>
                <w:szCs w:val="22"/>
              </w:rPr>
              <w:t xml:space="preserve"> </w:t>
            </w:r>
            <w:proofErr w:type="spellStart"/>
            <w:r w:rsidR="009D071D" w:rsidRPr="009D071D">
              <w:rPr>
                <w:rFonts w:ascii="Calibri" w:eastAsia="Cambria" w:hAnsi="Calibri" w:cs="Calibri"/>
                <w:bCs w:val="0"/>
                <w:sz w:val="22"/>
                <w:szCs w:val="22"/>
              </w:rPr>
              <w:t>Shameem</w:t>
            </w:r>
            <w:proofErr w:type="spellEnd"/>
            <w:r w:rsidR="009D071D" w:rsidRPr="009D071D">
              <w:rPr>
                <w:rFonts w:ascii="Calibri" w:eastAsia="Cambria" w:hAnsi="Calibri" w:cs="Calibri"/>
                <w:bCs w:val="0"/>
                <w:sz w:val="22"/>
                <w:szCs w:val="22"/>
              </w:rPr>
              <w:t xml:space="preserve"> Khan</w:t>
            </w:r>
            <w:r w:rsidRPr="00D06C96">
              <w:rPr>
                <w:rFonts w:ascii="Calibri" w:eastAsia="Cambria" w:hAnsi="Calibri" w:cs="Calibri"/>
                <w:b w:val="0"/>
                <w:bCs w:val="0"/>
                <w:sz w:val="22"/>
                <w:szCs w:val="22"/>
                <w:lang w:val="en-US"/>
              </w:rPr>
              <w:t>,</w:t>
            </w:r>
            <w:r w:rsidRPr="00D06C96">
              <w:rPr>
                <w:rFonts w:ascii="Calibri" w:eastAsia="Cambria" w:hAnsi="Calibri" w:cs="Calibri"/>
                <w:bCs w:val="0"/>
                <w:sz w:val="22"/>
                <w:szCs w:val="22"/>
                <w:lang w:val="en-US"/>
              </w:rPr>
              <w:t xml:space="preserve"> </w:t>
            </w:r>
            <w:r w:rsidRPr="00D06C96">
              <w:rPr>
                <w:rFonts w:ascii="Calibri" w:eastAsia="Cambria" w:hAnsi="Calibri" w:cs="Calibri"/>
                <w:b w:val="0"/>
                <w:bCs w:val="0"/>
                <w:sz w:val="22"/>
                <w:szCs w:val="22"/>
                <w:lang w:eastAsia="en-US"/>
              </w:rPr>
              <w:t>President of the Human Rights Council</w:t>
            </w:r>
          </w:p>
        </w:tc>
      </w:tr>
      <w:tr w:rsidR="004F0A64" w:rsidRPr="00D06C96" w14:paraId="0EAEFDFB" w14:textId="77777777" w:rsidTr="00936778">
        <w:tc>
          <w:tcPr>
            <w:tcW w:w="1450" w:type="dxa"/>
            <w:shd w:val="clear" w:color="auto" w:fill="auto"/>
          </w:tcPr>
          <w:p w14:paraId="38EB5E93" w14:textId="77777777" w:rsidR="004F0A64" w:rsidRPr="00D06C96" w:rsidRDefault="004F0A64" w:rsidP="00F14F1A">
            <w:pPr>
              <w:spacing w:after="60" w:line="240" w:lineRule="auto"/>
              <w:jc w:val="both"/>
              <w:rPr>
                <w:rFonts w:cs="Calibri"/>
                <w:b/>
              </w:rPr>
            </w:pPr>
            <w:r w:rsidRPr="00D06C96">
              <w:rPr>
                <w:rFonts w:cs="Calibri"/>
                <w:b/>
              </w:rPr>
              <w:t>Opening statements:</w:t>
            </w:r>
          </w:p>
        </w:tc>
        <w:tc>
          <w:tcPr>
            <w:tcW w:w="9040" w:type="dxa"/>
            <w:shd w:val="clear" w:color="auto" w:fill="auto"/>
          </w:tcPr>
          <w:p w14:paraId="3897EEF7" w14:textId="38606B64" w:rsidR="004F0A64" w:rsidRPr="00D06C96" w:rsidRDefault="004F0A64" w:rsidP="005126E9">
            <w:pPr>
              <w:spacing w:after="120" w:line="240" w:lineRule="auto"/>
              <w:jc w:val="both"/>
              <w:rPr>
                <w:rFonts w:cs="Calibri"/>
                <w:b/>
                <w:bCs/>
              </w:rPr>
            </w:pPr>
            <w:r w:rsidRPr="00D06C96">
              <w:rPr>
                <w:rFonts w:cs="Calibri"/>
                <w:b/>
              </w:rPr>
              <w:t xml:space="preserve">Ms. </w:t>
            </w:r>
            <w:r>
              <w:rPr>
                <w:rFonts w:cs="Calibri"/>
                <w:b/>
                <w:bCs/>
              </w:rPr>
              <w:t>Michelle Bachelet</w:t>
            </w:r>
            <w:r w:rsidRPr="00D06C96">
              <w:rPr>
                <w:rFonts w:cs="Calibri"/>
              </w:rPr>
              <w:t>, United Nations High Commissioner for Human Rights</w:t>
            </w:r>
            <w:r w:rsidR="00322BDD">
              <w:rPr>
                <w:rFonts w:cs="Calibri"/>
              </w:rPr>
              <w:t xml:space="preserve"> </w:t>
            </w:r>
            <w:r w:rsidR="00322BDD" w:rsidRPr="00254492">
              <w:rPr>
                <w:rFonts w:cs="Calibri"/>
                <w:i/>
              </w:rPr>
              <w:t>(video message)</w:t>
            </w:r>
          </w:p>
          <w:p w14:paraId="37B75119" w14:textId="5202CBA3" w:rsidR="004F0A64" w:rsidRPr="00D06C96" w:rsidRDefault="005126E9" w:rsidP="00763FF3">
            <w:pPr>
              <w:spacing w:line="240" w:lineRule="auto"/>
              <w:rPr>
                <w:rFonts w:cs="Calibri"/>
                <w:b/>
              </w:rPr>
            </w:pPr>
            <w:r w:rsidRPr="005126E9">
              <w:rPr>
                <w:rFonts w:cs="Calibri"/>
                <w:b/>
              </w:rPr>
              <w:t xml:space="preserve">H.E. Ms. </w:t>
            </w:r>
            <w:proofErr w:type="spellStart"/>
            <w:r w:rsidRPr="005126E9">
              <w:rPr>
                <w:rFonts w:cs="Calibri"/>
                <w:b/>
              </w:rPr>
              <w:t>Helène</w:t>
            </w:r>
            <w:proofErr w:type="spellEnd"/>
            <w:r w:rsidRPr="005126E9">
              <w:rPr>
                <w:rFonts w:cs="Calibri"/>
                <w:b/>
              </w:rPr>
              <w:t xml:space="preserve"> Marie Laurence </w:t>
            </w:r>
            <w:proofErr w:type="spellStart"/>
            <w:r w:rsidRPr="005126E9">
              <w:rPr>
                <w:rFonts w:cs="Calibri"/>
                <w:b/>
              </w:rPr>
              <w:t>Ilboudo</w:t>
            </w:r>
            <w:proofErr w:type="spellEnd"/>
            <w:r w:rsidRPr="005126E9">
              <w:rPr>
                <w:rFonts w:cs="Calibri"/>
              </w:rPr>
              <w:t>, Minister for Women, National Solidarity, Family and Humanitarian Action of Burkina Faso</w:t>
            </w:r>
            <w:r>
              <w:rPr>
                <w:rFonts w:cs="Calibri"/>
              </w:rPr>
              <w:t xml:space="preserve">, on behalf of </w:t>
            </w:r>
            <w:r w:rsidR="00254492">
              <w:rPr>
                <w:rFonts w:cs="Calibri"/>
                <w:b/>
              </w:rPr>
              <w:t xml:space="preserve">H.E. </w:t>
            </w:r>
            <w:r w:rsidR="00254492" w:rsidRPr="00254492">
              <w:rPr>
                <w:rFonts w:cs="Calibri"/>
                <w:b/>
              </w:rPr>
              <w:t xml:space="preserve">Mr. </w:t>
            </w:r>
            <w:proofErr w:type="spellStart"/>
            <w:r w:rsidR="00254492" w:rsidRPr="00254492">
              <w:rPr>
                <w:rFonts w:cs="Calibri"/>
                <w:b/>
              </w:rPr>
              <w:t>Roch</w:t>
            </w:r>
            <w:proofErr w:type="spellEnd"/>
            <w:r w:rsidR="00254492" w:rsidRPr="00254492">
              <w:rPr>
                <w:rFonts w:cs="Calibri"/>
                <w:b/>
              </w:rPr>
              <w:t xml:space="preserve"> Marc Christian</w:t>
            </w:r>
            <w:r w:rsidR="00254492">
              <w:rPr>
                <w:rFonts w:cs="Calibri"/>
                <w:b/>
              </w:rPr>
              <w:t xml:space="preserve"> </w:t>
            </w:r>
            <w:proofErr w:type="spellStart"/>
            <w:r w:rsidR="00254492" w:rsidRPr="00254492">
              <w:rPr>
                <w:rFonts w:cs="Calibri"/>
                <w:b/>
              </w:rPr>
              <w:t>Kaboré</w:t>
            </w:r>
            <w:proofErr w:type="spellEnd"/>
            <w:r w:rsidR="00254492" w:rsidRPr="00254492">
              <w:rPr>
                <w:rFonts w:cs="Calibri"/>
              </w:rPr>
              <w:t xml:space="preserve">, </w:t>
            </w:r>
            <w:r>
              <w:rPr>
                <w:rFonts w:cs="Calibri"/>
              </w:rPr>
              <w:br/>
            </w:r>
            <w:r w:rsidR="00254492" w:rsidRPr="00254492">
              <w:rPr>
                <w:rFonts w:cs="Calibri"/>
              </w:rPr>
              <w:t xml:space="preserve">President of Faso </w:t>
            </w:r>
            <w:r>
              <w:rPr>
                <w:rFonts w:cs="Calibri"/>
                <w:i/>
              </w:rPr>
              <w:t>(live</w:t>
            </w:r>
            <w:r w:rsidR="00763FF3">
              <w:rPr>
                <w:rFonts w:cs="Calibri"/>
                <w:i/>
              </w:rPr>
              <w:t xml:space="preserve"> intervention</w:t>
            </w:r>
            <w:bookmarkStart w:id="0" w:name="_GoBack"/>
            <w:bookmarkEnd w:id="0"/>
            <w:r w:rsidR="00254492" w:rsidRPr="00254492">
              <w:rPr>
                <w:rFonts w:cs="Calibri"/>
                <w:i/>
              </w:rPr>
              <w:t>)</w:t>
            </w:r>
          </w:p>
        </w:tc>
      </w:tr>
      <w:tr w:rsidR="004F0A64" w:rsidRPr="00D06C96" w14:paraId="702383B7" w14:textId="77777777" w:rsidTr="00936778">
        <w:tc>
          <w:tcPr>
            <w:tcW w:w="1450" w:type="dxa"/>
            <w:shd w:val="clear" w:color="auto" w:fill="auto"/>
          </w:tcPr>
          <w:p w14:paraId="6A524E1D" w14:textId="77777777" w:rsidR="004F0A64" w:rsidRPr="00D06C96" w:rsidRDefault="004F0A64" w:rsidP="00F14F1A">
            <w:pPr>
              <w:spacing w:after="60" w:line="240" w:lineRule="auto"/>
              <w:jc w:val="both"/>
              <w:rPr>
                <w:rFonts w:cs="Calibri"/>
                <w:b/>
              </w:rPr>
            </w:pPr>
            <w:r w:rsidRPr="00493782">
              <w:rPr>
                <w:rFonts w:cs="Calibri"/>
                <w:b/>
              </w:rPr>
              <w:t>Moderator:</w:t>
            </w:r>
          </w:p>
        </w:tc>
        <w:tc>
          <w:tcPr>
            <w:tcW w:w="9040" w:type="dxa"/>
            <w:shd w:val="clear" w:color="auto" w:fill="auto"/>
          </w:tcPr>
          <w:p w14:paraId="728B96C2" w14:textId="12BD925C" w:rsidR="004F0A64" w:rsidRPr="00D06C96" w:rsidRDefault="004F0A64" w:rsidP="00F14F1A">
            <w:pPr>
              <w:spacing w:after="120" w:line="240" w:lineRule="auto"/>
              <w:rPr>
                <w:rFonts w:cs="Calibri"/>
                <w:color w:val="000000"/>
              </w:rPr>
            </w:pPr>
            <w:r w:rsidRPr="00D06C96">
              <w:rPr>
                <w:rFonts w:cs="Calibri"/>
                <w:b/>
              </w:rPr>
              <w:t>M</w:t>
            </w:r>
            <w:r w:rsidR="009D071D">
              <w:rPr>
                <w:rFonts w:cs="Calibri"/>
                <w:b/>
              </w:rPr>
              <w:t>s</w:t>
            </w:r>
            <w:r w:rsidRPr="00D06C96">
              <w:rPr>
                <w:rFonts w:cs="Calibri"/>
                <w:b/>
              </w:rPr>
              <w:t xml:space="preserve">. </w:t>
            </w:r>
            <w:r w:rsidR="00C7641C">
              <w:rPr>
                <w:rFonts w:cs="Calibri"/>
                <w:b/>
                <w:lang w:val="en"/>
              </w:rPr>
              <w:t xml:space="preserve">Anna </w:t>
            </w:r>
            <w:proofErr w:type="spellStart"/>
            <w:r w:rsidR="00C7641C">
              <w:rPr>
                <w:rFonts w:cs="Calibri"/>
                <w:b/>
                <w:lang w:val="en"/>
              </w:rPr>
              <w:t>Widegren</w:t>
            </w:r>
            <w:proofErr w:type="spellEnd"/>
            <w:r w:rsidRPr="00D06C96">
              <w:rPr>
                <w:rFonts w:cs="Calibri"/>
                <w:lang w:val="en"/>
              </w:rPr>
              <w:t xml:space="preserve">, </w:t>
            </w:r>
            <w:r w:rsidR="002C45D9">
              <w:rPr>
                <w:rFonts w:cs="Calibri"/>
                <w:lang w:val="en"/>
              </w:rPr>
              <w:t>Director of End FGM European Network</w:t>
            </w:r>
            <w:r w:rsidR="001173D1">
              <w:rPr>
                <w:rFonts w:cs="Calibri"/>
                <w:lang w:val="en"/>
              </w:rPr>
              <w:t xml:space="preserve"> </w:t>
            </w:r>
          </w:p>
        </w:tc>
      </w:tr>
      <w:tr w:rsidR="004F0A64" w:rsidRPr="00D06C96" w14:paraId="744535F5" w14:textId="77777777" w:rsidTr="00936778">
        <w:tc>
          <w:tcPr>
            <w:tcW w:w="1450" w:type="dxa"/>
            <w:shd w:val="clear" w:color="auto" w:fill="auto"/>
          </w:tcPr>
          <w:p w14:paraId="1D80EB69" w14:textId="0957FF22" w:rsidR="004F0A64" w:rsidRPr="00D06C96" w:rsidRDefault="004F0A64" w:rsidP="00F14F1A">
            <w:pPr>
              <w:spacing w:after="0" w:line="240" w:lineRule="auto"/>
              <w:jc w:val="both"/>
              <w:rPr>
                <w:rFonts w:cs="Calibri"/>
                <w:b/>
              </w:rPr>
            </w:pPr>
            <w:r w:rsidRPr="00D06C96">
              <w:rPr>
                <w:rFonts w:cs="Calibri"/>
                <w:b/>
              </w:rPr>
              <w:t>Panellists:</w:t>
            </w:r>
          </w:p>
        </w:tc>
        <w:tc>
          <w:tcPr>
            <w:tcW w:w="9040" w:type="dxa"/>
            <w:shd w:val="clear" w:color="auto" w:fill="auto"/>
          </w:tcPr>
          <w:p w14:paraId="75D3CC38" w14:textId="67B98F8A" w:rsidR="00CA19B0" w:rsidRPr="00546794" w:rsidRDefault="0008569A" w:rsidP="00546794">
            <w:pPr>
              <w:numPr>
                <w:ilvl w:val="0"/>
                <w:numId w:val="1"/>
              </w:numPr>
              <w:spacing w:after="120" w:line="240" w:lineRule="auto"/>
              <w:ind w:left="284" w:hanging="284"/>
              <w:rPr>
                <w:rFonts w:cs="Calibri"/>
                <w:bCs/>
                <w:i/>
                <w:lang w:eastAsia="zh-TW"/>
              </w:rPr>
            </w:pPr>
            <w:r>
              <w:rPr>
                <w:rFonts w:cs="Calibri"/>
                <w:b/>
              </w:rPr>
              <w:t>Dr</w:t>
            </w:r>
            <w:r w:rsidR="004F0A64" w:rsidRPr="00254492">
              <w:rPr>
                <w:rFonts w:cs="Calibri"/>
                <w:b/>
                <w:lang w:eastAsia="zh-TW"/>
              </w:rPr>
              <w:t>.</w:t>
            </w:r>
            <w:r w:rsidR="00CA19B0" w:rsidRPr="00254492">
              <w:rPr>
                <w:rFonts w:cs="Calibri"/>
                <w:b/>
                <w:lang w:eastAsia="zh-TW"/>
              </w:rPr>
              <w:t xml:space="preserve"> </w:t>
            </w:r>
            <w:r w:rsidR="00CA19B0" w:rsidRPr="00254492">
              <w:rPr>
                <w:rFonts w:cs="Calibri"/>
                <w:b/>
                <w:bCs/>
                <w:lang w:eastAsia="zh-TW"/>
              </w:rPr>
              <w:t xml:space="preserve">Natalia </w:t>
            </w:r>
            <w:proofErr w:type="spellStart"/>
            <w:r w:rsidR="00CA19B0" w:rsidRPr="00254492">
              <w:rPr>
                <w:rFonts w:cs="Calibri"/>
                <w:b/>
                <w:bCs/>
                <w:lang w:eastAsia="zh-TW"/>
              </w:rPr>
              <w:t>Kanem</w:t>
            </w:r>
            <w:proofErr w:type="spellEnd"/>
            <w:r w:rsidR="00CA19B0" w:rsidRPr="00254492">
              <w:rPr>
                <w:rFonts w:cs="Calibri"/>
                <w:bCs/>
                <w:lang w:eastAsia="zh-TW"/>
              </w:rPr>
              <w:t>,</w:t>
            </w:r>
            <w:r w:rsidR="00CA19B0" w:rsidRPr="00254492">
              <w:rPr>
                <w:rFonts w:cs="Calibri"/>
                <w:b/>
                <w:bCs/>
                <w:lang w:eastAsia="zh-TW"/>
              </w:rPr>
              <w:t xml:space="preserve"> </w:t>
            </w:r>
            <w:r w:rsidR="00254492" w:rsidRPr="00254492">
              <w:rPr>
                <w:rFonts w:cs="Calibri"/>
                <w:bCs/>
                <w:lang w:eastAsia="zh-TW"/>
              </w:rPr>
              <w:t>Executive Director of the United Nations Population Fund (</w:t>
            </w:r>
            <w:r w:rsidR="00CA19B0" w:rsidRPr="00254492">
              <w:rPr>
                <w:rFonts w:cs="Calibri"/>
                <w:bCs/>
                <w:lang w:eastAsia="zh-TW"/>
              </w:rPr>
              <w:t>UNFPA</w:t>
            </w:r>
            <w:r w:rsidR="00254492">
              <w:rPr>
                <w:rFonts w:cs="Calibri"/>
                <w:bCs/>
                <w:lang w:eastAsia="zh-TW"/>
              </w:rPr>
              <w:t>)</w:t>
            </w:r>
            <w:r w:rsidR="00964329" w:rsidRPr="00254492">
              <w:rPr>
                <w:rFonts w:cs="Calibri"/>
                <w:bCs/>
                <w:lang w:eastAsia="zh-TW"/>
              </w:rPr>
              <w:t xml:space="preserve"> </w:t>
            </w:r>
            <w:r w:rsidR="006D3F60">
              <w:rPr>
                <w:rFonts w:cs="Calibri"/>
                <w:bCs/>
                <w:lang w:eastAsia="zh-TW"/>
              </w:rPr>
              <w:br/>
            </w:r>
            <w:r w:rsidR="00964329" w:rsidRPr="00254492">
              <w:rPr>
                <w:rFonts w:cs="Calibri"/>
                <w:bCs/>
                <w:i/>
                <w:lang w:eastAsia="zh-TW"/>
              </w:rPr>
              <w:t>(</w:t>
            </w:r>
            <w:r w:rsidR="00CA19B0" w:rsidRPr="00254492">
              <w:rPr>
                <w:rFonts w:cs="Calibri"/>
                <w:bCs/>
                <w:i/>
                <w:lang w:eastAsia="zh-TW"/>
              </w:rPr>
              <w:t>video message)</w:t>
            </w:r>
            <w:r w:rsidR="00546794">
              <w:rPr>
                <w:rFonts w:cs="Calibri"/>
                <w:bCs/>
                <w:i/>
                <w:lang w:eastAsia="zh-TW"/>
              </w:rPr>
              <w:t xml:space="preserve"> </w:t>
            </w:r>
            <w:r w:rsidR="00546794" w:rsidRPr="00546794">
              <w:rPr>
                <w:rFonts w:cs="Calibri"/>
                <w:bCs/>
                <w:lang w:eastAsia="zh-TW"/>
              </w:rPr>
              <w:t xml:space="preserve">and </w:t>
            </w:r>
            <w:r w:rsidR="00546794" w:rsidRPr="00546794">
              <w:rPr>
                <w:rFonts w:cs="Calibri"/>
                <w:b/>
                <w:bCs/>
                <w:lang w:eastAsia="zh-TW"/>
              </w:rPr>
              <w:t>Ms. Monica Ferro</w:t>
            </w:r>
            <w:r w:rsidR="00546794" w:rsidRPr="00546794">
              <w:rPr>
                <w:rFonts w:cs="Calibri"/>
                <w:bCs/>
                <w:lang w:eastAsia="zh-TW"/>
              </w:rPr>
              <w:t>, Director of the UNFPA Geneva Office</w:t>
            </w:r>
            <w:r w:rsidR="00546794" w:rsidRPr="00546794">
              <w:rPr>
                <w:rFonts w:cs="Calibri"/>
                <w:bCs/>
                <w:i/>
                <w:lang w:eastAsia="zh-TW"/>
              </w:rPr>
              <w:t xml:space="preserve"> </w:t>
            </w:r>
            <w:r w:rsidR="00546794" w:rsidRPr="00546794">
              <w:rPr>
                <w:rFonts w:cs="Calibri"/>
                <w:bCs/>
                <w:i/>
                <w:iCs/>
                <w:lang w:eastAsia="zh-TW"/>
              </w:rPr>
              <w:t>(concluding remarks)</w:t>
            </w:r>
          </w:p>
          <w:p w14:paraId="594E7F92" w14:textId="39D6F6C3" w:rsidR="004F0A64" w:rsidRPr="008501CD" w:rsidRDefault="00CA19B0" w:rsidP="00F14F1A">
            <w:pPr>
              <w:numPr>
                <w:ilvl w:val="0"/>
                <w:numId w:val="1"/>
              </w:numPr>
              <w:spacing w:after="120" w:line="240" w:lineRule="auto"/>
              <w:ind w:left="284" w:hanging="284"/>
              <w:rPr>
                <w:rFonts w:cs="Calibri"/>
                <w:b/>
                <w:bCs/>
                <w:lang w:eastAsia="zh-TW"/>
              </w:rPr>
            </w:pPr>
            <w:r w:rsidRPr="008501CD">
              <w:rPr>
                <w:rFonts w:cs="Calibri"/>
                <w:b/>
              </w:rPr>
              <w:t>H.E</w:t>
            </w:r>
            <w:r w:rsidR="008501CD" w:rsidRPr="008501CD">
              <w:rPr>
                <w:rFonts w:cs="Calibri"/>
                <w:b/>
              </w:rPr>
              <w:t>.</w:t>
            </w:r>
            <w:r w:rsidRPr="008501CD">
              <w:rPr>
                <w:rFonts w:cs="Calibri"/>
                <w:b/>
              </w:rPr>
              <w:t xml:space="preserve"> </w:t>
            </w:r>
            <w:r w:rsidR="004F0A64" w:rsidRPr="008501CD">
              <w:rPr>
                <w:rFonts w:cs="Calibri"/>
                <w:b/>
              </w:rPr>
              <w:t>Ms.</w:t>
            </w:r>
            <w:r w:rsidR="00254492" w:rsidRPr="008501CD">
              <w:rPr>
                <w:rFonts w:cs="Calibri"/>
                <w:bCs/>
              </w:rPr>
              <w:t xml:space="preserve"> </w:t>
            </w:r>
            <w:r w:rsidRPr="008501CD">
              <w:rPr>
                <w:rFonts w:cs="Calibri"/>
                <w:b/>
                <w:bCs/>
              </w:rPr>
              <w:t xml:space="preserve">Amira </w:t>
            </w:r>
            <w:proofErr w:type="spellStart"/>
            <w:r w:rsidRPr="008501CD">
              <w:rPr>
                <w:rFonts w:cs="Calibri"/>
                <w:b/>
                <w:bCs/>
              </w:rPr>
              <w:t>Elfadil</w:t>
            </w:r>
            <w:proofErr w:type="spellEnd"/>
            <w:r w:rsidRPr="008501CD">
              <w:rPr>
                <w:rFonts w:cs="Calibri"/>
                <w:b/>
                <w:bCs/>
              </w:rPr>
              <w:t xml:space="preserve"> Mohammed </w:t>
            </w:r>
            <w:proofErr w:type="spellStart"/>
            <w:r w:rsidRPr="008501CD">
              <w:rPr>
                <w:rFonts w:cs="Calibri"/>
                <w:b/>
                <w:bCs/>
              </w:rPr>
              <w:t>Elfadil</w:t>
            </w:r>
            <w:proofErr w:type="spellEnd"/>
            <w:r w:rsidRPr="008501CD">
              <w:rPr>
                <w:rFonts w:cs="Calibri"/>
                <w:bCs/>
              </w:rPr>
              <w:t>,</w:t>
            </w:r>
            <w:r w:rsidRPr="008501CD">
              <w:rPr>
                <w:rFonts w:cs="Calibri"/>
                <w:b/>
                <w:bCs/>
              </w:rPr>
              <w:t xml:space="preserve"> </w:t>
            </w:r>
            <w:r w:rsidRPr="008501CD">
              <w:rPr>
                <w:rFonts w:cs="Calibri"/>
                <w:bCs/>
              </w:rPr>
              <w:t>Commissio</w:t>
            </w:r>
            <w:r w:rsidR="00754D65" w:rsidRPr="008501CD">
              <w:rPr>
                <w:rFonts w:cs="Calibri"/>
                <w:bCs/>
              </w:rPr>
              <w:t>ner for Social Affairs</w:t>
            </w:r>
            <w:r w:rsidR="00A91334">
              <w:rPr>
                <w:rFonts w:cs="Calibri"/>
                <w:bCs/>
              </w:rPr>
              <w:t xml:space="preserve"> of the African Union Commission</w:t>
            </w:r>
            <w:r w:rsidR="00493782">
              <w:rPr>
                <w:rFonts w:cs="Calibri"/>
                <w:bCs/>
              </w:rPr>
              <w:t xml:space="preserve"> </w:t>
            </w:r>
            <w:r w:rsidR="007F5558">
              <w:rPr>
                <w:rFonts w:cs="Calibri"/>
                <w:i/>
              </w:rPr>
              <w:t>(video message)</w:t>
            </w:r>
          </w:p>
          <w:p w14:paraId="3380EE5D" w14:textId="647CE684" w:rsidR="004F0A64" w:rsidRPr="008501CD" w:rsidRDefault="004F0A64" w:rsidP="002954F0">
            <w:pPr>
              <w:numPr>
                <w:ilvl w:val="0"/>
                <w:numId w:val="1"/>
              </w:numPr>
              <w:spacing w:after="160" w:line="240" w:lineRule="auto"/>
              <w:ind w:left="284" w:hanging="284"/>
              <w:rPr>
                <w:rFonts w:cs="Calibri"/>
                <w:b/>
                <w:bCs/>
                <w:lang w:eastAsia="zh-TW"/>
              </w:rPr>
            </w:pPr>
            <w:r w:rsidRPr="008501CD">
              <w:rPr>
                <w:rFonts w:cs="Calibri"/>
                <w:b/>
              </w:rPr>
              <w:t>M</w:t>
            </w:r>
            <w:r w:rsidR="00FA2D12" w:rsidRPr="008501CD">
              <w:rPr>
                <w:rFonts w:cs="Calibri"/>
                <w:b/>
              </w:rPr>
              <w:t>r</w:t>
            </w:r>
            <w:r w:rsidRPr="008501CD">
              <w:rPr>
                <w:rFonts w:cs="Calibri"/>
                <w:b/>
              </w:rPr>
              <w:t xml:space="preserve">. </w:t>
            </w:r>
            <w:proofErr w:type="spellStart"/>
            <w:r w:rsidR="0034013F" w:rsidRPr="008501CD">
              <w:rPr>
                <w:rFonts w:cs="Calibri"/>
                <w:b/>
              </w:rPr>
              <w:t>Bahru</w:t>
            </w:r>
            <w:r w:rsidR="002954F0">
              <w:rPr>
                <w:rFonts w:cs="Calibri"/>
                <w:b/>
              </w:rPr>
              <w:t>l</w:t>
            </w:r>
            <w:proofErr w:type="spellEnd"/>
            <w:r w:rsidR="0034013F" w:rsidRPr="008501CD">
              <w:rPr>
                <w:rFonts w:cs="Calibri"/>
                <w:b/>
              </w:rPr>
              <w:t xml:space="preserve"> </w:t>
            </w:r>
            <w:proofErr w:type="spellStart"/>
            <w:r w:rsidR="00C33BC3" w:rsidRPr="008501CD">
              <w:rPr>
                <w:rFonts w:cs="Calibri"/>
                <w:b/>
              </w:rPr>
              <w:t>Fuad</w:t>
            </w:r>
            <w:proofErr w:type="spellEnd"/>
            <w:r w:rsidR="00754D65" w:rsidRPr="008501CD">
              <w:rPr>
                <w:rFonts w:cs="Calibri"/>
              </w:rPr>
              <w:t xml:space="preserve">, </w:t>
            </w:r>
            <w:r w:rsidR="0034013F" w:rsidRPr="008501CD">
              <w:rPr>
                <w:rFonts w:cs="Calibri"/>
              </w:rPr>
              <w:t>Commissioner</w:t>
            </w:r>
            <w:r w:rsidR="00F91E91">
              <w:rPr>
                <w:rFonts w:cs="Calibri"/>
              </w:rPr>
              <w:t xml:space="preserve"> at the </w:t>
            </w:r>
            <w:r w:rsidR="0034013F" w:rsidRPr="008501CD">
              <w:rPr>
                <w:rFonts w:cs="Calibri"/>
              </w:rPr>
              <w:t>National Commission on Violence against Women</w:t>
            </w:r>
            <w:r w:rsidR="0034013F" w:rsidRPr="008501CD">
              <w:rPr>
                <w:rFonts w:cs="Calibri"/>
                <w:b/>
              </w:rPr>
              <w:t xml:space="preserve"> </w:t>
            </w:r>
            <w:r w:rsidR="00254492" w:rsidRPr="00F91E91">
              <w:rPr>
                <w:rFonts w:cs="Calibri"/>
              </w:rPr>
              <w:t>(</w:t>
            </w:r>
            <w:proofErr w:type="spellStart"/>
            <w:r w:rsidR="00964329" w:rsidRPr="008501CD">
              <w:rPr>
                <w:iCs/>
              </w:rPr>
              <w:t>Komnas</w:t>
            </w:r>
            <w:proofErr w:type="spellEnd"/>
            <w:r w:rsidR="00964329" w:rsidRPr="008501CD">
              <w:rPr>
                <w:iCs/>
              </w:rPr>
              <w:t xml:space="preserve"> </w:t>
            </w:r>
            <w:proofErr w:type="spellStart"/>
            <w:r w:rsidR="00964329" w:rsidRPr="008501CD">
              <w:rPr>
                <w:iCs/>
              </w:rPr>
              <w:t>Perempuan</w:t>
            </w:r>
            <w:proofErr w:type="spellEnd"/>
            <w:r w:rsidR="00254492" w:rsidRPr="008501CD">
              <w:rPr>
                <w:iCs/>
              </w:rPr>
              <w:t>)</w:t>
            </w:r>
            <w:r w:rsidR="00F91E91">
              <w:rPr>
                <w:iCs/>
              </w:rPr>
              <w:t xml:space="preserve"> of </w:t>
            </w:r>
            <w:r w:rsidR="00C33BC3" w:rsidRPr="008501CD">
              <w:rPr>
                <w:rFonts w:cs="Calibri"/>
              </w:rPr>
              <w:t>Indonesia</w:t>
            </w:r>
            <w:r w:rsidR="00493782">
              <w:rPr>
                <w:rFonts w:cs="Calibri"/>
              </w:rPr>
              <w:t xml:space="preserve"> </w:t>
            </w:r>
            <w:r w:rsidR="007F5558">
              <w:rPr>
                <w:rFonts w:cs="Calibri"/>
                <w:i/>
              </w:rPr>
              <w:t>(video message)</w:t>
            </w:r>
          </w:p>
        </w:tc>
      </w:tr>
      <w:tr w:rsidR="004F0A64" w:rsidRPr="00D06C96" w14:paraId="7CAAEF70" w14:textId="77777777" w:rsidTr="00936778">
        <w:trPr>
          <w:trHeight w:val="262"/>
        </w:trPr>
        <w:tc>
          <w:tcPr>
            <w:tcW w:w="1450" w:type="dxa"/>
            <w:shd w:val="clear" w:color="auto" w:fill="auto"/>
          </w:tcPr>
          <w:p w14:paraId="1E33DF7B" w14:textId="77777777" w:rsidR="004F0A64" w:rsidRPr="00D06C96" w:rsidRDefault="004F0A64" w:rsidP="00F14F1A">
            <w:pPr>
              <w:spacing w:after="0" w:line="240" w:lineRule="auto"/>
              <w:jc w:val="both"/>
              <w:rPr>
                <w:rFonts w:cs="Calibri"/>
                <w:b/>
              </w:rPr>
            </w:pPr>
            <w:r w:rsidRPr="00D06C96">
              <w:rPr>
                <w:rFonts w:cs="Calibri"/>
                <w:b/>
              </w:rPr>
              <w:t xml:space="preserve">Outcome: </w:t>
            </w:r>
          </w:p>
        </w:tc>
        <w:tc>
          <w:tcPr>
            <w:tcW w:w="9040" w:type="dxa"/>
            <w:shd w:val="clear" w:color="auto" w:fill="auto"/>
          </w:tcPr>
          <w:p w14:paraId="471145AE" w14:textId="77777777" w:rsidR="004F0A64" w:rsidRPr="00D06C96" w:rsidRDefault="004F0A64" w:rsidP="00F14F1A">
            <w:pPr>
              <w:spacing w:after="120" w:line="240" w:lineRule="auto"/>
              <w:jc w:val="both"/>
              <w:rPr>
                <w:rFonts w:cs="Calibri"/>
              </w:rPr>
            </w:pPr>
            <w:r w:rsidRPr="00D06C96">
              <w:rPr>
                <w:rFonts w:cs="Calibri"/>
                <w:bCs/>
                <w:lang w:val="en-US"/>
              </w:rPr>
              <w:t>A summary report on the discussion will be prepared by OHCHR.</w:t>
            </w:r>
          </w:p>
        </w:tc>
      </w:tr>
      <w:tr w:rsidR="004F0A64" w:rsidRPr="00D06C96" w14:paraId="5997222F" w14:textId="77777777" w:rsidTr="00936778">
        <w:tc>
          <w:tcPr>
            <w:tcW w:w="1450" w:type="dxa"/>
            <w:shd w:val="clear" w:color="auto" w:fill="auto"/>
          </w:tcPr>
          <w:p w14:paraId="44B0839D" w14:textId="77777777" w:rsidR="004F0A64" w:rsidRPr="00D06C96" w:rsidRDefault="004F0A64" w:rsidP="00F14F1A">
            <w:pPr>
              <w:spacing w:after="0" w:line="240" w:lineRule="auto"/>
              <w:jc w:val="both"/>
              <w:rPr>
                <w:rFonts w:cs="Calibri"/>
                <w:b/>
              </w:rPr>
            </w:pPr>
            <w:r w:rsidRPr="00D06C96">
              <w:rPr>
                <w:rFonts w:cs="Calibri"/>
                <w:b/>
              </w:rPr>
              <w:t xml:space="preserve">Mandate: </w:t>
            </w:r>
          </w:p>
        </w:tc>
        <w:tc>
          <w:tcPr>
            <w:tcW w:w="9040" w:type="dxa"/>
            <w:shd w:val="clear" w:color="auto" w:fill="auto"/>
          </w:tcPr>
          <w:p w14:paraId="42B5F57A" w14:textId="77777777" w:rsidR="004F0A64" w:rsidRPr="00E41510" w:rsidRDefault="004F0A64" w:rsidP="00F14F1A">
            <w:pPr>
              <w:spacing w:after="120" w:line="240" w:lineRule="auto"/>
              <w:jc w:val="both"/>
              <w:rPr>
                <w:rFonts w:cs="Calibri"/>
              </w:rPr>
            </w:pPr>
            <w:r w:rsidRPr="00E41510">
              <w:rPr>
                <w:rFonts w:cs="Calibri"/>
              </w:rPr>
              <w:t xml:space="preserve">In its resolution </w:t>
            </w:r>
            <w:r w:rsidR="00964329">
              <w:rPr>
                <w:rFonts w:cs="Calibri"/>
              </w:rPr>
              <w:t>44/16</w:t>
            </w:r>
            <w:r w:rsidRPr="00E41510">
              <w:rPr>
                <w:rFonts w:cs="Calibri"/>
              </w:rPr>
              <w:t>, the Human Rights Council</w:t>
            </w:r>
            <w:r w:rsidR="00354F0F">
              <w:rPr>
                <w:rFonts w:cs="Calibri"/>
              </w:rPr>
              <w:t xml:space="preserve"> decided to </w:t>
            </w:r>
            <w:r w:rsidR="00354F0F" w:rsidRPr="00354F0F">
              <w:rPr>
                <w:rFonts w:cs="Calibri"/>
              </w:rPr>
              <w:t xml:space="preserve">convene a high-level panel discussion on the </w:t>
            </w:r>
            <w:proofErr w:type="spellStart"/>
            <w:r w:rsidR="00354F0F" w:rsidRPr="00354F0F">
              <w:rPr>
                <w:rFonts w:cs="Calibri"/>
              </w:rPr>
              <w:t>multisectoral</w:t>
            </w:r>
            <w:proofErr w:type="spellEnd"/>
            <w:r w:rsidR="00354F0F" w:rsidRPr="00354F0F">
              <w:rPr>
                <w:rFonts w:cs="Calibri"/>
              </w:rPr>
              <w:t xml:space="preserve"> prevention of and response, including the global response, to female genital mutilation</w:t>
            </w:r>
            <w:r w:rsidR="00354F0F">
              <w:rPr>
                <w:rFonts w:cs="Calibri"/>
              </w:rPr>
              <w:t>.</w:t>
            </w:r>
            <w:r w:rsidRPr="00E41510">
              <w:rPr>
                <w:rFonts w:cs="Calibri"/>
              </w:rPr>
              <w:t xml:space="preserve"> </w:t>
            </w:r>
          </w:p>
        </w:tc>
      </w:tr>
      <w:tr w:rsidR="004F0A64" w:rsidRPr="00D06C96" w14:paraId="0F529260" w14:textId="77777777" w:rsidTr="00936778">
        <w:tc>
          <w:tcPr>
            <w:tcW w:w="1450" w:type="dxa"/>
            <w:shd w:val="clear" w:color="auto" w:fill="auto"/>
          </w:tcPr>
          <w:p w14:paraId="16074F40" w14:textId="77777777" w:rsidR="004F0A64" w:rsidRPr="00D06C96" w:rsidRDefault="004F0A64" w:rsidP="00F14F1A">
            <w:pPr>
              <w:spacing w:after="0" w:line="240" w:lineRule="auto"/>
              <w:rPr>
                <w:rFonts w:cs="Calibri"/>
                <w:b/>
              </w:rPr>
            </w:pPr>
            <w:r w:rsidRPr="00D06C96">
              <w:rPr>
                <w:rFonts w:cs="Calibri"/>
                <w:b/>
              </w:rPr>
              <w:t xml:space="preserve">Format: </w:t>
            </w:r>
          </w:p>
        </w:tc>
        <w:tc>
          <w:tcPr>
            <w:tcW w:w="9040" w:type="dxa"/>
            <w:shd w:val="clear" w:color="auto" w:fill="auto"/>
          </w:tcPr>
          <w:p w14:paraId="31780C7D" w14:textId="77777777" w:rsidR="00BD4DD4" w:rsidRPr="00BD4DD4" w:rsidRDefault="00BD4DD4" w:rsidP="00F14F1A">
            <w:pPr>
              <w:spacing w:after="120" w:line="240" w:lineRule="auto"/>
              <w:jc w:val="both"/>
              <w:rPr>
                <w:rFonts w:eastAsia="PMingLiU" w:cs="Calibri"/>
                <w:bCs/>
              </w:rPr>
            </w:pPr>
            <w:r w:rsidRPr="00BD4DD4">
              <w:rPr>
                <w:rFonts w:eastAsia="PMingLiU" w:cs="Calibri"/>
                <w:bCs/>
              </w:rPr>
              <w:t>The panel discussion will be limited to two hours. After opening statement</w:t>
            </w:r>
            <w:r w:rsidR="00F14F1A">
              <w:rPr>
                <w:rFonts w:eastAsia="PMingLiU" w:cs="Calibri"/>
                <w:bCs/>
              </w:rPr>
              <w:t>s</w:t>
            </w:r>
            <w:r w:rsidRPr="00BD4DD4">
              <w:rPr>
                <w:rFonts w:eastAsia="PMingLiU" w:cs="Calibri"/>
                <w:bCs/>
              </w:rPr>
              <w:t xml:space="preserve"> and initial presentations by the panellists, there will be two segments of interventions, followed by conclusions from the panellists. 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 </w:t>
            </w:r>
          </w:p>
          <w:p w14:paraId="6583E0C3" w14:textId="77777777" w:rsidR="004F0A64" w:rsidRPr="005C2F0D" w:rsidRDefault="00BD4DD4" w:rsidP="00F14F1A">
            <w:pPr>
              <w:spacing w:after="120" w:line="240" w:lineRule="auto"/>
              <w:jc w:val="both"/>
              <w:rPr>
                <w:rFonts w:eastAsia="PMingLiU" w:cs="Calibri"/>
                <w:bCs/>
              </w:rPr>
            </w:pPr>
            <w:r w:rsidRPr="00BD4DD4">
              <w:rPr>
                <w:rFonts w:eastAsia="PMingLiU" w:cs="Calibri"/>
                <w:bCs/>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p>
        </w:tc>
      </w:tr>
      <w:tr w:rsidR="004F0A64" w:rsidRPr="00D06C96" w14:paraId="53A56856" w14:textId="77777777" w:rsidTr="00936778">
        <w:trPr>
          <w:trHeight w:val="1126"/>
        </w:trPr>
        <w:tc>
          <w:tcPr>
            <w:tcW w:w="1450" w:type="dxa"/>
            <w:shd w:val="clear" w:color="auto" w:fill="auto"/>
          </w:tcPr>
          <w:p w14:paraId="6DC6382D" w14:textId="77777777" w:rsidR="004F0A64" w:rsidRPr="00D06C96" w:rsidRDefault="004F0A64" w:rsidP="00F14F1A">
            <w:pPr>
              <w:spacing w:after="0" w:line="240" w:lineRule="auto"/>
              <w:jc w:val="both"/>
              <w:rPr>
                <w:rFonts w:cs="Calibri"/>
                <w:b/>
              </w:rPr>
            </w:pPr>
            <w:r w:rsidRPr="00D06C96">
              <w:rPr>
                <w:rFonts w:cs="Calibri"/>
                <w:b/>
              </w:rPr>
              <w:t>Background:</w:t>
            </w:r>
          </w:p>
        </w:tc>
        <w:tc>
          <w:tcPr>
            <w:tcW w:w="9040" w:type="dxa"/>
            <w:shd w:val="clear" w:color="auto" w:fill="auto"/>
          </w:tcPr>
          <w:p w14:paraId="6866053D" w14:textId="4C4DBFEC" w:rsidR="00CA1647" w:rsidRPr="00CA1647" w:rsidRDefault="00CA1647" w:rsidP="00AD6FE4">
            <w:pPr>
              <w:shd w:val="clear" w:color="auto" w:fill="FFFFFF"/>
              <w:snapToGrid w:val="0"/>
              <w:spacing w:after="80" w:line="240" w:lineRule="auto"/>
              <w:jc w:val="both"/>
              <w:rPr>
                <w:rFonts w:eastAsia="PMingLiU" w:cs="Calibri"/>
                <w:bCs/>
                <w:lang w:val="en-US"/>
              </w:rPr>
            </w:pPr>
            <w:r w:rsidRPr="00CA1647">
              <w:rPr>
                <w:rFonts w:eastAsia="PMingLiU" w:cs="Calibri"/>
                <w:bCs/>
                <w:lang w:val="en-US"/>
              </w:rPr>
              <w:t xml:space="preserve">For more than two decades, </w:t>
            </w:r>
            <w:r w:rsidR="003C3F23">
              <w:rPr>
                <w:rFonts w:eastAsia="PMingLiU" w:cs="Calibri"/>
                <w:bCs/>
                <w:lang w:val="en-US"/>
              </w:rPr>
              <w:t xml:space="preserve">the </w:t>
            </w:r>
            <w:r w:rsidRPr="00CA1647">
              <w:rPr>
                <w:rFonts w:eastAsia="PMingLiU" w:cs="Calibri"/>
                <w:bCs/>
                <w:lang w:val="en-US"/>
              </w:rPr>
              <w:t xml:space="preserve">global consensus has been that the elimination of female genital mutilation </w:t>
            </w:r>
            <w:r w:rsidR="00F42103">
              <w:rPr>
                <w:rFonts w:eastAsia="PMingLiU" w:cs="Calibri"/>
                <w:bCs/>
                <w:lang w:val="en-US"/>
              </w:rPr>
              <w:t xml:space="preserve">(FGM) </w:t>
            </w:r>
            <w:r w:rsidRPr="00CA1647">
              <w:rPr>
                <w:rFonts w:eastAsia="PMingLiU" w:cs="Calibri"/>
                <w:bCs/>
                <w:lang w:val="en-US"/>
              </w:rPr>
              <w:t xml:space="preserve">contributes to achieving gender equality. A recent report suggests that </w:t>
            </w:r>
            <w:r w:rsidR="00125869">
              <w:rPr>
                <w:rFonts w:eastAsia="PMingLiU" w:cs="Calibri"/>
                <w:bCs/>
                <w:lang w:val="en-US"/>
              </w:rPr>
              <w:t>female genital mutilation</w:t>
            </w:r>
            <w:r w:rsidRPr="00CA1647">
              <w:rPr>
                <w:rFonts w:eastAsia="PMingLiU" w:cs="Calibri"/>
                <w:bCs/>
                <w:lang w:val="en-US"/>
              </w:rPr>
              <w:t xml:space="preserve"> may be present in more than 90 countries globally, illustrating its presence in communities across all continents and highlighting the global nature of this harmful practice. Recognizing this harmful impact on the rights and lives of women and girls, the Human Rights Council, in its latest resolution</w:t>
            </w:r>
            <w:r w:rsidR="00442EF9">
              <w:rPr>
                <w:rFonts w:eastAsia="PMingLiU" w:cs="Calibri"/>
                <w:bCs/>
                <w:lang w:val="en-US"/>
              </w:rPr>
              <w:t xml:space="preserve"> on the subject</w:t>
            </w:r>
            <w:r w:rsidRPr="00CA1647">
              <w:rPr>
                <w:rFonts w:eastAsia="PMingLiU" w:cs="Calibri"/>
                <w:bCs/>
                <w:lang w:val="en-US"/>
              </w:rPr>
              <w:t xml:space="preserve">, encouraged all States to engage in consultations with all other stakeholders, with a view to prioritizing the issue of FGM, in order to increase mobilization and cooperation on this global problem. </w:t>
            </w:r>
          </w:p>
          <w:p w14:paraId="2CE3EEC5" w14:textId="77777777" w:rsidR="00CA1647" w:rsidRPr="00CA1647" w:rsidRDefault="00CA1647" w:rsidP="00AD6FE4">
            <w:pPr>
              <w:shd w:val="clear" w:color="auto" w:fill="FFFFFF"/>
              <w:snapToGrid w:val="0"/>
              <w:spacing w:after="80" w:line="240" w:lineRule="auto"/>
              <w:jc w:val="both"/>
              <w:rPr>
                <w:rFonts w:eastAsia="PMingLiU" w:cs="Calibri"/>
                <w:bCs/>
                <w:lang w:val="en-US"/>
              </w:rPr>
            </w:pPr>
            <w:r w:rsidRPr="00CA1647">
              <w:rPr>
                <w:rFonts w:eastAsia="PMingLiU" w:cs="Calibri"/>
                <w:bCs/>
                <w:lang w:val="en-US"/>
              </w:rPr>
              <w:lastRenderedPageBreak/>
              <w:t xml:space="preserve">Efforts are being made to address the phenomenon by Governments, development and community actors, media, civil society organizations. They are partly in line with the 2030 Agenda for Sustainable Development, particularly under Goal 5.3, which includes commitments to greater accountability to girls and women at the global, regional and national levels. </w:t>
            </w:r>
          </w:p>
          <w:p w14:paraId="3F4BCDD7" w14:textId="608ED6BA" w:rsidR="00CA1647" w:rsidRPr="00CA1647" w:rsidRDefault="00CA1647" w:rsidP="00AD6FE4">
            <w:pPr>
              <w:shd w:val="clear" w:color="auto" w:fill="FFFFFF"/>
              <w:snapToGrid w:val="0"/>
              <w:spacing w:after="80" w:line="240" w:lineRule="auto"/>
              <w:jc w:val="both"/>
              <w:rPr>
                <w:rFonts w:eastAsia="PMingLiU" w:cs="Calibri"/>
                <w:bCs/>
                <w:lang w:val="en-US"/>
              </w:rPr>
            </w:pPr>
            <w:r w:rsidRPr="00CA1647">
              <w:rPr>
                <w:rFonts w:eastAsia="PMingLiU" w:cs="Calibri"/>
                <w:bCs/>
                <w:lang w:val="en-US"/>
              </w:rPr>
              <w:t xml:space="preserve">Also, actions to prevent and eliminate the practice have led to increased visibility, including through the adoption of resolutions by the General Assembly, the Human Rights Council, the African Union and the European Parliament, as well as regional campaigns aimed at galvanizing different actors. At the national level, efforts to promote a comprehensive and </w:t>
            </w:r>
            <w:proofErr w:type="spellStart"/>
            <w:r w:rsidRPr="00CA1647">
              <w:rPr>
                <w:rFonts w:eastAsia="PMingLiU" w:cs="Calibri"/>
                <w:bCs/>
                <w:lang w:val="en-US"/>
              </w:rPr>
              <w:t>multisectoral</w:t>
            </w:r>
            <w:proofErr w:type="spellEnd"/>
            <w:r w:rsidRPr="00CA1647">
              <w:rPr>
                <w:rFonts w:eastAsia="PMingLiU" w:cs="Calibri"/>
                <w:bCs/>
                <w:lang w:val="en-US"/>
              </w:rPr>
              <w:t xml:space="preserve"> approach to the prevention of FGM have yielded some decisive achievements. For instance, 78 per cent of countries with available data prohibit or criminalize FGM; the majority, 87 per cent, have a national coordination structure and some replicate this good practice at the local level (Ethiopia, Eritrea, Cameroon and Nigeria). </w:t>
            </w:r>
          </w:p>
          <w:p w14:paraId="5A247584" w14:textId="469820BC" w:rsidR="00CA1647" w:rsidRPr="00CA1647" w:rsidRDefault="00CA1647" w:rsidP="00AD6FE4">
            <w:pPr>
              <w:shd w:val="clear" w:color="auto" w:fill="FFFFFF"/>
              <w:snapToGrid w:val="0"/>
              <w:spacing w:after="80" w:line="240" w:lineRule="auto"/>
              <w:jc w:val="both"/>
              <w:rPr>
                <w:rFonts w:eastAsia="PMingLiU" w:cs="Calibri"/>
                <w:bCs/>
                <w:lang w:val="en-US"/>
              </w:rPr>
            </w:pPr>
            <w:r w:rsidRPr="00CA1647">
              <w:rPr>
                <w:rFonts w:eastAsia="PMingLiU" w:cs="Calibri"/>
                <w:bCs/>
                <w:lang w:val="en-US"/>
              </w:rPr>
              <w:t xml:space="preserve">However, these findings do not overshadow the many challenges that remain in eliminating the practice and protecting at-risk groups. Prior to the COVID-19 pandemic, more than 200 million girls and women had undergone FGM and at least four million girls were at risk each year. Unless the prevention and elimination of FGM is prioritized and integrated in COVID-19 national response plans and humanitarian actions generally, </w:t>
            </w:r>
            <w:r w:rsidR="008C7C0F">
              <w:rPr>
                <w:rFonts w:eastAsia="PMingLiU" w:cs="Calibri"/>
                <w:bCs/>
                <w:lang w:val="en-US"/>
              </w:rPr>
              <w:t>many more</w:t>
            </w:r>
            <w:r w:rsidRPr="00CA1647">
              <w:rPr>
                <w:rFonts w:eastAsia="PMingLiU" w:cs="Calibri"/>
                <w:bCs/>
                <w:lang w:val="en-US"/>
              </w:rPr>
              <w:t xml:space="preserve"> girls will be at a higher risk of FGM by 2030.   </w:t>
            </w:r>
            <w:r w:rsidR="0074434F">
              <w:rPr>
                <w:rFonts w:eastAsia="PMingLiU" w:cs="Calibri"/>
                <w:bCs/>
                <w:lang w:val="en-US"/>
              </w:rPr>
              <w:t>C</w:t>
            </w:r>
            <w:r w:rsidRPr="00CA1647">
              <w:rPr>
                <w:rFonts w:eastAsia="PMingLiU" w:cs="Calibri"/>
                <w:bCs/>
                <w:lang w:val="en-US"/>
              </w:rPr>
              <w:t>ountries reporting FGM are also affected by increasing complex humanitarian crises, in addition to COVID-19, which has caused a setback in achieving the S</w:t>
            </w:r>
            <w:r w:rsidR="0074434F">
              <w:rPr>
                <w:rFonts w:eastAsia="PMingLiU" w:cs="Calibri"/>
                <w:bCs/>
                <w:lang w:val="en-US"/>
              </w:rPr>
              <w:t xml:space="preserve">ustainable </w:t>
            </w:r>
            <w:r w:rsidRPr="00CA1647">
              <w:rPr>
                <w:rFonts w:eastAsia="PMingLiU" w:cs="Calibri"/>
                <w:bCs/>
                <w:lang w:val="en-US"/>
              </w:rPr>
              <w:t>D</w:t>
            </w:r>
            <w:r w:rsidR="0074434F">
              <w:rPr>
                <w:rFonts w:eastAsia="PMingLiU" w:cs="Calibri"/>
                <w:bCs/>
                <w:lang w:val="en-US"/>
              </w:rPr>
              <w:t xml:space="preserve">evelopment </w:t>
            </w:r>
            <w:r w:rsidRPr="00CA1647">
              <w:rPr>
                <w:rFonts w:eastAsia="PMingLiU" w:cs="Calibri"/>
                <w:bCs/>
                <w:lang w:val="en-US"/>
              </w:rPr>
              <w:t>G</w:t>
            </w:r>
            <w:r w:rsidR="0074434F">
              <w:rPr>
                <w:rFonts w:eastAsia="PMingLiU" w:cs="Calibri"/>
                <w:bCs/>
                <w:lang w:val="en-US"/>
              </w:rPr>
              <w:t>oal</w:t>
            </w:r>
            <w:r w:rsidRPr="00CA1647">
              <w:rPr>
                <w:rFonts w:eastAsia="PMingLiU" w:cs="Calibri"/>
                <w:bCs/>
                <w:lang w:val="en-US"/>
              </w:rPr>
              <w:t xml:space="preserve">s. </w:t>
            </w:r>
          </w:p>
          <w:p w14:paraId="43BD1C93" w14:textId="4CFA9F7A" w:rsidR="00CA1647" w:rsidRPr="00CA1647" w:rsidRDefault="00CA1647" w:rsidP="00AD6FE4">
            <w:pPr>
              <w:shd w:val="clear" w:color="auto" w:fill="FFFFFF"/>
              <w:snapToGrid w:val="0"/>
              <w:spacing w:after="80" w:line="240" w:lineRule="auto"/>
              <w:jc w:val="both"/>
              <w:rPr>
                <w:rFonts w:eastAsia="PMingLiU" w:cs="Calibri"/>
                <w:bCs/>
                <w:lang w:val="en-US"/>
              </w:rPr>
            </w:pPr>
            <w:r w:rsidRPr="00CA1647">
              <w:rPr>
                <w:rFonts w:eastAsia="PMingLiU" w:cs="Calibri"/>
                <w:bCs/>
                <w:lang w:val="en-US"/>
              </w:rPr>
              <w:t>As we continue pushing for the Decade of Action and the implementation of the Secretary-General’s Call to Action on Human Rights, transformative actions are needed to strengthen commitments. Some important accelerators include the national commitments made by governments and other stakeholders at the Nairobi Summit on the International Conference on Population and Development (ICPD</w:t>
            </w:r>
            <w:r w:rsidR="00300351">
              <w:rPr>
                <w:rFonts w:eastAsia="PMingLiU" w:cs="Calibri"/>
                <w:bCs/>
                <w:lang w:val="en-US"/>
              </w:rPr>
              <w:t>+</w:t>
            </w:r>
            <w:r w:rsidRPr="00CA1647">
              <w:rPr>
                <w:rFonts w:eastAsia="PMingLiU" w:cs="Calibri"/>
                <w:bCs/>
                <w:lang w:val="en-US"/>
              </w:rPr>
              <w:t>25</w:t>
            </w:r>
            <w:r w:rsidR="00300351">
              <w:rPr>
                <w:rFonts w:eastAsia="PMingLiU" w:cs="Calibri"/>
                <w:bCs/>
                <w:lang w:val="en-US"/>
              </w:rPr>
              <w:t>)</w:t>
            </w:r>
            <w:r w:rsidRPr="00CA1647">
              <w:rPr>
                <w:rFonts w:eastAsia="PMingLiU" w:cs="Calibri"/>
                <w:bCs/>
                <w:lang w:val="en-US"/>
              </w:rPr>
              <w:t xml:space="preserve">, the Ouagadougou Call to Action on </w:t>
            </w:r>
            <w:r w:rsidR="00300351">
              <w:rPr>
                <w:rFonts w:eastAsia="PMingLiU" w:cs="Calibri"/>
                <w:bCs/>
                <w:lang w:val="en-US"/>
              </w:rPr>
              <w:t>E</w:t>
            </w:r>
            <w:r w:rsidRPr="00CA1647">
              <w:rPr>
                <w:rFonts w:eastAsia="PMingLiU" w:cs="Calibri"/>
                <w:bCs/>
                <w:lang w:val="en-US"/>
              </w:rPr>
              <w:t>liminating F</w:t>
            </w:r>
            <w:r w:rsidR="00300351">
              <w:rPr>
                <w:rFonts w:eastAsia="PMingLiU" w:cs="Calibri"/>
                <w:bCs/>
                <w:lang w:val="en-US"/>
              </w:rPr>
              <w:t xml:space="preserve">emale </w:t>
            </w:r>
            <w:r w:rsidRPr="00CA1647">
              <w:rPr>
                <w:rFonts w:eastAsia="PMingLiU" w:cs="Calibri"/>
                <w:bCs/>
                <w:lang w:val="en-US"/>
              </w:rPr>
              <w:t>G</w:t>
            </w:r>
            <w:r w:rsidR="00300351">
              <w:rPr>
                <w:rFonts w:eastAsia="PMingLiU" w:cs="Calibri"/>
                <w:bCs/>
                <w:lang w:val="en-US"/>
              </w:rPr>
              <w:t xml:space="preserve">enital </w:t>
            </w:r>
            <w:r w:rsidRPr="00CA1647">
              <w:rPr>
                <w:rFonts w:eastAsia="PMingLiU" w:cs="Calibri"/>
                <w:bCs/>
                <w:lang w:val="en-US"/>
              </w:rPr>
              <w:t>M</w:t>
            </w:r>
            <w:r w:rsidR="00300351">
              <w:rPr>
                <w:rFonts w:eastAsia="PMingLiU" w:cs="Calibri"/>
                <w:bCs/>
                <w:lang w:val="en-US"/>
              </w:rPr>
              <w:t>utilation</w:t>
            </w:r>
            <w:r w:rsidRPr="00CA1647">
              <w:rPr>
                <w:rFonts w:eastAsia="PMingLiU" w:cs="Calibri"/>
                <w:bCs/>
                <w:lang w:val="en-US"/>
              </w:rPr>
              <w:t xml:space="preserve"> and the </w:t>
            </w:r>
            <w:r w:rsidR="00300351" w:rsidRPr="00300351">
              <w:rPr>
                <w:rFonts w:eastAsia="PMingLiU" w:cs="Calibri"/>
                <w:bCs/>
              </w:rPr>
              <w:t>Cairo call to action for the elimination of child marriage and female genital mutilation in Africa</w:t>
            </w:r>
            <w:r w:rsidRPr="00CA1647">
              <w:rPr>
                <w:rFonts w:eastAsia="PMingLiU" w:cs="Calibri"/>
                <w:bCs/>
                <w:lang w:val="en-US"/>
              </w:rPr>
              <w:t xml:space="preserve">. At the national level, all actors are called upon to adopt a </w:t>
            </w:r>
            <w:proofErr w:type="spellStart"/>
            <w:r w:rsidRPr="00CA1647">
              <w:rPr>
                <w:rFonts w:eastAsia="PMingLiU" w:cs="Calibri"/>
                <w:bCs/>
                <w:lang w:val="en-US"/>
              </w:rPr>
              <w:t>multisectoral</w:t>
            </w:r>
            <w:proofErr w:type="spellEnd"/>
            <w:r w:rsidRPr="00CA1647">
              <w:rPr>
                <w:rFonts w:eastAsia="PMingLiU" w:cs="Calibri"/>
                <w:bCs/>
                <w:lang w:val="en-US"/>
              </w:rPr>
              <w:t xml:space="preserve"> and comprehensive approach to ending this practice. This means expanding partnerships at the local, sub-national and national levels while building response across sectors such as health, education, social, </w:t>
            </w:r>
            <w:r w:rsidR="000C6E35">
              <w:rPr>
                <w:rFonts w:eastAsia="PMingLiU" w:cs="Calibri"/>
                <w:bCs/>
                <w:lang w:val="en-US"/>
              </w:rPr>
              <w:t>econom</w:t>
            </w:r>
            <w:r w:rsidR="002C5707">
              <w:rPr>
                <w:rFonts w:eastAsia="PMingLiU" w:cs="Calibri"/>
                <w:bCs/>
                <w:lang w:val="en-US"/>
              </w:rPr>
              <w:t>ic</w:t>
            </w:r>
            <w:r w:rsidR="000C6E35">
              <w:rPr>
                <w:rFonts w:eastAsia="PMingLiU" w:cs="Calibri"/>
                <w:bCs/>
                <w:lang w:val="en-US"/>
              </w:rPr>
              <w:t xml:space="preserve"> </w:t>
            </w:r>
            <w:r w:rsidR="007A59CE">
              <w:rPr>
                <w:rFonts w:eastAsia="PMingLiU" w:cs="Calibri"/>
                <w:bCs/>
                <w:lang w:val="en-US"/>
              </w:rPr>
              <w:t>sphere</w:t>
            </w:r>
            <w:r w:rsidRPr="00CA1647">
              <w:rPr>
                <w:rFonts w:eastAsia="PMingLiU" w:cs="Calibri"/>
                <w:bCs/>
                <w:lang w:val="en-US"/>
              </w:rPr>
              <w:t xml:space="preserve"> and justice, and in the public and private sectors. It also involves funding responses and mobilizing public and private investments to support anti-FGM programmes, as well as working on policies and laws. In addition, it involves empowering girls and women with services, information and education, including better access to essential services (health care, social services and justice); supporting the communities and family members in changing such harmful social and gender norms, and finally strengthening collaboration with the national protec</w:t>
            </w:r>
            <w:r w:rsidR="00125869">
              <w:rPr>
                <w:rFonts w:eastAsia="PMingLiU" w:cs="Calibri"/>
                <w:bCs/>
                <w:lang w:val="en-US"/>
              </w:rPr>
              <w:t xml:space="preserve">tion system to implement laws and policies </w:t>
            </w:r>
            <w:r w:rsidRPr="00CA1647">
              <w:rPr>
                <w:rFonts w:eastAsia="PMingLiU" w:cs="Calibri"/>
                <w:bCs/>
                <w:lang w:val="en-US"/>
              </w:rPr>
              <w:t>that prevent FGM.</w:t>
            </w:r>
          </w:p>
          <w:p w14:paraId="48FE0227" w14:textId="34F81201" w:rsidR="004F0A64" w:rsidRPr="00AD6FE4" w:rsidRDefault="00CA1647" w:rsidP="002775E5">
            <w:pPr>
              <w:shd w:val="clear" w:color="auto" w:fill="FFFFFF"/>
              <w:snapToGrid w:val="0"/>
              <w:spacing w:after="120" w:line="240" w:lineRule="auto"/>
              <w:jc w:val="both"/>
              <w:rPr>
                <w:rFonts w:eastAsia="PMingLiU" w:cs="Calibri"/>
                <w:bCs/>
                <w:lang w:val="en-US"/>
              </w:rPr>
            </w:pPr>
            <w:r w:rsidRPr="00CA1647">
              <w:rPr>
                <w:rFonts w:eastAsia="PMingLiU" w:cs="Calibri"/>
                <w:bCs/>
                <w:lang w:val="en-US"/>
              </w:rPr>
              <w:t xml:space="preserve">Collaboration among various actors will </w:t>
            </w:r>
            <w:r w:rsidR="002775E5">
              <w:rPr>
                <w:rFonts w:eastAsia="PMingLiU" w:cs="Calibri"/>
                <w:bCs/>
                <w:lang w:val="en-US"/>
              </w:rPr>
              <w:t>serve</w:t>
            </w:r>
            <w:r w:rsidRPr="00CA1647">
              <w:rPr>
                <w:rFonts w:eastAsia="PMingLiU" w:cs="Calibri"/>
                <w:bCs/>
                <w:lang w:val="en-US"/>
              </w:rPr>
              <w:t xml:space="preserve"> as a “force multiplier” that holds governments accountable for eliminating FGM. In this regard, accountability bodies can also play a critical role, particularly national human rights institutions, the African Union </w:t>
            </w:r>
            <w:proofErr w:type="spellStart"/>
            <w:r w:rsidRPr="00CA1647">
              <w:rPr>
                <w:rFonts w:eastAsia="PMingLiU" w:cs="Calibri"/>
                <w:bCs/>
                <w:lang w:val="en-US"/>
              </w:rPr>
              <w:t>Saleema</w:t>
            </w:r>
            <w:proofErr w:type="spellEnd"/>
            <w:r w:rsidRPr="00CA1647">
              <w:rPr>
                <w:rFonts w:eastAsia="PMingLiU" w:cs="Calibri"/>
                <w:bCs/>
                <w:lang w:val="en-US"/>
              </w:rPr>
              <w:t xml:space="preserve"> Initiative accountability framework at</w:t>
            </w:r>
            <w:r w:rsidR="002775E5">
              <w:rPr>
                <w:rFonts w:eastAsia="PMingLiU" w:cs="Calibri"/>
                <w:bCs/>
                <w:lang w:val="en-US"/>
              </w:rPr>
              <w:t xml:space="preserve"> the</w:t>
            </w:r>
            <w:r w:rsidRPr="00CA1647">
              <w:rPr>
                <w:rFonts w:eastAsia="PMingLiU" w:cs="Calibri"/>
                <w:bCs/>
                <w:lang w:val="en-US"/>
              </w:rPr>
              <w:t xml:space="preserve"> regional level, and human ri</w:t>
            </w:r>
            <w:r w:rsidR="00315A86">
              <w:rPr>
                <w:rFonts w:eastAsia="PMingLiU" w:cs="Calibri"/>
                <w:bCs/>
                <w:lang w:val="en-US"/>
              </w:rPr>
              <w:t xml:space="preserve">ghts mechanisms including the </w:t>
            </w:r>
            <w:r w:rsidR="002775E5">
              <w:rPr>
                <w:rFonts w:eastAsia="PMingLiU" w:cs="Calibri"/>
                <w:bCs/>
                <w:lang w:val="en-US"/>
              </w:rPr>
              <w:t>u</w:t>
            </w:r>
            <w:r w:rsidRPr="00CA1647">
              <w:rPr>
                <w:rFonts w:eastAsia="PMingLiU" w:cs="Calibri"/>
                <w:bCs/>
                <w:lang w:val="en-US"/>
              </w:rPr>
              <w:t xml:space="preserve">niversal </w:t>
            </w:r>
            <w:r w:rsidR="002775E5">
              <w:rPr>
                <w:rFonts w:eastAsia="PMingLiU" w:cs="Calibri"/>
                <w:bCs/>
                <w:lang w:val="en-US"/>
              </w:rPr>
              <w:t>p</w:t>
            </w:r>
            <w:r w:rsidRPr="00CA1647">
              <w:rPr>
                <w:rFonts w:eastAsia="PMingLiU" w:cs="Calibri"/>
                <w:bCs/>
                <w:lang w:val="en-US"/>
              </w:rPr>
              <w:t xml:space="preserve">eriodic </w:t>
            </w:r>
            <w:r w:rsidR="002775E5">
              <w:rPr>
                <w:rFonts w:eastAsia="PMingLiU" w:cs="Calibri"/>
                <w:bCs/>
                <w:lang w:val="en-US"/>
              </w:rPr>
              <w:t>r</w:t>
            </w:r>
            <w:r w:rsidRPr="00CA1647">
              <w:rPr>
                <w:rFonts w:eastAsia="PMingLiU" w:cs="Calibri"/>
                <w:bCs/>
                <w:lang w:val="en-US"/>
              </w:rPr>
              <w:t xml:space="preserve">eview at the global level. </w:t>
            </w:r>
          </w:p>
        </w:tc>
      </w:tr>
      <w:tr w:rsidR="004F0A64" w:rsidRPr="00D06C96" w14:paraId="3D1F6597" w14:textId="77777777" w:rsidTr="00936778">
        <w:trPr>
          <w:trHeight w:val="56"/>
        </w:trPr>
        <w:tc>
          <w:tcPr>
            <w:tcW w:w="1450" w:type="dxa"/>
            <w:shd w:val="clear" w:color="auto" w:fill="auto"/>
          </w:tcPr>
          <w:p w14:paraId="0BA080BD" w14:textId="77777777" w:rsidR="004F0A64" w:rsidRPr="00D06C96" w:rsidRDefault="004F0A64" w:rsidP="00F14F1A">
            <w:pPr>
              <w:spacing w:after="0" w:line="240" w:lineRule="auto"/>
              <w:jc w:val="both"/>
              <w:rPr>
                <w:rFonts w:cs="Calibri"/>
                <w:b/>
              </w:rPr>
            </w:pPr>
            <w:r w:rsidRPr="00D06C96">
              <w:rPr>
                <w:rFonts w:cs="Calibri"/>
                <w:b/>
              </w:rPr>
              <w:lastRenderedPageBreak/>
              <w:t>Background documents:</w:t>
            </w:r>
          </w:p>
          <w:p w14:paraId="27778FCE" w14:textId="77777777" w:rsidR="004F0A64" w:rsidRPr="00D06C96" w:rsidRDefault="004F0A64" w:rsidP="00F14F1A">
            <w:pPr>
              <w:spacing w:line="240" w:lineRule="auto"/>
              <w:jc w:val="both"/>
              <w:rPr>
                <w:rFonts w:eastAsia="Times New Roman" w:cs="Calibri"/>
              </w:rPr>
            </w:pPr>
          </w:p>
        </w:tc>
        <w:tc>
          <w:tcPr>
            <w:tcW w:w="9040" w:type="dxa"/>
            <w:shd w:val="clear" w:color="auto" w:fill="auto"/>
          </w:tcPr>
          <w:p w14:paraId="30D48DB4" w14:textId="03728CB5" w:rsidR="004F0A64" w:rsidRDefault="00763FF3" w:rsidP="00137287">
            <w:pPr>
              <w:numPr>
                <w:ilvl w:val="0"/>
                <w:numId w:val="2"/>
              </w:numPr>
              <w:spacing w:after="40" w:line="240" w:lineRule="auto"/>
              <w:ind w:left="357" w:hanging="357"/>
              <w:rPr>
                <w:rFonts w:cs="Calibri"/>
                <w:iCs/>
                <w:color w:val="000000"/>
              </w:rPr>
            </w:pPr>
            <w:hyperlink r:id="rId8" w:history="1">
              <w:r w:rsidR="004F0A64" w:rsidRPr="00D06C96">
                <w:rPr>
                  <w:rStyle w:val="Hyperlink"/>
                  <w:rFonts w:cs="Calibri"/>
                  <w:iCs/>
                </w:rPr>
                <w:t>Human Rights Council resolution 6/30</w:t>
              </w:r>
            </w:hyperlink>
            <w:r w:rsidR="004F0A64" w:rsidRPr="00D06C96">
              <w:rPr>
                <w:rFonts w:cs="Calibri"/>
                <w:iCs/>
                <w:color w:val="000000"/>
              </w:rPr>
              <w:t xml:space="preserve"> </w:t>
            </w:r>
            <w:r w:rsidR="00A47C3D">
              <w:rPr>
                <w:rFonts w:cs="Calibri"/>
                <w:iCs/>
                <w:color w:val="000000"/>
              </w:rPr>
              <w:t xml:space="preserve">of 14 </w:t>
            </w:r>
            <w:r w:rsidR="004F0A64" w:rsidRPr="00D06C96">
              <w:rPr>
                <w:rFonts w:cs="Calibri"/>
                <w:iCs/>
                <w:color w:val="000000"/>
              </w:rPr>
              <w:t>December 2007 on integrating the human rights of women throughout the United Nations system</w:t>
            </w:r>
          </w:p>
          <w:p w14:paraId="654D113F" w14:textId="1C1CDCC1" w:rsidR="0098286D" w:rsidRPr="00D06C96" w:rsidRDefault="00763FF3" w:rsidP="00137287">
            <w:pPr>
              <w:numPr>
                <w:ilvl w:val="0"/>
                <w:numId w:val="2"/>
              </w:numPr>
              <w:spacing w:after="40" w:line="240" w:lineRule="auto"/>
              <w:ind w:left="357" w:hanging="357"/>
              <w:rPr>
                <w:rFonts w:cs="Calibri"/>
                <w:iCs/>
                <w:color w:val="000000"/>
              </w:rPr>
            </w:pPr>
            <w:hyperlink r:id="rId9" w:history="1">
              <w:r w:rsidR="0098286D" w:rsidRPr="0098286D">
                <w:rPr>
                  <w:rStyle w:val="Hyperlink"/>
                  <w:rFonts w:cs="Calibri"/>
                  <w:iCs/>
                </w:rPr>
                <w:t>Human Rights Council resolution 44/16</w:t>
              </w:r>
            </w:hyperlink>
            <w:r w:rsidR="0098286D">
              <w:rPr>
                <w:rFonts w:cs="Calibri"/>
                <w:iCs/>
                <w:color w:val="000000"/>
              </w:rPr>
              <w:t xml:space="preserve"> </w:t>
            </w:r>
            <w:r w:rsidR="00A47C3D">
              <w:rPr>
                <w:rFonts w:cs="Calibri"/>
                <w:iCs/>
                <w:color w:val="000000"/>
              </w:rPr>
              <w:t xml:space="preserve">of 17 </w:t>
            </w:r>
            <w:r w:rsidR="0098286D">
              <w:rPr>
                <w:rFonts w:cs="Calibri"/>
                <w:iCs/>
                <w:color w:val="000000"/>
              </w:rPr>
              <w:t>July 2020 on elimination of female genital mutilation</w:t>
            </w:r>
          </w:p>
          <w:p w14:paraId="589B9C70" w14:textId="7496DC58" w:rsidR="004F0A64" w:rsidRPr="00D06C96" w:rsidRDefault="0076510E" w:rsidP="00137287">
            <w:pPr>
              <w:numPr>
                <w:ilvl w:val="0"/>
                <w:numId w:val="2"/>
              </w:numPr>
              <w:spacing w:after="40" w:line="240" w:lineRule="auto"/>
              <w:ind w:left="357" w:hanging="357"/>
              <w:rPr>
                <w:rFonts w:eastAsia="Cambria" w:cs="Calibri"/>
                <w:lang w:val="en"/>
              </w:rPr>
            </w:pPr>
            <w:r>
              <w:rPr>
                <w:rFonts w:eastAsia="Cambria" w:cs="Calibri"/>
                <w:lang w:val="en"/>
              </w:rPr>
              <w:t xml:space="preserve">Report </w:t>
            </w:r>
            <w:r w:rsidR="00A47C3D">
              <w:rPr>
                <w:rFonts w:eastAsia="Cambria" w:cs="Calibri"/>
                <w:lang w:val="en"/>
              </w:rPr>
              <w:t xml:space="preserve">of </w:t>
            </w:r>
            <w:r w:rsidR="00A47C3D" w:rsidRPr="00A47C3D">
              <w:rPr>
                <w:rFonts w:eastAsia="Cambria" w:cs="Calibri"/>
              </w:rPr>
              <w:t>the United Nations Hig</w:t>
            </w:r>
            <w:r w:rsidR="00A47C3D">
              <w:rPr>
                <w:rFonts w:eastAsia="Cambria" w:cs="Calibri"/>
              </w:rPr>
              <w:t>h Commissioner for Human Rights</w:t>
            </w:r>
            <w:r w:rsidR="004F0A64" w:rsidRPr="00D06C96">
              <w:rPr>
                <w:rFonts w:eastAsia="Cambria" w:cs="Calibri"/>
                <w:lang w:val="en"/>
              </w:rPr>
              <w:t xml:space="preserve"> on </w:t>
            </w:r>
            <w:r w:rsidR="00A47C3D">
              <w:rPr>
                <w:rFonts w:eastAsia="Cambria" w:cs="Calibri"/>
                <w:lang w:val="en"/>
              </w:rPr>
              <w:t xml:space="preserve">the </w:t>
            </w:r>
            <w:r w:rsidR="009273D8">
              <w:rPr>
                <w:rFonts w:eastAsia="Cambria" w:cs="Calibri"/>
                <w:lang w:val="en"/>
              </w:rPr>
              <w:t>expert group meeting on the elimination of female genital mutilation</w:t>
            </w:r>
            <w:r w:rsidR="00A47C3D">
              <w:rPr>
                <w:rFonts w:eastAsia="Cambria" w:cs="Calibri"/>
                <w:lang w:val="en"/>
              </w:rPr>
              <w:t xml:space="preserve"> (</w:t>
            </w:r>
            <w:hyperlink r:id="rId10" w:history="1">
              <w:r>
                <w:rPr>
                  <w:rStyle w:val="Hyperlink"/>
                  <w:rFonts w:eastAsia="Cambria" w:cs="Calibri"/>
                  <w:lang w:val="en"/>
                </w:rPr>
                <w:t>A/HRC/44/33</w:t>
              </w:r>
            </w:hyperlink>
            <w:r w:rsidRPr="0076510E">
              <w:rPr>
                <w:rStyle w:val="Hyperlink"/>
                <w:rFonts w:eastAsia="Cambria" w:cs="Calibri"/>
                <w:u w:val="none"/>
                <w:lang w:val="en"/>
              </w:rPr>
              <w:t xml:space="preserve">, </w:t>
            </w:r>
            <w:r w:rsidR="00A47C3D">
              <w:rPr>
                <w:rFonts w:eastAsia="Cambria" w:cs="Calibri"/>
                <w:lang w:val="en"/>
              </w:rPr>
              <w:t>April 2020)</w:t>
            </w:r>
          </w:p>
          <w:p w14:paraId="37D68E57" w14:textId="73C045AD" w:rsidR="004F0A64" w:rsidRPr="002D1177" w:rsidRDefault="00763FF3" w:rsidP="002D1177">
            <w:pPr>
              <w:numPr>
                <w:ilvl w:val="0"/>
                <w:numId w:val="2"/>
              </w:numPr>
              <w:spacing w:after="0" w:line="240" w:lineRule="auto"/>
              <w:rPr>
                <w:rFonts w:eastAsia="Cambria" w:cs="Calibri"/>
                <w:lang w:val="en"/>
              </w:rPr>
            </w:pPr>
            <w:hyperlink r:id="rId11" w:history="1">
              <w:r w:rsidR="00A47C3D" w:rsidRPr="000307CF">
                <w:rPr>
                  <w:rStyle w:val="Hyperlink"/>
                </w:rPr>
                <w:t>Joint general recommendation</w:t>
              </w:r>
            </w:hyperlink>
            <w:r w:rsidR="00A47C3D" w:rsidRPr="00A47C3D">
              <w:rPr>
                <w:rFonts w:eastAsia="Cambria" w:cs="Calibri"/>
                <w:lang w:val="en"/>
              </w:rPr>
              <w:t xml:space="preserve"> No. 31 of the Committee on the Elimination of Discrimination against Women/general</w:t>
            </w:r>
            <w:r w:rsidR="00A47C3D" w:rsidRPr="00A91334">
              <w:rPr>
                <w:rFonts w:eastAsia="Cambria" w:cs="Calibri"/>
                <w:lang w:val="en"/>
              </w:rPr>
              <w:t xml:space="preserve"> comment No. 18 of the Committee on the Rights of the Child on harmful practices</w:t>
            </w:r>
            <w:r w:rsidR="00A47C3D" w:rsidRPr="00A47C3D">
              <w:rPr>
                <w:rFonts w:eastAsia="Cambria" w:cs="Calibri"/>
                <w:lang w:val="en"/>
              </w:rPr>
              <w:t xml:space="preserve"> </w:t>
            </w:r>
            <w:r w:rsidR="00A47C3D">
              <w:rPr>
                <w:rFonts w:eastAsia="Cambria" w:cs="Calibri"/>
                <w:lang w:val="en"/>
              </w:rPr>
              <w:t>(2014)</w:t>
            </w:r>
          </w:p>
        </w:tc>
      </w:tr>
    </w:tbl>
    <w:p w14:paraId="78891E5B" w14:textId="77777777" w:rsidR="006B74B0" w:rsidRDefault="00763FF3" w:rsidP="002D1177">
      <w:pPr>
        <w:spacing w:line="240" w:lineRule="auto"/>
      </w:pPr>
    </w:p>
    <w:sectPr w:rsidR="006B74B0" w:rsidSect="00FD7DED">
      <w:headerReference w:type="default" r:id="rId12"/>
      <w:footerReference w:type="default" r:id="rId13"/>
      <w:pgSz w:w="11906" w:h="16838"/>
      <w:pgMar w:top="567" w:right="1440" w:bottom="568" w:left="1440" w:header="426"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45974" w14:textId="77777777" w:rsidR="00CA1647" w:rsidRDefault="00CA1647" w:rsidP="00CA1647">
      <w:pPr>
        <w:spacing w:after="0" w:line="240" w:lineRule="auto"/>
      </w:pPr>
      <w:r>
        <w:separator/>
      </w:r>
    </w:p>
  </w:endnote>
  <w:endnote w:type="continuationSeparator" w:id="0">
    <w:p w14:paraId="45247432" w14:textId="77777777" w:rsidR="00CA1647" w:rsidRDefault="00CA1647" w:rsidP="00CA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61D1" w14:textId="6FA6C6E0" w:rsidR="00ED4385" w:rsidRDefault="00FA2D12" w:rsidP="004D72F8">
    <w:pPr>
      <w:pStyle w:val="Footer"/>
      <w:jc w:val="center"/>
    </w:pPr>
    <w:r>
      <w:fldChar w:fldCharType="begin"/>
    </w:r>
    <w:r>
      <w:instrText xml:space="preserve"> PAGE   \* MERGEFORMAT </w:instrText>
    </w:r>
    <w:r>
      <w:fldChar w:fldCharType="separate"/>
    </w:r>
    <w:r w:rsidR="00763FF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502D" w14:textId="77777777" w:rsidR="00CA1647" w:rsidRDefault="00CA1647" w:rsidP="00CA1647">
      <w:pPr>
        <w:spacing w:after="0" w:line="240" w:lineRule="auto"/>
      </w:pPr>
      <w:r>
        <w:separator/>
      </w:r>
    </w:p>
  </w:footnote>
  <w:footnote w:type="continuationSeparator" w:id="0">
    <w:p w14:paraId="72449B55" w14:textId="77777777" w:rsidR="00CA1647" w:rsidRDefault="00CA1647" w:rsidP="00CA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770C" w14:textId="77777777" w:rsidR="0002266C" w:rsidRPr="004D72F8" w:rsidRDefault="00763FF3"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012DD2"/>
    <w:multiLevelType w:val="multilevel"/>
    <w:tmpl w:val="053E9D7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Wingdings" w:hAnsi="Wingdings"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4"/>
    <w:rsid w:val="000110B7"/>
    <w:rsid w:val="000265F1"/>
    <w:rsid w:val="000307CF"/>
    <w:rsid w:val="0008569A"/>
    <w:rsid w:val="000C6E35"/>
    <w:rsid w:val="00111F26"/>
    <w:rsid w:val="001173D1"/>
    <w:rsid w:val="00125869"/>
    <w:rsid w:val="00137287"/>
    <w:rsid w:val="00151EA5"/>
    <w:rsid w:val="002006E5"/>
    <w:rsid w:val="002131B3"/>
    <w:rsid w:val="00236361"/>
    <w:rsid w:val="00254492"/>
    <w:rsid w:val="0025551C"/>
    <w:rsid w:val="002775E5"/>
    <w:rsid w:val="002857FF"/>
    <w:rsid w:val="002954F0"/>
    <w:rsid w:val="002B5790"/>
    <w:rsid w:val="002C45D9"/>
    <w:rsid w:val="002C5707"/>
    <w:rsid w:val="002D1177"/>
    <w:rsid w:val="00300351"/>
    <w:rsid w:val="00315A86"/>
    <w:rsid w:val="00322BDD"/>
    <w:rsid w:val="0033046A"/>
    <w:rsid w:val="0033127D"/>
    <w:rsid w:val="0034013F"/>
    <w:rsid w:val="00354F0F"/>
    <w:rsid w:val="003C3F23"/>
    <w:rsid w:val="00442EF9"/>
    <w:rsid w:val="00455643"/>
    <w:rsid w:val="0046574C"/>
    <w:rsid w:val="00487100"/>
    <w:rsid w:val="00493782"/>
    <w:rsid w:val="004D1FCE"/>
    <w:rsid w:val="004F0A64"/>
    <w:rsid w:val="005126E9"/>
    <w:rsid w:val="00533BE4"/>
    <w:rsid w:val="00546794"/>
    <w:rsid w:val="00547A71"/>
    <w:rsid w:val="005A7279"/>
    <w:rsid w:val="005C2F0D"/>
    <w:rsid w:val="005F539B"/>
    <w:rsid w:val="006020EC"/>
    <w:rsid w:val="006D3F60"/>
    <w:rsid w:val="006D73B1"/>
    <w:rsid w:val="006E5712"/>
    <w:rsid w:val="0074434F"/>
    <w:rsid w:val="00754D65"/>
    <w:rsid w:val="00763FF3"/>
    <w:rsid w:val="0076510E"/>
    <w:rsid w:val="007A59CE"/>
    <w:rsid w:val="007F5558"/>
    <w:rsid w:val="00847108"/>
    <w:rsid w:val="008501CD"/>
    <w:rsid w:val="00852C17"/>
    <w:rsid w:val="008562D5"/>
    <w:rsid w:val="008B446C"/>
    <w:rsid w:val="008C7C0F"/>
    <w:rsid w:val="009273D8"/>
    <w:rsid w:val="00964329"/>
    <w:rsid w:val="0098286D"/>
    <w:rsid w:val="00986B48"/>
    <w:rsid w:val="009D071D"/>
    <w:rsid w:val="00A47C3D"/>
    <w:rsid w:val="00A91334"/>
    <w:rsid w:val="00AC026D"/>
    <w:rsid w:val="00AC0383"/>
    <w:rsid w:val="00AD6FE4"/>
    <w:rsid w:val="00B75EB5"/>
    <w:rsid w:val="00BD4DD4"/>
    <w:rsid w:val="00C33BC3"/>
    <w:rsid w:val="00C7641C"/>
    <w:rsid w:val="00C7742F"/>
    <w:rsid w:val="00CA1647"/>
    <w:rsid w:val="00CA19B0"/>
    <w:rsid w:val="00CB7989"/>
    <w:rsid w:val="00CF15C7"/>
    <w:rsid w:val="00E41510"/>
    <w:rsid w:val="00E45B2B"/>
    <w:rsid w:val="00F13B67"/>
    <w:rsid w:val="00F14F1A"/>
    <w:rsid w:val="00F42103"/>
    <w:rsid w:val="00F824ED"/>
    <w:rsid w:val="00F91E91"/>
    <w:rsid w:val="00FA2D12"/>
    <w:rsid w:val="00FA33D7"/>
    <w:rsid w:val="00FD024E"/>
    <w:rsid w:val="00FD7DED"/>
    <w:rsid w:val="00FF0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105CCA"/>
  <w15:chartTrackingRefBased/>
  <w15:docId w15:val="{CBA4B6F6-CB6F-448B-A10E-62DBCB05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6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A19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F0A64"/>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A64"/>
    <w:rPr>
      <w:rFonts w:ascii="Times New Roman" w:eastAsia="Times New Roman" w:hAnsi="Times New Roman" w:cs="Times New Roman"/>
      <w:b/>
      <w:bCs/>
      <w:sz w:val="27"/>
      <w:szCs w:val="27"/>
      <w:lang w:eastAsia="en-GB"/>
    </w:rPr>
  </w:style>
  <w:style w:type="character" w:styleId="Hyperlink">
    <w:name w:val="Hyperlink"/>
    <w:uiPriority w:val="99"/>
    <w:unhideWhenUsed/>
    <w:rsid w:val="004F0A64"/>
    <w:rPr>
      <w:color w:val="0000FF"/>
      <w:u w:val="single"/>
    </w:rPr>
  </w:style>
  <w:style w:type="paragraph" w:styleId="Header">
    <w:name w:val="header"/>
    <w:basedOn w:val="Normal"/>
    <w:link w:val="HeaderChar"/>
    <w:uiPriority w:val="99"/>
    <w:unhideWhenUsed/>
    <w:rsid w:val="004F0A64"/>
    <w:pPr>
      <w:tabs>
        <w:tab w:val="center" w:pos="4513"/>
        <w:tab w:val="right" w:pos="9026"/>
      </w:tabs>
    </w:pPr>
  </w:style>
  <w:style w:type="character" w:customStyle="1" w:styleId="HeaderChar">
    <w:name w:val="Header Char"/>
    <w:basedOn w:val="DefaultParagraphFont"/>
    <w:link w:val="Header"/>
    <w:uiPriority w:val="99"/>
    <w:rsid w:val="004F0A64"/>
    <w:rPr>
      <w:rFonts w:ascii="Calibri" w:eastAsia="Calibri" w:hAnsi="Calibri" w:cs="Times New Roman"/>
    </w:rPr>
  </w:style>
  <w:style w:type="paragraph" w:styleId="Footer">
    <w:name w:val="footer"/>
    <w:basedOn w:val="Normal"/>
    <w:link w:val="FooterChar"/>
    <w:uiPriority w:val="99"/>
    <w:unhideWhenUsed/>
    <w:rsid w:val="004F0A64"/>
    <w:pPr>
      <w:tabs>
        <w:tab w:val="center" w:pos="4513"/>
        <w:tab w:val="right" w:pos="9026"/>
      </w:tabs>
    </w:pPr>
  </w:style>
  <w:style w:type="character" w:customStyle="1" w:styleId="FooterChar">
    <w:name w:val="Footer Char"/>
    <w:basedOn w:val="DefaultParagraphFont"/>
    <w:link w:val="Footer"/>
    <w:uiPriority w:val="99"/>
    <w:rsid w:val="004F0A64"/>
    <w:rPr>
      <w:rFonts w:ascii="Calibri" w:eastAsia="Calibri" w:hAnsi="Calibri" w:cs="Times New Roman"/>
    </w:rPr>
  </w:style>
  <w:style w:type="character" w:styleId="FootnoteReference">
    <w:name w:val="footnote reference"/>
    <w:basedOn w:val="DefaultParagraphFont"/>
    <w:uiPriority w:val="99"/>
    <w:semiHidden/>
    <w:unhideWhenUsed/>
    <w:rsid w:val="00CA1647"/>
    <w:rPr>
      <w:vertAlign w:val="superscript"/>
    </w:rPr>
  </w:style>
  <w:style w:type="character" w:customStyle="1" w:styleId="Heading1Char">
    <w:name w:val="Heading 1 Char"/>
    <w:basedOn w:val="DefaultParagraphFont"/>
    <w:link w:val="Heading1"/>
    <w:uiPriority w:val="9"/>
    <w:rsid w:val="00CA19B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3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7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4013F"/>
    <w:rPr>
      <w:sz w:val="16"/>
      <w:szCs w:val="16"/>
    </w:rPr>
  </w:style>
  <w:style w:type="paragraph" w:styleId="CommentText">
    <w:name w:val="annotation text"/>
    <w:basedOn w:val="Normal"/>
    <w:link w:val="CommentTextChar"/>
    <w:uiPriority w:val="99"/>
    <w:semiHidden/>
    <w:unhideWhenUsed/>
    <w:rsid w:val="0034013F"/>
    <w:pPr>
      <w:spacing w:line="240" w:lineRule="auto"/>
    </w:pPr>
    <w:rPr>
      <w:sz w:val="20"/>
      <w:szCs w:val="20"/>
    </w:rPr>
  </w:style>
  <w:style w:type="character" w:customStyle="1" w:styleId="CommentTextChar">
    <w:name w:val="Comment Text Char"/>
    <w:basedOn w:val="DefaultParagraphFont"/>
    <w:link w:val="CommentText"/>
    <w:uiPriority w:val="99"/>
    <w:semiHidden/>
    <w:rsid w:val="003401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013F"/>
    <w:rPr>
      <w:b/>
      <w:bCs/>
    </w:rPr>
  </w:style>
  <w:style w:type="character" w:customStyle="1" w:styleId="CommentSubjectChar">
    <w:name w:val="Comment Subject Char"/>
    <w:basedOn w:val="CommentTextChar"/>
    <w:link w:val="CommentSubject"/>
    <w:uiPriority w:val="99"/>
    <w:semiHidden/>
    <w:rsid w:val="0034013F"/>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A47C3D"/>
    <w:rPr>
      <w:color w:val="954F72" w:themeColor="followedHyperlink"/>
      <w:u w:val="single"/>
    </w:rPr>
  </w:style>
  <w:style w:type="paragraph" w:styleId="Revision">
    <w:name w:val="Revision"/>
    <w:hidden/>
    <w:uiPriority w:val="99"/>
    <w:semiHidden/>
    <w:rsid w:val="00A913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2128">
      <w:bodyDiv w:val="1"/>
      <w:marLeft w:val="0"/>
      <w:marRight w:val="0"/>
      <w:marTop w:val="0"/>
      <w:marBottom w:val="0"/>
      <w:divBdr>
        <w:top w:val="none" w:sz="0" w:space="0" w:color="auto"/>
        <w:left w:val="none" w:sz="0" w:space="0" w:color="auto"/>
        <w:bottom w:val="none" w:sz="0" w:space="0" w:color="auto"/>
        <w:right w:val="none" w:sz="0" w:space="0" w:color="auto"/>
      </w:divBdr>
    </w:div>
    <w:div w:id="464928592">
      <w:bodyDiv w:val="1"/>
      <w:marLeft w:val="0"/>
      <w:marRight w:val="0"/>
      <w:marTop w:val="0"/>
      <w:marBottom w:val="0"/>
      <w:divBdr>
        <w:top w:val="none" w:sz="0" w:space="0" w:color="auto"/>
        <w:left w:val="none" w:sz="0" w:space="0" w:color="auto"/>
        <w:bottom w:val="none" w:sz="0" w:space="0" w:color="auto"/>
        <w:right w:val="none" w:sz="0" w:space="0" w:color="auto"/>
      </w:divBdr>
    </w:div>
    <w:div w:id="947926192">
      <w:bodyDiv w:val="1"/>
      <w:marLeft w:val="0"/>
      <w:marRight w:val="0"/>
      <w:marTop w:val="0"/>
      <w:marBottom w:val="0"/>
      <w:divBdr>
        <w:top w:val="none" w:sz="0" w:space="0" w:color="auto"/>
        <w:left w:val="none" w:sz="0" w:space="0" w:color="auto"/>
        <w:bottom w:val="none" w:sz="0" w:space="0" w:color="auto"/>
        <w:right w:val="none" w:sz="0" w:space="0" w:color="auto"/>
      </w:divBdr>
    </w:div>
    <w:div w:id="1272543085">
      <w:bodyDiv w:val="1"/>
      <w:marLeft w:val="0"/>
      <w:marRight w:val="0"/>
      <w:marTop w:val="0"/>
      <w:marBottom w:val="0"/>
      <w:divBdr>
        <w:top w:val="none" w:sz="0" w:space="0" w:color="auto"/>
        <w:left w:val="none" w:sz="0" w:space="0" w:color="auto"/>
        <w:bottom w:val="none" w:sz="0" w:space="0" w:color="auto"/>
        <w:right w:val="none" w:sz="0" w:space="0" w:color="auto"/>
      </w:divBdr>
    </w:div>
    <w:div w:id="17056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ohchr.org/documents/dpage_e.aspx?si=A/HRC/RES/6/30"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ebtv.un.org"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CEDAW/C/GC/31/CRC/C/GC/1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ndocs.org/en/A/HRC/44/33" TargetMode="External"/><Relationship Id="rId4" Type="http://schemas.openxmlformats.org/officeDocument/2006/relationships/webSettings" Target="webSettings.xml"/><Relationship Id="rId9" Type="http://schemas.openxmlformats.org/officeDocument/2006/relationships/hyperlink" Target="https://undocs.org/en/A/HRC/RES/44/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622C6E-807B-4AD1-AA26-F57D30B53AD5}"/>
</file>

<file path=customXml/itemProps2.xml><?xml version="1.0" encoding="utf-8"?>
<ds:datastoreItem xmlns:ds="http://schemas.openxmlformats.org/officeDocument/2006/customXml" ds:itemID="{3D10B1FA-73D5-44F6-8E4C-0EF791ED6719}"/>
</file>

<file path=customXml/itemProps3.xml><?xml version="1.0" encoding="utf-8"?>
<ds:datastoreItem xmlns:ds="http://schemas.openxmlformats.org/officeDocument/2006/customXml" ds:itemID="{89D2B5FB-C37A-4B1F-B233-4B980D457D05}"/>
</file>

<file path=docProps/app.xml><?xml version="1.0" encoding="utf-8"?>
<Properties xmlns="http://schemas.openxmlformats.org/officeDocument/2006/extended-properties" xmlns:vt="http://schemas.openxmlformats.org/officeDocument/2006/docPropsVTypes">
  <Template>Normal.dotm</Template>
  <TotalTime>22</TotalTime>
  <Pages>2</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WHRGS</dc:creator>
  <cp:keywords/>
  <dc:description/>
  <cp:lastModifiedBy>TICHA Petra</cp:lastModifiedBy>
  <cp:revision>20</cp:revision>
  <cp:lastPrinted>2021-06-03T17:40:00Z</cp:lastPrinted>
  <dcterms:created xsi:type="dcterms:W3CDTF">2021-06-03T16:15:00Z</dcterms:created>
  <dcterms:modified xsi:type="dcterms:W3CDTF">2021-06-23T08:50:00Z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