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FECAE" w14:textId="77777777" w:rsidR="000355E5" w:rsidRPr="000355E5" w:rsidRDefault="000355E5" w:rsidP="00176100">
      <w:pPr>
        <w:spacing w:after="120" w:line="240" w:lineRule="auto"/>
        <w:ind w:left="-709" w:right="-896"/>
        <w:jc w:val="center"/>
        <w:rPr>
          <w:rFonts w:cs="Calibri"/>
          <w:b/>
          <w:sz w:val="24"/>
          <w:szCs w:val="24"/>
          <w:lang w:val="fr-FR"/>
        </w:rPr>
      </w:pPr>
      <w:r w:rsidRPr="000355E5">
        <w:rPr>
          <w:rFonts w:cs="Calibri"/>
          <w:b/>
          <w:sz w:val="24"/>
          <w:szCs w:val="24"/>
          <w:lang w:val="fr-FR"/>
        </w:rPr>
        <w:t>47ème session du Conseil des droits de l'homme</w:t>
      </w:r>
    </w:p>
    <w:p w14:paraId="241B6609" w14:textId="5CA3F69E" w:rsidR="000355E5" w:rsidRPr="00D36E7E" w:rsidRDefault="000355E5" w:rsidP="00176100">
      <w:pPr>
        <w:spacing w:after="120" w:line="240" w:lineRule="auto"/>
        <w:ind w:left="-709" w:right="-896"/>
        <w:jc w:val="center"/>
        <w:rPr>
          <w:rFonts w:cs="Calibri"/>
          <w:b/>
          <w:sz w:val="28"/>
          <w:szCs w:val="28"/>
          <w:lang w:val="fr-FR"/>
        </w:rPr>
      </w:pPr>
      <w:r w:rsidRPr="00D36E7E">
        <w:rPr>
          <w:rFonts w:cs="Calibri"/>
          <w:b/>
          <w:sz w:val="28"/>
          <w:szCs w:val="28"/>
          <w:lang w:val="fr-FR"/>
        </w:rPr>
        <w:t>Ta</w:t>
      </w:r>
      <w:r w:rsidR="006D4B75" w:rsidRPr="00D36E7E">
        <w:rPr>
          <w:rFonts w:cs="Calibri"/>
          <w:b/>
          <w:sz w:val="28"/>
          <w:szCs w:val="28"/>
          <w:lang w:val="fr-FR"/>
        </w:rPr>
        <w:t xml:space="preserve">ble ronde de haut niveau sur l’action multisectorielle de prévention et de lutte </w:t>
      </w:r>
      <w:r w:rsidR="00D36E7E">
        <w:rPr>
          <w:rFonts w:cs="Calibri"/>
          <w:b/>
          <w:sz w:val="28"/>
          <w:szCs w:val="28"/>
          <w:lang w:val="fr-FR"/>
        </w:rPr>
        <w:br/>
      </w:r>
      <w:r w:rsidRPr="00D36E7E">
        <w:rPr>
          <w:rFonts w:cs="Calibri"/>
          <w:b/>
          <w:sz w:val="28"/>
          <w:szCs w:val="28"/>
          <w:lang w:val="fr-FR"/>
        </w:rPr>
        <w:t xml:space="preserve">contre les mutilations génitales féminines </w:t>
      </w:r>
    </w:p>
    <w:p w14:paraId="04FEFFEF" w14:textId="46140228" w:rsidR="004F0A64" w:rsidRPr="000355E5" w:rsidRDefault="000355E5" w:rsidP="00176100">
      <w:pPr>
        <w:spacing w:after="120" w:line="240" w:lineRule="auto"/>
        <w:ind w:left="-709" w:right="-896"/>
        <w:jc w:val="center"/>
        <w:rPr>
          <w:rFonts w:cs="Calibri"/>
          <w:i/>
          <w:sz w:val="16"/>
          <w:szCs w:val="16"/>
          <w:lang w:val="fr-FR"/>
        </w:rPr>
      </w:pPr>
      <w:r>
        <w:rPr>
          <w:rFonts w:cs="Calibri"/>
          <w:i/>
          <w:sz w:val="20"/>
          <w:szCs w:val="20"/>
          <w:lang w:val="fr-FR"/>
        </w:rPr>
        <w:t>Note c</w:t>
      </w:r>
      <w:r w:rsidR="004F0A64" w:rsidRPr="000355E5">
        <w:rPr>
          <w:rFonts w:cs="Calibri"/>
          <w:i/>
          <w:sz w:val="20"/>
          <w:szCs w:val="20"/>
          <w:lang w:val="fr-FR"/>
        </w:rPr>
        <w:t>oncept</w:t>
      </w:r>
      <w:r>
        <w:rPr>
          <w:rFonts w:cs="Calibri"/>
          <w:i/>
          <w:sz w:val="20"/>
          <w:szCs w:val="20"/>
          <w:lang w:val="fr-FR"/>
        </w:rPr>
        <w:t>uelle</w:t>
      </w:r>
      <w:r w:rsidR="004F0A64" w:rsidRPr="000355E5">
        <w:rPr>
          <w:rFonts w:cs="Calibri"/>
          <w:i/>
          <w:sz w:val="20"/>
          <w:szCs w:val="20"/>
          <w:lang w:val="fr-FR"/>
        </w:rPr>
        <w:t xml:space="preserve"> </w:t>
      </w:r>
      <w:r w:rsidR="006D4B75" w:rsidRPr="000355E5">
        <w:rPr>
          <w:rFonts w:cs="Calibri"/>
          <w:i/>
          <w:sz w:val="20"/>
          <w:szCs w:val="20"/>
          <w:lang w:val="fr-FR"/>
        </w:rPr>
        <w:t>(</w:t>
      </w:r>
      <w:r w:rsidR="006D4B75">
        <w:rPr>
          <w:rFonts w:cs="Calibri"/>
          <w:i/>
          <w:sz w:val="20"/>
          <w:szCs w:val="20"/>
          <w:lang w:val="fr-FR"/>
        </w:rPr>
        <w:t>au</w:t>
      </w:r>
      <w:r>
        <w:rPr>
          <w:rFonts w:cs="Calibri"/>
          <w:i/>
          <w:sz w:val="20"/>
          <w:szCs w:val="20"/>
          <w:lang w:val="fr-FR"/>
        </w:rPr>
        <w:t xml:space="preserve"> </w:t>
      </w:r>
      <w:r w:rsidR="00F5619F">
        <w:rPr>
          <w:rFonts w:cs="Calibri"/>
          <w:i/>
          <w:sz w:val="20"/>
          <w:szCs w:val="20"/>
          <w:lang w:val="fr-FR"/>
        </w:rPr>
        <w:t>2</w:t>
      </w:r>
      <w:r w:rsidR="00261450">
        <w:rPr>
          <w:rFonts w:cs="Calibri"/>
          <w:i/>
          <w:sz w:val="20"/>
          <w:szCs w:val="20"/>
          <w:lang w:val="fr-FR"/>
        </w:rPr>
        <w:t>3</w:t>
      </w:r>
      <w:r>
        <w:rPr>
          <w:rFonts w:cs="Calibri"/>
          <w:i/>
          <w:sz w:val="20"/>
          <w:szCs w:val="20"/>
          <w:lang w:val="fr-FR"/>
        </w:rPr>
        <w:t xml:space="preserve"> juin </w:t>
      </w:r>
      <w:r w:rsidR="004F0A64" w:rsidRPr="000355E5">
        <w:rPr>
          <w:rFonts w:cs="Calibri"/>
          <w:i/>
          <w:sz w:val="20"/>
          <w:szCs w:val="20"/>
          <w:lang w:val="fr-FR"/>
        </w:rPr>
        <w:t>2021)</w:t>
      </w:r>
    </w:p>
    <w:tbl>
      <w:tblPr>
        <w:tblW w:w="10098" w:type="dxa"/>
        <w:tblInd w:w="-459" w:type="dxa"/>
        <w:tblLook w:val="04A0" w:firstRow="1" w:lastRow="0" w:firstColumn="1" w:lastColumn="0" w:noHBand="0" w:noVBand="1"/>
      </w:tblPr>
      <w:tblGrid>
        <w:gridCol w:w="1450"/>
        <w:gridCol w:w="8648"/>
      </w:tblGrid>
      <w:tr w:rsidR="004F0A64" w:rsidRPr="00A97275" w14:paraId="04E6484E" w14:textId="77777777" w:rsidTr="009053DB">
        <w:tc>
          <w:tcPr>
            <w:tcW w:w="1450" w:type="dxa"/>
            <w:shd w:val="clear" w:color="auto" w:fill="auto"/>
          </w:tcPr>
          <w:p w14:paraId="45AD2ABF" w14:textId="24EA45A0" w:rsidR="004F0A64" w:rsidRPr="00D06C96" w:rsidRDefault="005979D8" w:rsidP="00176100">
            <w:pPr>
              <w:spacing w:after="60" w:line="240" w:lineRule="auto"/>
              <w:rPr>
                <w:rFonts w:cs="Calibri"/>
                <w:b/>
              </w:rPr>
            </w:pPr>
            <w:r>
              <w:rPr>
                <w:rFonts w:cs="Calibri"/>
                <w:b/>
              </w:rPr>
              <w:t>Date et lieu</w:t>
            </w:r>
            <w:r w:rsidR="004F0A64" w:rsidRPr="00D06C96">
              <w:rPr>
                <w:rFonts w:cs="Calibri"/>
                <w:b/>
              </w:rPr>
              <w:t>:</w:t>
            </w:r>
          </w:p>
        </w:tc>
        <w:tc>
          <w:tcPr>
            <w:tcW w:w="8648" w:type="dxa"/>
            <w:shd w:val="clear" w:color="auto" w:fill="auto"/>
          </w:tcPr>
          <w:p w14:paraId="1F4DC0B3" w14:textId="2B5086A1" w:rsidR="004F0A64" w:rsidRPr="006D4B75" w:rsidRDefault="00BD69AC" w:rsidP="00BD69AC">
            <w:pPr>
              <w:spacing w:after="120" w:line="240" w:lineRule="auto"/>
              <w:rPr>
                <w:rFonts w:cs="Calibri"/>
                <w:i/>
                <w:lang w:val="fr-FR"/>
              </w:rPr>
            </w:pPr>
            <w:r>
              <w:rPr>
                <w:rFonts w:cs="Calibri"/>
                <w:b/>
                <w:lang w:val="fr-FR"/>
              </w:rPr>
              <w:t>Mercredi</w:t>
            </w:r>
            <w:r w:rsidR="004F0A64" w:rsidRPr="006D4B75">
              <w:rPr>
                <w:rFonts w:cs="Calibri"/>
                <w:b/>
                <w:lang w:val="fr-FR"/>
              </w:rPr>
              <w:t xml:space="preserve">, 23 </w:t>
            </w:r>
            <w:r w:rsidR="005979D8" w:rsidRPr="006D4B75">
              <w:rPr>
                <w:rFonts w:cs="Calibri"/>
                <w:b/>
                <w:lang w:val="fr-FR"/>
              </w:rPr>
              <w:t>juin</w:t>
            </w:r>
            <w:r w:rsidR="004F0A64" w:rsidRPr="006D4B75">
              <w:rPr>
                <w:rFonts w:cs="Calibri"/>
                <w:b/>
                <w:lang w:val="fr-FR"/>
              </w:rPr>
              <w:t xml:space="preserve"> 2021, 10 </w:t>
            </w:r>
            <w:r w:rsidR="005979D8" w:rsidRPr="006D4B75">
              <w:rPr>
                <w:rFonts w:cs="Calibri"/>
                <w:b/>
                <w:lang w:val="fr-FR"/>
              </w:rPr>
              <w:t xml:space="preserve">heures à </w:t>
            </w:r>
            <w:r w:rsidR="004F0A64" w:rsidRPr="006D4B75">
              <w:rPr>
                <w:rFonts w:cs="Calibri"/>
                <w:b/>
                <w:lang w:val="fr-FR"/>
              </w:rPr>
              <w:t xml:space="preserve">12 </w:t>
            </w:r>
            <w:r w:rsidR="005979D8" w:rsidRPr="006D4B75">
              <w:rPr>
                <w:rFonts w:cs="Calibri"/>
                <w:b/>
                <w:lang w:val="fr-FR"/>
              </w:rPr>
              <w:t>heures</w:t>
            </w:r>
            <w:r w:rsidR="00E422D5">
              <w:rPr>
                <w:rFonts w:cs="Calibri"/>
                <w:b/>
                <w:lang w:val="fr-FR"/>
              </w:rPr>
              <w:t xml:space="preserve">, </w:t>
            </w:r>
            <w:r w:rsidR="00254492" w:rsidRPr="006D4B75">
              <w:rPr>
                <w:rFonts w:cs="Calibri"/>
                <w:b/>
                <w:lang w:val="fr-FR"/>
              </w:rPr>
              <w:br/>
            </w:r>
            <w:r w:rsidR="006D4B75" w:rsidRPr="006D4B75">
              <w:rPr>
                <w:rFonts w:cs="Calibri"/>
                <w:b/>
                <w:lang w:val="fr-FR"/>
              </w:rPr>
              <w:t>Salle XVIII, Palais des Nations, Genève</w:t>
            </w:r>
            <w:r w:rsidR="00F91A86">
              <w:rPr>
                <w:rFonts w:cs="Calibri"/>
                <w:b/>
                <w:lang w:val="fr-FR"/>
              </w:rPr>
              <w:t>,</w:t>
            </w:r>
            <w:r w:rsidR="006D4B75" w:rsidRPr="006D4B75">
              <w:rPr>
                <w:rFonts w:cs="Calibri"/>
                <w:b/>
                <w:lang w:val="fr-FR"/>
              </w:rPr>
              <w:t xml:space="preserve"> et </w:t>
            </w:r>
            <w:r w:rsidR="006D4B75">
              <w:rPr>
                <w:rFonts w:cs="Calibri"/>
                <w:b/>
                <w:lang w:val="fr-FR"/>
              </w:rPr>
              <w:t>en ligne</w:t>
            </w:r>
            <w:r w:rsidR="006D4B75" w:rsidRPr="006D4B75">
              <w:rPr>
                <w:rFonts w:cs="Calibri"/>
                <w:b/>
                <w:lang w:val="fr-FR"/>
              </w:rPr>
              <w:t xml:space="preserve"> </w:t>
            </w:r>
            <w:r w:rsidR="00254492" w:rsidRPr="006D4B75">
              <w:rPr>
                <w:rFonts w:cs="Calibri"/>
                <w:b/>
                <w:lang w:val="fr-FR"/>
              </w:rPr>
              <w:t>(Zoom)</w:t>
            </w:r>
            <w:r w:rsidR="004F0A64" w:rsidRPr="006D4B75">
              <w:rPr>
                <w:rFonts w:cs="Calibri"/>
                <w:b/>
                <w:lang w:val="fr-FR"/>
              </w:rPr>
              <w:t xml:space="preserve"> </w:t>
            </w:r>
            <w:r w:rsidR="004F0A64" w:rsidRPr="006D4B75">
              <w:rPr>
                <w:rFonts w:cs="Calibri"/>
                <w:b/>
                <w:lang w:val="fr-FR"/>
              </w:rPr>
              <w:br/>
            </w:r>
            <w:r w:rsidR="004F0A64" w:rsidRPr="006D4B75">
              <w:rPr>
                <w:rFonts w:cs="Calibri"/>
                <w:i/>
                <w:lang w:val="fr-FR"/>
              </w:rPr>
              <w:t>(</w:t>
            </w:r>
            <w:r w:rsidR="00E422D5">
              <w:rPr>
                <w:rFonts w:cs="Calibri"/>
                <w:i/>
                <w:lang w:val="fr-FR"/>
              </w:rPr>
              <w:t xml:space="preserve">session </w:t>
            </w:r>
            <w:r w:rsidR="006D4B75" w:rsidRPr="006D4B75">
              <w:rPr>
                <w:rFonts w:cs="Calibri"/>
                <w:i/>
                <w:lang w:val="fr-FR"/>
              </w:rPr>
              <w:t>diffusée en direct et archivée sur</w:t>
            </w:r>
            <w:r w:rsidR="004F0A64" w:rsidRPr="006D4B75">
              <w:rPr>
                <w:rFonts w:cs="Calibri"/>
                <w:i/>
                <w:lang w:val="fr-FR"/>
              </w:rPr>
              <w:t xml:space="preserve"> </w:t>
            </w:r>
            <w:hyperlink r:id="rId7" w:history="1">
              <w:r w:rsidR="004F0A64" w:rsidRPr="006D4B75">
                <w:rPr>
                  <w:rStyle w:val="Hyperlink"/>
                  <w:rFonts w:cs="Calibri"/>
                  <w:i/>
                  <w:lang w:val="fr-FR"/>
                </w:rPr>
                <w:t>http://webtv.un.org</w:t>
              </w:r>
            </w:hyperlink>
            <w:r w:rsidR="004F0A64" w:rsidRPr="006D4B75">
              <w:rPr>
                <w:rFonts w:cs="Calibri"/>
                <w:i/>
                <w:lang w:val="fr-FR"/>
              </w:rPr>
              <w:t>)</w:t>
            </w:r>
          </w:p>
        </w:tc>
      </w:tr>
      <w:tr w:rsidR="004F0A64" w:rsidRPr="00A97275" w14:paraId="0E65F5E0" w14:textId="77777777" w:rsidTr="009053DB">
        <w:tc>
          <w:tcPr>
            <w:tcW w:w="1450" w:type="dxa"/>
            <w:shd w:val="clear" w:color="auto" w:fill="auto"/>
          </w:tcPr>
          <w:p w14:paraId="1170916F" w14:textId="58A908A1" w:rsidR="004F0A64" w:rsidRPr="00D06C96" w:rsidRDefault="004F0A64" w:rsidP="00176100">
            <w:pPr>
              <w:spacing w:after="0" w:line="240" w:lineRule="auto"/>
              <w:jc w:val="both"/>
              <w:rPr>
                <w:rFonts w:cs="Calibri"/>
                <w:b/>
              </w:rPr>
            </w:pPr>
            <w:proofErr w:type="spellStart"/>
            <w:r w:rsidRPr="00D06C96">
              <w:rPr>
                <w:rFonts w:cs="Calibri"/>
                <w:b/>
              </w:rPr>
              <w:t>Objecti</w:t>
            </w:r>
            <w:r w:rsidR="005979D8">
              <w:rPr>
                <w:rFonts w:cs="Calibri"/>
                <w:b/>
              </w:rPr>
              <w:t>fs</w:t>
            </w:r>
            <w:proofErr w:type="spellEnd"/>
            <w:r w:rsidRPr="00D06C96">
              <w:rPr>
                <w:rFonts w:cs="Calibri"/>
                <w:b/>
              </w:rPr>
              <w:t>:</w:t>
            </w:r>
          </w:p>
        </w:tc>
        <w:tc>
          <w:tcPr>
            <w:tcW w:w="8648" w:type="dxa"/>
            <w:shd w:val="clear" w:color="auto" w:fill="auto"/>
          </w:tcPr>
          <w:p w14:paraId="4D3BE8FC" w14:textId="4BDB6364" w:rsidR="004F0A64" w:rsidRPr="00F70208" w:rsidRDefault="00F70208" w:rsidP="00176100">
            <w:pPr>
              <w:shd w:val="clear" w:color="auto" w:fill="FFFFFF"/>
              <w:spacing w:after="120" w:line="240" w:lineRule="auto"/>
              <w:rPr>
                <w:rFonts w:cs="Calibri"/>
                <w:bCs/>
                <w:lang w:val="fr-FR"/>
              </w:rPr>
            </w:pPr>
            <w:r w:rsidRPr="00F70208">
              <w:rPr>
                <w:rFonts w:cs="Calibri"/>
                <w:bCs/>
                <w:lang w:val="fr-FR"/>
              </w:rPr>
              <w:t xml:space="preserve">Le table ronde de haut niveau offre une plateforme pour mettre en évidence les engagements, notamment au niveau mondial, pour plaider, influencer, mobiliser, construire et maintenir un soutien dans le contexte de la pandémie de </w:t>
            </w:r>
            <w:r w:rsidR="009A1F93">
              <w:rPr>
                <w:rFonts w:cs="Calibri"/>
                <w:bCs/>
                <w:lang w:val="fr-FR"/>
              </w:rPr>
              <w:t xml:space="preserve">la </w:t>
            </w:r>
            <w:r w:rsidRPr="00F70208">
              <w:rPr>
                <w:rFonts w:cs="Calibri"/>
                <w:bCs/>
                <w:lang w:val="fr-FR"/>
              </w:rPr>
              <w:t>COVID-19 en faveur d'une coordination multisectorielle, d'une planification, d'arrangements financiers et de suivi basés sur les droits de l'homme et tenant compte de la dimension de genre, et d'actions visant à mettre fin à la pratique des mutilations génitales féminines.</w:t>
            </w:r>
          </w:p>
        </w:tc>
      </w:tr>
      <w:tr w:rsidR="004F0A64" w:rsidRPr="00A97275" w14:paraId="438DFB38" w14:textId="77777777" w:rsidTr="009053DB">
        <w:tc>
          <w:tcPr>
            <w:tcW w:w="1450" w:type="dxa"/>
            <w:shd w:val="clear" w:color="auto" w:fill="auto"/>
          </w:tcPr>
          <w:p w14:paraId="78963C2F" w14:textId="3A6525F1" w:rsidR="004F0A64" w:rsidRPr="00D06C96" w:rsidRDefault="00667BAF" w:rsidP="00176100">
            <w:pPr>
              <w:spacing w:after="0" w:line="240" w:lineRule="auto"/>
              <w:jc w:val="both"/>
              <w:rPr>
                <w:rFonts w:cs="Calibri"/>
                <w:b/>
              </w:rPr>
            </w:pPr>
            <w:proofErr w:type="spellStart"/>
            <w:r w:rsidRPr="00667BAF">
              <w:rPr>
                <w:rFonts w:cs="Calibri"/>
                <w:b/>
              </w:rPr>
              <w:t>Présidente</w:t>
            </w:r>
            <w:proofErr w:type="spellEnd"/>
            <w:r w:rsidR="004F0A64" w:rsidRPr="00D06C96">
              <w:rPr>
                <w:rFonts w:cs="Calibri"/>
                <w:b/>
              </w:rPr>
              <w:t xml:space="preserve">: </w:t>
            </w:r>
          </w:p>
        </w:tc>
        <w:tc>
          <w:tcPr>
            <w:tcW w:w="8648" w:type="dxa"/>
            <w:shd w:val="clear" w:color="auto" w:fill="auto"/>
          </w:tcPr>
          <w:p w14:paraId="368FBE8D" w14:textId="7AF71ECE" w:rsidR="004F0A64" w:rsidRPr="006D4B75" w:rsidRDefault="006D4B75" w:rsidP="00176100">
            <w:pPr>
              <w:pStyle w:val="Heading3"/>
              <w:shd w:val="clear" w:color="auto" w:fill="FFFFFF"/>
              <w:spacing w:before="0" w:beforeAutospacing="0" w:after="120" w:afterAutospacing="0"/>
              <w:jc w:val="both"/>
              <w:rPr>
                <w:rFonts w:ascii="Calibri" w:eastAsia="Cambria" w:hAnsi="Calibri" w:cs="Calibri"/>
                <w:bCs w:val="0"/>
                <w:sz w:val="22"/>
                <w:szCs w:val="22"/>
                <w:lang w:val="fr-FR"/>
              </w:rPr>
            </w:pPr>
            <w:r w:rsidRPr="006D4B75">
              <w:rPr>
                <w:rFonts w:ascii="Calibri" w:eastAsia="Cambria" w:hAnsi="Calibri" w:cs="Calibri"/>
                <w:bCs w:val="0"/>
                <w:sz w:val="22"/>
                <w:szCs w:val="22"/>
                <w:lang w:val="fr-FR" w:eastAsia="en-US"/>
              </w:rPr>
              <w:t>S</w:t>
            </w:r>
            <w:r w:rsidR="004F0A64" w:rsidRPr="006D4B75">
              <w:rPr>
                <w:rFonts w:ascii="Calibri" w:eastAsia="Cambria" w:hAnsi="Calibri" w:cs="Calibri"/>
                <w:bCs w:val="0"/>
                <w:sz w:val="22"/>
                <w:szCs w:val="22"/>
                <w:lang w:val="fr-FR" w:eastAsia="en-US"/>
              </w:rPr>
              <w:t>.E. M</w:t>
            </w:r>
            <w:r w:rsidRPr="006D4B75">
              <w:rPr>
                <w:rFonts w:ascii="Calibri" w:eastAsia="Cambria" w:hAnsi="Calibri" w:cs="Calibri"/>
                <w:bCs w:val="0"/>
                <w:sz w:val="22"/>
                <w:szCs w:val="22"/>
                <w:lang w:val="fr-FR" w:eastAsia="en-US"/>
              </w:rPr>
              <w:t>me</w:t>
            </w:r>
            <w:r w:rsidR="004F0A64" w:rsidRPr="006D4B75">
              <w:rPr>
                <w:rFonts w:ascii="Calibri" w:eastAsia="Cambria" w:hAnsi="Calibri" w:cs="Calibri"/>
                <w:bCs w:val="0"/>
                <w:sz w:val="22"/>
                <w:szCs w:val="22"/>
                <w:lang w:val="fr-FR" w:eastAsia="en-US"/>
              </w:rPr>
              <w:t xml:space="preserve"> </w:t>
            </w:r>
            <w:proofErr w:type="spellStart"/>
            <w:r w:rsidR="009D071D" w:rsidRPr="006D4B75">
              <w:rPr>
                <w:rFonts w:ascii="Calibri" w:eastAsia="Cambria" w:hAnsi="Calibri" w:cs="Calibri"/>
                <w:bCs w:val="0"/>
                <w:sz w:val="22"/>
                <w:szCs w:val="22"/>
                <w:lang w:val="fr-FR"/>
              </w:rPr>
              <w:t>Nazhat</w:t>
            </w:r>
            <w:proofErr w:type="spellEnd"/>
            <w:r w:rsidR="009D071D" w:rsidRPr="006D4B75">
              <w:rPr>
                <w:rFonts w:ascii="Calibri" w:eastAsia="Cambria" w:hAnsi="Calibri" w:cs="Calibri"/>
                <w:bCs w:val="0"/>
                <w:sz w:val="22"/>
                <w:szCs w:val="22"/>
                <w:lang w:val="fr-FR"/>
              </w:rPr>
              <w:t xml:space="preserve"> </w:t>
            </w:r>
            <w:proofErr w:type="spellStart"/>
            <w:r w:rsidR="009D071D" w:rsidRPr="006D4B75">
              <w:rPr>
                <w:rFonts w:ascii="Calibri" w:eastAsia="Cambria" w:hAnsi="Calibri" w:cs="Calibri"/>
                <w:bCs w:val="0"/>
                <w:sz w:val="22"/>
                <w:szCs w:val="22"/>
                <w:lang w:val="fr-FR"/>
              </w:rPr>
              <w:t>Shameem</w:t>
            </w:r>
            <w:proofErr w:type="spellEnd"/>
            <w:r w:rsidR="009D071D" w:rsidRPr="006D4B75">
              <w:rPr>
                <w:rFonts w:ascii="Calibri" w:eastAsia="Cambria" w:hAnsi="Calibri" w:cs="Calibri"/>
                <w:bCs w:val="0"/>
                <w:sz w:val="22"/>
                <w:szCs w:val="22"/>
                <w:lang w:val="fr-FR"/>
              </w:rPr>
              <w:t xml:space="preserve"> Khan</w:t>
            </w:r>
            <w:r w:rsidR="004F0A64" w:rsidRPr="006D4B75">
              <w:rPr>
                <w:rFonts w:ascii="Calibri" w:eastAsia="Cambria" w:hAnsi="Calibri" w:cs="Calibri"/>
                <w:b w:val="0"/>
                <w:bCs w:val="0"/>
                <w:sz w:val="22"/>
                <w:szCs w:val="22"/>
                <w:lang w:val="fr-FR"/>
              </w:rPr>
              <w:t>,</w:t>
            </w:r>
            <w:r w:rsidR="004F0A64" w:rsidRPr="006D4B75">
              <w:rPr>
                <w:rFonts w:ascii="Calibri" w:eastAsia="Cambria" w:hAnsi="Calibri" w:cs="Calibri"/>
                <w:bCs w:val="0"/>
                <w:sz w:val="22"/>
                <w:szCs w:val="22"/>
                <w:lang w:val="fr-FR"/>
              </w:rPr>
              <w:t xml:space="preserve"> </w:t>
            </w:r>
            <w:r w:rsidR="004F0A64" w:rsidRPr="006D4B75">
              <w:rPr>
                <w:rFonts w:ascii="Calibri" w:eastAsia="Cambria" w:hAnsi="Calibri" w:cs="Calibri"/>
                <w:b w:val="0"/>
                <w:bCs w:val="0"/>
                <w:sz w:val="22"/>
                <w:szCs w:val="22"/>
                <w:lang w:val="fr-FR" w:eastAsia="en-US"/>
              </w:rPr>
              <w:t>Pr</w:t>
            </w:r>
            <w:r w:rsidRPr="006D4B75">
              <w:rPr>
                <w:rFonts w:ascii="Calibri" w:eastAsia="Cambria" w:hAnsi="Calibri" w:cs="Calibri"/>
                <w:b w:val="0"/>
                <w:bCs w:val="0"/>
                <w:sz w:val="22"/>
                <w:szCs w:val="22"/>
                <w:lang w:val="fr-FR" w:eastAsia="en-US"/>
              </w:rPr>
              <w:t>é</w:t>
            </w:r>
            <w:r w:rsidR="004F0A64" w:rsidRPr="006D4B75">
              <w:rPr>
                <w:rFonts w:ascii="Calibri" w:eastAsia="Cambria" w:hAnsi="Calibri" w:cs="Calibri"/>
                <w:b w:val="0"/>
                <w:bCs w:val="0"/>
                <w:sz w:val="22"/>
                <w:szCs w:val="22"/>
                <w:lang w:val="fr-FR" w:eastAsia="en-US"/>
              </w:rPr>
              <w:t>sident</w:t>
            </w:r>
            <w:r w:rsidRPr="006D4B75">
              <w:rPr>
                <w:rFonts w:ascii="Calibri" w:eastAsia="Cambria" w:hAnsi="Calibri" w:cs="Calibri"/>
                <w:b w:val="0"/>
                <w:bCs w:val="0"/>
                <w:sz w:val="22"/>
                <w:szCs w:val="22"/>
                <w:lang w:val="fr-FR" w:eastAsia="en-US"/>
              </w:rPr>
              <w:t>e du Conseil des droits de l’homme</w:t>
            </w:r>
          </w:p>
        </w:tc>
      </w:tr>
      <w:tr w:rsidR="004F0A64" w:rsidRPr="00A97275" w14:paraId="0EAEFDFB" w14:textId="77777777" w:rsidTr="009053DB">
        <w:tc>
          <w:tcPr>
            <w:tcW w:w="1450" w:type="dxa"/>
            <w:shd w:val="clear" w:color="auto" w:fill="auto"/>
          </w:tcPr>
          <w:p w14:paraId="38EB5E93" w14:textId="1979AB05" w:rsidR="004F0A64" w:rsidRPr="00D06C96" w:rsidRDefault="005979D8" w:rsidP="00176100">
            <w:pPr>
              <w:spacing w:after="60" w:line="240" w:lineRule="auto"/>
              <w:jc w:val="both"/>
              <w:rPr>
                <w:rFonts w:cs="Calibri"/>
                <w:b/>
              </w:rPr>
            </w:pPr>
            <w:proofErr w:type="spellStart"/>
            <w:r>
              <w:rPr>
                <w:rFonts w:cs="Calibri"/>
                <w:b/>
              </w:rPr>
              <w:t>Déclarations</w:t>
            </w:r>
            <w:proofErr w:type="spellEnd"/>
            <w:r>
              <w:rPr>
                <w:rFonts w:cs="Calibri"/>
                <w:b/>
              </w:rPr>
              <w:t xml:space="preserve"> </w:t>
            </w:r>
            <w:proofErr w:type="spellStart"/>
            <w:r w:rsidR="00F70208">
              <w:rPr>
                <w:rFonts w:cs="Calibri"/>
                <w:b/>
              </w:rPr>
              <w:t>d’ouverture</w:t>
            </w:r>
            <w:proofErr w:type="spellEnd"/>
            <w:r w:rsidR="004F0A64" w:rsidRPr="00D06C96">
              <w:rPr>
                <w:rFonts w:cs="Calibri"/>
                <w:b/>
              </w:rPr>
              <w:t>:</w:t>
            </w:r>
          </w:p>
        </w:tc>
        <w:tc>
          <w:tcPr>
            <w:tcW w:w="8648" w:type="dxa"/>
            <w:shd w:val="clear" w:color="auto" w:fill="auto"/>
          </w:tcPr>
          <w:p w14:paraId="3897EEF7" w14:textId="62289AD1" w:rsidR="004F0A64" w:rsidRPr="006D4B75" w:rsidRDefault="004F0A64" w:rsidP="008D0831">
            <w:pPr>
              <w:spacing w:after="120" w:line="240" w:lineRule="auto"/>
              <w:rPr>
                <w:rFonts w:cs="Calibri"/>
                <w:b/>
                <w:bCs/>
                <w:lang w:val="fr-FR"/>
              </w:rPr>
            </w:pPr>
            <w:r w:rsidRPr="006D4B75">
              <w:rPr>
                <w:rFonts w:cs="Calibri"/>
                <w:b/>
                <w:lang w:val="fr-FR"/>
              </w:rPr>
              <w:t>M</w:t>
            </w:r>
            <w:r w:rsidR="006D4B75" w:rsidRPr="006D4B75">
              <w:rPr>
                <w:rFonts w:cs="Calibri"/>
                <w:b/>
                <w:lang w:val="fr-FR"/>
              </w:rPr>
              <w:t>me</w:t>
            </w:r>
            <w:r w:rsidRPr="006D4B75">
              <w:rPr>
                <w:rFonts w:cs="Calibri"/>
                <w:b/>
                <w:lang w:val="fr-FR"/>
              </w:rPr>
              <w:t xml:space="preserve"> </w:t>
            </w:r>
            <w:r w:rsidRPr="006D4B75">
              <w:rPr>
                <w:rFonts w:cs="Calibri"/>
                <w:b/>
                <w:bCs/>
                <w:lang w:val="fr-FR"/>
              </w:rPr>
              <w:t>Michelle Bachelet</w:t>
            </w:r>
            <w:r w:rsidRPr="006D4B75">
              <w:rPr>
                <w:rFonts w:cs="Calibri"/>
                <w:lang w:val="fr-FR"/>
              </w:rPr>
              <w:t xml:space="preserve">, </w:t>
            </w:r>
            <w:proofErr w:type="spellStart"/>
            <w:r w:rsidR="006D4B75" w:rsidRPr="006D4B75">
              <w:rPr>
                <w:rFonts w:cs="Calibri"/>
                <w:lang w:val="fr-FR"/>
              </w:rPr>
              <w:t>Haute-Commissaire</w:t>
            </w:r>
            <w:proofErr w:type="spellEnd"/>
            <w:r w:rsidR="006D4B75" w:rsidRPr="006D4B75">
              <w:rPr>
                <w:rFonts w:cs="Calibri"/>
                <w:lang w:val="fr-FR"/>
              </w:rPr>
              <w:t xml:space="preserve"> des Nations Unies aux droits de l’homme</w:t>
            </w:r>
            <w:r w:rsidR="005B31EF">
              <w:rPr>
                <w:rFonts w:cs="Calibri"/>
                <w:lang w:val="fr-FR"/>
              </w:rPr>
              <w:t xml:space="preserve"> </w:t>
            </w:r>
            <w:r w:rsidR="0053508F">
              <w:rPr>
                <w:rFonts w:cs="Calibri"/>
                <w:lang w:val="fr-FR"/>
              </w:rPr>
              <w:br/>
            </w:r>
            <w:r w:rsidR="0053508F" w:rsidRPr="000F2C7F">
              <w:rPr>
                <w:rFonts w:cs="Calibri"/>
                <w:i/>
                <w:lang w:val="fr-FR"/>
              </w:rPr>
              <w:t>(message</w:t>
            </w:r>
            <w:r w:rsidR="0053508F" w:rsidRPr="005B31EF">
              <w:rPr>
                <w:rFonts w:cs="Calibri"/>
                <w:i/>
                <w:lang w:val="fr-FR"/>
              </w:rPr>
              <w:t xml:space="preserve"> vid</w:t>
            </w:r>
            <w:r w:rsidR="0053508F">
              <w:rPr>
                <w:rFonts w:cs="Calibri"/>
                <w:i/>
                <w:lang w:val="fr-FR"/>
              </w:rPr>
              <w:t>é</w:t>
            </w:r>
            <w:r w:rsidR="0053508F" w:rsidRPr="005B31EF">
              <w:rPr>
                <w:rFonts w:cs="Calibri"/>
                <w:i/>
                <w:lang w:val="fr-FR"/>
              </w:rPr>
              <w:t>o)</w:t>
            </w:r>
          </w:p>
          <w:p w14:paraId="37B75119" w14:textId="31C32584" w:rsidR="004F0A64" w:rsidRPr="005B31EF" w:rsidRDefault="00A97275" w:rsidP="00F4750B">
            <w:pPr>
              <w:spacing w:after="120" w:line="240" w:lineRule="auto"/>
              <w:rPr>
                <w:rFonts w:cs="Calibri"/>
                <w:b/>
                <w:lang w:val="fr-FR"/>
              </w:rPr>
            </w:pPr>
            <w:r w:rsidRPr="00A97275">
              <w:rPr>
                <w:rFonts w:cs="Calibri"/>
                <w:b/>
                <w:lang w:val="fr-FR"/>
              </w:rPr>
              <w:t xml:space="preserve">S.E. Mme </w:t>
            </w:r>
            <w:proofErr w:type="spellStart"/>
            <w:r w:rsidRPr="00A97275">
              <w:rPr>
                <w:rFonts w:cs="Calibri"/>
                <w:b/>
                <w:lang w:val="fr-FR"/>
              </w:rPr>
              <w:t>Helène</w:t>
            </w:r>
            <w:proofErr w:type="spellEnd"/>
            <w:r w:rsidRPr="00A97275">
              <w:rPr>
                <w:rFonts w:cs="Calibri"/>
                <w:b/>
                <w:lang w:val="fr-FR"/>
              </w:rPr>
              <w:t xml:space="preserve"> Marie Laurence </w:t>
            </w:r>
            <w:proofErr w:type="spellStart"/>
            <w:r w:rsidRPr="00A97275">
              <w:rPr>
                <w:rFonts w:cs="Calibri"/>
                <w:b/>
                <w:lang w:val="fr-FR"/>
              </w:rPr>
              <w:t>Ilboudo</w:t>
            </w:r>
            <w:proofErr w:type="spellEnd"/>
            <w:r>
              <w:rPr>
                <w:rFonts w:cs="Calibri"/>
                <w:lang w:val="fr-FR"/>
              </w:rPr>
              <w:t>, Ministre</w:t>
            </w:r>
            <w:r w:rsidRPr="00A97275">
              <w:rPr>
                <w:rFonts w:cs="Calibri"/>
                <w:lang w:val="fr-FR"/>
              </w:rPr>
              <w:t xml:space="preserve"> de la Femme, de la Solidarité nationale, et de la Famille</w:t>
            </w:r>
            <w:r>
              <w:rPr>
                <w:rFonts w:cs="Calibri"/>
                <w:lang w:val="fr-FR"/>
              </w:rPr>
              <w:t xml:space="preserve"> du Burkina Faso, au nom de </w:t>
            </w:r>
            <w:r w:rsidR="005B31EF" w:rsidRPr="005B31EF">
              <w:rPr>
                <w:rFonts w:cs="Calibri"/>
                <w:b/>
                <w:lang w:val="fr-FR"/>
              </w:rPr>
              <w:t>S</w:t>
            </w:r>
            <w:r w:rsidR="00254492" w:rsidRPr="005B31EF">
              <w:rPr>
                <w:rFonts w:cs="Calibri"/>
                <w:b/>
                <w:lang w:val="fr-FR"/>
              </w:rPr>
              <w:t xml:space="preserve">.E. </w:t>
            </w:r>
            <w:r w:rsidR="005B31EF" w:rsidRPr="005B31EF">
              <w:rPr>
                <w:rFonts w:cs="Calibri"/>
                <w:b/>
                <w:lang w:val="fr-FR"/>
              </w:rPr>
              <w:t>M</w:t>
            </w:r>
            <w:r w:rsidR="00254492" w:rsidRPr="005B31EF">
              <w:rPr>
                <w:rFonts w:cs="Calibri"/>
                <w:b/>
                <w:lang w:val="fr-FR"/>
              </w:rPr>
              <w:t xml:space="preserve">. Roch Marc Christian </w:t>
            </w:r>
            <w:proofErr w:type="spellStart"/>
            <w:r w:rsidR="00254492" w:rsidRPr="005B31EF">
              <w:rPr>
                <w:rFonts w:cs="Calibri"/>
                <w:b/>
                <w:lang w:val="fr-FR"/>
              </w:rPr>
              <w:t>Kaboré</w:t>
            </w:r>
            <w:proofErr w:type="spellEnd"/>
            <w:r w:rsidR="005B31EF" w:rsidRPr="000F2C7F">
              <w:rPr>
                <w:rFonts w:cs="Calibri"/>
                <w:lang w:val="fr-FR"/>
              </w:rPr>
              <w:t xml:space="preserve">, </w:t>
            </w:r>
            <w:r w:rsidR="00CE6E10">
              <w:rPr>
                <w:rFonts w:cs="Calibri"/>
                <w:lang w:val="fr-FR"/>
              </w:rPr>
              <w:br/>
            </w:r>
            <w:r w:rsidR="005B31EF" w:rsidRPr="000F2C7F">
              <w:rPr>
                <w:rFonts w:cs="Calibri"/>
                <w:lang w:val="fr-FR"/>
              </w:rPr>
              <w:t>Pré</w:t>
            </w:r>
            <w:r w:rsidR="00254492" w:rsidRPr="000F2C7F">
              <w:rPr>
                <w:rFonts w:cs="Calibri"/>
                <w:lang w:val="fr-FR"/>
              </w:rPr>
              <w:t xml:space="preserve">sident </w:t>
            </w:r>
            <w:r w:rsidR="005B31EF" w:rsidRPr="000F2C7F">
              <w:rPr>
                <w:rFonts w:cs="Calibri"/>
                <w:lang w:val="fr-FR"/>
              </w:rPr>
              <w:t>du</w:t>
            </w:r>
            <w:r w:rsidR="00254492" w:rsidRPr="000F2C7F">
              <w:rPr>
                <w:rFonts w:cs="Calibri"/>
                <w:lang w:val="fr-FR"/>
              </w:rPr>
              <w:t xml:space="preserve"> Faso </w:t>
            </w:r>
            <w:r>
              <w:rPr>
                <w:rFonts w:cs="Calibri"/>
                <w:i/>
                <w:lang w:val="fr-FR"/>
              </w:rPr>
              <w:t>(</w:t>
            </w:r>
            <w:r w:rsidR="00F4750B">
              <w:rPr>
                <w:rFonts w:cs="Calibri"/>
                <w:i/>
                <w:lang w:val="fr-FR"/>
              </w:rPr>
              <w:t xml:space="preserve">intervention </w:t>
            </w:r>
            <w:r>
              <w:rPr>
                <w:rFonts w:cs="Calibri"/>
                <w:i/>
                <w:lang w:val="fr-FR"/>
              </w:rPr>
              <w:t>en direct)</w:t>
            </w:r>
          </w:p>
        </w:tc>
      </w:tr>
      <w:tr w:rsidR="004F0A64" w:rsidRPr="008D0831" w14:paraId="702383B7" w14:textId="77777777" w:rsidTr="009053DB">
        <w:tc>
          <w:tcPr>
            <w:tcW w:w="1450" w:type="dxa"/>
            <w:shd w:val="clear" w:color="auto" w:fill="auto"/>
          </w:tcPr>
          <w:p w14:paraId="6A524E1D" w14:textId="18A0C1E9" w:rsidR="004F0A64" w:rsidRPr="008D0831" w:rsidRDefault="004F0A64" w:rsidP="00176100">
            <w:pPr>
              <w:spacing w:after="60" w:line="240" w:lineRule="auto"/>
              <w:jc w:val="both"/>
              <w:rPr>
                <w:rFonts w:cs="Calibri"/>
                <w:b/>
                <w:lang w:val="fr-CH"/>
              </w:rPr>
            </w:pPr>
            <w:r w:rsidRPr="008D0831">
              <w:rPr>
                <w:rFonts w:cs="Calibri"/>
                <w:b/>
                <w:lang w:val="fr-CH"/>
              </w:rPr>
              <w:t>Mod</w:t>
            </w:r>
            <w:r w:rsidR="005979D8" w:rsidRPr="008D0831">
              <w:rPr>
                <w:rFonts w:cs="Calibri"/>
                <w:b/>
                <w:lang w:val="fr-CH"/>
              </w:rPr>
              <w:t>é</w:t>
            </w:r>
            <w:r w:rsidRPr="008D0831">
              <w:rPr>
                <w:rFonts w:cs="Calibri"/>
                <w:b/>
                <w:lang w:val="fr-CH"/>
              </w:rPr>
              <w:t>rat</w:t>
            </w:r>
            <w:r w:rsidR="005979D8" w:rsidRPr="008D0831">
              <w:rPr>
                <w:rFonts w:cs="Calibri"/>
                <w:b/>
                <w:lang w:val="fr-CH"/>
              </w:rPr>
              <w:t>rice</w:t>
            </w:r>
            <w:r w:rsidRPr="008D0831">
              <w:rPr>
                <w:rFonts w:cs="Calibri"/>
                <w:b/>
                <w:lang w:val="fr-CH"/>
              </w:rPr>
              <w:t>:</w:t>
            </w:r>
          </w:p>
        </w:tc>
        <w:tc>
          <w:tcPr>
            <w:tcW w:w="8648" w:type="dxa"/>
            <w:shd w:val="clear" w:color="auto" w:fill="auto"/>
          </w:tcPr>
          <w:p w14:paraId="728B96C2" w14:textId="64E49FC6" w:rsidR="004F0A64" w:rsidRPr="008D0831" w:rsidRDefault="004F0A64" w:rsidP="00176100">
            <w:pPr>
              <w:spacing w:after="120" w:line="240" w:lineRule="auto"/>
              <w:rPr>
                <w:rFonts w:cs="Calibri"/>
                <w:color w:val="000000"/>
                <w:lang w:val="fr-CH"/>
              </w:rPr>
            </w:pPr>
            <w:r w:rsidRPr="008D0831">
              <w:rPr>
                <w:rFonts w:cs="Calibri"/>
                <w:b/>
                <w:lang w:val="fr-CH"/>
              </w:rPr>
              <w:t>M</w:t>
            </w:r>
            <w:r w:rsidR="005B31EF" w:rsidRPr="008D0831">
              <w:rPr>
                <w:rFonts w:cs="Calibri"/>
                <w:b/>
                <w:lang w:val="fr-CH"/>
              </w:rPr>
              <w:t>me</w:t>
            </w:r>
            <w:r w:rsidRPr="008D0831">
              <w:rPr>
                <w:rFonts w:cs="Calibri"/>
                <w:b/>
                <w:lang w:val="fr-CH"/>
              </w:rPr>
              <w:t xml:space="preserve"> </w:t>
            </w:r>
            <w:r w:rsidR="00C7641C" w:rsidRPr="008D0831">
              <w:rPr>
                <w:rFonts w:cs="Calibri"/>
                <w:b/>
                <w:lang w:val="fr-CH"/>
              </w:rPr>
              <w:t xml:space="preserve">Anna </w:t>
            </w:r>
            <w:proofErr w:type="spellStart"/>
            <w:r w:rsidR="00C7641C" w:rsidRPr="008D0831">
              <w:rPr>
                <w:rFonts w:cs="Calibri"/>
                <w:b/>
                <w:lang w:val="fr-CH"/>
              </w:rPr>
              <w:t>Widegren</w:t>
            </w:r>
            <w:proofErr w:type="spellEnd"/>
            <w:r w:rsidRPr="008D0831">
              <w:rPr>
                <w:rFonts w:cs="Calibri"/>
                <w:lang w:val="fr-CH"/>
              </w:rPr>
              <w:t xml:space="preserve">, </w:t>
            </w:r>
            <w:r w:rsidR="002C45D9" w:rsidRPr="008D0831">
              <w:rPr>
                <w:rFonts w:cs="Calibri"/>
                <w:lang w:val="fr-CH"/>
              </w:rPr>
              <w:t>Directr</w:t>
            </w:r>
            <w:r w:rsidR="005B31EF" w:rsidRPr="008D0831">
              <w:rPr>
                <w:rFonts w:cs="Calibri"/>
                <w:lang w:val="fr-CH"/>
              </w:rPr>
              <w:t>ice de</w:t>
            </w:r>
            <w:r w:rsidR="002C45D9" w:rsidRPr="008D0831">
              <w:rPr>
                <w:rFonts w:cs="Calibri"/>
                <w:lang w:val="fr-CH"/>
              </w:rPr>
              <w:t xml:space="preserve"> End FGM </w:t>
            </w:r>
            <w:proofErr w:type="spellStart"/>
            <w:r w:rsidR="002C45D9" w:rsidRPr="008D0831">
              <w:rPr>
                <w:rFonts w:cs="Calibri"/>
                <w:lang w:val="fr-CH"/>
              </w:rPr>
              <w:t>European</w:t>
            </w:r>
            <w:proofErr w:type="spellEnd"/>
            <w:r w:rsidR="002C45D9" w:rsidRPr="008D0831">
              <w:rPr>
                <w:rFonts w:cs="Calibri"/>
                <w:lang w:val="fr-CH"/>
              </w:rPr>
              <w:t xml:space="preserve"> Network</w:t>
            </w:r>
            <w:r w:rsidR="001173D1" w:rsidRPr="008D0831">
              <w:rPr>
                <w:rFonts w:cs="Calibri"/>
                <w:lang w:val="fr-CH"/>
              </w:rPr>
              <w:t xml:space="preserve"> </w:t>
            </w:r>
          </w:p>
        </w:tc>
      </w:tr>
      <w:tr w:rsidR="004F0A64" w:rsidRPr="00A97275" w14:paraId="744535F5" w14:textId="77777777" w:rsidTr="009053DB">
        <w:tc>
          <w:tcPr>
            <w:tcW w:w="1450" w:type="dxa"/>
            <w:shd w:val="clear" w:color="auto" w:fill="auto"/>
          </w:tcPr>
          <w:p w14:paraId="1D80EB69" w14:textId="3004D635" w:rsidR="004F0A64" w:rsidRPr="008D0831" w:rsidRDefault="003C0A97" w:rsidP="00176100">
            <w:pPr>
              <w:spacing w:after="0" w:line="240" w:lineRule="auto"/>
              <w:jc w:val="both"/>
              <w:rPr>
                <w:rFonts w:cs="Calibri"/>
                <w:b/>
                <w:lang w:val="fr-CH"/>
              </w:rPr>
            </w:pPr>
            <w:r w:rsidRPr="008D0831">
              <w:rPr>
                <w:rFonts w:cs="Calibri"/>
                <w:b/>
                <w:lang w:val="fr-CH"/>
              </w:rPr>
              <w:t>Panéliste</w:t>
            </w:r>
            <w:r w:rsidR="004F0A64" w:rsidRPr="008D0831">
              <w:rPr>
                <w:rFonts w:cs="Calibri"/>
                <w:b/>
                <w:lang w:val="fr-CH"/>
              </w:rPr>
              <w:t>s:</w:t>
            </w:r>
          </w:p>
        </w:tc>
        <w:tc>
          <w:tcPr>
            <w:tcW w:w="8648" w:type="dxa"/>
            <w:shd w:val="clear" w:color="auto" w:fill="auto"/>
          </w:tcPr>
          <w:p w14:paraId="75D3CC38" w14:textId="4A01DCCC" w:rsidR="00CA19B0" w:rsidRPr="00ED12CF" w:rsidRDefault="005319B4" w:rsidP="00ED12CF">
            <w:pPr>
              <w:numPr>
                <w:ilvl w:val="0"/>
                <w:numId w:val="1"/>
              </w:numPr>
              <w:spacing w:after="120" w:line="240" w:lineRule="auto"/>
              <w:ind w:left="284" w:hanging="284"/>
              <w:rPr>
                <w:rFonts w:cs="Calibri"/>
                <w:bCs/>
                <w:i/>
                <w:lang w:val="fr-CH" w:eastAsia="zh-TW"/>
              </w:rPr>
            </w:pPr>
            <w:r>
              <w:rPr>
                <w:rFonts w:cs="Calibri"/>
                <w:b/>
                <w:lang w:val="fr-FR"/>
              </w:rPr>
              <w:t xml:space="preserve">Dr. </w:t>
            </w:r>
            <w:bookmarkStart w:id="0" w:name="_GoBack"/>
            <w:bookmarkEnd w:id="0"/>
            <w:r w:rsidR="00CA19B0" w:rsidRPr="005B31EF">
              <w:rPr>
                <w:rFonts w:cs="Calibri"/>
                <w:b/>
                <w:bCs/>
                <w:lang w:val="fr-FR" w:eastAsia="zh-TW"/>
              </w:rPr>
              <w:t>Natalia Kanem</w:t>
            </w:r>
            <w:r w:rsidR="00CA19B0" w:rsidRPr="005B31EF">
              <w:rPr>
                <w:rFonts w:cs="Calibri"/>
                <w:bCs/>
                <w:lang w:val="fr-FR" w:eastAsia="zh-TW"/>
              </w:rPr>
              <w:t>,</w:t>
            </w:r>
            <w:r w:rsidR="00CA19B0" w:rsidRPr="005B31EF">
              <w:rPr>
                <w:rFonts w:cs="Calibri"/>
                <w:b/>
                <w:bCs/>
                <w:lang w:val="fr-FR" w:eastAsia="zh-TW"/>
              </w:rPr>
              <w:t xml:space="preserve"> </w:t>
            </w:r>
            <w:r w:rsidR="00254492" w:rsidRPr="005B31EF">
              <w:rPr>
                <w:rFonts w:cs="Calibri"/>
                <w:bCs/>
                <w:lang w:val="fr-FR" w:eastAsia="zh-TW"/>
              </w:rPr>
              <w:t>Directr</w:t>
            </w:r>
            <w:r w:rsidR="005B31EF" w:rsidRPr="005B31EF">
              <w:rPr>
                <w:rFonts w:cs="Calibri"/>
                <w:bCs/>
                <w:lang w:val="fr-FR" w:eastAsia="zh-TW"/>
              </w:rPr>
              <w:t>ice</w:t>
            </w:r>
            <w:r w:rsidR="00254492" w:rsidRPr="005B31EF">
              <w:rPr>
                <w:rFonts w:cs="Calibri"/>
                <w:bCs/>
                <w:lang w:val="fr-FR" w:eastAsia="zh-TW"/>
              </w:rPr>
              <w:t xml:space="preserve"> </w:t>
            </w:r>
            <w:r w:rsidR="005B31EF" w:rsidRPr="00150BB2">
              <w:rPr>
                <w:rFonts w:cs="Calibri"/>
                <w:bCs/>
                <w:lang w:val="fr-FR" w:eastAsia="zh-TW"/>
              </w:rPr>
              <w:t>Exécutive du Fonds</w:t>
            </w:r>
            <w:r w:rsidR="005B31EF" w:rsidRPr="005B31EF">
              <w:rPr>
                <w:rFonts w:cs="Calibri"/>
                <w:bCs/>
                <w:lang w:val="fr-FR" w:eastAsia="zh-TW"/>
              </w:rPr>
              <w:t xml:space="preserve"> des Nations Unies pour la population </w:t>
            </w:r>
            <w:r w:rsidR="00254492" w:rsidRPr="005B31EF">
              <w:rPr>
                <w:rFonts w:cs="Calibri"/>
                <w:bCs/>
                <w:lang w:val="fr-FR" w:eastAsia="zh-TW"/>
              </w:rPr>
              <w:t>(</w:t>
            </w:r>
            <w:r w:rsidR="00CA19B0" w:rsidRPr="005B31EF">
              <w:rPr>
                <w:rFonts w:cs="Calibri"/>
                <w:bCs/>
                <w:lang w:val="fr-FR" w:eastAsia="zh-TW"/>
              </w:rPr>
              <w:t>UNFPA</w:t>
            </w:r>
            <w:r w:rsidR="00254492" w:rsidRPr="005B31EF">
              <w:rPr>
                <w:rFonts w:cs="Calibri"/>
                <w:bCs/>
                <w:lang w:val="fr-FR" w:eastAsia="zh-TW"/>
              </w:rPr>
              <w:t>)</w:t>
            </w:r>
            <w:r w:rsidR="00964329" w:rsidRPr="005B31EF">
              <w:rPr>
                <w:rFonts w:cs="Calibri"/>
                <w:bCs/>
                <w:lang w:val="fr-FR" w:eastAsia="zh-TW"/>
              </w:rPr>
              <w:t xml:space="preserve"> </w:t>
            </w:r>
            <w:r w:rsidR="00964329" w:rsidRPr="005B31EF">
              <w:rPr>
                <w:rFonts w:cs="Calibri"/>
                <w:bCs/>
                <w:i/>
                <w:lang w:val="fr-FR" w:eastAsia="zh-TW"/>
              </w:rPr>
              <w:t>(</w:t>
            </w:r>
            <w:r w:rsidR="00CA19B0" w:rsidRPr="005B31EF">
              <w:rPr>
                <w:rFonts w:cs="Calibri"/>
                <w:bCs/>
                <w:i/>
                <w:lang w:val="fr-FR" w:eastAsia="zh-TW"/>
              </w:rPr>
              <w:t>message</w:t>
            </w:r>
            <w:r w:rsidR="005B31EF" w:rsidRPr="005B31EF">
              <w:rPr>
                <w:rFonts w:cs="Calibri"/>
                <w:bCs/>
                <w:i/>
                <w:lang w:val="fr-FR" w:eastAsia="zh-TW"/>
              </w:rPr>
              <w:t xml:space="preserve"> vid</w:t>
            </w:r>
            <w:r w:rsidR="005B31EF">
              <w:rPr>
                <w:rFonts w:cs="Calibri"/>
                <w:bCs/>
                <w:i/>
                <w:lang w:val="fr-FR" w:eastAsia="zh-TW"/>
              </w:rPr>
              <w:t>é</w:t>
            </w:r>
            <w:r w:rsidR="005B31EF" w:rsidRPr="005B31EF">
              <w:rPr>
                <w:rFonts w:cs="Calibri"/>
                <w:bCs/>
                <w:i/>
                <w:lang w:val="fr-FR" w:eastAsia="zh-TW"/>
              </w:rPr>
              <w:t>o</w:t>
            </w:r>
            <w:r w:rsidR="00CA19B0" w:rsidRPr="005B31EF">
              <w:rPr>
                <w:rFonts w:cs="Calibri"/>
                <w:bCs/>
                <w:i/>
                <w:lang w:val="fr-FR" w:eastAsia="zh-TW"/>
              </w:rPr>
              <w:t>)</w:t>
            </w:r>
            <w:r w:rsidR="00326110">
              <w:rPr>
                <w:rFonts w:cs="Calibri"/>
                <w:bCs/>
                <w:i/>
                <w:lang w:val="fr-FR" w:eastAsia="zh-TW"/>
              </w:rPr>
              <w:t xml:space="preserve"> </w:t>
            </w:r>
            <w:r w:rsidR="00326110">
              <w:rPr>
                <w:rFonts w:cs="Calibri"/>
                <w:bCs/>
                <w:lang w:val="fr-FR" w:eastAsia="zh-TW"/>
              </w:rPr>
              <w:t xml:space="preserve">et </w:t>
            </w:r>
            <w:r w:rsidR="0053508F" w:rsidRPr="008D0831">
              <w:rPr>
                <w:rFonts w:cs="Calibri"/>
                <w:b/>
                <w:bCs/>
                <w:lang w:val="fr-FR" w:eastAsia="zh-TW"/>
              </w:rPr>
              <w:t>Mme</w:t>
            </w:r>
            <w:r w:rsidR="0053508F">
              <w:rPr>
                <w:rFonts w:cs="Calibri"/>
                <w:bCs/>
                <w:lang w:val="fr-FR" w:eastAsia="zh-TW"/>
              </w:rPr>
              <w:t xml:space="preserve"> </w:t>
            </w:r>
            <w:r w:rsidR="00326110" w:rsidRPr="00326110">
              <w:rPr>
                <w:rFonts w:cs="Calibri"/>
                <w:b/>
                <w:bCs/>
                <w:lang w:val="fr-CH" w:eastAsia="zh-TW"/>
              </w:rPr>
              <w:t>Monica Ferro</w:t>
            </w:r>
            <w:r w:rsidR="00326110" w:rsidRPr="00326110">
              <w:rPr>
                <w:rFonts w:cs="Calibri"/>
                <w:bCs/>
                <w:lang w:val="fr-CH" w:eastAsia="zh-TW"/>
              </w:rPr>
              <w:t xml:space="preserve">, </w:t>
            </w:r>
            <w:r w:rsidR="00326110" w:rsidRPr="00326110">
              <w:rPr>
                <w:rFonts w:cs="Calibri"/>
                <w:bCs/>
                <w:lang w:val="fr-FR" w:eastAsia="zh-TW"/>
              </w:rPr>
              <w:t>Directrice du Bureau de UNFPA à Genève</w:t>
            </w:r>
            <w:r w:rsidR="00ED12CF">
              <w:rPr>
                <w:rFonts w:cs="Calibri"/>
                <w:bCs/>
                <w:lang w:val="fr-FR" w:eastAsia="zh-TW"/>
              </w:rPr>
              <w:t xml:space="preserve"> </w:t>
            </w:r>
            <w:r w:rsidR="00ED12CF">
              <w:rPr>
                <w:rFonts w:cs="Calibri"/>
                <w:bCs/>
                <w:i/>
                <w:lang w:val="fr-FR" w:eastAsia="zh-TW"/>
              </w:rPr>
              <w:t>(</w:t>
            </w:r>
            <w:r w:rsidR="00ED12CF" w:rsidRPr="00ED12CF">
              <w:rPr>
                <w:rFonts w:cs="Calibri"/>
                <w:bCs/>
                <w:i/>
                <w:lang w:val="fr-CH" w:eastAsia="zh-TW"/>
              </w:rPr>
              <w:t>observations finales</w:t>
            </w:r>
            <w:r w:rsidR="00ED12CF">
              <w:rPr>
                <w:rFonts w:cs="Calibri"/>
                <w:bCs/>
                <w:i/>
                <w:lang w:val="fr-CH" w:eastAsia="zh-TW"/>
              </w:rPr>
              <w:t>)</w:t>
            </w:r>
          </w:p>
          <w:p w14:paraId="594E7F92" w14:textId="04A2F47E" w:rsidR="004F0A64" w:rsidRPr="005B31EF" w:rsidRDefault="005B31EF" w:rsidP="00176100">
            <w:pPr>
              <w:numPr>
                <w:ilvl w:val="0"/>
                <w:numId w:val="1"/>
              </w:numPr>
              <w:spacing w:after="120" w:line="240" w:lineRule="auto"/>
              <w:ind w:left="284" w:hanging="284"/>
              <w:rPr>
                <w:rFonts w:cs="Calibri"/>
                <w:b/>
                <w:bCs/>
                <w:lang w:val="fr-FR" w:eastAsia="zh-TW"/>
              </w:rPr>
            </w:pPr>
            <w:r w:rsidRPr="005B31EF">
              <w:rPr>
                <w:rFonts w:cs="Calibri"/>
                <w:b/>
                <w:lang w:val="fr-FR"/>
              </w:rPr>
              <w:t>S</w:t>
            </w:r>
            <w:r w:rsidR="00CA19B0" w:rsidRPr="005B31EF">
              <w:rPr>
                <w:rFonts w:cs="Calibri"/>
                <w:b/>
                <w:lang w:val="fr-FR"/>
              </w:rPr>
              <w:t>.E</w:t>
            </w:r>
            <w:r w:rsidR="008501CD" w:rsidRPr="005B31EF">
              <w:rPr>
                <w:rFonts w:cs="Calibri"/>
                <w:b/>
                <w:lang w:val="fr-FR"/>
              </w:rPr>
              <w:t>.</w:t>
            </w:r>
            <w:r w:rsidR="00CA19B0" w:rsidRPr="005B31EF">
              <w:rPr>
                <w:rFonts w:cs="Calibri"/>
                <w:b/>
                <w:lang w:val="fr-FR"/>
              </w:rPr>
              <w:t xml:space="preserve"> </w:t>
            </w:r>
            <w:r w:rsidR="004F0A64" w:rsidRPr="005B31EF">
              <w:rPr>
                <w:rFonts w:cs="Calibri"/>
                <w:b/>
                <w:lang w:val="fr-FR"/>
              </w:rPr>
              <w:t>M</w:t>
            </w:r>
            <w:r w:rsidRPr="005B31EF">
              <w:rPr>
                <w:rFonts w:cs="Calibri"/>
                <w:b/>
                <w:lang w:val="fr-FR"/>
              </w:rPr>
              <w:t>me</w:t>
            </w:r>
            <w:r w:rsidR="00254492" w:rsidRPr="005B31EF">
              <w:rPr>
                <w:rFonts w:cs="Calibri"/>
                <w:bCs/>
                <w:lang w:val="fr-FR"/>
              </w:rPr>
              <w:t xml:space="preserve"> </w:t>
            </w:r>
            <w:proofErr w:type="spellStart"/>
            <w:r w:rsidR="00CA19B0" w:rsidRPr="005B31EF">
              <w:rPr>
                <w:rFonts w:cs="Calibri"/>
                <w:b/>
                <w:bCs/>
                <w:lang w:val="fr-FR"/>
              </w:rPr>
              <w:t>Amira</w:t>
            </w:r>
            <w:proofErr w:type="spellEnd"/>
            <w:r w:rsidR="00CA19B0" w:rsidRPr="005B31EF">
              <w:rPr>
                <w:rFonts w:cs="Calibri"/>
                <w:b/>
                <w:bCs/>
                <w:lang w:val="fr-FR"/>
              </w:rPr>
              <w:t xml:space="preserve"> </w:t>
            </w:r>
            <w:proofErr w:type="spellStart"/>
            <w:r w:rsidR="00CA19B0" w:rsidRPr="005B31EF">
              <w:rPr>
                <w:rFonts w:cs="Calibri"/>
                <w:b/>
                <w:bCs/>
                <w:lang w:val="fr-FR"/>
              </w:rPr>
              <w:t>Elfadil</w:t>
            </w:r>
            <w:proofErr w:type="spellEnd"/>
            <w:r w:rsidR="00CA19B0" w:rsidRPr="005B31EF">
              <w:rPr>
                <w:rFonts w:cs="Calibri"/>
                <w:b/>
                <w:bCs/>
                <w:lang w:val="fr-FR"/>
              </w:rPr>
              <w:t xml:space="preserve"> Mohammed </w:t>
            </w:r>
            <w:proofErr w:type="spellStart"/>
            <w:r w:rsidR="00CA19B0" w:rsidRPr="005B31EF">
              <w:rPr>
                <w:rFonts w:cs="Calibri"/>
                <w:b/>
                <w:bCs/>
                <w:lang w:val="fr-FR"/>
              </w:rPr>
              <w:t>Elfadil</w:t>
            </w:r>
            <w:proofErr w:type="spellEnd"/>
            <w:r w:rsidR="00CA19B0" w:rsidRPr="005B31EF">
              <w:rPr>
                <w:rFonts w:cs="Calibri"/>
                <w:bCs/>
                <w:lang w:val="fr-FR"/>
              </w:rPr>
              <w:t>,</w:t>
            </w:r>
            <w:r w:rsidR="00CA19B0" w:rsidRPr="005B31EF">
              <w:rPr>
                <w:rFonts w:cs="Calibri"/>
                <w:b/>
                <w:bCs/>
                <w:lang w:val="fr-FR"/>
              </w:rPr>
              <w:t xml:space="preserve"> </w:t>
            </w:r>
            <w:r w:rsidR="00B11F54">
              <w:rPr>
                <w:rFonts w:cs="Calibri"/>
                <w:bCs/>
                <w:lang w:val="fr-FR"/>
              </w:rPr>
              <w:t>Commiss</w:t>
            </w:r>
            <w:r w:rsidRPr="005B31EF">
              <w:rPr>
                <w:rFonts w:cs="Calibri"/>
                <w:bCs/>
                <w:lang w:val="fr-FR"/>
              </w:rPr>
              <w:t xml:space="preserve">aire aux Affaires </w:t>
            </w:r>
            <w:r w:rsidR="00754D65" w:rsidRPr="005B31EF">
              <w:rPr>
                <w:rFonts w:cs="Calibri"/>
                <w:bCs/>
                <w:lang w:val="fr-FR"/>
              </w:rPr>
              <w:t>Social</w:t>
            </w:r>
            <w:r w:rsidRPr="005B31EF">
              <w:rPr>
                <w:rFonts w:cs="Calibri"/>
                <w:bCs/>
                <w:lang w:val="fr-FR"/>
              </w:rPr>
              <w:t>es de la Commission de l’U</w:t>
            </w:r>
            <w:r>
              <w:rPr>
                <w:rFonts w:cs="Calibri"/>
                <w:bCs/>
                <w:lang w:val="fr-FR"/>
              </w:rPr>
              <w:t xml:space="preserve">nion </w:t>
            </w:r>
            <w:r w:rsidR="00A91334" w:rsidRPr="005B31EF">
              <w:rPr>
                <w:rFonts w:cs="Calibri"/>
                <w:bCs/>
                <w:lang w:val="fr-FR"/>
              </w:rPr>
              <w:t>Africa</w:t>
            </w:r>
            <w:r>
              <w:rPr>
                <w:rFonts w:cs="Calibri"/>
                <w:bCs/>
                <w:lang w:val="fr-FR"/>
              </w:rPr>
              <w:t>i</w:t>
            </w:r>
            <w:r w:rsidR="00A91334" w:rsidRPr="005B31EF">
              <w:rPr>
                <w:rFonts w:cs="Calibri"/>
                <w:bCs/>
                <w:lang w:val="fr-FR"/>
              </w:rPr>
              <w:t>n</w:t>
            </w:r>
            <w:r>
              <w:rPr>
                <w:rFonts w:cs="Calibri"/>
                <w:bCs/>
                <w:lang w:val="fr-FR"/>
              </w:rPr>
              <w:t>e</w:t>
            </w:r>
            <w:r w:rsidR="00493782" w:rsidRPr="005B31EF">
              <w:rPr>
                <w:rFonts w:cs="Calibri"/>
                <w:bCs/>
                <w:lang w:val="fr-FR"/>
              </w:rPr>
              <w:t xml:space="preserve"> </w:t>
            </w:r>
            <w:r w:rsidR="007F5558" w:rsidRPr="005B31EF">
              <w:rPr>
                <w:rFonts w:cs="Calibri"/>
                <w:i/>
                <w:lang w:val="fr-FR"/>
              </w:rPr>
              <w:t>(message</w:t>
            </w:r>
            <w:r w:rsidRPr="005B31EF">
              <w:rPr>
                <w:rFonts w:cs="Calibri"/>
                <w:i/>
                <w:lang w:val="fr-FR"/>
              </w:rPr>
              <w:t xml:space="preserve"> vid</w:t>
            </w:r>
            <w:r>
              <w:rPr>
                <w:rFonts w:cs="Calibri"/>
                <w:i/>
                <w:lang w:val="fr-FR"/>
              </w:rPr>
              <w:t>é</w:t>
            </w:r>
            <w:r w:rsidRPr="005B31EF">
              <w:rPr>
                <w:rFonts w:cs="Calibri"/>
                <w:i/>
                <w:lang w:val="fr-FR"/>
              </w:rPr>
              <w:t>o</w:t>
            </w:r>
            <w:r w:rsidR="007F5558" w:rsidRPr="005B31EF">
              <w:rPr>
                <w:rFonts w:cs="Calibri"/>
                <w:i/>
                <w:lang w:val="fr-FR"/>
              </w:rPr>
              <w:t>)</w:t>
            </w:r>
          </w:p>
          <w:p w14:paraId="3380EE5D" w14:textId="2C929B13" w:rsidR="004F0A64" w:rsidRPr="00B11F54" w:rsidRDefault="004F0A64" w:rsidP="00AF7439">
            <w:pPr>
              <w:numPr>
                <w:ilvl w:val="0"/>
                <w:numId w:val="1"/>
              </w:numPr>
              <w:spacing w:after="160" w:line="240" w:lineRule="auto"/>
              <w:ind w:left="284" w:hanging="284"/>
              <w:rPr>
                <w:rFonts w:cs="Calibri"/>
                <w:b/>
                <w:bCs/>
                <w:lang w:val="fr-FR" w:eastAsia="zh-TW"/>
              </w:rPr>
            </w:pPr>
            <w:r w:rsidRPr="00B11F54">
              <w:rPr>
                <w:rFonts w:cs="Calibri"/>
                <w:b/>
                <w:lang w:val="fr-FR"/>
              </w:rPr>
              <w:t xml:space="preserve">M. </w:t>
            </w:r>
            <w:proofErr w:type="spellStart"/>
            <w:r w:rsidR="0034013F" w:rsidRPr="00B11F54">
              <w:rPr>
                <w:rFonts w:cs="Calibri"/>
                <w:b/>
                <w:lang w:val="fr-FR"/>
              </w:rPr>
              <w:t>Bahru</w:t>
            </w:r>
            <w:r w:rsidR="00AF7439">
              <w:rPr>
                <w:rFonts w:cs="Calibri"/>
                <w:b/>
                <w:lang w:val="fr-FR"/>
              </w:rPr>
              <w:t>l</w:t>
            </w:r>
            <w:proofErr w:type="spellEnd"/>
            <w:r w:rsidR="0034013F" w:rsidRPr="00B11F54">
              <w:rPr>
                <w:rFonts w:cs="Calibri"/>
                <w:b/>
                <w:lang w:val="fr-FR"/>
              </w:rPr>
              <w:t xml:space="preserve"> </w:t>
            </w:r>
            <w:proofErr w:type="spellStart"/>
            <w:r w:rsidR="00C33BC3" w:rsidRPr="00B11F54">
              <w:rPr>
                <w:rFonts w:cs="Calibri"/>
                <w:b/>
                <w:lang w:val="fr-FR"/>
              </w:rPr>
              <w:t>Fuad</w:t>
            </w:r>
            <w:proofErr w:type="spellEnd"/>
            <w:r w:rsidR="00754D65" w:rsidRPr="00B11F54">
              <w:rPr>
                <w:rFonts w:cs="Calibri"/>
                <w:lang w:val="fr-FR"/>
              </w:rPr>
              <w:t xml:space="preserve">, </w:t>
            </w:r>
            <w:r w:rsidR="0034013F" w:rsidRPr="00B11F54">
              <w:rPr>
                <w:rFonts w:cs="Calibri"/>
                <w:lang w:val="fr-FR"/>
              </w:rPr>
              <w:t>Commiss</w:t>
            </w:r>
            <w:r w:rsidR="00B11F54" w:rsidRPr="00B11F54">
              <w:rPr>
                <w:rFonts w:cs="Calibri"/>
                <w:lang w:val="fr-FR"/>
              </w:rPr>
              <w:t xml:space="preserve">aire </w:t>
            </w:r>
            <w:r w:rsidR="00F70208">
              <w:rPr>
                <w:rFonts w:cs="Calibri"/>
                <w:lang w:val="fr-FR"/>
              </w:rPr>
              <w:t>à</w:t>
            </w:r>
            <w:r w:rsidR="00B11F54" w:rsidRPr="00B11F54">
              <w:rPr>
                <w:rFonts w:cs="Calibri"/>
                <w:lang w:val="fr-FR"/>
              </w:rPr>
              <w:t xml:space="preserve"> la</w:t>
            </w:r>
            <w:r w:rsidR="0034013F" w:rsidRPr="00B11F54">
              <w:rPr>
                <w:rFonts w:cs="Calibri"/>
                <w:lang w:val="fr-FR"/>
              </w:rPr>
              <w:t xml:space="preserve"> Commission </w:t>
            </w:r>
            <w:r w:rsidR="00B11F54" w:rsidRPr="00B11F54">
              <w:rPr>
                <w:rFonts w:cs="Calibri"/>
                <w:lang w:val="fr-FR"/>
              </w:rPr>
              <w:t>nationale sur les violences contre les femmes</w:t>
            </w:r>
            <w:r w:rsidR="0034013F" w:rsidRPr="00B11F54">
              <w:rPr>
                <w:rFonts w:cs="Calibri"/>
                <w:b/>
                <w:lang w:val="fr-FR"/>
              </w:rPr>
              <w:t xml:space="preserve"> </w:t>
            </w:r>
            <w:r w:rsidR="00254492" w:rsidRPr="00B11F54">
              <w:rPr>
                <w:rFonts w:cs="Calibri"/>
                <w:lang w:val="fr-FR"/>
              </w:rPr>
              <w:t>(</w:t>
            </w:r>
            <w:proofErr w:type="spellStart"/>
            <w:r w:rsidR="00964329" w:rsidRPr="00B11F54">
              <w:rPr>
                <w:iCs/>
                <w:lang w:val="fr-FR"/>
              </w:rPr>
              <w:t>Komnas</w:t>
            </w:r>
            <w:proofErr w:type="spellEnd"/>
            <w:r w:rsidR="00964329" w:rsidRPr="00B11F54">
              <w:rPr>
                <w:iCs/>
                <w:lang w:val="fr-FR"/>
              </w:rPr>
              <w:t xml:space="preserve"> </w:t>
            </w:r>
            <w:proofErr w:type="spellStart"/>
            <w:r w:rsidR="00964329" w:rsidRPr="00B11F54">
              <w:rPr>
                <w:iCs/>
                <w:lang w:val="fr-FR"/>
              </w:rPr>
              <w:t>Perempuan</w:t>
            </w:r>
            <w:proofErr w:type="spellEnd"/>
            <w:r w:rsidR="00254492" w:rsidRPr="00B11F54">
              <w:rPr>
                <w:iCs/>
                <w:lang w:val="fr-FR"/>
              </w:rPr>
              <w:t>)</w:t>
            </w:r>
            <w:r w:rsidR="00B11F54">
              <w:rPr>
                <w:iCs/>
                <w:lang w:val="fr-FR"/>
              </w:rPr>
              <w:t xml:space="preserve"> d’</w:t>
            </w:r>
            <w:r w:rsidR="00C33BC3" w:rsidRPr="00B11F54">
              <w:rPr>
                <w:rFonts w:cs="Calibri"/>
                <w:lang w:val="fr-FR"/>
              </w:rPr>
              <w:t>Indon</w:t>
            </w:r>
            <w:r w:rsidR="00B11F54">
              <w:rPr>
                <w:rFonts w:cs="Calibri"/>
                <w:lang w:val="fr-FR"/>
              </w:rPr>
              <w:t>é</w:t>
            </w:r>
            <w:r w:rsidR="00C33BC3" w:rsidRPr="00B11F54">
              <w:rPr>
                <w:rFonts w:cs="Calibri"/>
                <w:lang w:val="fr-FR"/>
              </w:rPr>
              <w:t>si</w:t>
            </w:r>
            <w:r w:rsidR="00B11F54">
              <w:rPr>
                <w:rFonts w:cs="Calibri"/>
                <w:lang w:val="fr-FR"/>
              </w:rPr>
              <w:t>e</w:t>
            </w:r>
            <w:r w:rsidR="00493782" w:rsidRPr="00B11F54">
              <w:rPr>
                <w:rFonts w:cs="Calibri"/>
                <w:lang w:val="fr-FR"/>
              </w:rPr>
              <w:t xml:space="preserve"> </w:t>
            </w:r>
            <w:r w:rsidR="007F5558" w:rsidRPr="00B11F54">
              <w:rPr>
                <w:rFonts w:cs="Calibri"/>
                <w:i/>
                <w:lang w:val="fr-FR"/>
              </w:rPr>
              <w:t>(message</w:t>
            </w:r>
            <w:r w:rsidR="005B31EF" w:rsidRPr="00B11F54">
              <w:rPr>
                <w:rFonts w:cs="Calibri"/>
                <w:i/>
                <w:lang w:val="fr-FR"/>
              </w:rPr>
              <w:t xml:space="preserve"> vidéo</w:t>
            </w:r>
            <w:r w:rsidR="007F5558" w:rsidRPr="00B11F54">
              <w:rPr>
                <w:rFonts w:cs="Calibri"/>
                <w:i/>
                <w:lang w:val="fr-FR"/>
              </w:rPr>
              <w:t>)</w:t>
            </w:r>
          </w:p>
        </w:tc>
      </w:tr>
      <w:tr w:rsidR="004F0A64" w:rsidRPr="00A97275" w14:paraId="7CAAEF70" w14:textId="77777777" w:rsidTr="009053DB">
        <w:trPr>
          <w:trHeight w:val="262"/>
        </w:trPr>
        <w:tc>
          <w:tcPr>
            <w:tcW w:w="1450" w:type="dxa"/>
            <w:shd w:val="clear" w:color="auto" w:fill="auto"/>
          </w:tcPr>
          <w:p w14:paraId="1E33DF7B" w14:textId="38916DDF" w:rsidR="004F0A64" w:rsidRPr="00D06C96" w:rsidRDefault="003C0A97" w:rsidP="00BD69AC">
            <w:pPr>
              <w:spacing w:after="0" w:line="240" w:lineRule="auto"/>
              <w:jc w:val="both"/>
              <w:rPr>
                <w:rFonts w:cs="Calibri"/>
                <w:b/>
              </w:rPr>
            </w:pPr>
            <w:proofErr w:type="spellStart"/>
            <w:r>
              <w:rPr>
                <w:rFonts w:cs="Calibri"/>
                <w:b/>
              </w:rPr>
              <w:t>Résultat</w:t>
            </w:r>
            <w:proofErr w:type="spellEnd"/>
            <w:r w:rsidR="004F0A64" w:rsidRPr="00D06C96">
              <w:rPr>
                <w:rFonts w:cs="Calibri"/>
                <w:b/>
              </w:rPr>
              <w:t xml:space="preserve">: </w:t>
            </w:r>
          </w:p>
        </w:tc>
        <w:tc>
          <w:tcPr>
            <w:tcW w:w="8648" w:type="dxa"/>
            <w:shd w:val="clear" w:color="auto" w:fill="auto"/>
          </w:tcPr>
          <w:p w14:paraId="471145AE" w14:textId="08981046" w:rsidR="004F0A64" w:rsidRPr="005029A8" w:rsidRDefault="005029A8" w:rsidP="00176100">
            <w:pPr>
              <w:spacing w:after="120" w:line="240" w:lineRule="auto"/>
              <w:jc w:val="both"/>
              <w:rPr>
                <w:rFonts w:cs="Calibri"/>
                <w:lang w:val="fr-FR"/>
              </w:rPr>
            </w:pPr>
            <w:r w:rsidRPr="005029A8">
              <w:rPr>
                <w:rFonts w:cs="Calibri"/>
                <w:bCs/>
                <w:lang w:val="fr-FR"/>
              </w:rPr>
              <w:t xml:space="preserve">Un rapport de synthèse </w:t>
            </w:r>
            <w:r w:rsidR="00F70208">
              <w:rPr>
                <w:rFonts w:cs="Calibri"/>
                <w:bCs/>
                <w:lang w:val="fr-FR"/>
              </w:rPr>
              <w:t>de</w:t>
            </w:r>
            <w:r w:rsidRPr="005029A8">
              <w:rPr>
                <w:rFonts w:cs="Calibri"/>
                <w:bCs/>
                <w:lang w:val="fr-FR"/>
              </w:rPr>
              <w:t xml:space="preserve"> la discussion sera préparé par le HCDH.</w:t>
            </w:r>
          </w:p>
        </w:tc>
      </w:tr>
      <w:tr w:rsidR="004F0A64" w:rsidRPr="00A97275" w14:paraId="5997222F" w14:textId="77777777" w:rsidTr="009053DB">
        <w:tc>
          <w:tcPr>
            <w:tcW w:w="1450" w:type="dxa"/>
            <w:shd w:val="clear" w:color="auto" w:fill="auto"/>
          </w:tcPr>
          <w:p w14:paraId="44B0839D" w14:textId="38237D05" w:rsidR="004F0A64" w:rsidRPr="00D06C96" w:rsidRDefault="004F0A64" w:rsidP="00176100">
            <w:pPr>
              <w:spacing w:after="0" w:line="240" w:lineRule="auto"/>
              <w:jc w:val="both"/>
              <w:rPr>
                <w:rFonts w:cs="Calibri"/>
                <w:b/>
              </w:rPr>
            </w:pPr>
            <w:proofErr w:type="spellStart"/>
            <w:r w:rsidRPr="00D06C96">
              <w:rPr>
                <w:rFonts w:cs="Calibri"/>
                <w:b/>
              </w:rPr>
              <w:t>Mandat</w:t>
            </w:r>
            <w:proofErr w:type="spellEnd"/>
            <w:r w:rsidRPr="00D06C96">
              <w:rPr>
                <w:rFonts w:cs="Calibri"/>
                <w:b/>
              </w:rPr>
              <w:t xml:space="preserve">: </w:t>
            </w:r>
          </w:p>
        </w:tc>
        <w:tc>
          <w:tcPr>
            <w:tcW w:w="8648" w:type="dxa"/>
            <w:shd w:val="clear" w:color="auto" w:fill="auto"/>
          </w:tcPr>
          <w:p w14:paraId="42B5F57A" w14:textId="07C08FFD" w:rsidR="004F0A64" w:rsidRPr="0092013A" w:rsidRDefault="0092013A" w:rsidP="00176100">
            <w:pPr>
              <w:spacing w:after="120" w:line="240" w:lineRule="auto"/>
              <w:jc w:val="both"/>
              <w:rPr>
                <w:rFonts w:cs="Calibri"/>
                <w:lang w:val="fr-FR"/>
              </w:rPr>
            </w:pPr>
            <w:r w:rsidRPr="0092013A">
              <w:rPr>
                <w:rFonts w:cs="Calibri"/>
                <w:lang w:val="fr-FR"/>
              </w:rPr>
              <w:t xml:space="preserve">Dans sa résolution 44/16, le Conseil des droits de l'homme a décidé de tenir une table ronde de haut niveau sur l’action multisectorielle de prévention et lutte contre les </w:t>
            </w:r>
            <w:r>
              <w:rPr>
                <w:rFonts w:cs="Calibri"/>
                <w:lang w:val="fr-FR"/>
              </w:rPr>
              <w:t>mutilations génitales féminines</w:t>
            </w:r>
            <w:r w:rsidR="00354F0F" w:rsidRPr="0092013A">
              <w:rPr>
                <w:rFonts w:cs="Calibri"/>
                <w:lang w:val="fr-FR"/>
              </w:rPr>
              <w:t>.</w:t>
            </w:r>
            <w:r w:rsidR="004F0A64" w:rsidRPr="0092013A">
              <w:rPr>
                <w:rFonts w:cs="Calibri"/>
                <w:lang w:val="fr-FR"/>
              </w:rPr>
              <w:t xml:space="preserve"> </w:t>
            </w:r>
          </w:p>
        </w:tc>
      </w:tr>
      <w:tr w:rsidR="004F0A64" w:rsidRPr="00A97275" w14:paraId="0F529260" w14:textId="77777777" w:rsidTr="009053DB">
        <w:tc>
          <w:tcPr>
            <w:tcW w:w="1450" w:type="dxa"/>
            <w:shd w:val="clear" w:color="auto" w:fill="auto"/>
          </w:tcPr>
          <w:p w14:paraId="16074F40" w14:textId="77777777" w:rsidR="004F0A64" w:rsidRPr="00D06C96" w:rsidRDefault="004F0A64" w:rsidP="00176100">
            <w:pPr>
              <w:spacing w:after="0" w:line="240" w:lineRule="auto"/>
              <w:rPr>
                <w:rFonts w:cs="Calibri"/>
                <w:b/>
              </w:rPr>
            </w:pPr>
            <w:r w:rsidRPr="00D06C96">
              <w:rPr>
                <w:rFonts w:cs="Calibri"/>
                <w:b/>
              </w:rPr>
              <w:t xml:space="preserve">Format: </w:t>
            </w:r>
          </w:p>
        </w:tc>
        <w:tc>
          <w:tcPr>
            <w:tcW w:w="8648" w:type="dxa"/>
            <w:shd w:val="clear" w:color="auto" w:fill="auto"/>
          </w:tcPr>
          <w:p w14:paraId="31780C7D" w14:textId="02801036" w:rsidR="00BD4DD4" w:rsidRPr="0092013A" w:rsidRDefault="0092013A" w:rsidP="00176100">
            <w:pPr>
              <w:spacing w:after="120" w:line="240" w:lineRule="auto"/>
              <w:jc w:val="both"/>
              <w:rPr>
                <w:rFonts w:eastAsia="PMingLiU" w:cs="Calibri"/>
                <w:bCs/>
                <w:lang w:val="fr-FR"/>
              </w:rPr>
            </w:pPr>
            <w:r w:rsidRPr="0092013A">
              <w:rPr>
                <w:rFonts w:eastAsia="PMingLiU" w:cs="Calibri"/>
                <w:bCs/>
                <w:lang w:val="fr-FR"/>
              </w:rPr>
              <w:t>La d</w:t>
            </w:r>
            <w:r w:rsidR="00F70208">
              <w:rPr>
                <w:rFonts w:eastAsia="PMingLiU" w:cs="Calibri"/>
                <w:bCs/>
                <w:lang w:val="fr-FR"/>
              </w:rPr>
              <w:t>urée de la table ronde est</w:t>
            </w:r>
            <w:r w:rsidRPr="0092013A">
              <w:rPr>
                <w:rFonts w:eastAsia="PMingLiU" w:cs="Calibri"/>
                <w:bCs/>
                <w:lang w:val="fr-FR"/>
              </w:rPr>
              <w:t xml:space="preserve"> limitée à deux heures. </w:t>
            </w:r>
            <w:r w:rsidR="00F70208">
              <w:rPr>
                <w:rFonts w:eastAsia="PMingLiU" w:cs="Calibri"/>
                <w:bCs/>
                <w:lang w:val="fr-FR"/>
              </w:rPr>
              <w:t>L</w:t>
            </w:r>
            <w:r w:rsidRPr="0092013A">
              <w:rPr>
                <w:rFonts w:eastAsia="PMingLiU" w:cs="Calibri"/>
                <w:bCs/>
                <w:lang w:val="fr-FR"/>
              </w:rPr>
              <w:t>es déclarations d'ouverture et les présentations initiales des panélistes</w:t>
            </w:r>
            <w:r w:rsidR="00F70208">
              <w:rPr>
                <w:rFonts w:eastAsia="PMingLiU" w:cs="Calibri"/>
                <w:bCs/>
                <w:lang w:val="fr-FR"/>
              </w:rPr>
              <w:t xml:space="preserve"> sont suivies de </w:t>
            </w:r>
            <w:r w:rsidRPr="0092013A">
              <w:rPr>
                <w:rFonts w:eastAsia="PMingLiU" w:cs="Calibri"/>
                <w:bCs/>
                <w:lang w:val="fr-FR"/>
              </w:rPr>
              <w:t xml:space="preserve">deux segments d'interventions, </w:t>
            </w:r>
            <w:r w:rsidR="00B262C9">
              <w:rPr>
                <w:rFonts w:eastAsia="PMingLiU" w:cs="Calibri"/>
                <w:bCs/>
                <w:lang w:val="fr-FR"/>
              </w:rPr>
              <w:t>ensuite</w:t>
            </w:r>
            <w:r w:rsidRPr="0092013A">
              <w:rPr>
                <w:rFonts w:eastAsia="PMingLiU" w:cs="Calibri"/>
                <w:bCs/>
                <w:lang w:val="fr-FR"/>
              </w:rPr>
              <w:t xml:space="preserve"> des conclusions des panélistes. Une heure maximum </w:t>
            </w:r>
            <w:r w:rsidR="00B262C9">
              <w:rPr>
                <w:rFonts w:eastAsia="PMingLiU" w:cs="Calibri"/>
                <w:bCs/>
                <w:lang w:val="fr-FR"/>
              </w:rPr>
              <w:t>est</w:t>
            </w:r>
            <w:r w:rsidRPr="0092013A">
              <w:rPr>
                <w:rFonts w:eastAsia="PMingLiU" w:cs="Calibri"/>
                <w:bCs/>
                <w:lang w:val="fr-FR"/>
              </w:rPr>
              <w:t xml:space="preserve"> réservée au podium, qui couvr</w:t>
            </w:r>
            <w:r w:rsidR="00B262C9">
              <w:rPr>
                <w:rFonts w:eastAsia="PMingLiU" w:cs="Calibri"/>
                <w:bCs/>
                <w:lang w:val="fr-FR"/>
              </w:rPr>
              <w:t>e</w:t>
            </w:r>
            <w:r w:rsidRPr="0092013A">
              <w:rPr>
                <w:rFonts w:eastAsia="PMingLiU" w:cs="Calibri"/>
                <w:bCs/>
                <w:lang w:val="fr-FR"/>
              </w:rPr>
              <w:t xml:space="preserve"> l</w:t>
            </w:r>
            <w:r w:rsidR="009A1F93">
              <w:rPr>
                <w:rFonts w:eastAsia="PMingLiU" w:cs="Calibri"/>
                <w:bCs/>
                <w:lang w:val="fr-FR"/>
              </w:rPr>
              <w:t>es</w:t>
            </w:r>
            <w:r w:rsidRPr="0092013A">
              <w:rPr>
                <w:rFonts w:eastAsia="PMingLiU" w:cs="Calibri"/>
                <w:bCs/>
                <w:lang w:val="fr-FR"/>
              </w:rPr>
              <w:t xml:space="preserve"> déclaration</w:t>
            </w:r>
            <w:r w:rsidR="009A1F93">
              <w:rPr>
                <w:rFonts w:eastAsia="PMingLiU" w:cs="Calibri"/>
                <w:bCs/>
                <w:lang w:val="fr-FR"/>
              </w:rPr>
              <w:t>s</w:t>
            </w:r>
            <w:r w:rsidRPr="0092013A">
              <w:rPr>
                <w:rFonts w:eastAsia="PMingLiU" w:cs="Calibri"/>
                <w:bCs/>
                <w:lang w:val="fr-FR"/>
              </w:rPr>
              <w:t xml:space="preserve"> d'ouverture, les présentations des panélistes, leurs réponses aux questions et</w:t>
            </w:r>
            <w:r>
              <w:rPr>
                <w:rFonts w:eastAsia="PMingLiU" w:cs="Calibri"/>
                <w:bCs/>
                <w:lang w:val="fr-FR"/>
              </w:rPr>
              <w:t xml:space="preserve"> les </w:t>
            </w:r>
            <w:r w:rsidR="009A1F93">
              <w:rPr>
                <w:rFonts w:eastAsia="PMingLiU" w:cs="Calibri"/>
                <w:bCs/>
                <w:lang w:val="fr-FR"/>
              </w:rPr>
              <w:t>observation</w:t>
            </w:r>
            <w:r>
              <w:rPr>
                <w:rFonts w:eastAsia="PMingLiU" w:cs="Calibri"/>
                <w:bCs/>
                <w:lang w:val="fr-FR"/>
              </w:rPr>
              <w:t xml:space="preserve">s finales. L'heure </w:t>
            </w:r>
            <w:r w:rsidR="00B262C9">
              <w:rPr>
                <w:rFonts w:eastAsia="PMingLiU" w:cs="Calibri"/>
                <w:bCs/>
                <w:lang w:val="fr-FR"/>
              </w:rPr>
              <w:t>restante est</w:t>
            </w:r>
            <w:r w:rsidRPr="0092013A">
              <w:rPr>
                <w:rFonts w:eastAsia="PMingLiU" w:cs="Calibri"/>
                <w:bCs/>
                <w:lang w:val="fr-FR"/>
              </w:rPr>
              <w:t xml:space="preserve"> réservée </w:t>
            </w:r>
            <w:r w:rsidR="00B262C9">
              <w:rPr>
                <w:rFonts w:eastAsia="PMingLiU" w:cs="Calibri"/>
                <w:bCs/>
                <w:lang w:val="fr-FR"/>
              </w:rPr>
              <w:t>aux</w:t>
            </w:r>
            <w:r w:rsidRPr="0092013A">
              <w:rPr>
                <w:rFonts w:eastAsia="PMingLiU" w:cs="Calibri"/>
                <w:bCs/>
                <w:lang w:val="fr-FR"/>
              </w:rPr>
              <w:t xml:space="preserve"> deux segments d'interventions de la salle, chaque segment comprenant les interventions de 12 États ou observateurs, d'une institution nationale des droits de l'homme et de deux organisations non gouvernementales. Chaque intervenant dispose de deux minutes pour soulever des questions et poser des questions aux panélistes</w:t>
            </w:r>
            <w:r w:rsidR="00BD4DD4" w:rsidRPr="0092013A">
              <w:rPr>
                <w:rFonts w:eastAsia="PMingLiU" w:cs="Calibri"/>
                <w:bCs/>
                <w:lang w:val="fr-FR"/>
              </w:rPr>
              <w:t xml:space="preserve">. </w:t>
            </w:r>
            <w:r>
              <w:rPr>
                <w:rFonts w:eastAsia="PMingLiU" w:cs="Calibri"/>
                <w:bCs/>
                <w:lang w:val="fr-FR"/>
              </w:rPr>
              <w:t xml:space="preserve"> </w:t>
            </w:r>
          </w:p>
          <w:p w14:paraId="6583E0C3" w14:textId="6B29D3A3" w:rsidR="004F0A64" w:rsidRPr="00BF0BAC" w:rsidRDefault="00BF0BAC" w:rsidP="00176100">
            <w:pPr>
              <w:spacing w:after="120" w:line="240" w:lineRule="auto"/>
              <w:jc w:val="both"/>
              <w:rPr>
                <w:rFonts w:eastAsia="PMingLiU" w:cs="Calibri"/>
                <w:bCs/>
                <w:lang w:val="fr-FR"/>
              </w:rPr>
            </w:pPr>
            <w:r w:rsidRPr="00BF0BAC">
              <w:rPr>
                <w:rFonts w:eastAsia="PMingLiU" w:cs="Calibri"/>
                <w:bCs/>
                <w:lang w:val="fr-FR"/>
              </w:rPr>
              <w:t xml:space="preserve">La liste des orateurs </w:t>
            </w:r>
            <w:r w:rsidR="00B262C9">
              <w:rPr>
                <w:rFonts w:eastAsia="PMingLiU" w:cs="Calibri"/>
                <w:bCs/>
                <w:lang w:val="fr-FR"/>
              </w:rPr>
              <w:t>est</w:t>
            </w:r>
            <w:r w:rsidRPr="00BF0BAC">
              <w:rPr>
                <w:rFonts w:eastAsia="PMingLiU" w:cs="Calibri"/>
                <w:bCs/>
                <w:lang w:val="fr-FR"/>
              </w:rPr>
              <w:t xml:space="preserve"> établie par le système d'inscription en ligne et, suivant la pratique, les déclarations des dignitaires de haut niveau et des groupes d'États sont déplacées </w:t>
            </w:r>
            <w:r w:rsidR="00B262C9">
              <w:rPr>
                <w:rFonts w:eastAsia="PMingLiU" w:cs="Calibri"/>
                <w:bCs/>
                <w:lang w:val="fr-FR"/>
              </w:rPr>
              <w:t>en</w:t>
            </w:r>
            <w:r w:rsidRPr="00BF0BAC">
              <w:rPr>
                <w:rFonts w:eastAsia="PMingLiU" w:cs="Calibri"/>
                <w:bCs/>
                <w:lang w:val="fr-FR"/>
              </w:rPr>
              <w:t xml:space="preserve"> début de liste. Les délégués qui n'auront pas pu prendre la parole en raison de contraintes de temps pourront télécharger leurs déclaratio</w:t>
            </w:r>
            <w:r w:rsidR="00B262C9">
              <w:rPr>
                <w:rFonts w:eastAsia="PMingLiU" w:cs="Calibri"/>
                <w:bCs/>
                <w:lang w:val="fr-FR"/>
              </w:rPr>
              <w:t>ns sur le système en ligne qui est mis à disposition</w:t>
            </w:r>
            <w:r w:rsidRPr="00BF0BAC">
              <w:rPr>
                <w:rFonts w:eastAsia="PMingLiU" w:cs="Calibri"/>
                <w:bCs/>
                <w:lang w:val="fr-FR"/>
              </w:rPr>
              <w:t xml:space="preserve"> sur l'Extranet du Conseil des droits de l’homme.</w:t>
            </w:r>
          </w:p>
        </w:tc>
      </w:tr>
      <w:tr w:rsidR="004F0A64" w:rsidRPr="00A97275" w14:paraId="53A56856" w14:textId="77777777" w:rsidTr="009053DB">
        <w:trPr>
          <w:trHeight w:val="1126"/>
        </w:trPr>
        <w:tc>
          <w:tcPr>
            <w:tcW w:w="1450" w:type="dxa"/>
            <w:shd w:val="clear" w:color="auto" w:fill="auto"/>
          </w:tcPr>
          <w:p w14:paraId="6DC6382D" w14:textId="7ED97ABF" w:rsidR="004F0A64" w:rsidRPr="00D06C96" w:rsidRDefault="003C0A97" w:rsidP="00176100">
            <w:pPr>
              <w:spacing w:after="0" w:line="240" w:lineRule="auto"/>
              <w:jc w:val="both"/>
              <w:rPr>
                <w:rFonts w:cs="Calibri"/>
                <w:b/>
              </w:rPr>
            </w:pPr>
            <w:proofErr w:type="spellStart"/>
            <w:r>
              <w:rPr>
                <w:rFonts w:cs="Calibri"/>
                <w:b/>
              </w:rPr>
              <w:t>Contexte</w:t>
            </w:r>
            <w:proofErr w:type="spellEnd"/>
            <w:r w:rsidR="004F0A64" w:rsidRPr="00D06C96">
              <w:rPr>
                <w:rFonts w:cs="Calibri"/>
                <w:b/>
              </w:rPr>
              <w:t>:</w:t>
            </w:r>
          </w:p>
        </w:tc>
        <w:tc>
          <w:tcPr>
            <w:tcW w:w="8648" w:type="dxa"/>
            <w:shd w:val="clear" w:color="auto" w:fill="auto"/>
          </w:tcPr>
          <w:p w14:paraId="6D9F7C14" w14:textId="41B94922" w:rsidR="007E430D" w:rsidRPr="007E430D" w:rsidRDefault="007E430D" w:rsidP="00176100">
            <w:pPr>
              <w:shd w:val="clear" w:color="auto" w:fill="FFFFFF"/>
              <w:snapToGrid w:val="0"/>
              <w:spacing w:after="80" w:line="240" w:lineRule="auto"/>
              <w:jc w:val="both"/>
              <w:rPr>
                <w:rFonts w:eastAsia="PMingLiU" w:cs="Calibri"/>
                <w:bCs/>
                <w:lang w:val="fr-FR"/>
              </w:rPr>
            </w:pPr>
            <w:r w:rsidRPr="007E430D">
              <w:rPr>
                <w:rFonts w:eastAsia="PMingLiU" w:cs="Calibri"/>
                <w:bCs/>
                <w:lang w:val="fr-FR"/>
              </w:rPr>
              <w:t xml:space="preserve">Depuis plus de deux décennies, le consensus mondial est que l'élimination des mutilations génitales féminines (MGF) contribue à la réalisation de l'égalité des sexes. Un rapport récent suggère que les mutilations génitales féminines pourraient être présentes dans plus de 90 pays dans le monde, ce qui illustre leur présence dans des communautés sur tous les continents et souligne la nature mondiale de cette pratique néfaste. Reconnaissant cet impact néfaste sur les droits et la vie des femmes et des filles, le Conseil des droits de l'homme, dans sa dernière </w:t>
            </w:r>
            <w:r w:rsidRPr="007E430D">
              <w:rPr>
                <w:rFonts w:eastAsia="PMingLiU" w:cs="Calibri"/>
                <w:bCs/>
                <w:lang w:val="fr-FR"/>
              </w:rPr>
              <w:lastRenderedPageBreak/>
              <w:t xml:space="preserve">résolution sur le sujet, a encouragé tous les États à engager des consultations avec les autres parties prenantes, en vue de donner la priorité à la question, afin d'accroître la mobilisation et la coopération sur ce problème d’ampleur mondial. </w:t>
            </w:r>
          </w:p>
          <w:p w14:paraId="2CE3EEC5" w14:textId="70D69A7A" w:rsidR="00CA1647" w:rsidRPr="007E430D" w:rsidRDefault="007E430D" w:rsidP="00176100">
            <w:pPr>
              <w:shd w:val="clear" w:color="auto" w:fill="FFFFFF"/>
              <w:snapToGrid w:val="0"/>
              <w:spacing w:after="80" w:line="240" w:lineRule="auto"/>
              <w:jc w:val="both"/>
              <w:rPr>
                <w:rFonts w:eastAsia="PMingLiU" w:cs="Calibri"/>
                <w:bCs/>
                <w:lang w:val="fr-FR"/>
              </w:rPr>
            </w:pPr>
            <w:r w:rsidRPr="007E430D">
              <w:rPr>
                <w:rFonts w:eastAsia="PMingLiU" w:cs="Calibri"/>
                <w:bCs/>
                <w:lang w:val="fr-FR"/>
              </w:rPr>
              <w:t>Des efforts sont déployés pour lutter contre le phénomène par les gouvernements, les acteurs du développement et des communautés, les médias, les organisations de la société civile. Ils s'inscrivent en partie dans le cadre de l'Agenda 2030 pour le</w:t>
            </w:r>
            <w:r w:rsidR="007250FF">
              <w:rPr>
                <w:rFonts w:eastAsia="PMingLiU" w:cs="Calibri"/>
                <w:bCs/>
                <w:lang w:val="fr-FR"/>
              </w:rPr>
              <w:t>s Objectifs de d</w:t>
            </w:r>
            <w:r w:rsidRPr="007E430D">
              <w:rPr>
                <w:rFonts w:eastAsia="PMingLiU" w:cs="Calibri"/>
                <w:bCs/>
                <w:lang w:val="fr-FR"/>
              </w:rPr>
              <w:t>éveloppement durable, notamment de l'objectif 5.3, qui prévoit des engagements en faveur d'une plus grande red</w:t>
            </w:r>
            <w:r>
              <w:rPr>
                <w:rFonts w:eastAsia="PMingLiU" w:cs="Calibri"/>
                <w:bCs/>
                <w:lang w:val="fr-FR"/>
              </w:rPr>
              <w:t xml:space="preserve">evabilité vis-à-vis des filles </w:t>
            </w:r>
            <w:r w:rsidRPr="007E430D">
              <w:rPr>
                <w:rFonts w:eastAsia="PMingLiU" w:cs="Calibri"/>
                <w:bCs/>
                <w:lang w:val="fr-FR"/>
              </w:rPr>
              <w:t xml:space="preserve">des femmes aux niveaux mondial, régional et </w:t>
            </w:r>
            <w:r>
              <w:rPr>
                <w:rFonts w:eastAsia="PMingLiU" w:cs="Calibri"/>
                <w:bCs/>
                <w:lang w:val="fr-FR"/>
              </w:rPr>
              <w:t>national</w:t>
            </w:r>
            <w:r w:rsidR="00CA1647" w:rsidRPr="007E430D">
              <w:rPr>
                <w:rFonts w:eastAsia="PMingLiU" w:cs="Calibri"/>
                <w:bCs/>
                <w:lang w:val="fr-FR"/>
              </w:rPr>
              <w:t xml:space="preserve">. </w:t>
            </w:r>
          </w:p>
          <w:p w14:paraId="3F4BCDD7" w14:textId="2CE595CC" w:rsidR="00CA1647" w:rsidRPr="007E430D" w:rsidRDefault="007E430D" w:rsidP="00176100">
            <w:pPr>
              <w:shd w:val="clear" w:color="auto" w:fill="FFFFFF"/>
              <w:snapToGrid w:val="0"/>
              <w:spacing w:after="80" w:line="240" w:lineRule="auto"/>
              <w:jc w:val="both"/>
              <w:rPr>
                <w:rFonts w:eastAsia="PMingLiU" w:cs="Calibri"/>
                <w:bCs/>
                <w:lang w:val="fr-FR"/>
              </w:rPr>
            </w:pPr>
            <w:r w:rsidRPr="007E430D">
              <w:rPr>
                <w:rFonts w:eastAsia="PMingLiU" w:cs="Calibri"/>
                <w:bCs/>
                <w:lang w:val="fr-FR"/>
              </w:rPr>
              <w:t>De même, les actions visant à prévenir et à éliminer la pratique ont permis d'accroître sa visibilité, notamment par l'adoption de résolutions par l'Assemblée générale, le Conseil des droits de l'homme, l'Union africaine et le Parlement européen, ainsi que par des campagnes régionales visant à galvaniser les différents acteurs. Au niveau national, les efforts visant à promouvoir une approche globale et multisectorielle de la prévention de</w:t>
            </w:r>
            <w:r w:rsidR="003A159A">
              <w:rPr>
                <w:rFonts w:eastAsia="PMingLiU" w:cs="Calibri"/>
                <w:bCs/>
                <w:lang w:val="fr-FR"/>
              </w:rPr>
              <w:t xml:space="preserve"> la pratique</w:t>
            </w:r>
            <w:r w:rsidRPr="007E430D">
              <w:rPr>
                <w:rFonts w:eastAsia="PMingLiU" w:cs="Calibri"/>
                <w:bCs/>
                <w:lang w:val="fr-FR"/>
              </w:rPr>
              <w:t xml:space="preserve"> ont </w:t>
            </w:r>
            <w:r w:rsidR="003A159A">
              <w:rPr>
                <w:rFonts w:eastAsia="PMingLiU" w:cs="Calibri"/>
                <w:bCs/>
                <w:lang w:val="fr-FR"/>
              </w:rPr>
              <w:t xml:space="preserve">produites des </w:t>
            </w:r>
            <w:r w:rsidRPr="007E430D">
              <w:rPr>
                <w:rFonts w:eastAsia="PMingLiU" w:cs="Calibri"/>
                <w:bCs/>
                <w:lang w:val="fr-FR"/>
              </w:rPr>
              <w:t xml:space="preserve">résultats </w:t>
            </w:r>
            <w:r w:rsidR="003A159A">
              <w:rPr>
                <w:rFonts w:eastAsia="PMingLiU" w:cs="Calibri"/>
                <w:bCs/>
                <w:lang w:val="fr-FR"/>
              </w:rPr>
              <w:t>probant</w:t>
            </w:r>
            <w:r w:rsidRPr="007E430D">
              <w:rPr>
                <w:rFonts w:eastAsia="PMingLiU" w:cs="Calibri"/>
                <w:bCs/>
                <w:lang w:val="fr-FR"/>
              </w:rPr>
              <w:t>s. Par exemple, 78 % des pays pour lesquels des données sont disponibles interdisent ou criminalisent les MGF ; la majorité d'entre eux, soit 87 %, disposent d'une structure de coordination nationale et certains reproduisent cette bonne pratique au niveau local (Éthiopie, Érythrée, Cameroun et Nigéria</w:t>
            </w:r>
            <w:r w:rsidR="00CA1647" w:rsidRPr="007E430D">
              <w:rPr>
                <w:rFonts w:eastAsia="PMingLiU" w:cs="Calibri"/>
                <w:bCs/>
                <w:lang w:val="fr-FR"/>
              </w:rPr>
              <w:t xml:space="preserve">). </w:t>
            </w:r>
          </w:p>
          <w:p w14:paraId="5A247584" w14:textId="69A9471F" w:rsidR="00CA1647" w:rsidRPr="0098529E" w:rsidRDefault="0098529E" w:rsidP="00176100">
            <w:pPr>
              <w:shd w:val="clear" w:color="auto" w:fill="FFFFFF"/>
              <w:snapToGrid w:val="0"/>
              <w:spacing w:after="80" w:line="240" w:lineRule="auto"/>
              <w:jc w:val="both"/>
              <w:rPr>
                <w:rFonts w:eastAsia="PMingLiU" w:cs="Calibri"/>
                <w:bCs/>
                <w:lang w:val="fr-FR"/>
              </w:rPr>
            </w:pPr>
            <w:r w:rsidRPr="0098529E">
              <w:rPr>
                <w:rFonts w:eastAsia="PMingLiU" w:cs="Calibri"/>
                <w:bCs/>
                <w:lang w:val="fr-FR"/>
              </w:rPr>
              <w:t xml:space="preserve">Toutefois, ces résultats ne </w:t>
            </w:r>
            <w:r w:rsidR="008535A2">
              <w:rPr>
                <w:rFonts w:eastAsia="PMingLiU" w:cs="Calibri"/>
                <w:bCs/>
                <w:lang w:val="fr-FR"/>
              </w:rPr>
              <w:t>sauraient</w:t>
            </w:r>
            <w:r w:rsidRPr="0098529E">
              <w:rPr>
                <w:rFonts w:eastAsia="PMingLiU" w:cs="Calibri"/>
                <w:bCs/>
                <w:lang w:val="fr-FR"/>
              </w:rPr>
              <w:t xml:space="preserve"> occulter les nombreux défis qui restent à relever pour éliminer la pratique et protéger les groupes à risque. Avant la pandémie de </w:t>
            </w:r>
            <w:r w:rsidR="00534AFC">
              <w:rPr>
                <w:rFonts w:eastAsia="PMingLiU" w:cs="Calibri"/>
                <w:bCs/>
                <w:lang w:val="fr-FR"/>
              </w:rPr>
              <w:t xml:space="preserve">la </w:t>
            </w:r>
            <w:r w:rsidRPr="0098529E">
              <w:rPr>
                <w:rFonts w:eastAsia="PMingLiU" w:cs="Calibri"/>
                <w:bCs/>
                <w:lang w:val="fr-FR"/>
              </w:rPr>
              <w:t xml:space="preserve">COVID-19, plus de 200 millions de filles et de femmes avaient subi des MGF et au moins quatre millions de filles étaient à risque chaque année. À moins que la prévention et l'élimination des MGF ne soient intégrées prioritairement dans les plans de réponse nationaux </w:t>
            </w:r>
            <w:r w:rsidR="00534AFC">
              <w:rPr>
                <w:rFonts w:eastAsia="PMingLiU" w:cs="Calibri"/>
                <w:bCs/>
                <w:lang w:val="fr-FR"/>
              </w:rPr>
              <w:t>de la</w:t>
            </w:r>
            <w:r w:rsidRPr="0098529E">
              <w:rPr>
                <w:rFonts w:eastAsia="PMingLiU" w:cs="Calibri"/>
                <w:bCs/>
                <w:lang w:val="fr-FR"/>
              </w:rPr>
              <w:t xml:space="preserve"> COVID-19 et dans les actions humanitaires en général, </w:t>
            </w:r>
            <w:r w:rsidR="008535A2">
              <w:rPr>
                <w:rFonts w:eastAsia="PMingLiU" w:cs="Calibri"/>
                <w:bCs/>
                <w:lang w:val="fr-FR"/>
              </w:rPr>
              <w:t>de nombreuses autres</w:t>
            </w:r>
            <w:r w:rsidRPr="0098529E">
              <w:rPr>
                <w:rFonts w:eastAsia="PMingLiU" w:cs="Calibri"/>
                <w:bCs/>
                <w:lang w:val="fr-FR"/>
              </w:rPr>
              <w:t xml:space="preserve"> filles seront plus exposées </w:t>
            </w:r>
            <w:r w:rsidR="00534AFC">
              <w:rPr>
                <w:rFonts w:eastAsia="PMingLiU" w:cs="Calibri"/>
                <w:bCs/>
                <w:lang w:val="fr-FR"/>
              </w:rPr>
              <w:t xml:space="preserve">à cette pratique </w:t>
            </w:r>
            <w:r w:rsidR="003A159A">
              <w:rPr>
                <w:rFonts w:eastAsia="PMingLiU" w:cs="Calibri"/>
                <w:bCs/>
                <w:lang w:val="fr-FR"/>
              </w:rPr>
              <w:t xml:space="preserve">d'ici 2030. </w:t>
            </w:r>
            <w:r w:rsidRPr="0098529E">
              <w:rPr>
                <w:rFonts w:eastAsia="PMingLiU" w:cs="Calibri"/>
                <w:bCs/>
                <w:lang w:val="fr-FR"/>
              </w:rPr>
              <w:t xml:space="preserve">Les pays qui affectés par les MGF sont également touchés par des crises humanitaires complexes de plus en plus nombreuses, en plus de </w:t>
            </w:r>
            <w:r w:rsidR="00534AFC">
              <w:rPr>
                <w:rFonts w:eastAsia="PMingLiU" w:cs="Calibri"/>
                <w:bCs/>
                <w:lang w:val="fr-FR"/>
              </w:rPr>
              <w:t xml:space="preserve">la </w:t>
            </w:r>
            <w:r w:rsidRPr="0098529E">
              <w:rPr>
                <w:rFonts w:eastAsia="PMingLiU" w:cs="Calibri"/>
                <w:bCs/>
                <w:lang w:val="fr-FR"/>
              </w:rPr>
              <w:t>COVID-19, ce qui a entraîné un recul dans la réalisation des Objectifs de développement durable</w:t>
            </w:r>
            <w:r w:rsidR="00CA1647" w:rsidRPr="0098529E">
              <w:rPr>
                <w:rFonts w:eastAsia="PMingLiU" w:cs="Calibri"/>
                <w:bCs/>
                <w:lang w:val="fr-FR"/>
              </w:rPr>
              <w:t xml:space="preserve">. </w:t>
            </w:r>
          </w:p>
          <w:p w14:paraId="43BD1C93" w14:textId="521E750A" w:rsidR="00CA1647" w:rsidRPr="0098529E" w:rsidRDefault="0098529E" w:rsidP="00176100">
            <w:pPr>
              <w:shd w:val="clear" w:color="auto" w:fill="FFFFFF"/>
              <w:snapToGrid w:val="0"/>
              <w:spacing w:after="80" w:line="240" w:lineRule="auto"/>
              <w:jc w:val="both"/>
              <w:rPr>
                <w:rFonts w:eastAsia="PMingLiU" w:cs="Calibri"/>
                <w:bCs/>
                <w:lang w:val="fr-FR"/>
              </w:rPr>
            </w:pPr>
            <w:r w:rsidRPr="0098529E">
              <w:rPr>
                <w:rFonts w:eastAsia="PMingLiU" w:cs="Calibri"/>
                <w:bCs/>
                <w:lang w:val="fr-FR"/>
              </w:rPr>
              <w:t xml:space="preserve">Alors que nous continuons à </w:t>
            </w:r>
            <w:r w:rsidR="00534AFC">
              <w:rPr>
                <w:rFonts w:eastAsia="PMingLiU" w:cs="Calibri"/>
                <w:bCs/>
                <w:lang w:val="fr-FR"/>
              </w:rPr>
              <w:t>agir dans le sens de</w:t>
            </w:r>
            <w:r w:rsidRPr="0098529E">
              <w:rPr>
                <w:rFonts w:eastAsia="PMingLiU" w:cs="Calibri"/>
                <w:bCs/>
                <w:lang w:val="fr-FR"/>
              </w:rPr>
              <w:t xml:space="preserve"> la Décennie d'action et </w:t>
            </w:r>
            <w:r w:rsidR="00534AFC">
              <w:rPr>
                <w:rFonts w:eastAsia="PMingLiU" w:cs="Calibri"/>
                <w:bCs/>
                <w:lang w:val="fr-FR"/>
              </w:rPr>
              <w:t xml:space="preserve">de </w:t>
            </w:r>
            <w:r w:rsidRPr="0098529E">
              <w:rPr>
                <w:rFonts w:eastAsia="PMingLiU" w:cs="Calibri"/>
                <w:bCs/>
                <w:lang w:val="fr-FR"/>
              </w:rPr>
              <w:t xml:space="preserve">la mise en œuvre de l'Appel à l'action du Secrétaire général en faveur des droits de l'homme, des actions transformatrices sont nécessaires pour renforcer les engagements. Parmi les accélérateurs importants, les engagements nationaux pris par les gouvernements et les autres parties prenantes lors du Sommet de Nairobi sur la Conférence internationale sur la population et le développement (CIPD+25), l'Appel à l'action de Ouagadougou sur l'élimination des mutilations génitales féminines et l'Appel à l'action du Caire pour l'élimination du mariage des enfants et des mutilations génitales féminines en Afrique. Au niveau national, tous les acteurs sont appelés à adopter une approche multisectorielle et globale pour mettre fin à cette pratique. Cela signifie qu'il faut élargir les partenariats aux niveaux local, sous-national et national tout en mettant en place des réponses dans </w:t>
            </w:r>
            <w:r w:rsidR="00534AFC">
              <w:rPr>
                <w:rFonts w:eastAsia="PMingLiU" w:cs="Calibri"/>
                <w:bCs/>
                <w:lang w:val="fr-FR"/>
              </w:rPr>
              <w:t>l</w:t>
            </w:r>
            <w:r w:rsidRPr="0098529E">
              <w:rPr>
                <w:rFonts w:eastAsia="PMingLiU" w:cs="Calibri"/>
                <w:bCs/>
                <w:lang w:val="fr-FR"/>
              </w:rPr>
              <w:t>es secteurs tels que la santé, l'éducation, le social, l'économie et la justice, ainsi que dans les secteurs public et privé. Cela implique également de financer les réponses et de mobiliser les investissements publics et privés pour soutenir les programmes de lutte contre les MGF, ainsi que de travailler sur les politiques et les lois. En outre, il s'agit de donner aux filles et aux femmes les moyens d'agir en leur fournissant des services, des informations et une éducation, y compris un meilleur accès aux services essentiels (soins de santé, services sociaux et justice); de soutenir les communautés et les membres de la f</w:t>
            </w:r>
            <w:r w:rsidR="008535A2">
              <w:rPr>
                <w:rFonts w:eastAsia="PMingLiU" w:cs="Calibri"/>
                <w:bCs/>
                <w:lang w:val="fr-FR"/>
              </w:rPr>
              <w:t>amille dans le changement des</w:t>
            </w:r>
            <w:r w:rsidRPr="0098529E">
              <w:rPr>
                <w:rFonts w:eastAsia="PMingLiU" w:cs="Calibri"/>
                <w:bCs/>
                <w:lang w:val="fr-FR"/>
              </w:rPr>
              <w:t xml:space="preserve"> normes sociales et de genre néfastes, et enfin de renforcer la collaboration avec le système de protection national pour mettre en œuvre des lois et des politiques qui font </w:t>
            </w:r>
            <w:r w:rsidR="00534AFC">
              <w:rPr>
                <w:rFonts w:eastAsia="PMingLiU" w:cs="Calibri"/>
                <w:bCs/>
                <w:lang w:val="fr-FR"/>
              </w:rPr>
              <w:t>combattent les</w:t>
            </w:r>
            <w:r w:rsidRPr="0098529E">
              <w:rPr>
                <w:rFonts w:eastAsia="PMingLiU" w:cs="Calibri"/>
                <w:bCs/>
                <w:lang w:val="fr-FR"/>
              </w:rPr>
              <w:t xml:space="preserve"> MGF</w:t>
            </w:r>
            <w:r w:rsidR="00CA1647" w:rsidRPr="0098529E">
              <w:rPr>
                <w:rFonts w:eastAsia="PMingLiU" w:cs="Calibri"/>
                <w:bCs/>
                <w:lang w:val="fr-FR"/>
              </w:rPr>
              <w:t>.</w:t>
            </w:r>
          </w:p>
          <w:p w14:paraId="48FE0227" w14:textId="7A547FC6" w:rsidR="004F0A64" w:rsidRPr="0098529E" w:rsidRDefault="0098529E" w:rsidP="00176100">
            <w:pPr>
              <w:shd w:val="clear" w:color="auto" w:fill="FFFFFF"/>
              <w:snapToGrid w:val="0"/>
              <w:spacing w:after="120" w:line="240" w:lineRule="auto"/>
              <w:jc w:val="both"/>
              <w:rPr>
                <w:rFonts w:eastAsia="PMingLiU" w:cs="Calibri"/>
                <w:bCs/>
                <w:lang w:val="fr-FR"/>
              </w:rPr>
            </w:pPr>
            <w:r w:rsidRPr="0098529E">
              <w:rPr>
                <w:rFonts w:eastAsia="PMingLiU" w:cs="Calibri"/>
                <w:bCs/>
                <w:lang w:val="fr-FR"/>
              </w:rPr>
              <w:t>La collaboration entre les acteurs ser</w:t>
            </w:r>
            <w:r w:rsidR="00534AFC">
              <w:rPr>
                <w:rFonts w:eastAsia="PMingLiU" w:cs="Calibri"/>
                <w:bCs/>
                <w:lang w:val="fr-FR"/>
              </w:rPr>
              <w:t xml:space="preserve">t </w:t>
            </w:r>
            <w:r w:rsidRPr="0098529E">
              <w:rPr>
                <w:rFonts w:eastAsia="PMingLiU" w:cs="Calibri"/>
                <w:bCs/>
                <w:lang w:val="fr-FR"/>
              </w:rPr>
              <w:t xml:space="preserve">d'amplificateur </w:t>
            </w:r>
            <w:r w:rsidR="00534AFC">
              <w:rPr>
                <w:rFonts w:eastAsia="PMingLiU" w:cs="Calibri"/>
                <w:bCs/>
                <w:lang w:val="fr-FR"/>
              </w:rPr>
              <w:t>visant à</w:t>
            </w:r>
            <w:r w:rsidRPr="0098529E">
              <w:rPr>
                <w:rFonts w:eastAsia="PMingLiU" w:cs="Calibri"/>
                <w:bCs/>
                <w:lang w:val="fr-FR"/>
              </w:rPr>
              <w:t xml:space="preserve"> rendre les gouvernements comptables de l'élimination des MGF. À cet égard, les organes de </w:t>
            </w:r>
            <w:r w:rsidR="00BB1902" w:rsidRPr="0098529E">
              <w:rPr>
                <w:rFonts w:eastAsia="PMingLiU" w:cs="Calibri"/>
                <w:bCs/>
                <w:lang w:val="fr-FR"/>
              </w:rPr>
              <w:t>redevabilité peuvent</w:t>
            </w:r>
            <w:r w:rsidRPr="0098529E">
              <w:rPr>
                <w:rFonts w:eastAsia="PMingLiU" w:cs="Calibri"/>
                <w:bCs/>
                <w:lang w:val="fr-FR"/>
              </w:rPr>
              <w:t xml:space="preserve"> également jouer un rôle essentiel, notamment les institutions nationales des droits de l'homme</w:t>
            </w:r>
            <w:r w:rsidR="009F705B">
              <w:rPr>
                <w:rFonts w:eastAsia="PMingLiU" w:cs="Calibri"/>
                <w:bCs/>
                <w:lang w:val="fr-FR"/>
              </w:rPr>
              <w:t>, le cadre de redevabilité</w:t>
            </w:r>
            <w:r w:rsidRPr="0098529E">
              <w:rPr>
                <w:rFonts w:eastAsia="PMingLiU" w:cs="Calibri"/>
                <w:bCs/>
                <w:lang w:val="fr-FR"/>
              </w:rPr>
              <w:t xml:space="preserve"> de </w:t>
            </w:r>
            <w:r w:rsidR="00BB1902" w:rsidRPr="0098529E">
              <w:rPr>
                <w:rFonts w:eastAsia="PMingLiU" w:cs="Calibri"/>
                <w:bCs/>
                <w:lang w:val="fr-FR"/>
              </w:rPr>
              <w:t>«</w:t>
            </w:r>
            <w:r w:rsidR="00BB1902">
              <w:rPr>
                <w:rFonts w:eastAsia="PMingLiU" w:cs="Calibri"/>
                <w:bCs/>
                <w:lang w:val="fr-FR"/>
              </w:rPr>
              <w:t xml:space="preserve"> </w:t>
            </w:r>
            <w:r w:rsidR="00BB1902" w:rsidRPr="0098529E">
              <w:rPr>
                <w:rFonts w:eastAsia="PMingLiU" w:cs="Calibri"/>
                <w:bCs/>
                <w:lang w:val="fr-FR"/>
              </w:rPr>
              <w:t>l’</w:t>
            </w:r>
            <w:r w:rsidR="00BB1902">
              <w:rPr>
                <w:rFonts w:eastAsia="PMingLiU" w:cs="Calibri"/>
                <w:bCs/>
                <w:lang w:val="fr-FR"/>
              </w:rPr>
              <w:t>Initiative</w:t>
            </w:r>
            <w:r w:rsidRPr="0098529E">
              <w:rPr>
                <w:rFonts w:eastAsia="PMingLiU" w:cs="Calibri"/>
                <w:bCs/>
                <w:lang w:val="fr-FR"/>
              </w:rPr>
              <w:t xml:space="preserve"> </w:t>
            </w:r>
            <w:proofErr w:type="spellStart"/>
            <w:r w:rsidRPr="0098529E">
              <w:rPr>
                <w:rFonts w:eastAsia="PMingLiU" w:cs="Calibri"/>
                <w:bCs/>
                <w:lang w:val="fr-FR"/>
              </w:rPr>
              <w:t>Saleema</w:t>
            </w:r>
            <w:proofErr w:type="spellEnd"/>
            <w:r w:rsidR="00BB1902">
              <w:rPr>
                <w:rFonts w:eastAsia="PMingLiU" w:cs="Calibri"/>
                <w:bCs/>
                <w:lang w:val="fr-FR"/>
              </w:rPr>
              <w:t> »</w:t>
            </w:r>
            <w:r w:rsidRPr="0098529E">
              <w:rPr>
                <w:rFonts w:eastAsia="PMingLiU" w:cs="Calibri"/>
                <w:bCs/>
                <w:lang w:val="fr-FR"/>
              </w:rPr>
              <w:t xml:space="preserve"> de l'Union africaine au niveau régional, et les mécanismes des droits de l'homme, y compris l'examen périodi</w:t>
            </w:r>
            <w:r w:rsidR="00BB1902">
              <w:rPr>
                <w:rFonts w:eastAsia="PMingLiU" w:cs="Calibri"/>
                <w:bCs/>
                <w:lang w:val="fr-FR"/>
              </w:rPr>
              <w:t xml:space="preserve">que universel au </w:t>
            </w:r>
            <w:r w:rsidR="00534AFC">
              <w:rPr>
                <w:rFonts w:eastAsia="PMingLiU" w:cs="Calibri"/>
                <w:bCs/>
                <w:lang w:val="fr-FR"/>
              </w:rPr>
              <w:t>plan global</w:t>
            </w:r>
            <w:r w:rsidR="00CA1647" w:rsidRPr="0098529E">
              <w:rPr>
                <w:rFonts w:eastAsia="PMingLiU" w:cs="Calibri"/>
                <w:bCs/>
                <w:lang w:val="fr-FR"/>
              </w:rPr>
              <w:t xml:space="preserve">. </w:t>
            </w:r>
          </w:p>
        </w:tc>
      </w:tr>
      <w:tr w:rsidR="004F0A64" w:rsidRPr="00A97275" w14:paraId="3D1F6597" w14:textId="77777777" w:rsidTr="009053DB">
        <w:trPr>
          <w:trHeight w:val="56"/>
        </w:trPr>
        <w:tc>
          <w:tcPr>
            <w:tcW w:w="1450" w:type="dxa"/>
            <w:shd w:val="clear" w:color="auto" w:fill="auto"/>
          </w:tcPr>
          <w:p w14:paraId="0BA080BD" w14:textId="7BA074E5" w:rsidR="004F0A64" w:rsidRPr="00D06C96" w:rsidRDefault="003C0A97" w:rsidP="00176100">
            <w:pPr>
              <w:spacing w:after="0" w:line="240" w:lineRule="auto"/>
              <w:jc w:val="both"/>
              <w:rPr>
                <w:rFonts w:cs="Calibri"/>
                <w:b/>
              </w:rPr>
            </w:pPr>
            <w:r>
              <w:rPr>
                <w:rFonts w:cs="Calibri"/>
                <w:b/>
              </w:rPr>
              <w:lastRenderedPageBreak/>
              <w:t xml:space="preserve">Documents </w:t>
            </w:r>
            <w:proofErr w:type="spellStart"/>
            <w:r>
              <w:rPr>
                <w:rFonts w:cs="Calibri"/>
                <w:b/>
              </w:rPr>
              <w:t>d’appui</w:t>
            </w:r>
            <w:proofErr w:type="spellEnd"/>
            <w:r w:rsidR="004F0A64" w:rsidRPr="00D06C96">
              <w:rPr>
                <w:rFonts w:cs="Calibri"/>
                <w:b/>
              </w:rPr>
              <w:t>:</w:t>
            </w:r>
          </w:p>
          <w:p w14:paraId="27778FCE" w14:textId="77777777" w:rsidR="004F0A64" w:rsidRPr="00D06C96" w:rsidRDefault="004F0A64" w:rsidP="00176100">
            <w:pPr>
              <w:spacing w:line="240" w:lineRule="auto"/>
              <w:jc w:val="both"/>
              <w:rPr>
                <w:rFonts w:eastAsia="Times New Roman" w:cs="Calibri"/>
              </w:rPr>
            </w:pPr>
          </w:p>
        </w:tc>
        <w:tc>
          <w:tcPr>
            <w:tcW w:w="8648" w:type="dxa"/>
            <w:shd w:val="clear" w:color="auto" w:fill="auto"/>
          </w:tcPr>
          <w:p w14:paraId="30D48DB4" w14:textId="2B345772" w:rsidR="004F0A64" w:rsidRPr="0089490A" w:rsidRDefault="005319B4" w:rsidP="00176100">
            <w:pPr>
              <w:numPr>
                <w:ilvl w:val="0"/>
                <w:numId w:val="2"/>
              </w:numPr>
              <w:spacing w:after="40" w:line="240" w:lineRule="auto"/>
              <w:ind w:left="357" w:hanging="357"/>
              <w:rPr>
                <w:rFonts w:cs="Calibri"/>
                <w:iCs/>
                <w:color w:val="000000"/>
                <w:lang w:val="fr-FR"/>
              </w:rPr>
            </w:pPr>
            <w:hyperlink r:id="rId8" w:history="1">
              <w:r w:rsidR="0089490A">
                <w:rPr>
                  <w:rStyle w:val="Hyperlink"/>
                  <w:rFonts w:cs="Calibri"/>
                  <w:iCs/>
                  <w:lang w:val="fr-FR"/>
                </w:rPr>
                <w:t>Conseil des droits de l'homme résolution 6/30</w:t>
              </w:r>
            </w:hyperlink>
            <w:r w:rsidR="004F0A64" w:rsidRPr="0089490A">
              <w:rPr>
                <w:rFonts w:cs="Calibri"/>
                <w:iCs/>
                <w:color w:val="000000"/>
                <w:lang w:val="fr-FR"/>
              </w:rPr>
              <w:t xml:space="preserve"> </w:t>
            </w:r>
            <w:r w:rsidR="0089490A">
              <w:rPr>
                <w:rFonts w:cs="Calibri"/>
                <w:iCs/>
                <w:color w:val="000000"/>
                <w:lang w:val="fr-FR"/>
              </w:rPr>
              <w:t>du</w:t>
            </w:r>
            <w:r w:rsidR="00A47C3D" w:rsidRPr="0089490A">
              <w:rPr>
                <w:rFonts w:cs="Calibri"/>
                <w:iCs/>
                <w:color w:val="000000"/>
                <w:lang w:val="fr-FR"/>
              </w:rPr>
              <w:t xml:space="preserve"> 14 </w:t>
            </w:r>
            <w:r w:rsidR="0089490A">
              <w:rPr>
                <w:rFonts w:cs="Calibri"/>
                <w:iCs/>
                <w:color w:val="000000"/>
                <w:lang w:val="fr-FR"/>
              </w:rPr>
              <w:t>décembre</w:t>
            </w:r>
            <w:r w:rsidR="004F0A64" w:rsidRPr="0089490A">
              <w:rPr>
                <w:rFonts w:cs="Calibri"/>
                <w:iCs/>
                <w:color w:val="000000"/>
                <w:lang w:val="fr-FR"/>
              </w:rPr>
              <w:t xml:space="preserve"> 2007 </w:t>
            </w:r>
            <w:r w:rsidR="0089490A" w:rsidRPr="0089490A">
              <w:rPr>
                <w:rFonts w:cs="Calibri"/>
                <w:iCs/>
                <w:color w:val="000000"/>
                <w:lang w:val="fr-FR"/>
              </w:rPr>
              <w:t xml:space="preserve">sur </w:t>
            </w:r>
            <w:r w:rsidR="0089490A">
              <w:rPr>
                <w:rFonts w:cs="Calibri"/>
                <w:iCs/>
                <w:color w:val="000000"/>
                <w:lang w:val="fr-FR"/>
              </w:rPr>
              <w:t>la p</w:t>
            </w:r>
            <w:r w:rsidR="0089490A" w:rsidRPr="0089490A">
              <w:rPr>
                <w:rFonts w:cs="Calibri"/>
                <w:iCs/>
                <w:color w:val="000000"/>
                <w:lang w:val="fr-FR"/>
              </w:rPr>
              <w:t>rise en compte des droits fondamentaux des femmes dans tous les organismes du système des Nations Unies</w:t>
            </w:r>
          </w:p>
          <w:p w14:paraId="654D113F" w14:textId="59677927" w:rsidR="0098286D" w:rsidRPr="005F2FEA" w:rsidRDefault="005319B4" w:rsidP="00176100">
            <w:pPr>
              <w:numPr>
                <w:ilvl w:val="0"/>
                <w:numId w:val="2"/>
              </w:numPr>
              <w:spacing w:after="40" w:line="240" w:lineRule="auto"/>
              <w:ind w:left="357" w:hanging="357"/>
              <w:rPr>
                <w:rFonts w:cs="Calibri"/>
                <w:iCs/>
                <w:color w:val="000000"/>
                <w:lang w:val="fr-FR"/>
              </w:rPr>
            </w:pPr>
            <w:hyperlink r:id="rId9" w:history="1">
              <w:r w:rsidR="000555C8">
                <w:rPr>
                  <w:rStyle w:val="Hyperlink"/>
                  <w:rFonts w:cs="Calibri"/>
                  <w:iCs/>
                  <w:lang w:val="fr-FR"/>
                </w:rPr>
                <w:t>Conseil des droits de l'homme résolution 44/16</w:t>
              </w:r>
            </w:hyperlink>
            <w:r w:rsidR="0098286D" w:rsidRPr="005F2FEA">
              <w:rPr>
                <w:rFonts w:cs="Calibri"/>
                <w:iCs/>
                <w:color w:val="000000"/>
                <w:lang w:val="fr-FR"/>
              </w:rPr>
              <w:t xml:space="preserve"> </w:t>
            </w:r>
            <w:r w:rsidR="005F2FEA" w:rsidRPr="005F2FEA">
              <w:rPr>
                <w:rFonts w:cs="Calibri"/>
                <w:iCs/>
                <w:color w:val="000000"/>
                <w:lang w:val="fr-FR"/>
              </w:rPr>
              <w:t>du</w:t>
            </w:r>
            <w:r w:rsidR="00A47C3D" w:rsidRPr="005F2FEA">
              <w:rPr>
                <w:rFonts w:cs="Calibri"/>
                <w:iCs/>
                <w:color w:val="000000"/>
                <w:lang w:val="fr-FR"/>
              </w:rPr>
              <w:t xml:space="preserve"> 17 </w:t>
            </w:r>
            <w:r w:rsidR="005F2FEA" w:rsidRPr="005F2FEA">
              <w:rPr>
                <w:rFonts w:cs="Calibri"/>
                <w:iCs/>
                <w:color w:val="000000"/>
                <w:lang w:val="fr-FR"/>
              </w:rPr>
              <w:t>juillet</w:t>
            </w:r>
            <w:r w:rsidR="0098286D" w:rsidRPr="005F2FEA">
              <w:rPr>
                <w:rFonts w:cs="Calibri"/>
                <w:iCs/>
                <w:color w:val="000000"/>
                <w:lang w:val="fr-FR"/>
              </w:rPr>
              <w:t xml:space="preserve"> 2020 </w:t>
            </w:r>
            <w:r w:rsidR="005F2FEA">
              <w:rPr>
                <w:rFonts w:cs="Calibri"/>
                <w:iCs/>
                <w:color w:val="000000"/>
                <w:lang w:val="fr-FR"/>
              </w:rPr>
              <w:t>sur</w:t>
            </w:r>
            <w:r w:rsidR="0098286D" w:rsidRPr="005F2FEA">
              <w:rPr>
                <w:rFonts w:cs="Calibri"/>
                <w:iCs/>
                <w:color w:val="000000"/>
                <w:lang w:val="fr-FR"/>
              </w:rPr>
              <w:t xml:space="preserve"> </w:t>
            </w:r>
            <w:r w:rsidR="005F2FEA" w:rsidRPr="005F2FEA">
              <w:rPr>
                <w:rFonts w:cs="Calibri"/>
                <w:iCs/>
                <w:color w:val="000000"/>
                <w:lang w:val="fr-FR"/>
              </w:rPr>
              <w:t>l’élimination des mutilations génitales féminines</w:t>
            </w:r>
          </w:p>
          <w:p w14:paraId="589B9C70" w14:textId="3856F64C" w:rsidR="004F0A64" w:rsidRPr="00A5660A" w:rsidRDefault="00A5660A" w:rsidP="00176100">
            <w:pPr>
              <w:numPr>
                <w:ilvl w:val="0"/>
                <w:numId w:val="2"/>
              </w:numPr>
              <w:spacing w:after="40" w:line="240" w:lineRule="auto"/>
              <w:ind w:left="357" w:hanging="357"/>
              <w:rPr>
                <w:rFonts w:eastAsia="Cambria" w:cs="Calibri"/>
                <w:lang w:val="fr-FR"/>
              </w:rPr>
            </w:pPr>
            <w:r w:rsidRPr="00A5660A">
              <w:rPr>
                <w:rFonts w:eastAsia="Cambria" w:cs="Calibri"/>
                <w:lang w:val="fr-FR"/>
              </w:rPr>
              <w:t xml:space="preserve">Rapport de la </w:t>
            </w:r>
            <w:proofErr w:type="spellStart"/>
            <w:r w:rsidRPr="00A5660A">
              <w:rPr>
                <w:rFonts w:eastAsia="Cambria" w:cs="Calibri"/>
                <w:lang w:val="fr-FR"/>
              </w:rPr>
              <w:t>Haute-Commissaire</w:t>
            </w:r>
            <w:proofErr w:type="spellEnd"/>
            <w:r w:rsidRPr="00A5660A">
              <w:rPr>
                <w:rFonts w:eastAsia="Cambria" w:cs="Calibri"/>
                <w:lang w:val="fr-FR"/>
              </w:rPr>
              <w:t xml:space="preserve"> des Nations Unies aux droits de l’homme sur la Réunion du Groupe d’experts pour l’élimination des mutilations génitales féminines </w:t>
            </w:r>
            <w:r w:rsidR="00A47C3D" w:rsidRPr="00A5660A">
              <w:rPr>
                <w:rFonts w:eastAsia="Cambria" w:cs="Calibri"/>
                <w:lang w:val="fr-FR"/>
              </w:rPr>
              <w:t>(</w:t>
            </w:r>
            <w:hyperlink r:id="rId10" w:history="1">
              <w:r w:rsidR="0076510E" w:rsidRPr="00A5660A">
                <w:rPr>
                  <w:rStyle w:val="Hyperlink"/>
                  <w:rFonts w:eastAsia="Cambria" w:cs="Calibri"/>
                  <w:lang w:val="fr-FR"/>
                </w:rPr>
                <w:t>A/HRC/44/33</w:t>
              </w:r>
            </w:hyperlink>
            <w:r w:rsidR="0076510E" w:rsidRPr="00A5660A">
              <w:rPr>
                <w:rStyle w:val="Hyperlink"/>
                <w:rFonts w:eastAsia="Cambria" w:cs="Calibri"/>
                <w:u w:val="none"/>
                <w:lang w:val="fr-FR"/>
              </w:rPr>
              <w:t xml:space="preserve">, </w:t>
            </w:r>
            <w:r w:rsidR="000555C8" w:rsidRPr="00A5660A">
              <w:rPr>
                <w:lang w:val="fr-FR"/>
              </w:rPr>
              <w:t>av</w:t>
            </w:r>
            <w:r w:rsidR="00A47C3D" w:rsidRPr="00A5660A">
              <w:rPr>
                <w:rFonts w:eastAsia="Cambria" w:cs="Calibri"/>
                <w:lang w:val="fr-FR"/>
              </w:rPr>
              <w:t>ril 2020)</w:t>
            </w:r>
          </w:p>
          <w:p w14:paraId="37D68E57" w14:textId="178E7DF0" w:rsidR="004F0A64" w:rsidRPr="00E50DF3" w:rsidRDefault="005319B4" w:rsidP="00176100">
            <w:pPr>
              <w:numPr>
                <w:ilvl w:val="0"/>
                <w:numId w:val="2"/>
              </w:numPr>
              <w:spacing w:after="0" w:line="240" w:lineRule="auto"/>
              <w:rPr>
                <w:rFonts w:eastAsia="Cambria" w:cs="Calibri"/>
                <w:lang w:val="fr-FR"/>
              </w:rPr>
            </w:pPr>
            <w:hyperlink r:id="rId11" w:history="1">
              <w:r w:rsidR="00E50DF3">
                <w:rPr>
                  <w:rStyle w:val="Hyperlink"/>
                  <w:lang w:val="fr-FR"/>
                </w:rPr>
                <w:t>Recommandation générale conjointe</w:t>
              </w:r>
            </w:hyperlink>
            <w:r w:rsidR="00E50DF3" w:rsidRPr="00E50DF3">
              <w:rPr>
                <w:rFonts w:eastAsia="Cambria" w:cs="Calibri"/>
                <w:lang w:val="fr-FR"/>
              </w:rPr>
              <w:t xml:space="preserve"> no 31 du Comité pour l’élimination de la discrimination à l’égard des femmes et observation générale no 18 du Comité des droits de l’enfant sur les pratiques </w:t>
            </w:r>
            <w:r w:rsidR="00495D6D">
              <w:rPr>
                <w:rFonts w:eastAsia="Cambria" w:cs="Calibri"/>
                <w:lang w:val="fr-FR"/>
              </w:rPr>
              <w:t>néfaste</w:t>
            </w:r>
            <w:r w:rsidR="00E50DF3" w:rsidRPr="00E50DF3">
              <w:rPr>
                <w:rFonts w:eastAsia="Cambria" w:cs="Calibri"/>
                <w:lang w:val="fr-FR"/>
              </w:rPr>
              <w:t>s</w:t>
            </w:r>
            <w:r w:rsidR="00A47C3D" w:rsidRPr="00E50DF3">
              <w:rPr>
                <w:rFonts w:eastAsia="Cambria" w:cs="Calibri"/>
                <w:lang w:val="fr-FR"/>
              </w:rPr>
              <w:t xml:space="preserve"> (2014)</w:t>
            </w:r>
          </w:p>
        </w:tc>
      </w:tr>
    </w:tbl>
    <w:p w14:paraId="78891E5B" w14:textId="77777777" w:rsidR="006B74B0" w:rsidRPr="00E50DF3" w:rsidRDefault="005319B4" w:rsidP="00176100">
      <w:pPr>
        <w:spacing w:line="240" w:lineRule="auto"/>
        <w:rPr>
          <w:lang w:val="fr-FR"/>
        </w:rPr>
      </w:pPr>
    </w:p>
    <w:sectPr w:rsidR="006B74B0" w:rsidRPr="00E50DF3" w:rsidSect="009053DB">
      <w:headerReference w:type="default" r:id="rId12"/>
      <w:footerReference w:type="default" r:id="rId13"/>
      <w:pgSz w:w="11906" w:h="16838"/>
      <w:pgMar w:top="567" w:right="1440" w:bottom="709"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45974" w14:textId="77777777" w:rsidR="00CA1647" w:rsidRDefault="00CA1647" w:rsidP="00CA1647">
      <w:pPr>
        <w:spacing w:after="0" w:line="240" w:lineRule="auto"/>
      </w:pPr>
      <w:r>
        <w:separator/>
      </w:r>
    </w:p>
  </w:endnote>
  <w:endnote w:type="continuationSeparator" w:id="0">
    <w:p w14:paraId="45247432" w14:textId="77777777" w:rsidR="00CA1647" w:rsidRDefault="00CA1647" w:rsidP="00CA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361D1" w14:textId="2930DAE4" w:rsidR="00ED4385" w:rsidRDefault="00FA2D12" w:rsidP="004D72F8">
    <w:pPr>
      <w:pStyle w:val="Footer"/>
      <w:jc w:val="center"/>
    </w:pPr>
    <w:r>
      <w:fldChar w:fldCharType="begin"/>
    </w:r>
    <w:r>
      <w:instrText xml:space="preserve"> PAGE   \* MERGEFORMAT </w:instrText>
    </w:r>
    <w:r>
      <w:fldChar w:fldCharType="separate"/>
    </w:r>
    <w:r w:rsidR="005319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C502D" w14:textId="77777777" w:rsidR="00CA1647" w:rsidRDefault="00CA1647" w:rsidP="00CA1647">
      <w:pPr>
        <w:spacing w:after="0" w:line="240" w:lineRule="auto"/>
      </w:pPr>
      <w:r>
        <w:separator/>
      </w:r>
    </w:p>
  </w:footnote>
  <w:footnote w:type="continuationSeparator" w:id="0">
    <w:p w14:paraId="72449B55" w14:textId="77777777" w:rsidR="00CA1647" w:rsidRDefault="00CA1647" w:rsidP="00CA1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770C" w14:textId="77777777" w:rsidR="0002266C" w:rsidRPr="004D72F8" w:rsidRDefault="005319B4" w:rsidP="000376AD">
    <w:pPr>
      <w:pStyle w:val="Heade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11F"/>
    <w:multiLevelType w:val="hybridMultilevel"/>
    <w:tmpl w:val="E4B0DD9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8012DD2"/>
    <w:multiLevelType w:val="multilevel"/>
    <w:tmpl w:val="053E9D7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Wingdings" w:hAnsi="Wingdings"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64"/>
    <w:rsid w:val="000110B7"/>
    <w:rsid w:val="000265F1"/>
    <w:rsid w:val="000307CF"/>
    <w:rsid w:val="000355E5"/>
    <w:rsid w:val="000555C8"/>
    <w:rsid w:val="00087C38"/>
    <w:rsid w:val="000C6E35"/>
    <w:rsid w:val="000F2C7F"/>
    <w:rsid w:val="001173D1"/>
    <w:rsid w:val="00125869"/>
    <w:rsid w:val="00137287"/>
    <w:rsid w:val="00150BB2"/>
    <w:rsid w:val="00151EA5"/>
    <w:rsid w:val="00176100"/>
    <w:rsid w:val="001B3F0F"/>
    <w:rsid w:val="002006E5"/>
    <w:rsid w:val="002131B3"/>
    <w:rsid w:val="00254492"/>
    <w:rsid w:val="0025551C"/>
    <w:rsid w:val="00261450"/>
    <w:rsid w:val="002775E5"/>
    <w:rsid w:val="002857FF"/>
    <w:rsid w:val="002B5790"/>
    <w:rsid w:val="002C45D9"/>
    <w:rsid w:val="002C5707"/>
    <w:rsid w:val="002D1177"/>
    <w:rsid w:val="00300351"/>
    <w:rsid w:val="00315A86"/>
    <w:rsid w:val="00326110"/>
    <w:rsid w:val="0033046A"/>
    <w:rsid w:val="0033127D"/>
    <w:rsid w:val="0034013F"/>
    <w:rsid w:val="00354F0F"/>
    <w:rsid w:val="003A159A"/>
    <w:rsid w:val="003C0A97"/>
    <w:rsid w:val="003C3F23"/>
    <w:rsid w:val="00442EF9"/>
    <w:rsid w:val="00455643"/>
    <w:rsid w:val="0046574C"/>
    <w:rsid w:val="00487100"/>
    <w:rsid w:val="00493782"/>
    <w:rsid w:val="00495D6D"/>
    <w:rsid w:val="004D1FCE"/>
    <w:rsid w:val="004F0A64"/>
    <w:rsid w:val="005029A8"/>
    <w:rsid w:val="00515C81"/>
    <w:rsid w:val="005319B4"/>
    <w:rsid w:val="00533BE4"/>
    <w:rsid w:val="00534AFC"/>
    <w:rsid w:val="0053508F"/>
    <w:rsid w:val="00547A71"/>
    <w:rsid w:val="005606A2"/>
    <w:rsid w:val="005979D8"/>
    <w:rsid w:val="005A7279"/>
    <w:rsid w:val="005B31EF"/>
    <w:rsid w:val="005C2F0D"/>
    <w:rsid w:val="005F2FEA"/>
    <w:rsid w:val="005F539B"/>
    <w:rsid w:val="006020EC"/>
    <w:rsid w:val="00667BAF"/>
    <w:rsid w:val="006B7403"/>
    <w:rsid w:val="006D3F60"/>
    <w:rsid w:val="006D4B75"/>
    <w:rsid w:val="006D5718"/>
    <w:rsid w:val="006D73B1"/>
    <w:rsid w:val="006E5712"/>
    <w:rsid w:val="007250FF"/>
    <w:rsid w:val="0074434F"/>
    <w:rsid w:val="00754D65"/>
    <w:rsid w:val="0076510E"/>
    <w:rsid w:val="007A59CE"/>
    <w:rsid w:val="007E430D"/>
    <w:rsid w:val="007F5558"/>
    <w:rsid w:val="00837A91"/>
    <w:rsid w:val="008501CD"/>
    <w:rsid w:val="00852C17"/>
    <w:rsid w:val="008535A2"/>
    <w:rsid w:val="008562D5"/>
    <w:rsid w:val="00861389"/>
    <w:rsid w:val="0089490A"/>
    <w:rsid w:val="008B446C"/>
    <w:rsid w:val="008D0831"/>
    <w:rsid w:val="009053DB"/>
    <w:rsid w:val="0092013A"/>
    <w:rsid w:val="009273D8"/>
    <w:rsid w:val="00964329"/>
    <w:rsid w:val="00964641"/>
    <w:rsid w:val="0098286D"/>
    <w:rsid w:val="0098529E"/>
    <w:rsid w:val="00986B48"/>
    <w:rsid w:val="009A1F93"/>
    <w:rsid w:val="009D071D"/>
    <w:rsid w:val="009F10EF"/>
    <w:rsid w:val="009F705B"/>
    <w:rsid w:val="00A47C3D"/>
    <w:rsid w:val="00A5660A"/>
    <w:rsid w:val="00A91334"/>
    <w:rsid w:val="00A97275"/>
    <w:rsid w:val="00AC0383"/>
    <w:rsid w:val="00AD6FE4"/>
    <w:rsid w:val="00AF7439"/>
    <w:rsid w:val="00B00067"/>
    <w:rsid w:val="00B11F54"/>
    <w:rsid w:val="00B262C9"/>
    <w:rsid w:val="00BB1902"/>
    <w:rsid w:val="00BD4A74"/>
    <w:rsid w:val="00BD4DD4"/>
    <w:rsid w:val="00BD69AC"/>
    <w:rsid w:val="00BF0BAC"/>
    <w:rsid w:val="00C33BC3"/>
    <w:rsid w:val="00C7641C"/>
    <w:rsid w:val="00C7742F"/>
    <w:rsid w:val="00CA1647"/>
    <w:rsid w:val="00CA19B0"/>
    <w:rsid w:val="00CB7989"/>
    <w:rsid w:val="00CE6E10"/>
    <w:rsid w:val="00CF15C7"/>
    <w:rsid w:val="00D27056"/>
    <w:rsid w:val="00D36E7E"/>
    <w:rsid w:val="00E41510"/>
    <w:rsid w:val="00E422D5"/>
    <w:rsid w:val="00E45B2B"/>
    <w:rsid w:val="00E50DF3"/>
    <w:rsid w:val="00ED12CF"/>
    <w:rsid w:val="00F13B67"/>
    <w:rsid w:val="00F14F1A"/>
    <w:rsid w:val="00F42103"/>
    <w:rsid w:val="00F4750B"/>
    <w:rsid w:val="00F5619F"/>
    <w:rsid w:val="00F70208"/>
    <w:rsid w:val="00F824ED"/>
    <w:rsid w:val="00F91A86"/>
    <w:rsid w:val="00F91E91"/>
    <w:rsid w:val="00FA2D12"/>
    <w:rsid w:val="00FA33D7"/>
    <w:rsid w:val="00FD024E"/>
    <w:rsid w:val="00FE706A"/>
    <w:rsid w:val="00FF0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5CCA"/>
  <w15:chartTrackingRefBased/>
  <w15:docId w15:val="{CBA4B6F6-CB6F-448B-A10E-62DBCB05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A6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A19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F0A64"/>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0A64"/>
    <w:rPr>
      <w:rFonts w:ascii="Times New Roman" w:eastAsia="Times New Roman" w:hAnsi="Times New Roman" w:cs="Times New Roman"/>
      <w:b/>
      <w:bCs/>
      <w:sz w:val="27"/>
      <w:szCs w:val="27"/>
      <w:lang w:eastAsia="en-GB"/>
    </w:rPr>
  </w:style>
  <w:style w:type="character" w:styleId="Hyperlink">
    <w:name w:val="Hyperlink"/>
    <w:uiPriority w:val="99"/>
    <w:unhideWhenUsed/>
    <w:rsid w:val="004F0A64"/>
    <w:rPr>
      <w:color w:val="0000FF"/>
      <w:u w:val="single"/>
    </w:rPr>
  </w:style>
  <w:style w:type="paragraph" w:styleId="Header">
    <w:name w:val="header"/>
    <w:basedOn w:val="Normal"/>
    <w:link w:val="HeaderChar"/>
    <w:uiPriority w:val="99"/>
    <w:unhideWhenUsed/>
    <w:rsid w:val="004F0A64"/>
    <w:pPr>
      <w:tabs>
        <w:tab w:val="center" w:pos="4513"/>
        <w:tab w:val="right" w:pos="9026"/>
      </w:tabs>
    </w:pPr>
  </w:style>
  <w:style w:type="character" w:customStyle="1" w:styleId="HeaderChar">
    <w:name w:val="Header Char"/>
    <w:basedOn w:val="DefaultParagraphFont"/>
    <w:link w:val="Header"/>
    <w:uiPriority w:val="99"/>
    <w:rsid w:val="004F0A64"/>
    <w:rPr>
      <w:rFonts w:ascii="Calibri" w:eastAsia="Calibri" w:hAnsi="Calibri" w:cs="Times New Roman"/>
    </w:rPr>
  </w:style>
  <w:style w:type="paragraph" w:styleId="Footer">
    <w:name w:val="footer"/>
    <w:basedOn w:val="Normal"/>
    <w:link w:val="FooterChar"/>
    <w:uiPriority w:val="99"/>
    <w:unhideWhenUsed/>
    <w:rsid w:val="004F0A64"/>
    <w:pPr>
      <w:tabs>
        <w:tab w:val="center" w:pos="4513"/>
        <w:tab w:val="right" w:pos="9026"/>
      </w:tabs>
    </w:pPr>
  </w:style>
  <w:style w:type="character" w:customStyle="1" w:styleId="FooterChar">
    <w:name w:val="Footer Char"/>
    <w:basedOn w:val="DefaultParagraphFont"/>
    <w:link w:val="Footer"/>
    <w:uiPriority w:val="99"/>
    <w:rsid w:val="004F0A64"/>
    <w:rPr>
      <w:rFonts w:ascii="Calibri" w:eastAsia="Calibri" w:hAnsi="Calibri" w:cs="Times New Roman"/>
    </w:rPr>
  </w:style>
  <w:style w:type="character" w:styleId="FootnoteReference">
    <w:name w:val="footnote reference"/>
    <w:basedOn w:val="DefaultParagraphFont"/>
    <w:uiPriority w:val="99"/>
    <w:semiHidden/>
    <w:unhideWhenUsed/>
    <w:rsid w:val="00CA1647"/>
    <w:rPr>
      <w:vertAlign w:val="superscript"/>
    </w:rPr>
  </w:style>
  <w:style w:type="character" w:customStyle="1" w:styleId="Heading1Char">
    <w:name w:val="Heading 1 Char"/>
    <w:basedOn w:val="DefaultParagraphFont"/>
    <w:link w:val="Heading1"/>
    <w:uiPriority w:val="9"/>
    <w:rsid w:val="00CA19B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31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27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4013F"/>
    <w:rPr>
      <w:sz w:val="16"/>
      <w:szCs w:val="16"/>
    </w:rPr>
  </w:style>
  <w:style w:type="paragraph" w:styleId="CommentText">
    <w:name w:val="annotation text"/>
    <w:basedOn w:val="Normal"/>
    <w:link w:val="CommentTextChar"/>
    <w:uiPriority w:val="99"/>
    <w:semiHidden/>
    <w:unhideWhenUsed/>
    <w:rsid w:val="0034013F"/>
    <w:pPr>
      <w:spacing w:line="240" w:lineRule="auto"/>
    </w:pPr>
    <w:rPr>
      <w:sz w:val="20"/>
      <w:szCs w:val="20"/>
    </w:rPr>
  </w:style>
  <w:style w:type="character" w:customStyle="1" w:styleId="CommentTextChar">
    <w:name w:val="Comment Text Char"/>
    <w:basedOn w:val="DefaultParagraphFont"/>
    <w:link w:val="CommentText"/>
    <w:uiPriority w:val="99"/>
    <w:semiHidden/>
    <w:rsid w:val="0034013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013F"/>
    <w:rPr>
      <w:b/>
      <w:bCs/>
    </w:rPr>
  </w:style>
  <w:style w:type="character" w:customStyle="1" w:styleId="CommentSubjectChar">
    <w:name w:val="Comment Subject Char"/>
    <w:basedOn w:val="CommentTextChar"/>
    <w:link w:val="CommentSubject"/>
    <w:uiPriority w:val="99"/>
    <w:semiHidden/>
    <w:rsid w:val="0034013F"/>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A47C3D"/>
    <w:rPr>
      <w:color w:val="954F72" w:themeColor="followedHyperlink"/>
      <w:u w:val="single"/>
    </w:rPr>
  </w:style>
  <w:style w:type="paragraph" w:styleId="Revision">
    <w:name w:val="Revision"/>
    <w:hidden/>
    <w:uiPriority w:val="99"/>
    <w:semiHidden/>
    <w:rsid w:val="00A9133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62128">
      <w:bodyDiv w:val="1"/>
      <w:marLeft w:val="0"/>
      <w:marRight w:val="0"/>
      <w:marTop w:val="0"/>
      <w:marBottom w:val="0"/>
      <w:divBdr>
        <w:top w:val="none" w:sz="0" w:space="0" w:color="auto"/>
        <w:left w:val="none" w:sz="0" w:space="0" w:color="auto"/>
        <w:bottom w:val="none" w:sz="0" w:space="0" w:color="auto"/>
        <w:right w:val="none" w:sz="0" w:space="0" w:color="auto"/>
      </w:divBdr>
    </w:div>
    <w:div w:id="208492041">
      <w:bodyDiv w:val="1"/>
      <w:marLeft w:val="0"/>
      <w:marRight w:val="0"/>
      <w:marTop w:val="0"/>
      <w:marBottom w:val="0"/>
      <w:divBdr>
        <w:top w:val="none" w:sz="0" w:space="0" w:color="auto"/>
        <w:left w:val="none" w:sz="0" w:space="0" w:color="auto"/>
        <w:bottom w:val="none" w:sz="0" w:space="0" w:color="auto"/>
        <w:right w:val="none" w:sz="0" w:space="0" w:color="auto"/>
      </w:divBdr>
    </w:div>
    <w:div w:id="464928592">
      <w:bodyDiv w:val="1"/>
      <w:marLeft w:val="0"/>
      <w:marRight w:val="0"/>
      <w:marTop w:val="0"/>
      <w:marBottom w:val="0"/>
      <w:divBdr>
        <w:top w:val="none" w:sz="0" w:space="0" w:color="auto"/>
        <w:left w:val="none" w:sz="0" w:space="0" w:color="auto"/>
        <w:bottom w:val="none" w:sz="0" w:space="0" w:color="auto"/>
        <w:right w:val="none" w:sz="0" w:space="0" w:color="auto"/>
      </w:divBdr>
    </w:div>
    <w:div w:id="1272543085">
      <w:bodyDiv w:val="1"/>
      <w:marLeft w:val="0"/>
      <w:marRight w:val="0"/>
      <w:marTop w:val="0"/>
      <w:marBottom w:val="0"/>
      <w:divBdr>
        <w:top w:val="none" w:sz="0" w:space="0" w:color="auto"/>
        <w:left w:val="none" w:sz="0" w:space="0" w:color="auto"/>
        <w:bottom w:val="none" w:sz="0" w:space="0" w:color="auto"/>
        <w:right w:val="none" w:sz="0" w:space="0" w:color="auto"/>
      </w:divBdr>
    </w:div>
    <w:div w:id="1445420589">
      <w:bodyDiv w:val="1"/>
      <w:marLeft w:val="0"/>
      <w:marRight w:val="0"/>
      <w:marTop w:val="0"/>
      <w:marBottom w:val="0"/>
      <w:divBdr>
        <w:top w:val="none" w:sz="0" w:space="0" w:color="auto"/>
        <w:left w:val="none" w:sz="0" w:space="0" w:color="auto"/>
        <w:bottom w:val="none" w:sz="0" w:space="0" w:color="auto"/>
        <w:right w:val="none" w:sz="0" w:space="0" w:color="auto"/>
      </w:divBdr>
    </w:div>
    <w:div w:id="17056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ohchr.org/documents/F/HRC/resolutions/A_HRC_RES_6_30.pdf"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ebtv.un.org"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s-dds-ny.un.org/doc/UNDOC/GEN/N14/627/79/pdf/N1462779.pdf?OpenEle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ndocs.org/fr/A/HRC/44/33" TargetMode="External"/><Relationship Id="rId4" Type="http://schemas.openxmlformats.org/officeDocument/2006/relationships/webSettings" Target="webSettings.xml"/><Relationship Id="rId9" Type="http://schemas.openxmlformats.org/officeDocument/2006/relationships/hyperlink" Target="https://undocs.org/fr/A/HRC/RES/44/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DEB676E9BE8419D2630DF41BE0BA5" ma:contentTypeVersion="1" ma:contentTypeDescription="Create a new document." ma:contentTypeScope="" ma:versionID="c99d4a20b0bc7a90267e8bd521f4102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1372D7-1814-4ED8-8DF6-74305179F26C}"/>
</file>

<file path=customXml/itemProps2.xml><?xml version="1.0" encoding="utf-8"?>
<ds:datastoreItem xmlns:ds="http://schemas.openxmlformats.org/officeDocument/2006/customXml" ds:itemID="{CB20D1E9-BA74-4E58-B382-D4F454F9A8A2}"/>
</file>

<file path=customXml/itemProps3.xml><?xml version="1.0" encoding="utf-8"?>
<ds:datastoreItem xmlns:ds="http://schemas.openxmlformats.org/officeDocument/2006/customXml" ds:itemID="{B39A746A-A16F-4108-9CDA-47B06980218E}"/>
</file>

<file path=docProps/app.xml><?xml version="1.0" encoding="utf-8"?>
<Properties xmlns="http://schemas.openxmlformats.org/officeDocument/2006/extended-properties" xmlns:vt="http://schemas.openxmlformats.org/officeDocument/2006/docPropsVTypes">
  <Template>Normal.dotm</Template>
  <TotalTime>217</TotalTime>
  <Pages>3</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WHRGS</dc:creator>
  <cp:keywords/>
  <dc:description/>
  <cp:lastModifiedBy>TICHA Petra</cp:lastModifiedBy>
  <cp:revision>54</cp:revision>
  <cp:lastPrinted>2021-06-23T08:30:00Z</cp:lastPrinted>
  <dcterms:created xsi:type="dcterms:W3CDTF">2021-06-11T12:10:00Z</dcterms:created>
  <dcterms:modified xsi:type="dcterms:W3CDTF">2021-06-23T08:41:00Z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0x010100AA9DEB676E9BE8419D2630DF41BE0BA5</vt:lpwstr>
  </property>
</Properties>
</file>